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Millennial Recruitment Best Practices</w:t>
      </w:r>
    </w:p>
    <w:p>
      <w:r>
        <w:t>Two unique best practices for recruiting millennials include promoting work-life balance and aligning company values with social responsibility.</w:t>
        <w:br/>
      </w:r>
    </w:p>
    <w:p>
      <w:r>
        <w:t>Firstly, millennials place high value on work-life balance, often prioritizing it over salary. A study by Twenge et al. (2010) suggests that millennials expect flexibility in the workplace, which may include remote work options or flexible hours. Companies that can highlight and deliver on work-life balance tend to attract more millennial candidates, as they feel empowered to manage both their professional and personal commitments effectively.</w:t>
        <w:br/>
      </w:r>
    </w:p>
    <w:p>
      <w:r>
        <w:t>Secondly, millennials are drawn to companies that align with their values, especially regarding social responsibility and ethical practices. Research by Ng et al. (2010) indicates that millennials are more likely to seek employment with organizations that demonstrate corporate social responsibility (CSR) and make a positive impact on society. By promoting CSR initiatives, companies can appeal to millennials’ desire to work for employers whose values align with their own, enhancing recruitment success.</w:t>
        <w:br/>
      </w:r>
    </w:p>
    <w:p>
      <w:r>
        <w:t>References:</w:t>
        <w:br/>
      </w:r>
    </w:p>
    <w:p>
      <w:r>
        <w:t>Ng, E.S.W., Schweitzer, L. and Lyons, S.T. (2010) 'New generation, great expectations: A field study of the millennial generation', Journal of Business and Psychology, 25(2), pp. 281–292. Available at: https://link.springer.com/article/10.1007/s10869-010-9159-4</w:t>
        <w:br/>
      </w:r>
    </w:p>
    <w:p>
      <w:r>
        <w:t>Twenge, J.M., Campbell, S.M., Hoffman, B.J. and Lance, C.E. (2010) 'Generational differences in work values: Leisure and extrinsic values increasing, social and intrinsic values decreasing', Journal of Management, 36(5), pp. 1117–1142. Available at: https://journals.sagepub.com/doi/10.1177/0149206309352246</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