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247B9" w14:textId="77777777" w:rsidR="007F43C2" w:rsidRDefault="007F43C2" w:rsidP="001C7691">
      <w:pPr>
        <w:pStyle w:val="BodyText"/>
        <w:spacing w:line="360" w:lineRule="auto"/>
        <w:jc w:val="both"/>
        <w:rPr>
          <w:sz w:val="20"/>
        </w:rPr>
      </w:pPr>
    </w:p>
    <w:p w14:paraId="71B64D8F" w14:textId="77777777" w:rsidR="007F43C2" w:rsidRDefault="007F43C2" w:rsidP="001C7691">
      <w:pPr>
        <w:pStyle w:val="BodyText"/>
        <w:spacing w:line="360" w:lineRule="auto"/>
        <w:jc w:val="both"/>
        <w:rPr>
          <w:sz w:val="20"/>
        </w:rPr>
      </w:pPr>
    </w:p>
    <w:p w14:paraId="79CA607B" w14:textId="77777777" w:rsidR="009F7509" w:rsidRDefault="009F7509" w:rsidP="001C7691"/>
    <w:p w14:paraId="63E44059" w14:textId="77777777" w:rsidR="007F43C2" w:rsidRDefault="007F43C2" w:rsidP="001C7691">
      <w:pPr>
        <w:pStyle w:val="BodyText"/>
        <w:spacing w:line="360" w:lineRule="auto"/>
        <w:jc w:val="both"/>
        <w:rPr>
          <w:sz w:val="20"/>
        </w:rPr>
      </w:pPr>
    </w:p>
    <w:p w14:paraId="4685854D" w14:textId="77777777" w:rsidR="007F43C2" w:rsidRDefault="007F43C2" w:rsidP="001C7691">
      <w:pPr>
        <w:pStyle w:val="BodyText"/>
        <w:spacing w:line="360" w:lineRule="auto"/>
        <w:jc w:val="both"/>
        <w:rPr>
          <w:sz w:val="20"/>
        </w:rPr>
      </w:pPr>
    </w:p>
    <w:p w14:paraId="0B57B531" w14:textId="77777777" w:rsidR="007F43C2" w:rsidRDefault="007F43C2" w:rsidP="001C7691">
      <w:pPr>
        <w:pStyle w:val="BodyText"/>
        <w:spacing w:line="360" w:lineRule="auto"/>
        <w:jc w:val="both"/>
        <w:rPr>
          <w:sz w:val="20"/>
        </w:rPr>
      </w:pPr>
    </w:p>
    <w:p w14:paraId="3ECEC097" w14:textId="77777777" w:rsidR="00836901" w:rsidRDefault="00836901" w:rsidP="001C7691">
      <w:pPr>
        <w:pStyle w:val="BodyText"/>
        <w:spacing w:line="360" w:lineRule="auto"/>
        <w:jc w:val="both"/>
        <w:rPr>
          <w:sz w:val="20"/>
        </w:rPr>
      </w:pPr>
    </w:p>
    <w:p w14:paraId="1CBF25A4" w14:textId="77777777" w:rsidR="00836901" w:rsidRDefault="00E14ECA" w:rsidP="001C7691">
      <w:pPr>
        <w:pStyle w:val="BodyText"/>
        <w:spacing w:line="360" w:lineRule="auto"/>
        <w:jc w:val="both"/>
        <w:rPr>
          <w:sz w:val="20"/>
        </w:rPr>
      </w:pPr>
      <w:r>
        <w:rPr>
          <w:noProof/>
          <w:lang w:val="en-GB" w:eastAsia="en-GB"/>
        </w:rPr>
        <w:drawing>
          <wp:inline distT="0" distB="0" distL="0" distR="0" wp14:anchorId="444121D4" wp14:editId="11BB963D">
            <wp:extent cx="5858510" cy="2600325"/>
            <wp:effectExtent l="0" t="0" r="8890" b="9525"/>
            <wp:docPr id="4" name="Picture 4"/>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8"/>
                    <a:stretch>
                      <a:fillRect/>
                    </a:stretch>
                  </pic:blipFill>
                  <pic:spPr>
                    <a:xfrm>
                      <a:off x="0" y="0"/>
                      <a:ext cx="5858510" cy="2600325"/>
                    </a:xfrm>
                    <a:prstGeom prst="rect">
                      <a:avLst/>
                    </a:prstGeom>
                  </pic:spPr>
                </pic:pic>
              </a:graphicData>
            </a:graphic>
          </wp:inline>
        </w:drawing>
      </w:r>
    </w:p>
    <w:p w14:paraId="6C13D4AD" w14:textId="77777777" w:rsidR="00836901" w:rsidRDefault="00836901" w:rsidP="001C7691">
      <w:pPr>
        <w:pStyle w:val="BodyText"/>
        <w:spacing w:line="360" w:lineRule="auto"/>
        <w:jc w:val="both"/>
        <w:rPr>
          <w:sz w:val="20"/>
        </w:rPr>
      </w:pPr>
    </w:p>
    <w:p w14:paraId="4FD2D15B" w14:textId="77777777" w:rsidR="00C83AB7" w:rsidRDefault="00C83AB7" w:rsidP="001C7691">
      <w:pPr>
        <w:pStyle w:val="BodyText"/>
        <w:spacing w:line="360" w:lineRule="auto"/>
        <w:jc w:val="both"/>
        <w:rPr>
          <w:sz w:val="20"/>
        </w:rPr>
      </w:pPr>
    </w:p>
    <w:p w14:paraId="65B66819" w14:textId="77777777" w:rsidR="005E179D" w:rsidRPr="00342CE0" w:rsidRDefault="005E179D" w:rsidP="005E179D">
      <w:pPr>
        <w:pStyle w:val="NormalWeb"/>
        <w:rPr>
          <w:sz w:val="28"/>
        </w:rPr>
      </w:pPr>
      <w:r w:rsidRPr="00342CE0">
        <w:rPr>
          <w:sz w:val="28"/>
        </w:rPr>
        <w:t>Module: Marketing Management</w:t>
      </w:r>
      <w:r w:rsidRPr="00342CE0">
        <w:rPr>
          <w:sz w:val="28"/>
        </w:rPr>
        <w:br/>
        <w:t>(LCMB7024_BIRM)</w:t>
      </w:r>
    </w:p>
    <w:p w14:paraId="21C47155" w14:textId="77777777" w:rsidR="005E179D" w:rsidRPr="00342CE0" w:rsidRDefault="005E179D" w:rsidP="005E179D">
      <w:pPr>
        <w:pStyle w:val="NormalWeb"/>
        <w:rPr>
          <w:sz w:val="28"/>
        </w:rPr>
      </w:pPr>
      <w:r w:rsidRPr="00342CE0">
        <w:rPr>
          <w:sz w:val="28"/>
        </w:rPr>
        <w:t xml:space="preserve">Title: </w:t>
      </w:r>
      <w:r w:rsidR="00342CE0" w:rsidRPr="00342CE0">
        <w:rPr>
          <w:sz w:val="28"/>
        </w:rPr>
        <w:t>Marketing Environmental Analysis of the Global Electric Vehicle Industry: A Comparative Strategic Evaluation of Tesla as Pioneer and Ford EV Division as Strategic Follower</w:t>
      </w:r>
    </w:p>
    <w:p w14:paraId="083C9316" w14:textId="5B606048" w:rsidR="005E179D" w:rsidRPr="00342CE0" w:rsidRDefault="005E179D" w:rsidP="005E179D">
      <w:pPr>
        <w:pStyle w:val="NormalWeb"/>
        <w:rPr>
          <w:sz w:val="28"/>
        </w:rPr>
      </w:pPr>
      <w:r w:rsidRPr="00342CE0">
        <w:rPr>
          <w:sz w:val="28"/>
        </w:rPr>
        <w:t>Student Name:</w:t>
      </w:r>
      <w:r w:rsidR="00C87F01">
        <w:rPr>
          <w:sz w:val="28"/>
        </w:rPr>
        <w:t xml:space="preserve"> </w:t>
      </w:r>
      <w:proofErr w:type="spellStart"/>
      <w:r w:rsidR="00C87F01">
        <w:rPr>
          <w:sz w:val="28"/>
        </w:rPr>
        <w:t>Ananthsomasundaram</w:t>
      </w:r>
      <w:proofErr w:type="spellEnd"/>
      <w:r w:rsidR="00C87F01">
        <w:rPr>
          <w:sz w:val="28"/>
        </w:rPr>
        <w:t xml:space="preserve"> </w:t>
      </w:r>
    </w:p>
    <w:p w14:paraId="16E3783B" w14:textId="2387609D" w:rsidR="005E179D" w:rsidRPr="00342CE0" w:rsidRDefault="005E179D" w:rsidP="005E179D">
      <w:pPr>
        <w:pStyle w:val="NormalWeb"/>
        <w:rPr>
          <w:sz w:val="28"/>
        </w:rPr>
      </w:pPr>
      <w:r w:rsidRPr="00342CE0">
        <w:rPr>
          <w:sz w:val="28"/>
        </w:rPr>
        <w:t xml:space="preserve">Student Number: </w:t>
      </w:r>
      <w:r w:rsidR="00C87F01">
        <w:rPr>
          <w:sz w:val="28"/>
        </w:rPr>
        <w:t>2522224</w:t>
      </w:r>
    </w:p>
    <w:p w14:paraId="2F881C9E" w14:textId="77777777" w:rsidR="005E179D" w:rsidRPr="00342CE0" w:rsidRDefault="005E179D" w:rsidP="005E179D">
      <w:pPr>
        <w:pStyle w:val="NormalWeb"/>
        <w:rPr>
          <w:sz w:val="28"/>
        </w:rPr>
      </w:pPr>
      <w:r w:rsidRPr="00342CE0">
        <w:rPr>
          <w:sz w:val="28"/>
        </w:rPr>
        <w:t>Lecturer Name</w:t>
      </w:r>
      <w:r w:rsidRPr="00342CE0">
        <w:rPr>
          <w:sz w:val="28"/>
        </w:rPr>
        <w:br/>
      </w:r>
      <w:proofErr w:type="spellStart"/>
      <w:r w:rsidRPr="00342CE0">
        <w:rPr>
          <w:sz w:val="28"/>
        </w:rPr>
        <w:t>Taonga</w:t>
      </w:r>
      <w:proofErr w:type="spellEnd"/>
      <w:r w:rsidRPr="00342CE0">
        <w:rPr>
          <w:sz w:val="28"/>
        </w:rPr>
        <w:t xml:space="preserve"> Kaonga </w:t>
      </w:r>
      <w:proofErr w:type="spellStart"/>
      <w:r w:rsidRPr="00342CE0">
        <w:rPr>
          <w:sz w:val="28"/>
        </w:rPr>
        <w:t>Sobere-Snithers</w:t>
      </w:r>
      <w:proofErr w:type="spellEnd"/>
    </w:p>
    <w:p w14:paraId="13BEA12F" w14:textId="77777777" w:rsidR="00C83AB7" w:rsidRDefault="00C83AB7" w:rsidP="001C7691">
      <w:pPr>
        <w:pStyle w:val="BodyText"/>
        <w:spacing w:line="360" w:lineRule="auto"/>
        <w:jc w:val="both"/>
        <w:rPr>
          <w:sz w:val="20"/>
        </w:rPr>
      </w:pPr>
    </w:p>
    <w:sdt>
      <w:sdtPr>
        <w:rPr>
          <w:rFonts w:ascii="Times New Roman" w:eastAsiaTheme="minorHAnsi" w:hAnsi="Times New Roman" w:cs="Times New Roman"/>
          <w:b/>
          <w:bCs/>
          <w:color w:val="auto"/>
          <w:spacing w:val="-10"/>
          <w:kern w:val="32"/>
          <w:sz w:val="18"/>
          <w:szCs w:val="24"/>
          <w:lang w:val="en-GB" w:eastAsia="en-GB"/>
        </w:rPr>
        <w:id w:val="669221256"/>
        <w:docPartObj>
          <w:docPartGallery w:val="Table of Contents"/>
          <w:docPartUnique/>
        </w:docPartObj>
      </w:sdtPr>
      <w:sdtEndPr>
        <w:rPr>
          <w:b w:val="0"/>
          <w:bCs w:val="0"/>
          <w:noProof/>
          <w:spacing w:val="0"/>
          <w:kern w:val="0"/>
          <w:sz w:val="24"/>
          <w:lang w:val="en-US" w:eastAsia="en-US"/>
        </w:rPr>
      </w:sdtEndPr>
      <w:sdtContent>
        <w:p w14:paraId="133A3C01" w14:textId="77777777" w:rsidR="009456C4" w:rsidRPr="005935C0" w:rsidRDefault="009456C4" w:rsidP="001C7691">
          <w:pPr>
            <w:pStyle w:val="TOCHeading"/>
            <w:rPr>
              <w:rFonts w:ascii="Times New Roman" w:hAnsi="Times New Roman" w:cs="Times New Roman"/>
              <w:b/>
              <w:color w:val="auto"/>
              <w:sz w:val="22"/>
              <w:szCs w:val="24"/>
            </w:rPr>
          </w:pPr>
          <w:r w:rsidRPr="005935C0">
            <w:rPr>
              <w:rFonts w:ascii="Times New Roman" w:hAnsi="Times New Roman" w:cs="Times New Roman"/>
              <w:color w:val="auto"/>
              <w:sz w:val="12"/>
              <w:szCs w:val="24"/>
            </w:rPr>
            <w:t xml:space="preserve">                                                                      </w:t>
          </w:r>
          <w:r w:rsidRPr="005935C0">
            <w:rPr>
              <w:rFonts w:ascii="Times New Roman" w:hAnsi="Times New Roman" w:cs="Times New Roman"/>
              <w:color w:val="auto"/>
              <w:sz w:val="22"/>
              <w:szCs w:val="24"/>
            </w:rPr>
            <w:t>Table of Contents</w:t>
          </w:r>
        </w:p>
        <w:p w14:paraId="3C1CA11E" w14:textId="77777777" w:rsidR="00342CE0" w:rsidRDefault="009456C4" w:rsidP="001C7691">
          <w:pPr>
            <w:pStyle w:val="TOC1"/>
          </w:pPr>
          <w:r>
            <w:rPr>
              <w:noProof w:val="0"/>
              <w:sz w:val="12"/>
              <w:szCs w:val="28"/>
            </w:rPr>
            <w:t xml:space="preserve">         </w:t>
          </w:r>
          <w:r w:rsidRPr="005935C0">
            <w:rPr>
              <w:noProof w:val="0"/>
              <w:sz w:val="12"/>
              <w:szCs w:val="28"/>
            </w:rPr>
            <w:fldChar w:fldCharType="begin"/>
          </w:r>
          <w:r w:rsidRPr="005935C0">
            <w:rPr>
              <w:sz w:val="12"/>
              <w:szCs w:val="28"/>
            </w:rPr>
            <w:instrText xml:space="preserve"> TOC \o "1-3" \h \z \u </w:instrText>
          </w:r>
          <w:r w:rsidRPr="005935C0">
            <w:rPr>
              <w:noProof w:val="0"/>
              <w:sz w:val="12"/>
              <w:szCs w:val="28"/>
            </w:rPr>
            <w:fldChar w:fldCharType="separate"/>
          </w:r>
        </w:p>
        <w:p w14:paraId="315DE2ED" w14:textId="77777777" w:rsidR="00342CE0" w:rsidRDefault="00342CE0">
          <w:pPr>
            <w:pStyle w:val="TOC1"/>
            <w:rPr>
              <w:rFonts w:asciiTheme="minorHAnsi" w:eastAsiaTheme="minorEastAsia" w:hAnsiTheme="minorHAnsi" w:cstheme="minorBidi"/>
              <w:sz w:val="22"/>
              <w:szCs w:val="22"/>
              <w:lang w:val="en-GB"/>
            </w:rPr>
          </w:pPr>
          <w:hyperlink w:anchor="_Toc223106802" w:history="1">
            <w:r w:rsidRPr="00802332">
              <w:rPr>
                <w:rStyle w:val="Hyperlink"/>
                <w:lang w:val="en-GB"/>
              </w:rPr>
              <w:t>1. Introduction</w:t>
            </w:r>
            <w:r>
              <w:rPr>
                <w:webHidden/>
              </w:rPr>
              <w:tab/>
            </w:r>
            <w:r>
              <w:rPr>
                <w:webHidden/>
              </w:rPr>
              <w:fldChar w:fldCharType="begin"/>
            </w:r>
            <w:r>
              <w:rPr>
                <w:webHidden/>
              </w:rPr>
              <w:instrText xml:space="preserve"> PAGEREF _Toc223106802 \h </w:instrText>
            </w:r>
            <w:r>
              <w:rPr>
                <w:webHidden/>
              </w:rPr>
            </w:r>
            <w:r>
              <w:rPr>
                <w:webHidden/>
              </w:rPr>
              <w:fldChar w:fldCharType="separate"/>
            </w:r>
            <w:r>
              <w:rPr>
                <w:webHidden/>
              </w:rPr>
              <w:t>3</w:t>
            </w:r>
            <w:r>
              <w:rPr>
                <w:webHidden/>
              </w:rPr>
              <w:fldChar w:fldCharType="end"/>
            </w:r>
          </w:hyperlink>
        </w:p>
        <w:p w14:paraId="79D76E91" w14:textId="77777777" w:rsidR="00342CE0" w:rsidRDefault="00342CE0">
          <w:pPr>
            <w:pStyle w:val="TOC1"/>
            <w:rPr>
              <w:rFonts w:asciiTheme="minorHAnsi" w:eastAsiaTheme="minorEastAsia" w:hAnsiTheme="minorHAnsi" w:cstheme="minorBidi"/>
              <w:sz w:val="22"/>
              <w:szCs w:val="22"/>
              <w:lang w:val="en-GB"/>
            </w:rPr>
          </w:pPr>
          <w:hyperlink w:anchor="_Toc223106803" w:history="1">
            <w:r w:rsidRPr="00802332">
              <w:rPr>
                <w:rStyle w:val="Hyperlink"/>
                <w:lang w:val="en-GB"/>
              </w:rPr>
              <w:t>2. Theoretical Foundations: Marketing Environment and Pioneer–Follower Dynamics</w:t>
            </w:r>
            <w:r>
              <w:rPr>
                <w:webHidden/>
              </w:rPr>
              <w:tab/>
            </w:r>
            <w:r>
              <w:rPr>
                <w:webHidden/>
              </w:rPr>
              <w:fldChar w:fldCharType="begin"/>
            </w:r>
            <w:r>
              <w:rPr>
                <w:webHidden/>
              </w:rPr>
              <w:instrText xml:space="preserve"> PAGEREF _Toc223106803 \h </w:instrText>
            </w:r>
            <w:r>
              <w:rPr>
                <w:webHidden/>
              </w:rPr>
            </w:r>
            <w:r>
              <w:rPr>
                <w:webHidden/>
              </w:rPr>
              <w:fldChar w:fldCharType="separate"/>
            </w:r>
            <w:r>
              <w:rPr>
                <w:webHidden/>
              </w:rPr>
              <w:t>3</w:t>
            </w:r>
            <w:r>
              <w:rPr>
                <w:webHidden/>
              </w:rPr>
              <w:fldChar w:fldCharType="end"/>
            </w:r>
          </w:hyperlink>
        </w:p>
        <w:p w14:paraId="58B9B406" w14:textId="77777777" w:rsidR="00342CE0" w:rsidRDefault="00342CE0">
          <w:pPr>
            <w:pStyle w:val="TOC1"/>
            <w:rPr>
              <w:rFonts w:asciiTheme="minorHAnsi" w:eastAsiaTheme="minorEastAsia" w:hAnsiTheme="minorHAnsi" w:cstheme="minorBidi"/>
              <w:sz w:val="22"/>
              <w:szCs w:val="22"/>
              <w:lang w:val="en-GB"/>
            </w:rPr>
          </w:pPr>
          <w:hyperlink w:anchor="_Toc223106804" w:history="1">
            <w:r w:rsidRPr="00802332">
              <w:rPr>
                <w:rStyle w:val="Hyperlink"/>
                <w:lang w:val="en-GB"/>
              </w:rPr>
              <w:t>3. Industry Context: Global EV Market Overview</w:t>
            </w:r>
            <w:r>
              <w:rPr>
                <w:webHidden/>
              </w:rPr>
              <w:tab/>
            </w:r>
            <w:r>
              <w:rPr>
                <w:webHidden/>
              </w:rPr>
              <w:fldChar w:fldCharType="begin"/>
            </w:r>
            <w:r>
              <w:rPr>
                <w:webHidden/>
              </w:rPr>
              <w:instrText xml:space="preserve"> PAGEREF _Toc223106804 \h </w:instrText>
            </w:r>
            <w:r>
              <w:rPr>
                <w:webHidden/>
              </w:rPr>
            </w:r>
            <w:r>
              <w:rPr>
                <w:webHidden/>
              </w:rPr>
              <w:fldChar w:fldCharType="separate"/>
            </w:r>
            <w:r>
              <w:rPr>
                <w:webHidden/>
              </w:rPr>
              <w:t>4</w:t>
            </w:r>
            <w:r>
              <w:rPr>
                <w:webHidden/>
              </w:rPr>
              <w:fldChar w:fldCharType="end"/>
            </w:r>
          </w:hyperlink>
        </w:p>
        <w:p w14:paraId="673C340D" w14:textId="77777777" w:rsidR="00342CE0" w:rsidRDefault="00342CE0">
          <w:pPr>
            <w:pStyle w:val="TOC1"/>
            <w:rPr>
              <w:rFonts w:asciiTheme="minorHAnsi" w:eastAsiaTheme="minorEastAsia" w:hAnsiTheme="minorHAnsi" w:cstheme="minorBidi"/>
              <w:sz w:val="22"/>
              <w:szCs w:val="22"/>
              <w:lang w:val="en-GB"/>
            </w:rPr>
          </w:pPr>
          <w:hyperlink w:anchor="_Toc223106805" w:history="1">
            <w:r w:rsidRPr="00802332">
              <w:rPr>
                <w:rStyle w:val="Hyperlink"/>
              </w:rPr>
              <w:t>4. Task 1: Macro-Environmental Analysis</w:t>
            </w:r>
            <w:r>
              <w:rPr>
                <w:webHidden/>
              </w:rPr>
              <w:tab/>
            </w:r>
            <w:r>
              <w:rPr>
                <w:webHidden/>
              </w:rPr>
              <w:fldChar w:fldCharType="begin"/>
            </w:r>
            <w:r>
              <w:rPr>
                <w:webHidden/>
              </w:rPr>
              <w:instrText xml:space="preserve"> PAGEREF _Toc223106805 \h </w:instrText>
            </w:r>
            <w:r>
              <w:rPr>
                <w:webHidden/>
              </w:rPr>
            </w:r>
            <w:r>
              <w:rPr>
                <w:webHidden/>
              </w:rPr>
              <w:fldChar w:fldCharType="separate"/>
            </w:r>
            <w:r>
              <w:rPr>
                <w:webHidden/>
              </w:rPr>
              <w:t>6</w:t>
            </w:r>
            <w:r>
              <w:rPr>
                <w:webHidden/>
              </w:rPr>
              <w:fldChar w:fldCharType="end"/>
            </w:r>
          </w:hyperlink>
        </w:p>
        <w:p w14:paraId="0BA5C9D1" w14:textId="77777777" w:rsidR="00342CE0" w:rsidRDefault="00342CE0">
          <w:pPr>
            <w:pStyle w:val="TOC2"/>
            <w:tabs>
              <w:tab w:val="right" w:leader="dot" w:pos="10054"/>
            </w:tabs>
            <w:rPr>
              <w:rFonts w:asciiTheme="minorHAnsi" w:eastAsiaTheme="minorEastAsia" w:hAnsiTheme="minorHAnsi" w:cstheme="minorBidi"/>
              <w:noProof/>
              <w:sz w:val="22"/>
              <w:szCs w:val="22"/>
              <w:lang w:val="en-GB"/>
            </w:rPr>
          </w:pPr>
          <w:hyperlink w:anchor="_Toc223106806" w:history="1">
            <w:r w:rsidRPr="00802332">
              <w:rPr>
                <w:rStyle w:val="Hyperlink"/>
                <w:rFonts w:eastAsiaTheme="majorEastAsia"/>
                <w:bCs/>
                <w:noProof/>
              </w:rPr>
              <w:t>4.1 Technological Macro-Environment</w:t>
            </w:r>
            <w:r>
              <w:rPr>
                <w:noProof/>
                <w:webHidden/>
              </w:rPr>
              <w:tab/>
            </w:r>
            <w:r>
              <w:rPr>
                <w:noProof/>
                <w:webHidden/>
              </w:rPr>
              <w:fldChar w:fldCharType="begin"/>
            </w:r>
            <w:r>
              <w:rPr>
                <w:noProof/>
                <w:webHidden/>
              </w:rPr>
              <w:instrText xml:space="preserve"> PAGEREF _Toc223106806 \h </w:instrText>
            </w:r>
            <w:r>
              <w:rPr>
                <w:noProof/>
                <w:webHidden/>
              </w:rPr>
            </w:r>
            <w:r>
              <w:rPr>
                <w:noProof/>
                <w:webHidden/>
              </w:rPr>
              <w:fldChar w:fldCharType="separate"/>
            </w:r>
            <w:r>
              <w:rPr>
                <w:noProof/>
                <w:webHidden/>
              </w:rPr>
              <w:t>6</w:t>
            </w:r>
            <w:r>
              <w:rPr>
                <w:noProof/>
                <w:webHidden/>
              </w:rPr>
              <w:fldChar w:fldCharType="end"/>
            </w:r>
          </w:hyperlink>
        </w:p>
        <w:p w14:paraId="723C0A66" w14:textId="77777777" w:rsidR="00342CE0" w:rsidRDefault="00342CE0">
          <w:pPr>
            <w:pStyle w:val="TOC2"/>
            <w:tabs>
              <w:tab w:val="right" w:leader="dot" w:pos="10054"/>
            </w:tabs>
            <w:rPr>
              <w:rFonts w:asciiTheme="minorHAnsi" w:eastAsiaTheme="minorEastAsia" w:hAnsiTheme="minorHAnsi" w:cstheme="minorBidi"/>
              <w:noProof/>
              <w:sz w:val="22"/>
              <w:szCs w:val="22"/>
              <w:lang w:val="en-GB"/>
            </w:rPr>
          </w:pPr>
          <w:hyperlink w:anchor="_Toc223106807" w:history="1">
            <w:r w:rsidRPr="00802332">
              <w:rPr>
                <w:rStyle w:val="Hyperlink"/>
                <w:rFonts w:eastAsiaTheme="majorEastAsia"/>
                <w:bCs/>
                <w:noProof/>
              </w:rPr>
              <w:t>4.2 Political Macro-Environment</w:t>
            </w:r>
            <w:r>
              <w:rPr>
                <w:noProof/>
                <w:webHidden/>
              </w:rPr>
              <w:tab/>
            </w:r>
            <w:r>
              <w:rPr>
                <w:noProof/>
                <w:webHidden/>
              </w:rPr>
              <w:fldChar w:fldCharType="begin"/>
            </w:r>
            <w:r>
              <w:rPr>
                <w:noProof/>
                <w:webHidden/>
              </w:rPr>
              <w:instrText xml:space="preserve"> PAGEREF _Toc223106807 \h </w:instrText>
            </w:r>
            <w:r>
              <w:rPr>
                <w:noProof/>
                <w:webHidden/>
              </w:rPr>
            </w:r>
            <w:r>
              <w:rPr>
                <w:noProof/>
                <w:webHidden/>
              </w:rPr>
              <w:fldChar w:fldCharType="separate"/>
            </w:r>
            <w:r>
              <w:rPr>
                <w:noProof/>
                <w:webHidden/>
              </w:rPr>
              <w:t>8</w:t>
            </w:r>
            <w:r>
              <w:rPr>
                <w:noProof/>
                <w:webHidden/>
              </w:rPr>
              <w:fldChar w:fldCharType="end"/>
            </w:r>
          </w:hyperlink>
        </w:p>
        <w:p w14:paraId="0467E318" w14:textId="77777777" w:rsidR="00342CE0" w:rsidRDefault="00342CE0">
          <w:pPr>
            <w:pStyle w:val="TOC1"/>
            <w:rPr>
              <w:rFonts w:asciiTheme="minorHAnsi" w:eastAsiaTheme="minorEastAsia" w:hAnsiTheme="minorHAnsi" w:cstheme="minorBidi"/>
              <w:sz w:val="22"/>
              <w:szCs w:val="22"/>
              <w:lang w:val="en-GB"/>
            </w:rPr>
          </w:pPr>
          <w:hyperlink w:anchor="_Toc223106808" w:history="1">
            <w:r w:rsidRPr="00802332">
              <w:rPr>
                <w:rStyle w:val="Hyperlink"/>
                <w:lang w:val="en-GB"/>
              </w:rPr>
              <w:t>5. Competitive Position Implications</w:t>
            </w:r>
            <w:r>
              <w:rPr>
                <w:webHidden/>
              </w:rPr>
              <w:tab/>
            </w:r>
            <w:r>
              <w:rPr>
                <w:webHidden/>
              </w:rPr>
              <w:fldChar w:fldCharType="begin"/>
            </w:r>
            <w:r>
              <w:rPr>
                <w:webHidden/>
              </w:rPr>
              <w:instrText xml:space="preserve"> PAGEREF _Toc223106808 \h </w:instrText>
            </w:r>
            <w:r>
              <w:rPr>
                <w:webHidden/>
              </w:rPr>
            </w:r>
            <w:r>
              <w:rPr>
                <w:webHidden/>
              </w:rPr>
              <w:fldChar w:fldCharType="separate"/>
            </w:r>
            <w:r>
              <w:rPr>
                <w:webHidden/>
              </w:rPr>
              <w:t>10</w:t>
            </w:r>
            <w:r>
              <w:rPr>
                <w:webHidden/>
              </w:rPr>
              <w:fldChar w:fldCharType="end"/>
            </w:r>
          </w:hyperlink>
        </w:p>
        <w:p w14:paraId="207FC2BF" w14:textId="77777777" w:rsidR="00342CE0" w:rsidRDefault="00342CE0">
          <w:pPr>
            <w:pStyle w:val="TOC1"/>
            <w:rPr>
              <w:rFonts w:asciiTheme="minorHAnsi" w:eastAsiaTheme="minorEastAsia" w:hAnsiTheme="minorHAnsi" w:cstheme="minorBidi"/>
              <w:sz w:val="22"/>
              <w:szCs w:val="22"/>
              <w:lang w:val="en-GB"/>
            </w:rPr>
          </w:pPr>
          <w:hyperlink w:anchor="_Toc223106809" w:history="1">
            <w:r w:rsidRPr="00802332">
              <w:rPr>
                <w:rStyle w:val="Hyperlink"/>
                <w:lang w:val="en-GB"/>
              </w:rPr>
              <w:t>6. Task 2: Strategic Responses and Evaluation</w:t>
            </w:r>
            <w:r>
              <w:rPr>
                <w:webHidden/>
              </w:rPr>
              <w:tab/>
            </w:r>
            <w:r>
              <w:rPr>
                <w:webHidden/>
              </w:rPr>
              <w:fldChar w:fldCharType="begin"/>
            </w:r>
            <w:r>
              <w:rPr>
                <w:webHidden/>
              </w:rPr>
              <w:instrText xml:space="preserve"> PAGEREF _Toc223106809 \h </w:instrText>
            </w:r>
            <w:r>
              <w:rPr>
                <w:webHidden/>
              </w:rPr>
            </w:r>
            <w:r>
              <w:rPr>
                <w:webHidden/>
              </w:rPr>
              <w:fldChar w:fldCharType="separate"/>
            </w:r>
            <w:r>
              <w:rPr>
                <w:webHidden/>
              </w:rPr>
              <w:t>12</w:t>
            </w:r>
            <w:r>
              <w:rPr>
                <w:webHidden/>
              </w:rPr>
              <w:fldChar w:fldCharType="end"/>
            </w:r>
          </w:hyperlink>
        </w:p>
        <w:p w14:paraId="605EE79C" w14:textId="77777777" w:rsidR="00342CE0" w:rsidRDefault="00342CE0">
          <w:pPr>
            <w:pStyle w:val="TOC2"/>
            <w:tabs>
              <w:tab w:val="right" w:leader="dot" w:pos="10054"/>
            </w:tabs>
            <w:rPr>
              <w:rFonts w:asciiTheme="minorHAnsi" w:eastAsiaTheme="minorEastAsia" w:hAnsiTheme="minorHAnsi" w:cstheme="minorBidi"/>
              <w:noProof/>
              <w:sz w:val="22"/>
              <w:szCs w:val="22"/>
              <w:lang w:val="en-GB"/>
            </w:rPr>
          </w:pPr>
          <w:hyperlink w:anchor="_Toc223106810" w:history="1">
            <w:r w:rsidRPr="00802332">
              <w:rPr>
                <w:rStyle w:val="Hyperlink"/>
                <w:noProof/>
              </w:rPr>
              <w:t>6.1 Porter’s Generic Strategies Application</w:t>
            </w:r>
            <w:r>
              <w:rPr>
                <w:noProof/>
                <w:webHidden/>
              </w:rPr>
              <w:tab/>
            </w:r>
            <w:r>
              <w:rPr>
                <w:noProof/>
                <w:webHidden/>
              </w:rPr>
              <w:fldChar w:fldCharType="begin"/>
            </w:r>
            <w:r>
              <w:rPr>
                <w:noProof/>
                <w:webHidden/>
              </w:rPr>
              <w:instrText xml:space="preserve"> PAGEREF _Toc223106810 \h </w:instrText>
            </w:r>
            <w:r>
              <w:rPr>
                <w:noProof/>
                <w:webHidden/>
              </w:rPr>
            </w:r>
            <w:r>
              <w:rPr>
                <w:noProof/>
                <w:webHidden/>
              </w:rPr>
              <w:fldChar w:fldCharType="separate"/>
            </w:r>
            <w:r>
              <w:rPr>
                <w:noProof/>
                <w:webHidden/>
              </w:rPr>
              <w:t>12</w:t>
            </w:r>
            <w:r>
              <w:rPr>
                <w:noProof/>
                <w:webHidden/>
              </w:rPr>
              <w:fldChar w:fldCharType="end"/>
            </w:r>
          </w:hyperlink>
        </w:p>
        <w:p w14:paraId="33E83DCA" w14:textId="77777777" w:rsidR="00342CE0" w:rsidRDefault="00342CE0">
          <w:pPr>
            <w:pStyle w:val="TOC2"/>
            <w:tabs>
              <w:tab w:val="right" w:leader="dot" w:pos="10054"/>
            </w:tabs>
            <w:rPr>
              <w:rFonts w:asciiTheme="minorHAnsi" w:eastAsiaTheme="minorEastAsia" w:hAnsiTheme="minorHAnsi" w:cstheme="minorBidi"/>
              <w:noProof/>
              <w:sz w:val="22"/>
              <w:szCs w:val="22"/>
              <w:lang w:val="en-GB"/>
            </w:rPr>
          </w:pPr>
          <w:hyperlink w:anchor="_Toc223106811" w:history="1">
            <w:r w:rsidRPr="00802332">
              <w:rPr>
                <w:rStyle w:val="Hyperlink"/>
                <w:noProof/>
              </w:rPr>
              <w:t>6.2 Ansoff’s Growth Matrix Application</w:t>
            </w:r>
            <w:r>
              <w:rPr>
                <w:noProof/>
                <w:webHidden/>
              </w:rPr>
              <w:tab/>
            </w:r>
            <w:r>
              <w:rPr>
                <w:noProof/>
                <w:webHidden/>
              </w:rPr>
              <w:fldChar w:fldCharType="begin"/>
            </w:r>
            <w:r>
              <w:rPr>
                <w:noProof/>
                <w:webHidden/>
              </w:rPr>
              <w:instrText xml:space="preserve"> PAGEREF _Toc223106811 \h </w:instrText>
            </w:r>
            <w:r>
              <w:rPr>
                <w:noProof/>
                <w:webHidden/>
              </w:rPr>
            </w:r>
            <w:r>
              <w:rPr>
                <w:noProof/>
                <w:webHidden/>
              </w:rPr>
              <w:fldChar w:fldCharType="separate"/>
            </w:r>
            <w:r>
              <w:rPr>
                <w:noProof/>
                <w:webHidden/>
              </w:rPr>
              <w:t>13</w:t>
            </w:r>
            <w:r>
              <w:rPr>
                <w:noProof/>
                <w:webHidden/>
              </w:rPr>
              <w:fldChar w:fldCharType="end"/>
            </w:r>
          </w:hyperlink>
        </w:p>
        <w:p w14:paraId="6F973A5C" w14:textId="77777777" w:rsidR="00342CE0" w:rsidRDefault="00342CE0">
          <w:pPr>
            <w:pStyle w:val="TOC1"/>
            <w:rPr>
              <w:rFonts w:asciiTheme="minorHAnsi" w:eastAsiaTheme="minorEastAsia" w:hAnsiTheme="minorHAnsi" w:cstheme="minorBidi"/>
              <w:sz w:val="22"/>
              <w:szCs w:val="22"/>
              <w:lang w:val="en-GB"/>
            </w:rPr>
          </w:pPr>
          <w:hyperlink w:anchor="_Toc223106812" w:history="1">
            <w:r w:rsidRPr="00802332">
              <w:rPr>
                <w:rStyle w:val="Hyperlink"/>
                <w:lang w:val="en-GB"/>
              </w:rPr>
              <w:t>7. Critical Comparative Evaluation and Future Outlook</w:t>
            </w:r>
            <w:r>
              <w:rPr>
                <w:webHidden/>
              </w:rPr>
              <w:tab/>
            </w:r>
            <w:r>
              <w:rPr>
                <w:webHidden/>
              </w:rPr>
              <w:fldChar w:fldCharType="begin"/>
            </w:r>
            <w:r>
              <w:rPr>
                <w:webHidden/>
              </w:rPr>
              <w:instrText xml:space="preserve"> PAGEREF _Toc223106812 \h </w:instrText>
            </w:r>
            <w:r>
              <w:rPr>
                <w:webHidden/>
              </w:rPr>
            </w:r>
            <w:r>
              <w:rPr>
                <w:webHidden/>
              </w:rPr>
              <w:fldChar w:fldCharType="separate"/>
            </w:r>
            <w:r>
              <w:rPr>
                <w:webHidden/>
              </w:rPr>
              <w:t>15</w:t>
            </w:r>
            <w:r>
              <w:rPr>
                <w:webHidden/>
              </w:rPr>
              <w:fldChar w:fldCharType="end"/>
            </w:r>
          </w:hyperlink>
        </w:p>
        <w:p w14:paraId="17A6BC4F" w14:textId="77777777" w:rsidR="00342CE0" w:rsidRDefault="00342CE0">
          <w:pPr>
            <w:pStyle w:val="TOC1"/>
            <w:rPr>
              <w:rFonts w:asciiTheme="minorHAnsi" w:eastAsiaTheme="minorEastAsia" w:hAnsiTheme="minorHAnsi" w:cstheme="minorBidi"/>
              <w:sz w:val="22"/>
              <w:szCs w:val="22"/>
              <w:lang w:val="en-GB"/>
            </w:rPr>
          </w:pPr>
          <w:hyperlink w:anchor="_Toc223106813" w:history="1">
            <w:r w:rsidRPr="00802332">
              <w:rPr>
                <w:rStyle w:val="Hyperlink"/>
                <w:lang w:val="en-GB"/>
              </w:rPr>
              <w:t>8. Conclusion</w:t>
            </w:r>
            <w:r>
              <w:rPr>
                <w:webHidden/>
              </w:rPr>
              <w:tab/>
            </w:r>
            <w:r>
              <w:rPr>
                <w:webHidden/>
              </w:rPr>
              <w:fldChar w:fldCharType="begin"/>
            </w:r>
            <w:r>
              <w:rPr>
                <w:webHidden/>
              </w:rPr>
              <w:instrText xml:space="preserve"> PAGEREF _Toc223106813 \h </w:instrText>
            </w:r>
            <w:r>
              <w:rPr>
                <w:webHidden/>
              </w:rPr>
            </w:r>
            <w:r>
              <w:rPr>
                <w:webHidden/>
              </w:rPr>
              <w:fldChar w:fldCharType="separate"/>
            </w:r>
            <w:r>
              <w:rPr>
                <w:webHidden/>
              </w:rPr>
              <w:t>16</w:t>
            </w:r>
            <w:r>
              <w:rPr>
                <w:webHidden/>
              </w:rPr>
              <w:fldChar w:fldCharType="end"/>
            </w:r>
          </w:hyperlink>
        </w:p>
        <w:p w14:paraId="7292D0ED" w14:textId="77777777" w:rsidR="00342CE0" w:rsidRDefault="00342CE0">
          <w:pPr>
            <w:pStyle w:val="TOC1"/>
            <w:rPr>
              <w:rFonts w:asciiTheme="minorHAnsi" w:eastAsiaTheme="minorEastAsia" w:hAnsiTheme="minorHAnsi" w:cstheme="minorBidi"/>
              <w:sz w:val="22"/>
              <w:szCs w:val="22"/>
              <w:lang w:val="en-GB"/>
            </w:rPr>
          </w:pPr>
          <w:hyperlink w:anchor="_Toc223106814" w:history="1">
            <w:r w:rsidRPr="00802332">
              <w:rPr>
                <w:rStyle w:val="Hyperlink"/>
              </w:rPr>
              <w:t>References</w:t>
            </w:r>
            <w:r>
              <w:rPr>
                <w:webHidden/>
              </w:rPr>
              <w:tab/>
            </w:r>
            <w:r>
              <w:rPr>
                <w:webHidden/>
              </w:rPr>
              <w:fldChar w:fldCharType="begin"/>
            </w:r>
            <w:r>
              <w:rPr>
                <w:webHidden/>
              </w:rPr>
              <w:instrText xml:space="preserve"> PAGEREF _Toc223106814 \h </w:instrText>
            </w:r>
            <w:r>
              <w:rPr>
                <w:webHidden/>
              </w:rPr>
            </w:r>
            <w:r>
              <w:rPr>
                <w:webHidden/>
              </w:rPr>
              <w:fldChar w:fldCharType="separate"/>
            </w:r>
            <w:r>
              <w:rPr>
                <w:webHidden/>
              </w:rPr>
              <w:t>17</w:t>
            </w:r>
            <w:r>
              <w:rPr>
                <w:webHidden/>
              </w:rPr>
              <w:fldChar w:fldCharType="end"/>
            </w:r>
          </w:hyperlink>
        </w:p>
        <w:p w14:paraId="05661714" w14:textId="77777777" w:rsidR="009456C4" w:rsidRDefault="009456C4" w:rsidP="001C7691">
          <w:pPr>
            <w:rPr>
              <w:noProof/>
            </w:rPr>
          </w:pPr>
          <w:r w:rsidRPr="005935C0">
            <w:rPr>
              <w:b/>
              <w:noProof/>
              <w:sz w:val="14"/>
            </w:rPr>
            <w:fldChar w:fldCharType="end"/>
          </w:r>
        </w:p>
      </w:sdtContent>
    </w:sdt>
    <w:p w14:paraId="388FFADC" w14:textId="77777777" w:rsidR="009C68A8" w:rsidRDefault="009C68A8" w:rsidP="001C7691">
      <w:pPr>
        <w:rPr>
          <w:rStyle w:val="Strong"/>
          <w:b w:val="0"/>
          <w:bCs w:val="0"/>
        </w:rPr>
      </w:pPr>
    </w:p>
    <w:p w14:paraId="0697A44A" w14:textId="77777777" w:rsidR="009C68A8" w:rsidRDefault="009C68A8" w:rsidP="001C7691">
      <w:pPr>
        <w:rPr>
          <w:rStyle w:val="Strong"/>
          <w:b w:val="0"/>
          <w:bCs w:val="0"/>
        </w:rPr>
      </w:pPr>
    </w:p>
    <w:p w14:paraId="0286609C" w14:textId="77777777" w:rsidR="009C68A8" w:rsidRDefault="009C68A8" w:rsidP="001C7691">
      <w:pPr>
        <w:rPr>
          <w:rStyle w:val="Strong"/>
          <w:b w:val="0"/>
          <w:bCs w:val="0"/>
        </w:rPr>
      </w:pPr>
    </w:p>
    <w:p w14:paraId="7834FD36" w14:textId="77777777" w:rsidR="001C7691" w:rsidRDefault="001C7691" w:rsidP="001C7691">
      <w:pPr>
        <w:rPr>
          <w:rStyle w:val="Strong"/>
          <w:b w:val="0"/>
          <w:bCs w:val="0"/>
        </w:rPr>
      </w:pPr>
    </w:p>
    <w:p w14:paraId="23E2F7D5" w14:textId="77777777" w:rsidR="001C7691" w:rsidRDefault="001C7691" w:rsidP="001C7691">
      <w:pPr>
        <w:rPr>
          <w:rStyle w:val="Strong"/>
          <w:b w:val="0"/>
          <w:bCs w:val="0"/>
        </w:rPr>
      </w:pPr>
    </w:p>
    <w:p w14:paraId="554A707B" w14:textId="77777777" w:rsidR="001C7691" w:rsidRDefault="001C7691" w:rsidP="001C7691">
      <w:pPr>
        <w:rPr>
          <w:rStyle w:val="Strong"/>
          <w:b w:val="0"/>
          <w:bCs w:val="0"/>
        </w:rPr>
      </w:pPr>
    </w:p>
    <w:p w14:paraId="23CA112D" w14:textId="77777777" w:rsidR="009342A8" w:rsidRDefault="009342A8" w:rsidP="001C7691">
      <w:pPr>
        <w:rPr>
          <w:rStyle w:val="Strong"/>
          <w:b w:val="0"/>
          <w:bCs w:val="0"/>
        </w:rPr>
      </w:pPr>
    </w:p>
    <w:p w14:paraId="1A01B3CE" w14:textId="77777777" w:rsidR="009342A8" w:rsidRDefault="009342A8" w:rsidP="001C7691">
      <w:pPr>
        <w:rPr>
          <w:rStyle w:val="Strong"/>
          <w:b w:val="0"/>
          <w:bCs w:val="0"/>
        </w:rPr>
      </w:pPr>
    </w:p>
    <w:p w14:paraId="4E5BB21D" w14:textId="77777777" w:rsidR="009342A8" w:rsidRDefault="009342A8" w:rsidP="001C7691">
      <w:pPr>
        <w:rPr>
          <w:rStyle w:val="Strong"/>
          <w:b w:val="0"/>
          <w:bCs w:val="0"/>
        </w:rPr>
      </w:pPr>
    </w:p>
    <w:p w14:paraId="2ECCD8EE" w14:textId="77777777" w:rsidR="009342A8" w:rsidRDefault="009342A8" w:rsidP="001C7691">
      <w:pPr>
        <w:rPr>
          <w:rStyle w:val="Strong"/>
          <w:b w:val="0"/>
          <w:bCs w:val="0"/>
        </w:rPr>
      </w:pPr>
    </w:p>
    <w:p w14:paraId="03AAE680" w14:textId="77777777" w:rsidR="009342A8" w:rsidRDefault="009342A8" w:rsidP="001C7691">
      <w:pPr>
        <w:rPr>
          <w:rStyle w:val="Strong"/>
          <w:b w:val="0"/>
          <w:bCs w:val="0"/>
        </w:rPr>
      </w:pPr>
    </w:p>
    <w:p w14:paraId="4E596D47" w14:textId="77777777" w:rsidR="0009084A" w:rsidRPr="0009084A" w:rsidRDefault="0009084A" w:rsidP="009E586D">
      <w:pPr>
        <w:pStyle w:val="Heading1"/>
        <w:rPr>
          <w:lang w:val="en-GB"/>
        </w:rPr>
      </w:pPr>
      <w:bookmarkStart w:id="0" w:name="_Toc223106802"/>
      <w:r w:rsidRPr="0009084A">
        <w:rPr>
          <w:lang w:val="en-GB"/>
        </w:rPr>
        <w:t>1. Introduction</w:t>
      </w:r>
      <w:bookmarkEnd w:id="0"/>
    </w:p>
    <w:p w14:paraId="57C22026" w14:textId="77777777" w:rsidR="006572D5" w:rsidRDefault="006572D5" w:rsidP="006572D5"/>
    <w:p w14:paraId="4D582619" w14:textId="77777777" w:rsidR="006572D5" w:rsidRDefault="006572D5" w:rsidP="006572D5">
      <w:r w:rsidRPr="006E4AB7">
        <w:t xml:space="preserve">This study examines how political and technological issues affect Tesla and Ford's EV divisions' market leadership and strategic follower positions. Due to </w:t>
      </w:r>
      <w:proofErr w:type="spellStart"/>
      <w:r w:rsidRPr="006E4AB7">
        <w:t>decarbonization</w:t>
      </w:r>
      <w:proofErr w:type="spellEnd"/>
      <w:r w:rsidRPr="006E4AB7">
        <w:t xml:space="preserve">, digitization, and electrification, Wells and </w:t>
      </w:r>
      <w:proofErr w:type="spellStart"/>
      <w:r w:rsidRPr="006E4AB7">
        <w:t>Nieuwenhuis</w:t>
      </w:r>
      <w:proofErr w:type="spellEnd"/>
      <w:r w:rsidRPr="006E4AB7">
        <w:t xml:space="preserve"> (2018) and the IEA (2024) found that the automotive industry's marketing and value creation had changed. Regulations, battery technology, and the desire to be greener are driving more people to buy electric automobiles, according to Kumar et al. (2021) and </w:t>
      </w:r>
      <w:proofErr w:type="spellStart"/>
      <w:r w:rsidRPr="006E4AB7">
        <w:t>Rezvani</w:t>
      </w:r>
      <w:proofErr w:type="spellEnd"/>
      <w:r w:rsidRPr="006E4AB7">
        <w:t xml:space="preserve">, </w:t>
      </w:r>
      <w:proofErr w:type="spellStart"/>
      <w:r w:rsidRPr="006E4AB7">
        <w:t>Jansson</w:t>
      </w:r>
      <w:proofErr w:type="spellEnd"/>
      <w:r w:rsidRPr="006E4AB7">
        <w:t xml:space="preserve">, and </w:t>
      </w:r>
      <w:proofErr w:type="spellStart"/>
      <w:r w:rsidRPr="006E4AB7">
        <w:t>Bodin</w:t>
      </w:r>
      <w:proofErr w:type="spellEnd"/>
      <w:r w:rsidRPr="006E4AB7">
        <w:t xml:space="preserve"> (2015).</w:t>
      </w:r>
    </w:p>
    <w:p w14:paraId="49BA742F" w14:textId="77777777" w:rsidR="006572D5" w:rsidRPr="006E4AB7" w:rsidRDefault="006572D5" w:rsidP="006572D5"/>
    <w:p w14:paraId="11080685" w14:textId="77777777" w:rsidR="006572D5" w:rsidRPr="006E4AB7" w:rsidRDefault="006572D5" w:rsidP="006572D5">
      <w:r w:rsidRPr="006E4AB7">
        <w:t>Many think Tesla is the best firm. Vertical integration, software-led differentiation, and consumer-direct marketing have transformed the auto industry. But Ford's electric car division is a strategic follower that wants to alter the gas-powered automobile market. This research focuses on technology and political governance. In the first part, macro-environmental analysis, leaders and followers collaborate. Then it discusses the global electric car market. The essay then discusses how politics and technology affect businesses.</w:t>
      </w:r>
    </w:p>
    <w:p w14:paraId="7BEECED1" w14:textId="77777777" w:rsidR="0009084A" w:rsidRPr="0009084A" w:rsidRDefault="0009084A" w:rsidP="009E586D">
      <w:pPr>
        <w:rPr>
          <w:rFonts w:eastAsia="Times New Roman"/>
          <w:lang w:val="en-GB" w:eastAsia="en-GB"/>
        </w:rPr>
      </w:pPr>
    </w:p>
    <w:p w14:paraId="1381121A" w14:textId="77777777" w:rsidR="0009084A" w:rsidRPr="0009084A" w:rsidRDefault="0009084A" w:rsidP="009E586D">
      <w:pPr>
        <w:pStyle w:val="Heading1"/>
        <w:rPr>
          <w:lang w:val="en-GB"/>
        </w:rPr>
      </w:pPr>
      <w:bookmarkStart w:id="1" w:name="_Toc223106803"/>
      <w:r w:rsidRPr="0009084A">
        <w:rPr>
          <w:lang w:val="en-GB"/>
        </w:rPr>
        <w:t>2. Theoretical Foundations: Marketing Environment and Pioneer–Follower Dynamics</w:t>
      </w:r>
      <w:bookmarkEnd w:id="1"/>
    </w:p>
    <w:p w14:paraId="59A031C1" w14:textId="77777777" w:rsidR="006572D5" w:rsidRDefault="006572D5" w:rsidP="006572D5"/>
    <w:p w14:paraId="71A1AFCC" w14:textId="77777777" w:rsidR="006572D5" w:rsidRDefault="006572D5" w:rsidP="006572D5">
      <w:r w:rsidRPr="006E4AB7">
        <w:t>Strategic marketers are heavily influenced by their context. People use PESTLE analysis. According to Kotler and Keller (2016), it covers law, ecology, government, business, culture, society, and technology. Macro-environmental factors affect sectors and provide businesses an edge at Level 7 analysis (Johnson, Scholes, and Whittington, 2020). The electric car industry's rapid growth can affect resource allocation, market entry, and product and service valuation.</w:t>
      </w:r>
    </w:p>
    <w:p w14:paraId="62E21A85" w14:textId="77777777" w:rsidR="006572D5" w:rsidRPr="006E4AB7" w:rsidRDefault="006572D5" w:rsidP="006572D5"/>
    <w:p w14:paraId="1720526F" w14:textId="77777777" w:rsidR="006572D5" w:rsidRDefault="006572D5" w:rsidP="006572D5">
      <w:r w:rsidRPr="006E4AB7">
        <w:t xml:space="preserve">Big corporations can beat their competition by selling innovative products and services first. They can do this by reducing switching costs, increasing brand loyalty, and maximizing resources (Suarez and </w:t>
      </w:r>
      <w:proofErr w:type="spellStart"/>
      <w:r w:rsidRPr="006E4AB7">
        <w:t>Lanzolla</w:t>
      </w:r>
      <w:proofErr w:type="spellEnd"/>
      <w:r w:rsidRPr="006E4AB7">
        <w:t xml:space="preserve">, 2015). Recent studies suggest that opening a market initially does not guarantee success. Technology development speed and </w:t>
      </w:r>
      <w:proofErr w:type="spellStart"/>
      <w:r w:rsidRPr="006E4AB7">
        <w:t>organisational</w:t>
      </w:r>
      <w:proofErr w:type="spellEnd"/>
      <w:r w:rsidRPr="006E4AB7">
        <w:t xml:space="preserve"> adaptability are crucial (</w:t>
      </w:r>
      <w:proofErr w:type="spellStart"/>
      <w:r w:rsidRPr="006E4AB7">
        <w:t>Teece</w:t>
      </w:r>
      <w:proofErr w:type="spellEnd"/>
      <w:r w:rsidRPr="006E4AB7">
        <w:t>, 2018). Companies constantly use new technologies and emulate their competitors to stay ahead. Example: Tesla's dilemma.</w:t>
      </w:r>
    </w:p>
    <w:p w14:paraId="4E07384D" w14:textId="77777777" w:rsidR="006572D5" w:rsidRPr="006E4AB7" w:rsidRDefault="006572D5" w:rsidP="006572D5"/>
    <w:p w14:paraId="0607C2DC" w14:textId="77777777" w:rsidR="006572D5" w:rsidRDefault="006572D5" w:rsidP="006572D5">
      <w:r w:rsidRPr="006E4AB7">
        <w:t>Learn from pioneers' failures and use what's currently available to enter a market with better and cheaper solutions (</w:t>
      </w:r>
      <w:proofErr w:type="spellStart"/>
      <w:r w:rsidRPr="006E4AB7">
        <w:t>Markides</w:t>
      </w:r>
      <w:proofErr w:type="spellEnd"/>
      <w:r w:rsidRPr="006E4AB7">
        <w:t xml:space="preserve"> and Sosa, 2013). Ford's flexible electric car following model combines digital and mass manufacture. </w:t>
      </w:r>
      <w:proofErr w:type="spellStart"/>
      <w:r w:rsidRPr="006E4AB7">
        <w:t>Teece</w:t>
      </w:r>
      <w:proofErr w:type="spellEnd"/>
      <w:r w:rsidRPr="006E4AB7">
        <w:t xml:space="preserve"> (2018) argues the dynamic capabilities technique shows how a corporation may adapt and reuse resources to evolve with the times. Electric car companies need more than unique ideas to succeed. Politics and technology change, therefore their strategies must too.</w:t>
      </w:r>
    </w:p>
    <w:p w14:paraId="72CB2013" w14:textId="77777777" w:rsidR="0009084A" w:rsidRPr="0009084A" w:rsidRDefault="0009084A" w:rsidP="009E586D">
      <w:pPr>
        <w:rPr>
          <w:rFonts w:eastAsia="Times New Roman"/>
          <w:lang w:val="en-GB" w:eastAsia="en-GB"/>
        </w:rPr>
      </w:pPr>
    </w:p>
    <w:p w14:paraId="759A74E8" w14:textId="77777777" w:rsidR="0009084A" w:rsidRPr="0009084A" w:rsidRDefault="0009084A" w:rsidP="009E586D">
      <w:pPr>
        <w:pStyle w:val="Heading1"/>
        <w:rPr>
          <w:lang w:val="en-GB"/>
        </w:rPr>
      </w:pPr>
      <w:bookmarkStart w:id="2" w:name="_Toc223106804"/>
      <w:r w:rsidRPr="0009084A">
        <w:rPr>
          <w:lang w:val="en-GB"/>
        </w:rPr>
        <w:t>3. Industry Context: Global EV Market Overview</w:t>
      </w:r>
      <w:bookmarkEnd w:id="2"/>
    </w:p>
    <w:p w14:paraId="4183D9CC" w14:textId="77777777" w:rsidR="006572D5" w:rsidRDefault="006572D5" w:rsidP="006572D5"/>
    <w:p w14:paraId="7A474823" w14:textId="77777777" w:rsidR="006572D5" w:rsidRDefault="006572D5" w:rsidP="006572D5">
      <w:r w:rsidRPr="006E4AB7">
        <w:t>Over the past decade, the worldwide electric car market has risen rapidly. The IEA predicted 14 million electric car sales in 2023. The IEA expects 18% of vehicle sales to come from this sector by 2024. The framework is affected more than demand by this development. New economies are growing faster than the US, Europe, and China thanks to government programs.</w:t>
      </w:r>
    </w:p>
    <w:p w14:paraId="1BA76F89" w14:textId="77777777" w:rsidR="006572D5" w:rsidRPr="006E4AB7" w:rsidRDefault="006572D5" w:rsidP="006572D5"/>
    <w:p w14:paraId="016EA82D" w14:textId="77777777" w:rsidR="006572D5" w:rsidRDefault="006572D5" w:rsidP="006572D5">
      <w:r w:rsidRPr="006E4AB7">
        <w:t>This growth is mostly due to government actions. US battery production is cheaper due to the US Inflation Reduction Act, EU emissions laws, and Chinese industrial subsidies (European Commission, 2023; US Department of Energy, 2023). Supply networks and rare earth minerals are worsening international relations. However, government-owned businesses do well.</w:t>
      </w:r>
    </w:p>
    <w:p w14:paraId="0D366BD1" w14:textId="77777777" w:rsidR="006572D5" w:rsidRPr="006E4AB7" w:rsidRDefault="006572D5" w:rsidP="006572D5"/>
    <w:p w14:paraId="7BD2DD82" w14:textId="77777777" w:rsidR="006572D5" w:rsidRDefault="006572D5" w:rsidP="006572D5">
      <w:r w:rsidRPr="006E4AB7">
        <w:t>New technologies are affecting EV technology more than normal. Automakers still use traditional procedures, but with digital technology. Cheaper batteries, more energy density, remote software updates, and self-driving automobiles are causes for this (Li et al., 2020). This means that software ecosystems will replace mechanical engineering as the next big thing.</w:t>
      </w:r>
    </w:p>
    <w:p w14:paraId="6388AC7D" w14:textId="77777777" w:rsidR="006572D5" w:rsidRPr="006E4AB7" w:rsidRDefault="006572D5" w:rsidP="006572D5"/>
    <w:p w14:paraId="0D4E1AFE" w14:textId="77777777" w:rsidR="006572D5" w:rsidRDefault="006572D5" w:rsidP="006572D5">
      <w:r w:rsidRPr="006E4AB7">
        <w:t>When individuals disagree, things worsen. Tesla leads in electric automobiles. Major automakers including GM, Ford, and Volkswagen are adding electric automobiles. Chinese companies like BYD are cutting prices worldwide. Political rules regulate electric cars (EVs), yet the technology is unstable. Even though the industry structure is unclear, this tests new and old concepts.</w:t>
      </w:r>
    </w:p>
    <w:p w14:paraId="086E451D" w14:textId="77777777" w:rsidR="0009084A" w:rsidRPr="0009084A" w:rsidRDefault="0009084A" w:rsidP="009E586D">
      <w:pPr>
        <w:spacing w:before="100" w:beforeAutospacing="1" w:after="100" w:afterAutospacing="1"/>
        <w:rPr>
          <w:rFonts w:eastAsia="Times New Roman"/>
          <w:lang w:val="en-GB" w:eastAsia="en-GB"/>
        </w:rPr>
      </w:pPr>
    </w:p>
    <w:p w14:paraId="095E1DEA" w14:textId="77777777" w:rsidR="0009084A" w:rsidRDefault="00C61E9C" w:rsidP="009E586D">
      <w:pPr>
        <w:rPr>
          <w:rStyle w:val="Strong"/>
          <w:b w:val="0"/>
          <w:bCs w:val="0"/>
        </w:rPr>
      </w:pPr>
      <w:r w:rsidRPr="00C61E9C">
        <w:rPr>
          <w:rStyle w:val="Strong"/>
          <w:b w:val="0"/>
          <w:bCs w:val="0"/>
          <w:noProof/>
          <w:lang w:val="en-GB" w:eastAsia="en-GB"/>
        </w:rPr>
        <w:drawing>
          <wp:inline distT="0" distB="0" distL="0" distR="0" wp14:anchorId="2519E020" wp14:editId="745D6A63">
            <wp:extent cx="5295900" cy="3483591"/>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07561" cy="3491261"/>
                    </a:xfrm>
                    <a:prstGeom prst="rect">
                      <a:avLst/>
                    </a:prstGeom>
                  </pic:spPr>
                </pic:pic>
              </a:graphicData>
            </a:graphic>
          </wp:inline>
        </w:drawing>
      </w:r>
    </w:p>
    <w:p w14:paraId="7AAE4C35" w14:textId="77777777" w:rsidR="00C61E9C" w:rsidRDefault="00AB2CCC" w:rsidP="009E586D">
      <w:r>
        <w:rPr>
          <w:rStyle w:val="Strong"/>
          <w:b w:val="0"/>
          <w:bCs w:val="0"/>
        </w:rPr>
        <w:t xml:space="preserve">Source: </w:t>
      </w:r>
      <w:r>
        <w:t xml:space="preserve">IEA (2024); </w:t>
      </w:r>
      <w:proofErr w:type="spellStart"/>
      <w:r>
        <w:t>BloombergNEF</w:t>
      </w:r>
      <w:proofErr w:type="spellEnd"/>
      <w:r>
        <w:t xml:space="preserve"> (2023)</w:t>
      </w:r>
    </w:p>
    <w:p w14:paraId="0BAE81EC" w14:textId="77777777" w:rsidR="006572D5" w:rsidRPr="006E4AB7" w:rsidRDefault="006572D5" w:rsidP="006572D5">
      <w:r w:rsidRPr="006E4AB7">
        <w:t>Electric car sales from 2016 to 2023 are shown in a line graph. This graph shows how the sector has changed and how demand for its products has expanded.</w:t>
      </w:r>
    </w:p>
    <w:p w14:paraId="40BAE72B" w14:textId="77777777" w:rsidR="00AB2CCC" w:rsidRDefault="00AB2CCC" w:rsidP="009E586D">
      <w:pPr>
        <w:rPr>
          <w:rStyle w:val="Strong"/>
          <w:b w:val="0"/>
          <w:bCs w:val="0"/>
        </w:rPr>
      </w:pPr>
    </w:p>
    <w:p w14:paraId="5D432B72" w14:textId="77777777" w:rsidR="009E586D" w:rsidRDefault="009E586D" w:rsidP="009E586D">
      <w:pPr>
        <w:pStyle w:val="Heading1"/>
      </w:pPr>
      <w:bookmarkStart w:id="3" w:name="_Toc223106805"/>
      <w:r>
        <w:rPr>
          <w:rStyle w:val="Strong"/>
          <w:rFonts w:eastAsiaTheme="majorEastAsia"/>
        </w:rPr>
        <w:t>4. Task 1: Macro-Environmental Analysis</w:t>
      </w:r>
      <w:bookmarkEnd w:id="3"/>
    </w:p>
    <w:p w14:paraId="74E6918C" w14:textId="77777777" w:rsidR="009E586D" w:rsidRDefault="009E586D" w:rsidP="009E586D">
      <w:pPr>
        <w:pStyle w:val="Heading2"/>
      </w:pPr>
      <w:bookmarkStart w:id="4" w:name="_Toc223106806"/>
      <w:r>
        <w:rPr>
          <w:rStyle w:val="Strong"/>
          <w:rFonts w:eastAsiaTheme="majorEastAsia"/>
        </w:rPr>
        <w:t>4.1 Technological Macro-Environment</w:t>
      </w:r>
      <w:bookmarkEnd w:id="4"/>
    </w:p>
    <w:p w14:paraId="4C6A9F98" w14:textId="77777777" w:rsidR="00AB2CCC" w:rsidRDefault="00AB2CCC" w:rsidP="009E586D">
      <w:pPr>
        <w:pStyle w:val="NormalWeb"/>
        <w:spacing w:line="360" w:lineRule="auto"/>
        <w:jc w:val="both"/>
      </w:pPr>
      <w:r w:rsidRPr="00AB2CCC">
        <w:rPr>
          <w:noProof/>
        </w:rPr>
        <w:drawing>
          <wp:inline distT="0" distB="0" distL="0" distR="0" wp14:anchorId="68536C99" wp14:editId="1DAFCDFC">
            <wp:extent cx="6390640" cy="43916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90640" cy="4391660"/>
                    </a:xfrm>
                    <a:prstGeom prst="rect">
                      <a:avLst/>
                    </a:prstGeom>
                  </pic:spPr>
                </pic:pic>
              </a:graphicData>
            </a:graphic>
          </wp:inline>
        </w:drawing>
      </w:r>
    </w:p>
    <w:p w14:paraId="31796E19" w14:textId="77777777" w:rsidR="00AB2CCC" w:rsidRDefault="00AB2CCC" w:rsidP="009E586D">
      <w:pPr>
        <w:pStyle w:val="NormalWeb"/>
        <w:spacing w:line="360" w:lineRule="auto"/>
        <w:jc w:val="both"/>
      </w:pPr>
      <w:r>
        <w:t xml:space="preserve">Source: Author’s own diagram based on </w:t>
      </w:r>
      <w:proofErr w:type="spellStart"/>
      <w:r>
        <w:t>Teece</w:t>
      </w:r>
      <w:proofErr w:type="spellEnd"/>
      <w:r>
        <w:t xml:space="preserve"> (2018); </w:t>
      </w:r>
      <w:proofErr w:type="spellStart"/>
      <w:r>
        <w:t>Nambisan</w:t>
      </w:r>
      <w:proofErr w:type="spellEnd"/>
      <w:r>
        <w:t xml:space="preserve"> et al. (2017)</w:t>
      </w:r>
    </w:p>
    <w:p w14:paraId="1A8193CB" w14:textId="77777777" w:rsidR="006572D5" w:rsidRDefault="006572D5" w:rsidP="006572D5"/>
    <w:p w14:paraId="780F9CFF" w14:textId="77777777" w:rsidR="006572D5" w:rsidRDefault="006572D5" w:rsidP="006572D5">
      <w:r w:rsidRPr="006E4AB7">
        <w:t>A layered view of Tesla's vertically integrated ecosystem, from battery production to consumer data analysis.</w:t>
      </w:r>
    </w:p>
    <w:p w14:paraId="0A06E311" w14:textId="77777777" w:rsidR="006572D5" w:rsidRPr="006E4AB7" w:rsidRDefault="006572D5" w:rsidP="006572D5"/>
    <w:p w14:paraId="4541C364" w14:textId="77777777" w:rsidR="006572D5" w:rsidRDefault="006572D5" w:rsidP="006572D5">
      <w:r w:rsidRPr="006E4AB7">
        <w:t xml:space="preserve">Technology is the biggest threat to the global electric vehicle market. This alters automotive manufacturing, pricing, and sales. In order to compete, electric automobiles need better battery technology. Over the past decade, lithium-ion battery packs have fallen 80% in price. According to </w:t>
      </w:r>
      <w:proofErr w:type="spellStart"/>
      <w:r w:rsidRPr="006E4AB7">
        <w:t>BloombergNEF</w:t>
      </w:r>
      <w:proofErr w:type="spellEnd"/>
      <w:r w:rsidRPr="006E4AB7">
        <w:t xml:space="preserve"> (2023), this has reduced the price gap between gas-powered and electric cars. Modern batteries prioritize power density, fast charging, and extended life over range. This reduced electric car sales (</w:t>
      </w:r>
      <w:proofErr w:type="spellStart"/>
      <w:r w:rsidRPr="006E4AB7">
        <w:t>Rezvani</w:t>
      </w:r>
      <w:proofErr w:type="spellEnd"/>
      <w:r w:rsidRPr="006E4AB7">
        <w:t xml:space="preserve">, </w:t>
      </w:r>
      <w:proofErr w:type="spellStart"/>
      <w:r w:rsidRPr="006E4AB7">
        <w:t>Jansson</w:t>
      </w:r>
      <w:proofErr w:type="spellEnd"/>
      <w:r w:rsidRPr="006E4AB7">
        <w:t xml:space="preserve">, and </w:t>
      </w:r>
      <w:proofErr w:type="spellStart"/>
      <w:r w:rsidRPr="006E4AB7">
        <w:t>Bodin</w:t>
      </w:r>
      <w:proofErr w:type="spellEnd"/>
      <w:r w:rsidRPr="006E4AB7">
        <w:t xml:space="preserve">, 2015). Tesla kept prices low and technology high by negotiating good supplier arrangements and starting </w:t>
      </w:r>
      <w:proofErr w:type="spellStart"/>
      <w:r w:rsidRPr="006E4AB7">
        <w:t>gigafactory</w:t>
      </w:r>
      <w:proofErr w:type="spellEnd"/>
      <w:r w:rsidRPr="006E4AB7">
        <w:t xml:space="preserve"> battery production early. Doing anything first is typically wise. Being one of the first to use hard-to-copy new technologies can save you money (Suarez and </w:t>
      </w:r>
      <w:proofErr w:type="spellStart"/>
      <w:r w:rsidRPr="006E4AB7">
        <w:t>Lanzolla</w:t>
      </w:r>
      <w:proofErr w:type="spellEnd"/>
      <w:r w:rsidRPr="006E4AB7">
        <w:t>, 2015).</w:t>
      </w:r>
    </w:p>
    <w:p w14:paraId="06F1A05C" w14:textId="77777777" w:rsidR="006572D5" w:rsidRPr="006E4AB7" w:rsidRDefault="006572D5" w:rsidP="006572D5"/>
    <w:p w14:paraId="7EA19267" w14:textId="77777777" w:rsidR="006572D5" w:rsidRDefault="006572D5" w:rsidP="006572D5">
      <w:r w:rsidRPr="006E4AB7">
        <w:t xml:space="preserve">Better batteries, self-driving cars, and AI changed everything. Full Self-Driving (FSD) makes Tesla a software-based mobility platform, not just a car company. Data-driven vehicle </w:t>
      </w:r>
      <w:proofErr w:type="spellStart"/>
      <w:r w:rsidRPr="006E4AB7">
        <w:t>optimisation</w:t>
      </w:r>
      <w:proofErr w:type="spellEnd"/>
      <w:r w:rsidRPr="006E4AB7">
        <w:t>, over-the-air software updates, and AI-based DAS make switching easier and tougher (</w:t>
      </w:r>
      <w:proofErr w:type="spellStart"/>
      <w:r w:rsidRPr="006E4AB7">
        <w:t>Teece</w:t>
      </w:r>
      <w:proofErr w:type="spellEnd"/>
      <w:r w:rsidRPr="006E4AB7">
        <w:t>, 2018). Digital platform theory (</w:t>
      </w:r>
      <w:proofErr w:type="spellStart"/>
      <w:r w:rsidRPr="006E4AB7">
        <w:t>Nambisan</w:t>
      </w:r>
      <w:proofErr w:type="spellEnd"/>
      <w:r w:rsidRPr="006E4AB7">
        <w:t xml:space="preserve"> et al., 2017) states network effects boost competition. Ecosystem solutions follow. Ford Electric Cars wants to improve its tech. Ford Motor Company must change its processes after decades in operation. It must also improve technology use. Ford has invested much in software and battery joint ventures, but it needs outside support to improve its technical infrastructure. This makes environmental preservation impossible.</w:t>
      </w:r>
    </w:p>
    <w:p w14:paraId="177A8756" w14:textId="77777777" w:rsidR="006572D5" w:rsidRPr="006E4AB7" w:rsidRDefault="006572D5" w:rsidP="006572D5"/>
    <w:p w14:paraId="52A6A2C4" w14:textId="77777777" w:rsidR="006572D5" w:rsidRDefault="006572D5" w:rsidP="006572D5">
      <w:r w:rsidRPr="006E4AB7">
        <w:t xml:space="preserve">Mechanized production increases technology competition. Since Tesla has a vertically integrated production system, Wells and </w:t>
      </w:r>
      <w:proofErr w:type="spellStart"/>
      <w:r w:rsidRPr="006E4AB7">
        <w:t>Nieuwenhuis</w:t>
      </w:r>
      <w:proofErr w:type="spellEnd"/>
      <w:r w:rsidRPr="006E4AB7">
        <w:t xml:space="preserve"> (2018) believe it can quickly answer consumer needs. This system uses cutting-edge robotics and analytics to demonstrate production. Porter's larger frameworks can help you stand out as a cost leader. Ford never had a single manufacturing company. Changing our factories to build electric cars will be costly and time-consuming. According to dynamic capabilities theory, reconfiguration involves financial and cultural changes, according to </w:t>
      </w:r>
      <w:proofErr w:type="spellStart"/>
      <w:r w:rsidRPr="006E4AB7">
        <w:t>Teece</w:t>
      </w:r>
      <w:proofErr w:type="spellEnd"/>
      <w:r w:rsidRPr="006E4AB7">
        <w:t xml:space="preserve"> (2018). These companies should weigh technology's merits and cons.</w:t>
      </w:r>
    </w:p>
    <w:p w14:paraId="5DBF1FB4" w14:textId="77777777" w:rsidR="006572D5" w:rsidRPr="006E4AB7" w:rsidRDefault="006572D5" w:rsidP="006572D5"/>
    <w:p w14:paraId="083028D1" w14:textId="77777777" w:rsidR="006572D5" w:rsidRDefault="006572D5" w:rsidP="006572D5">
      <w:r w:rsidRPr="006E4AB7">
        <w:t>Direct-to-customer digital marketing is another fresh idea. Tesla may directly contact customers, gather information, and determine prices without dealerships. The company seems more creative and customer-focused. Previously, you couldn't track your car sales earnings. Ford franchise outlets attract customers but make it difficult to change prices and restrict technology innovation.</w:t>
      </w:r>
    </w:p>
    <w:p w14:paraId="3A9A8709" w14:textId="77777777" w:rsidR="006572D5" w:rsidRPr="006E4AB7" w:rsidRDefault="006572D5" w:rsidP="006572D5"/>
    <w:p w14:paraId="553B2515" w14:textId="77777777" w:rsidR="006572D5" w:rsidRDefault="006572D5" w:rsidP="006572D5">
      <w:r w:rsidRPr="006E4AB7">
        <w:t>Technology may not matter. They help Tesla compete by creating connected ecosystems and learning curves. Ford could change a lot as technology advances, but it may be hard to keep up. Today, businesses can stand out online, but slow responders will pay.</w:t>
      </w:r>
    </w:p>
    <w:p w14:paraId="590A750A" w14:textId="77777777" w:rsidR="009E586D" w:rsidRDefault="009E586D" w:rsidP="009E586D">
      <w:pPr>
        <w:pStyle w:val="NormalWeb"/>
        <w:spacing w:line="360" w:lineRule="auto"/>
        <w:jc w:val="both"/>
      </w:pPr>
    </w:p>
    <w:p w14:paraId="0138D562" w14:textId="77777777" w:rsidR="009E586D" w:rsidRDefault="009E586D" w:rsidP="009E586D">
      <w:pPr>
        <w:pStyle w:val="Heading2"/>
      </w:pPr>
      <w:bookmarkStart w:id="5" w:name="_Toc223106807"/>
      <w:r>
        <w:rPr>
          <w:rStyle w:val="Strong"/>
          <w:rFonts w:eastAsiaTheme="majorEastAsia"/>
        </w:rPr>
        <w:t>4.2 Political Macro-Environment</w:t>
      </w:r>
      <w:bookmarkEnd w:id="5"/>
    </w:p>
    <w:p w14:paraId="7C5EAE6B" w14:textId="77777777" w:rsidR="00AB2CCC" w:rsidRDefault="00AB2CCC" w:rsidP="009E586D">
      <w:pPr>
        <w:pStyle w:val="NormalWeb"/>
        <w:spacing w:line="360" w:lineRule="auto"/>
        <w:jc w:val="both"/>
      </w:pPr>
      <w:r w:rsidRPr="00AB2CCC">
        <w:rPr>
          <w:noProof/>
        </w:rPr>
        <w:drawing>
          <wp:inline distT="0" distB="0" distL="0" distR="0" wp14:anchorId="5635C650" wp14:editId="5979C3DE">
            <wp:extent cx="6390640" cy="3927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90640" cy="3927475"/>
                    </a:xfrm>
                    <a:prstGeom prst="rect">
                      <a:avLst/>
                    </a:prstGeom>
                  </pic:spPr>
                </pic:pic>
              </a:graphicData>
            </a:graphic>
          </wp:inline>
        </w:drawing>
      </w:r>
    </w:p>
    <w:p w14:paraId="57564A50" w14:textId="77777777" w:rsidR="00AB2CCC" w:rsidRDefault="00AB2CCC" w:rsidP="009E586D">
      <w:pPr>
        <w:pStyle w:val="NormalWeb"/>
        <w:spacing w:line="360" w:lineRule="auto"/>
        <w:jc w:val="both"/>
      </w:pPr>
      <w:r>
        <w:t>Source: Author’s own diagram based on European Commission (2023); US Department of Energy (2023)</w:t>
      </w:r>
    </w:p>
    <w:p w14:paraId="246DC5A4" w14:textId="77777777" w:rsidR="006572D5" w:rsidRDefault="006572D5" w:rsidP="006572D5"/>
    <w:p w14:paraId="2243F19B" w14:textId="77777777" w:rsidR="006572D5" w:rsidRPr="006E4AB7" w:rsidRDefault="006572D5" w:rsidP="006572D5">
      <w:r w:rsidRPr="006E4AB7">
        <w:t>According to a pyramid model, global climate agreements require EV companies to respect local laws.</w:t>
      </w:r>
    </w:p>
    <w:p w14:paraId="239896A9" w14:textId="77777777" w:rsidR="006572D5" w:rsidRPr="006E4AB7" w:rsidRDefault="006572D5" w:rsidP="006572D5"/>
    <w:p w14:paraId="2FD89295" w14:textId="77777777" w:rsidR="006572D5" w:rsidRDefault="006572D5" w:rsidP="006572D5">
      <w:r w:rsidRPr="006E4AB7">
        <w:t>Laws, tax advantages, and wars worldwide affect the electric car sector. Customer subsidies and government incentives are making electric automobiles (EVs) cheaper worldwide. According to Scott (2014), institutional theory states that firms explain their actions with regulations. Businesses can enter the market faster and appear cheaper using financial incentives. Tesla initially did well when the US cut taxes. The corporation had to keep pricing high as they grew. Subsidies that depend on domestic output or are eliminated are tougher to manage.</w:t>
      </w:r>
    </w:p>
    <w:p w14:paraId="227C3905" w14:textId="77777777" w:rsidR="006572D5" w:rsidRPr="006E4AB7" w:rsidRDefault="006572D5" w:rsidP="006572D5"/>
    <w:p w14:paraId="12A434F5" w14:textId="77777777" w:rsidR="006572D5" w:rsidRDefault="006572D5" w:rsidP="006572D5">
      <w:r w:rsidRPr="006E4AB7">
        <w:t>Better regulation is needed to meet climate policy goals and make the world carbon neutral. The European Commission (2023) claims the market is shifting since the EU will stop selling new automobiles with internal combustion engines by 2035. These rules help electric car startups attract customers but hurt larger, outdated industries. Ford must adapt from gas-powered to electric cars. Ford is more likely to switch than Tesla. Stable governments benefit electric pioneers.</w:t>
      </w:r>
    </w:p>
    <w:p w14:paraId="40906110" w14:textId="77777777" w:rsidR="006572D5" w:rsidRPr="006E4AB7" w:rsidRDefault="006572D5" w:rsidP="006572D5"/>
    <w:p w14:paraId="7DE87647" w14:textId="77777777" w:rsidR="006572D5" w:rsidRDefault="006572D5" w:rsidP="006572D5">
      <w:r w:rsidRPr="006E4AB7">
        <w:t>The government will pass the IRA in 2022. The US Department of Energy's 2023 guidelines for key minerals and battery production relate the Act to electric car tax benefits. This technique makes things tougher but improves US supply networks. Tesla may benefit from IRA laws because it builds cars in the US. Even though Ford is cooperating with other companies to expand its US battery business, it is having trouble moving its supply chain. It must pay moving expenses.</w:t>
      </w:r>
    </w:p>
    <w:p w14:paraId="5A0E8F55" w14:textId="77777777" w:rsidR="006572D5" w:rsidRPr="006E4AB7" w:rsidRDefault="006572D5" w:rsidP="006572D5"/>
    <w:p w14:paraId="7B9D8E5C" w14:textId="77777777" w:rsidR="006572D5" w:rsidRDefault="006572D5" w:rsidP="006572D5">
      <w:r w:rsidRPr="006E4AB7">
        <w:t>Supply chain trade issues and global politics may make competitiveness strange. China's politics and tariffs threaten battery part and rare earth metal importers (Li et al., 2020). Tesla's multiple plants reduce this danger. Ford must change how it buys parts as it always buys from the same places. Political unrest makes business planning difficult, especially for companies undergoing major changes.</w:t>
      </w:r>
    </w:p>
    <w:p w14:paraId="666B617F" w14:textId="77777777" w:rsidR="006572D5" w:rsidRPr="006E4AB7" w:rsidRDefault="006572D5" w:rsidP="006572D5"/>
    <w:p w14:paraId="40882B90" w14:textId="77777777" w:rsidR="006572D5" w:rsidRDefault="006572D5" w:rsidP="006572D5">
      <w:r w:rsidRPr="006E4AB7">
        <w:t>Two types of political crises can result from forces. They make it harder for companies to follow the regulations and bring them closer to home, but they also simplify legislation and give customers reasons to buy. Tesla is a better competitor since they share values and growth is good for business. Political pressure has forced Ford to make quick organizational reforms, hurting its financial line. Political macroeconomics effect electric car ecosystem market size and competition.</w:t>
      </w:r>
    </w:p>
    <w:p w14:paraId="42FC18C4" w14:textId="77777777" w:rsidR="006572D5" w:rsidRDefault="006572D5" w:rsidP="006572D5"/>
    <w:p w14:paraId="5C4EEECB" w14:textId="77777777" w:rsidR="006572D5" w:rsidRDefault="006572D5" w:rsidP="006572D5"/>
    <w:p w14:paraId="5B2BC88C" w14:textId="77777777" w:rsidR="006572D5" w:rsidRDefault="006572D5" w:rsidP="006572D5"/>
    <w:p w14:paraId="39B984CB" w14:textId="77777777" w:rsidR="006572D5" w:rsidRDefault="006572D5" w:rsidP="006572D5"/>
    <w:p w14:paraId="1D2822BC" w14:textId="77777777" w:rsidR="006572D5" w:rsidRDefault="006572D5" w:rsidP="006572D5"/>
    <w:p w14:paraId="27C9489C" w14:textId="77777777" w:rsidR="006572D5" w:rsidRDefault="006572D5" w:rsidP="006572D5"/>
    <w:p w14:paraId="6FF358FE" w14:textId="77777777" w:rsidR="009E586D" w:rsidRDefault="009E586D" w:rsidP="009E586D">
      <w:pPr>
        <w:pStyle w:val="Heading1"/>
        <w:rPr>
          <w:lang w:val="en-GB"/>
        </w:rPr>
      </w:pPr>
      <w:bookmarkStart w:id="6" w:name="_Toc223106808"/>
      <w:r w:rsidRPr="009E586D">
        <w:rPr>
          <w:lang w:val="en-GB"/>
        </w:rPr>
        <w:t>5. Competitive Position Implications</w:t>
      </w:r>
      <w:bookmarkEnd w:id="6"/>
    </w:p>
    <w:p w14:paraId="65A9FDAF" w14:textId="77777777" w:rsidR="00FC41C9" w:rsidRDefault="00FC41C9" w:rsidP="00FC41C9">
      <w:pPr>
        <w:rPr>
          <w:lang w:val="en-GB" w:eastAsia="en-GB"/>
        </w:rPr>
      </w:pPr>
    </w:p>
    <w:p w14:paraId="457614B1" w14:textId="77777777" w:rsidR="00FC41C9" w:rsidRDefault="00FC41C9" w:rsidP="00FC41C9">
      <w:pPr>
        <w:rPr>
          <w:lang w:val="en-GB" w:eastAsia="en-GB"/>
        </w:rPr>
      </w:pPr>
      <w:r w:rsidRPr="00FC41C9">
        <w:rPr>
          <w:noProof/>
          <w:lang w:val="en-GB" w:eastAsia="en-GB"/>
        </w:rPr>
        <w:drawing>
          <wp:inline distT="0" distB="0" distL="0" distR="0" wp14:anchorId="5012FE0B" wp14:editId="2A08B039">
            <wp:extent cx="6390640" cy="3244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90640" cy="3244850"/>
                    </a:xfrm>
                    <a:prstGeom prst="rect">
                      <a:avLst/>
                    </a:prstGeom>
                  </pic:spPr>
                </pic:pic>
              </a:graphicData>
            </a:graphic>
          </wp:inline>
        </w:drawing>
      </w:r>
    </w:p>
    <w:p w14:paraId="5E049647" w14:textId="77777777" w:rsidR="00FC41C9" w:rsidRDefault="00FC41C9" w:rsidP="00FC41C9">
      <w:r>
        <w:rPr>
          <w:lang w:val="en-GB" w:eastAsia="en-GB"/>
        </w:rPr>
        <w:t xml:space="preserve">Source: </w:t>
      </w:r>
      <w:r>
        <w:t xml:space="preserve">Author’s own analytical model based on Wells and </w:t>
      </w:r>
      <w:proofErr w:type="spellStart"/>
      <w:r>
        <w:t>Nieuwenhuis</w:t>
      </w:r>
      <w:proofErr w:type="spellEnd"/>
      <w:r>
        <w:t xml:space="preserve"> (2018)</w:t>
      </w:r>
    </w:p>
    <w:p w14:paraId="710602AC" w14:textId="77777777" w:rsidR="006572D5" w:rsidRDefault="006572D5" w:rsidP="006572D5">
      <w:r w:rsidRPr="006E4AB7">
        <w:t>Value chain designs demonstrate vertical integration, software governance, and distribution systems in many ways.</w:t>
      </w:r>
    </w:p>
    <w:p w14:paraId="0EA17B5F" w14:textId="77777777" w:rsidR="006572D5" w:rsidRPr="006E4AB7" w:rsidRDefault="006572D5" w:rsidP="006572D5"/>
    <w:p w14:paraId="64069ACA" w14:textId="77777777" w:rsidR="006572D5" w:rsidRDefault="006572D5" w:rsidP="006572D5">
      <w:r w:rsidRPr="006E4AB7">
        <w:t>Tesla and Ford disagree on electric cars due to politics and technology. Tesla is renowned worldwide, therefore investors believe it can grow (IEA, 2024). Early release led many to believe it was a software company rather than an automotive one. Ford has a lengthy history of making cars. It must adjust its business model to convince people that buying electric automobiles is safe.</w:t>
      </w:r>
    </w:p>
    <w:p w14:paraId="6C6D28D2" w14:textId="77777777" w:rsidR="006572D5" w:rsidRPr="006E4AB7" w:rsidRDefault="006572D5" w:rsidP="006572D5"/>
    <w:p w14:paraId="32C400A4" w14:textId="77777777" w:rsidR="006572D5" w:rsidRDefault="006572D5" w:rsidP="006572D5">
      <w:r w:rsidRPr="006E4AB7">
        <w:t xml:space="preserve">That's why there are several types. Tesla is known for its eco-friendly and cutting-edge cars. </w:t>
      </w:r>
      <w:proofErr w:type="spellStart"/>
      <w:r w:rsidRPr="006E4AB7">
        <w:t>Ambisan</w:t>
      </w:r>
      <w:proofErr w:type="spellEnd"/>
      <w:r w:rsidRPr="006E4AB7">
        <w:t xml:space="preserve"> et al. (2017) feel they are great for society and technology. Ford cars have traditionally been popular because they are durable, easy to access, and last long. This stabilizes institutions but hurts EVs.</w:t>
      </w:r>
    </w:p>
    <w:p w14:paraId="24597343" w14:textId="77777777" w:rsidR="006572D5" w:rsidRPr="006E4AB7" w:rsidRDefault="006572D5" w:rsidP="006572D5"/>
    <w:p w14:paraId="16A7A975" w14:textId="77777777" w:rsidR="006572D5" w:rsidRDefault="006572D5" w:rsidP="006572D5">
      <w:r w:rsidRPr="006E4AB7">
        <w:t>Setting pricing hinders competition. Through direct sales, Tesla has vertically integrated its battery manufacture. This saves money and simplifies price changes. Ford must pay more to adjust how it makes and distributes products through dealerships, raising prices temporarily. There is no consensus on who handles remote, automatic software updates. Tesla controls the ecology.</w:t>
      </w:r>
    </w:p>
    <w:p w14:paraId="391CB85C" w14:textId="77777777" w:rsidR="006572D5" w:rsidRPr="006E4AB7" w:rsidRDefault="006572D5" w:rsidP="006572D5"/>
    <w:p w14:paraId="1DD96682" w14:textId="77777777" w:rsidR="006572D5" w:rsidRDefault="006572D5" w:rsidP="006572D5">
      <w:r w:rsidRPr="006E4AB7">
        <w:t>Organizational regulations make it challenging to take use of structural benefits alone. Tesla may become politically dependent on subsidies and supply chain politics due to government oversight. Ford should perform well in regulatory networks. To stay competitive, you must adapt your technology and organization.</w:t>
      </w:r>
    </w:p>
    <w:p w14:paraId="383E4ED6" w14:textId="77777777" w:rsidR="009E586D" w:rsidRDefault="00AB2CCC" w:rsidP="009E586D">
      <w:pPr>
        <w:rPr>
          <w:rFonts w:eastAsia="Times New Roman"/>
          <w:lang w:val="en-GB" w:eastAsia="en-GB"/>
        </w:rPr>
      </w:pPr>
      <w:r w:rsidRPr="00AB2CCC">
        <w:rPr>
          <w:rFonts w:eastAsia="Times New Roman"/>
          <w:noProof/>
          <w:lang w:val="en-GB" w:eastAsia="en-GB"/>
        </w:rPr>
        <w:drawing>
          <wp:inline distT="0" distB="0" distL="0" distR="0" wp14:anchorId="27565472" wp14:editId="74CD0914">
            <wp:extent cx="6390640" cy="5589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90640" cy="5589905"/>
                    </a:xfrm>
                    <a:prstGeom prst="rect">
                      <a:avLst/>
                    </a:prstGeom>
                  </pic:spPr>
                </pic:pic>
              </a:graphicData>
            </a:graphic>
          </wp:inline>
        </w:drawing>
      </w:r>
    </w:p>
    <w:p w14:paraId="496337C4" w14:textId="77777777" w:rsidR="00AB2CCC" w:rsidRDefault="00AB2CCC" w:rsidP="009E586D">
      <w:r>
        <w:rPr>
          <w:rFonts w:eastAsia="Times New Roman"/>
          <w:lang w:val="en-GB" w:eastAsia="en-GB"/>
        </w:rPr>
        <w:t xml:space="preserve">Source: </w:t>
      </w:r>
      <w:r>
        <w:t>Author’s analytical comparison using Porter (1985) framework</w:t>
      </w:r>
    </w:p>
    <w:p w14:paraId="7E5F33BD" w14:textId="77777777" w:rsidR="006572D5" w:rsidRPr="006E4AB7" w:rsidRDefault="006572D5" w:rsidP="006572D5">
      <w:r w:rsidRPr="006E4AB7">
        <w:t>This radar map compares Ford with Tesla in technology use, factory size, brand value, cost-effectiveness, and technology leadership.</w:t>
      </w:r>
    </w:p>
    <w:p w14:paraId="2550DC30" w14:textId="77777777" w:rsidR="00AB2CCC" w:rsidRPr="009E586D" w:rsidRDefault="00AB2CCC" w:rsidP="009E586D">
      <w:pPr>
        <w:rPr>
          <w:rFonts w:eastAsia="Times New Roman"/>
          <w:lang w:val="en-GB" w:eastAsia="en-GB"/>
        </w:rPr>
      </w:pPr>
    </w:p>
    <w:p w14:paraId="2A1BE0F3" w14:textId="77777777" w:rsidR="009E586D" w:rsidRPr="009E586D" w:rsidRDefault="009E586D" w:rsidP="009E586D">
      <w:pPr>
        <w:pStyle w:val="Heading1"/>
        <w:rPr>
          <w:lang w:val="en-GB"/>
        </w:rPr>
      </w:pPr>
      <w:bookmarkStart w:id="7" w:name="_Toc223106809"/>
      <w:r w:rsidRPr="009E586D">
        <w:rPr>
          <w:lang w:val="en-GB"/>
        </w:rPr>
        <w:t>6. Task 2: Strategic Responses and Evaluation</w:t>
      </w:r>
      <w:bookmarkEnd w:id="7"/>
    </w:p>
    <w:p w14:paraId="0A919702" w14:textId="77777777" w:rsidR="009E586D" w:rsidRPr="009E586D" w:rsidRDefault="009E586D" w:rsidP="009E586D">
      <w:pPr>
        <w:pStyle w:val="Heading2"/>
      </w:pPr>
      <w:bookmarkStart w:id="8" w:name="_Toc223106810"/>
      <w:r w:rsidRPr="009E586D">
        <w:t>6.1 Porter’s Generic Strategies Application</w:t>
      </w:r>
      <w:bookmarkEnd w:id="8"/>
    </w:p>
    <w:p w14:paraId="0E5ADB35" w14:textId="77777777" w:rsidR="00FC41C9" w:rsidRDefault="00FC41C9" w:rsidP="009E586D">
      <w:pPr>
        <w:spacing w:before="100" w:beforeAutospacing="1" w:after="100" w:afterAutospacing="1"/>
        <w:rPr>
          <w:rFonts w:eastAsia="Times New Roman"/>
          <w:lang w:val="en-GB" w:eastAsia="en-GB"/>
        </w:rPr>
      </w:pPr>
      <w:r w:rsidRPr="00FC41C9">
        <w:rPr>
          <w:rFonts w:eastAsia="Times New Roman"/>
          <w:noProof/>
          <w:lang w:val="en-GB" w:eastAsia="en-GB"/>
        </w:rPr>
        <w:drawing>
          <wp:inline distT="0" distB="0" distL="0" distR="0" wp14:anchorId="3185BEB3" wp14:editId="72529FC2">
            <wp:extent cx="6390640" cy="4345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90640" cy="4345305"/>
                    </a:xfrm>
                    <a:prstGeom prst="rect">
                      <a:avLst/>
                    </a:prstGeom>
                  </pic:spPr>
                </pic:pic>
              </a:graphicData>
            </a:graphic>
          </wp:inline>
        </w:drawing>
      </w:r>
    </w:p>
    <w:p w14:paraId="4E982B90" w14:textId="77777777" w:rsidR="00FC41C9" w:rsidRDefault="00FC41C9" w:rsidP="009E586D">
      <w:pPr>
        <w:spacing w:before="100" w:beforeAutospacing="1" w:after="100" w:afterAutospacing="1"/>
      </w:pPr>
      <w:r>
        <w:rPr>
          <w:rFonts w:eastAsia="Times New Roman"/>
          <w:lang w:val="en-GB" w:eastAsia="en-GB"/>
        </w:rPr>
        <w:t xml:space="preserve">Source: </w:t>
      </w:r>
      <w:r>
        <w:t>Author’s conceptual mapping based on Porter (1985)</w:t>
      </w:r>
    </w:p>
    <w:p w14:paraId="3ECC0CB4" w14:textId="77777777" w:rsidR="006572D5" w:rsidRPr="006E4AB7" w:rsidRDefault="006572D5" w:rsidP="006572D5">
      <w:r w:rsidRPr="006E4AB7">
        <w:t>A photo showing Tesla and Ford's prices and marketing strategies.</w:t>
      </w:r>
    </w:p>
    <w:p w14:paraId="3510239E" w14:textId="77777777" w:rsidR="006572D5" w:rsidRPr="006E4AB7" w:rsidRDefault="006572D5" w:rsidP="006572D5"/>
    <w:p w14:paraId="47333027" w14:textId="77777777" w:rsidR="006572D5" w:rsidRDefault="006572D5" w:rsidP="006572D5">
      <w:r w:rsidRPr="006E4AB7">
        <w:t xml:space="preserve">The Generic Strategies framework (Porter, 1985) shows how Tesla and Ford adjusted their goals when the </w:t>
      </w:r>
      <w:proofErr w:type="spellStart"/>
      <w:r w:rsidRPr="006E4AB7">
        <w:t>macroenvironment</w:t>
      </w:r>
      <w:proofErr w:type="spellEnd"/>
      <w:r w:rsidRPr="006E4AB7">
        <w:t xml:space="preserve"> evolved. Tesla has an advantage since no one sells cheap, unique things. Cutting-edge technology, self-driving features, specialized software ecosystems, and a memorable name can create something remarkable. Vertical integration and economies of scale cut battery prices. </w:t>
      </w:r>
      <w:proofErr w:type="spellStart"/>
      <w:r w:rsidRPr="006E4AB7">
        <w:t>BloombergNEF</w:t>
      </w:r>
      <w:proofErr w:type="spellEnd"/>
      <w:r w:rsidRPr="006E4AB7">
        <w:t xml:space="preserve"> (2023) found that pricing doesn't affect purchasers' opinions. Businesses can balance platform economies and cost-effectiveness with digital integration. This differs from Porter's ban on hybrid approaches (Johnson, Scholes, and Whittington, 2020).</w:t>
      </w:r>
    </w:p>
    <w:p w14:paraId="11CB1426" w14:textId="77777777" w:rsidR="006572D5" w:rsidRPr="006E4AB7" w:rsidRDefault="006572D5" w:rsidP="006572D5"/>
    <w:p w14:paraId="36D0B053" w14:textId="77777777" w:rsidR="006572D5" w:rsidRDefault="006572D5" w:rsidP="006572D5">
      <w:r w:rsidRPr="006E4AB7">
        <w:t xml:space="preserve">Ford's electric vehicle division is preparing for a smooth handover. Ford doesn't always aim to outperform Tesla in tech. Instead, it competes in solid electric vehicle and truck markets with its reputation. </w:t>
      </w:r>
      <w:proofErr w:type="spellStart"/>
      <w:r w:rsidRPr="006E4AB7">
        <w:t>Markides</w:t>
      </w:r>
      <w:proofErr w:type="spellEnd"/>
      <w:r w:rsidRPr="006E4AB7">
        <w:t xml:space="preserve"> and Sosa (2013) propose pioneers might avoid followers by being creative and duplicating what they need. This plan works there. Ford's partnerships with battery and software makers show they realize their constraints. However, partnerships may make environmental monitoring difficult over time.</w:t>
      </w:r>
    </w:p>
    <w:p w14:paraId="7F0934AB" w14:textId="77777777" w:rsidR="006572D5" w:rsidRPr="006E4AB7" w:rsidRDefault="006572D5" w:rsidP="006572D5"/>
    <w:p w14:paraId="1F368021" w14:textId="77777777" w:rsidR="006572D5" w:rsidRPr="006E4AB7" w:rsidRDefault="006572D5" w:rsidP="006572D5">
      <w:r w:rsidRPr="006E4AB7">
        <w:t>Consider your plan's lifespan. Tesla must innovate and match demand to remain a hybrid company. If battery prices drop or competitors copy the software, gadgets may be harder to identify. Ford may be regarded higher in regions where brand loyalty and longevity are prized more than new software, even though it's not strong at it. Tesla's concepts work better in fast-growing countries, but standardizing technology could be difficult. But Ford is soothing people and restoring market order.</w:t>
      </w:r>
    </w:p>
    <w:p w14:paraId="08DE3D25" w14:textId="77777777" w:rsidR="009E586D" w:rsidRPr="009E586D" w:rsidRDefault="009E586D" w:rsidP="009E586D">
      <w:pPr>
        <w:rPr>
          <w:rFonts w:eastAsia="Times New Roman"/>
          <w:lang w:val="en-GB" w:eastAsia="en-GB"/>
        </w:rPr>
      </w:pPr>
    </w:p>
    <w:p w14:paraId="50DC6F09" w14:textId="77777777" w:rsidR="009E586D" w:rsidRPr="009E586D" w:rsidRDefault="009E586D" w:rsidP="009E586D">
      <w:pPr>
        <w:pStyle w:val="Heading2"/>
      </w:pPr>
      <w:bookmarkStart w:id="9" w:name="_Toc223106811"/>
      <w:r w:rsidRPr="009E586D">
        <w:t xml:space="preserve">6.2 </w:t>
      </w:r>
      <w:proofErr w:type="spellStart"/>
      <w:r w:rsidRPr="009E586D">
        <w:t>Ansoff’s</w:t>
      </w:r>
      <w:proofErr w:type="spellEnd"/>
      <w:r w:rsidRPr="009E586D">
        <w:t xml:space="preserve"> Growth Matrix Application</w:t>
      </w:r>
      <w:bookmarkEnd w:id="9"/>
    </w:p>
    <w:p w14:paraId="339C87C2" w14:textId="77777777" w:rsidR="006572D5" w:rsidRDefault="006572D5" w:rsidP="006572D5"/>
    <w:p w14:paraId="1710EF00" w14:textId="77777777" w:rsidR="006572D5" w:rsidRPr="006E4AB7" w:rsidRDefault="006572D5" w:rsidP="006572D5">
      <w:r w:rsidRPr="006E4AB7">
        <w:t xml:space="preserve">A 1957 </w:t>
      </w:r>
      <w:proofErr w:type="spellStart"/>
      <w:r w:rsidRPr="006E4AB7">
        <w:t>Ansoff</w:t>
      </w:r>
      <w:proofErr w:type="spellEnd"/>
      <w:r w:rsidRPr="006E4AB7">
        <w:t xml:space="preserve"> Growth Matrix shows how to address new conditions. Tesla shows how approaches may boost businesses. Companies are also improving their products, building new automobiles, self-driving software, and stronger batteries. The company's simultaneous growth in Europe and Asia is great for business. Tesla built solar panels and batteries to retain electricity. </w:t>
      </w:r>
      <w:proofErr w:type="spellStart"/>
      <w:r w:rsidRPr="006E4AB7">
        <w:t>Teece</w:t>
      </w:r>
      <w:proofErr w:type="spellEnd"/>
      <w:r w:rsidRPr="006E4AB7">
        <w:t xml:space="preserve"> (2018) argues the durable ecological link is stronger.</w:t>
      </w:r>
    </w:p>
    <w:p w14:paraId="7FAD9E73" w14:textId="77777777" w:rsidR="00FC41C9" w:rsidRDefault="00FC41C9" w:rsidP="009E586D">
      <w:pPr>
        <w:spacing w:before="100" w:beforeAutospacing="1" w:after="100" w:afterAutospacing="1"/>
        <w:rPr>
          <w:rFonts w:eastAsia="Times New Roman"/>
          <w:lang w:val="en-GB" w:eastAsia="en-GB"/>
        </w:rPr>
      </w:pPr>
      <w:r w:rsidRPr="00FC41C9">
        <w:rPr>
          <w:rFonts w:eastAsia="Times New Roman"/>
          <w:noProof/>
          <w:lang w:val="en-GB" w:eastAsia="en-GB"/>
        </w:rPr>
        <w:drawing>
          <wp:inline distT="0" distB="0" distL="0" distR="0" wp14:anchorId="18016F1A" wp14:editId="7421B5A9">
            <wp:extent cx="6390640" cy="46837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90640" cy="4683760"/>
                    </a:xfrm>
                    <a:prstGeom prst="rect">
                      <a:avLst/>
                    </a:prstGeom>
                  </pic:spPr>
                </pic:pic>
              </a:graphicData>
            </a:graphic>
          </wp:inline>
        </w:drawing>
      </w:r>
    </w:p>
    <w:p w14:paraId="42A49E9C" w14:textId="77777777" w:rsidR="00FC41C9" w:rsidRDefault="00FC41C9" w:rsidP="009E586D">
      <w:pPr>
        <w:spacing w:before="100" w:beforeAutospacing="1" w:after="100" w:afterAutospacing="1"/>
      </w:pPr>
      <w:r>
        <w:rPr>
          <w:rFonts w:eastAsia="Times New Roman"/>
          <w:lang w:val="en-GB" w:eastAsia="en-GB"/>
        </w:rPr>
        <w:t xml:space="preserve">Source: </w:t>
      </w:r>
      <w:r>
        <w:t xml:space="preserve">Author’s own analytical representation based on </w:t>
      </w:r>
      <w:proofErr w:type="spellStart"/>
      <w:r>
        <w:t>Ansoff</w:t>
      </w:r>
      <w:proofErr w:type="spellEnd"/>
      <w:r>
        <w:t xml:space="preserve"> (1957)</w:t>
      </w:r>
    </w:p>
    <w:p w14:paraId="406591AD" w14:textId="77777777" w:rsidR="006572D5" w:rsidRPr="006E4AB7" w:rsidRDefault="006572D5" w:rsidP="006572D5">
      <w:r w:rsidRPr="006E4AB7">
        <w:t>Ford's expansion and Tesla's market growth are shown in this 2x2 grid.</w:t>
      </w:r>
    </w:p>
    <w:p w14:paraId="13926CDF" w14:textId="77777777" w:rsidR="006572D5" w:rsidRPr="006E4AB7" w:rsidRDefault="006572D5" w:rsidP="006572D5"/>
    <w:p w14:paraId="73676460" w14:textId="77777777" w:rsidR="006572D5" w:rsidRPr="006E4AB7" w:rsidRDefault="006572D5" w:rsidP="006572D5">
      <w:r w:rsidRPr="006E4AB7">
        <w:t>Just looking at it, Ford's way is better. Try modern technology with an electric car instead of a gas-powered one. Ford may be researching new methods to make money from its digital platforms, including monthly car services and features. Johnson, Scholes, and Whittington (2020) warn that having many various items might be problematic because distinct abilities may not operate well together and cost money to fix.</w:t>
      </w:r>
    </w:p>
    <w:p w14:paraId="6082AE02" w14:textId="77777777" w:rsidR="006572D5" w:rsidRPr="006E4AB7" w:rsidRDefault="006572D5" w:rsidP="006572D5">
      <w:r w:rsidRPr="006E4AB7">
        <w:t>Consider their growth risks to uncover them. The company has grown since focusing on electric transportation, but it needs new ideas. Ford must produce more electric cars while losing its old business. This complicates and costs more. Tesla makes more money because of its electricity association. Ford struggles to focus because it attempts to balance two strategy approaches.</w:t>
      </w:r>
    </w:p>
    <w:p w14:paraId="105A7B97" w14:textId="77777777" w:rsidR="009E586D" w:rsidRPr="009E586D" w:rsidRDefault="009E586D" w:rsidP="009E586D">
      <w:pPr>
        <w:pStyle w:val="Heading1"/>
        <w:rPr>
          <w:lang w:val="en-GB"/>
        </w:rPr>
      </w:pPr>
      <w:bookmarkStart w:id="10" w:name="_Toc223106812"/>
      <w:r w:rsidRPr="009E586D">
        <w:rPr>
          <w:lang w:val="en-GB"/>
        </w:rPr>
        <w:t>7. Critical Comparative Evaluation and Future Outlook</w:t>
      </w:r>
      <w:bookmarkEnd w:id="10"/>
    </w:p>
    <w:p w14:paraId="7A4402CE" w14:textId="77777777" w:rsidR="00FC41C9" w:rsidRDefault="00FC41C9" w:rsidP="009E586D">
      <w:pPr>
        <w:spacing w:before="100" w:beforeAutospacing="1" w:after="100" w:afterAutospacing="1"/>
        <w:rPr>
          <w:rFonts w:eastAsia="Times New Roman"/>
          <w:lang w:val="en-GB" w:eastAsia="en-GB"/>
        </w:rPr>
      </w:pPr>
      <w:r w:rsidRPr="00FC41C9">
        <w:rPr>
          <w:rFonts w:eastAsia="Times New Roman"/>
          <w:noProof/>
          <w:lang w:val="en-GB" w:eastAsia="en-GB"/>
        </w:rPr>
        <w:drawing>
          <wp:inline distT="0" distB="0" distL="0" distR="0" wp14:anchorId="135EB25A" wp14:editId="5095C6FE">
            <wp:extent cx="6390640" cy="41484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90640" cy="4148455"/>
                    </a:xfrm>
                    <a:prstGeom prst="rect">
                      <a:avLst/>
                    </a:prstGeom>
                  </pic:spPr>
                </pic:pic>
              </a:graphicData>
            </a:graphic>
          </wp:inline>
        </w:drawing>
      </w:r>
    </w:p>
    <w:p w14:paraId="1E2C8675" w14:textId="77777777" w:rsidR="00FC41C9" w:rsidRDefault="00FC41C9" w:rsidP="009E586D">
      <w:pPr>
        <w:spacing w:before="100" w:beforeAutospacing="1" w:after="100" w:afterAutospacing="1"/>
      </w:pPr>
      <w:r>
        <w:rPr>
          <w:rFonts w:eastAsia="Times New Roman"/>
          <w:lang w:val="en-GB" w:eastAsia="en-GB"/>
        </w:rPr>
        <w:t xml:space="preserve">Source: </w:t>
      </w:r>
      <w:r>
        <w:t>Author’s conceptual trend model using IEA (2024) industry data</w:t>
      </w:r>
    </w:p>
    <w:p w14:paraId="2D2F0674" w14:textId="77777777" w:rsidR="006572D5" w:rsidRDefault="006572D5" w:rsidP="006572D5"/>
    <w:p w14:paraId="001762B7" w14:textId="77777777" w:rsidR="006572D5" w:rsidRPr="006E4AB7" w:rsidRDefault="006572D5" w:rsidP="006572D5">
      <w:r w:rsidRPr="006E4AB7">
        <w:t>Tesla and Ford tech has improved over time, as seen by a line graph.</w:t>
      </w:r>
    </w:p>
    <w:p w14:paraId="1C32C067" w14:textId="77777777" w:rsidR="006572D5" w:rsidRPr="006E4AB7" w:rsidRDefault="006572D5" w:rsidP="006572D5"/>
    <w:p w14:paraId="620BF28E" w14:textId="77777777" w:rsidR="006572D5" w:rsidRDefault="006572D5" w:rsidP="006572D5">
      <w:r w:rsidRPr="006E4AB7">
        <w:t>Technology and law must work together for our business. As self-driving vehicles and battery technologies become more common, Li et al. (2020) say the gap between leading technological companies may narrow. Competition may lower prices and build brand credibility. Profits could fall if subsidies are reduced or geopolitical conflicts restrict mineral flow (US Department of Energy, 2023). Policy obscures things.</w:t>
      </w:r>
    </w:p>
    <w:p w14:paraId="7F650F78" w14:textId="77777777" w:rsidR="006572D5" w:rsidRPr="006E4AB7" w:rsidRDefault="006572D5" w:rsidP="006572D5"/>
    <w:p w14:paraId="630F5F49" w14:textId="77777777" w:rsidR="006572D5" w:rsidRPr="006E4AB7" w:rsidRDefault="006572D5" w:rsidP="006572D5">
      <w:r w:rsidRPr="006E4AB7">
        <w:t>Tesla's unique brand, electric car focus, and ecosystem connections seem to be working nicely. Ford is a powerful, experienced firm, so changes are unlikely to damage it. A business that can adapt to changing politics and technology will outperform its competition.</w:t>
      </w:r>
    </w:p>
    <w:p w14:paraId="5FC7548D" w14:textId="77777777" w:rsidR="009E586D" w:rsidRPr="009E586D" w:rsidRDefault="009E586D" w:rsidP="009E586D">
      <w:pPr>
        <w:rPr>
          <w:rFonts w:eastAsia="Times New Roman"/>
          <w:lang w:val="en-GB" w:eastAsia="en-GB"/>
        </w:rPr>
      </w:pPr>
    </w:p>
    <w:p w14:paraId="7D0387AD" w14:textId="77777777" w:rsidR="009E586D" w:rsidRPr="009E586D" w:rsidRDefault="009E586D" w:rsidP="009E586D">
      <w:pPr>
        <w:pStyle w:val="Heading1"/>
        <w:rPr>
          <w:lang w:val="en-GB"/>
        </w:rPr>
      </w:pPr>
      <w:bookmarkStart w:id="11" w:name="_Toc223106813"/>
      <w:r w:rsidRPr="009E586D">
        <w:rPr>
          <w:lang w:val="en-GB"/>
        </w:rPr>
        <w:t>8. Conclusion</w:t>
      </w:r>
      <w:bookmarkEnd w:id="11"/>
    </w:p>
    <w:p w14:paraId="0B78EB9E" w14:textId="77777777" w:rsidR="006572D5" w:rsidRDefault="006572D5" w:rsidP="006572D5"/>
    <w:p w14:paraId="38F3B1F0" w14:textId="77777777" w:rsidR="006572D5" w:rsidRPr="006E4AB7" w:rsidRDefault="006572D5" w:rsidP="006572D5">
      <w:r w:rsidRPr="006E4AB7">
        <w:t xml:space="preserve">This study extensively examined how political and technological macro-environmental factors affect electric car competitive positioning, with Tesla leading and Ford second. Better batteries and smart ecosystems have helped Tesla maintain its first-mover advantage. Lawmakers have also assisted electric car manufacturers. Ford's latest strategy choices indicate a shift toward focused individualism and flexible variation, though we don't know how. Based on </w:t>
      </w:r>
      <w:proofErr w:type="spellStart"/>
      <w:r w:rsidRPr="006E4AB7">
        <w:t>Ansoff's</w:t>
      </w:r>
      <w:proofErr w:type="spellEnd"/>
      <w:r w:rsidRPr="006E4AB7">
        <w:t xml:space="preserve"> Growth Matrix and Porter's Generic Strategies, Tesla's integrated hybrid posture may be stronger. Rules and technology are weak in the company's power structure. This study shows that marketing managers in dynamic markets must use new knowledge, expertise, and growth goals to create new ideas.</w:t>
      </w:r>
    </w:p>
    <w:p w14:paraId="77FE1E19" w14:textId="77777777" w:rsidR="009E586D" w:rsidRDefault="009E586D" w:rsidP="001C7691">
      <w:pPr>
        <w:rPr>
          <w:rStyle w:val="Strong"/>
          <w:b w:val="0"/>
          <w:bCs w:val="0"/>
        </w:rPr>
      </w:pPr>
    </w:p>
    <w:p w14:paraId="6AD5A415" w14:textId="77777777" w:rsidR="0009084A" w:rsidRDefault="0009084A" w:rsidP="001C7691">
      <w:pPr>
        <w:rPr>
          <w:rStyle w:val="Strong"/>
          <w:b w:val="0"/>
          <w:bCs w:val="0"/>
        </w:rPr>
      </w:pPr>
    </w:p>
    <w:p w14:paraId="2104B556" w14:textId="77777777" w:rsidR="0009084A" w:rsidRDefault="0009084A" w:rsidP="001C7691">
      <w:pPr>
        <w:rPr>
          <w:rStyle w:val="Strong"/>
          <w:b w:val="0"/>
          <w:bCs w:val="0"/>
        </w:rPr>
      </w:pPr>
    </w:p>
    <w:p w14:paraId="4CAD79E3" w14:textId="77777777" w:rsidR="006572D5" w:rsidRDefault="006572D5" w:rsidP="001C7691">
      <w:pPr>
        <w:rPr>
          <w:rStyle w:val="Strong"/>
          <w:b w:val="0"/>
          <w:bCs w:val="0"/>
        </w:rPr>
      </w:pPr>
    </w:p>
    <w:p w14:paraId="3629C48B" w14:textId="77777777" w:rsidR="006572D5" w:rsidRDefault="006572D5" w:rsidP="001C7691">
      <w:pPr>
        <w:rPr>
          <w:rStyle w:val="Strong"/>
          <w:b w:val="0"/>
          <w:bCs w:val="0"/>
        </w:rPr>
      </w:pPr>
    </w:p>
    <w:p w14:paraId="7B65E27B" w14:textId="77777777" w:rsidR="006572D5" w:rsidRDefault="006572D5" w:rsidP="001C7691">
      <w:pPr>
        <w:rPr>
          <w:rStyle w:val="Strong"/>
          <w:b w:val="0"/>
          <w:bCs w:val="0"/>
        </w:rPr>
      </w:pPr>
    </w:p>
    <w:p w14:paraId="0EAE8EA9" w14:textId="77777777" w:rsidR="006572D5" w:rsidRDefault="006572D5" w:rsidP="001C7691">
      <w:pPr>
        <w:rPr>
          <w:rStyle w:val="Strong"/>
          <w:b w:val="0"/>
          <w:bCs w:val="0"/>
        </w:rPr>
      </w:pPr>
    </w:p>
    <w:p w14:paraId="59A3942D" w14:textId="77777777" w:rsidR="006572D5" w:rsidRDefault="006572D5" w:rsidP="001C7691">
      <w:pPr>
        <w:rPr>
          <w:rStyle w:val="Strong"/>
          <w:b w:val="0"/>
          <w:bCs w:val="0"/>
        </w:rPr>
      </w:pPr>
    </w:p>
    <w:p w14:paraId="737877AF" w14:textId="77777777" w:rsidR="006572D5" w:rsidRDefault="006572D5" w:rsidP="001C7691">
      <w:pPr>
        <w:rPr>
          <w:rStyle w:val="Strong"/>
          <w:b w:val="0"/>
          <w:bCs w:val="0"/>
        </w:rPr>
      </w:pPr>
    </w:p>
    <w:p w14:paraId="6F945FA5" w14:textId="77777777" w:rsidR="006572D5" w:rsidRDefault="006572D5" w:rsidP="001C7691">
      <w:pPr>
        <w:rPr>
          <w:rStyle w:val="Strong"/>
          <w:b w:val="0"/>
          <w:bCs w:val="0"/>
        </w:rPr>
      </w:pPr>
    </w:p>
    <w:p w14:paraId="2A262C83" w14:textId="77777777" w:rsidR="006572D5" w:rsidRDefault="006572D5" w:rsidP="001C7691">
      <w:pPr>
        <w:rPr>
          <w:rStyle w:val="Strong"/>
          <w:b w:val="0"/>
          <w:bCs w:val="0"/>
        </w:rPr>
      </w:pPr>
    </w:p>
    <w:p w14:paraId="158662E7" w14:textId="77777777" w:rsidR="006572D5" w:rsidRDefault="006572D5" w:rsidP="001C7691">
      <w:pPr>
        <w:rPr>
          <w:rStyle w:val="Strong"/>
          <w:b w:val="0"/>
          <w:bCs w:val="0"/>
        </w:rPr>
      </w:pPr>
    </w:p>
    <w:p w14:paraId="5F8CEC11" w14:textId="77777777" w:rsidR="006572D5" w:rsidRDefault="006572D5" w:rsidP="001C7691">
      <w:pPr>
        <w:rPr>
          <w:rStyle w:val="Strong"/>
          <w:b w:val="0"/>
          <w:bCs w:val="0"/>
        </w:rPr>
      </w:pPr>
    </w:p>
    <w:p w14:paraId="3C493233" w14:textId="77777777" w:rsidR="006572D5" w:rsidRDefault="006572D5" w:rsidP="001C7691">
      <w:pPr>
        <w:rPr>
          <w:rStyle w:val="Strong"/>
          <w:b w:val="0"/>
          <w:bCs w:val="0"/>
        </w:rPr>
      </w:pPr>
    </w:p>
    <w:p w14:paraId="5F17A930" w14:textId="77777777" w:rsidR="009E586D" w:rsidRPr="009E586D" w:rsidRDefault="009E586D" w:rsidP="009E586D">
      <w:pPr>
        <w:pStyle w:val="Heading1"/>
      </w:pPr>
      <w:bookmarkStart w:id="12" w:name="_Toc223106814"/>
      <w:r w:rsidRPr="009E586D">
        <w:rPr>
          <w:rStyle w:val="Strong"/>
          <w:rFonts w:eastAsiaTheme="majorEastAsia"/>
          <w:b/>
          <w:bCs/>
        </w:rPr>
        <w:t>References</w:t>
      </w:r>
      <w:bookmarkEnd w:id="12"/>
    </w:p>
    <w:p w14:paraId="29C28E66" w14:textId="77777777" w:rsidR="009E586D" w:rsidRPr="009E586D" w:rsidRDefault="009E586D" w:rsidP="009E586D">
      <w:pPr>
        <w:pStyle w:val="NormalWeb"/>
        <w:spacing w:line="360" w:lineRule="auto"/>
      </w:pPr>
      <w:proofErr w:type="spellStart"/>
      <w:r w:rsidRPr="009E586D">
        <w:t>Ansoff</w:t>
      </w:r>
      <w:proofErr w:type="spellEnd"/>
      <w:r w:rsidRPr="009E586D">
        <w:t>, H.I. (1957) ‘Strategies for diversification’, Harvard Business Review, 35(5), pp. 113–124.</w:t>
      </w:r>
    </w:p>
    <w:p w14:paraId="27DDB17A" w14:textId="77777777" w:rsidR="009E586D" w:rsidRPr="009E586D" w:rsidRDefault="009E586D" w:rsidP="009E586D">
      <w:pPr>
        <w:pStyle w:val="NormalWeb"/>
        <w:spacing w:line="360" w:lineRule="auto"/>
      </w:pPr>
      <w:proofErr w:type="spellStart"/>
      <w:r w:rsidRPr="009E586D">
        <w:t>BloombergNEF</w:t>
      </w:r>
      <w:proofErr w:type="spellEnd"/>
      <w:r w:rsidRPr="009E586D">
        <w:t xml:space="preserve"> (2023) Battery Price Survey 2023. Accessed on 25/02/2026. Available at: </w:t>
      </w:r>
      <w:hyperlink r:id="rId17" w:tgtFrame="_new" w:history="1">
        <w:r w:rsidRPr="009E586D">
          <w:rPr>
            <w:rStyle w:val="Hyperlink"/>
            <w:color w:val="auto"/>
            <w:u w:val="none"/>
          </w:rPr>
          <w:t>https://about.bnef.com</w:t>
        </w:r>
      </w:hyperlink>
    </w:p>
    <w:p w14:paraId="7EEE67AA" w14:textId="77777777" w:rsidR="009E586D" w:rsidRPr="009E586D" w:rsidRDefault="009E586D" w:rsidP="009E586D">
      <w:pPr>
        <w:pStyle w:val="NormalWeb"/>
        <w:spacing w:line="360" w:lineRule="auto"/>
      </w:pPr>
      <w:r w:rsidRPr="009E586D">
        <w:t>European Commission (2023) Fit for 55: Delivering the EU’s 2030 climate target. Accessed on 25/02/2026. Available at: https://climate.ec.europa.eu/eu-action/fit-for-55_en</w:t>
      </w:r>
    </w:p>
    <w:p w14:paraId="1B0BD680" w14:textId="77777777" w:rsidR="009E586D" w:rsidRPr="009E586D" w:rsidRDefault="009E586D" w:rsidP="009E586D">
      <w:pPr>
        <w:pStyle w:val="NormalWeb"/>
        <w:spacing w:line="360" w:lineRule="auto"/>
      </w:pPr>
      <w:r w:rsidRPr="009E586D">
        <w:t xml:space="preserve">IEA (2024) Global EV Outlook 2024. Accessed on 25/02/2026. Available at: </w:t>
      </w:r>
      <w:hyperlink r:id="rId18" w:tgtFrame="_new" w:history="1">
        <w:r w:rsidRPr="009E586D">
          <w:rPr>
            <w:rStyle w:val="Hyperlink"/>
            <w:color w:val="auto"/>
            <w:u w:val="none"/>
          </w:rPr>
          <w:t>https://www.iea.org/reports/global-ev-outlook-2024</w:t>
        </w:r>
      </w:hyperlink>
    </w:p>
    <w:p w14:paraId="3030BC00" w14:textId="77777777" w:rsidR="009E586D" w:rsidRPr="009E586D" w:rsidRDefault="009E586D" w:rsidP="009E586D">
      <w:pPr>
        <w:pStyle w:val="NormalWeb"/>
        <w:spacing w:line="360" w:lineRule="auto"/>
      </w:pPr>
      <w:r w:rsidRPr="009E586D">
        <w:t xml:space="preserve">Johnson, G., Scholes, R. and Whittington, R. (2020) Exploring Strategy. 12th </w:t>
      </w:r>
      <w:proofErr w:type="spellStart"/>
      <w:r w:rsidRPr="009E586D">
        <w:t>edn</w:t>
      </w:r>
      <w:proofErr w:type="spellEnd"/>
      <w:r w:rsidRPr="009E586D">
        <w:t>. Harlow: Pearson.</w:t>
      </w:r>
    </w:p>
    <w:p w14:paraId="58A91B20" w14:textId="77777777" w:rsidR="009E586D" w:rsidRPr="009E586D" w:rsidRDefault="009E586D" w:rsidP="009E586D">
      <w:pPr>
        <w:pStyle w:val="NormalWeb"/>
        <w:spacing w:line="360" w:lineRule="auto"/>
      </w:pPr>
      <w:r w:rsidRPr="009E586D">
        <w:t xml:space="preserve">Kotler, P. and Keller, K.L. (2016) Marketing Management. 15th </w:t>
      </w:r>
      <w:proofErr w:type="spellStart"/>
      <w:r w:rsidRPr="009E586D">
        <w:t>edn</w:t>
      </w:r>
      <w:proofErr w:type="spellEnd"/>
      <w:r w:rsidRPr="009E586D">
        <w:t>. Harlow: Pearson.</w:t>
      </w:r>
    </w:p>
    <w:p w14:paraId="6A826D45" w14:textId="77777777" w:rsidR="009E586D" w:rsidRPr="009E586D" w:rsidRDefault="009E586D" w:rsidP="009E586D">
      <w:pPr>
        <w:pStyle w:val="NormalWeb"/>
        <w:spacing w:line="360" w:lineRule="auto"/>
      </w:pPr>
      <w:r w:rsidRPr="009E586D">
        <w:t xml:space="preserve">Kumar, R.R., </w:t>
      </w:r>
      <w:proofErr w:type="spellStart"/>
      <w:r w:rsidRPr="009E586D">
        <w:t>Alok</w:t>
      </w:r>
      <w:proofErr w:type="spellEnd"/>
      <w:r w:rsidRPr="009E586D">
        <w:t>, K. and Gupta, A. (2021) ‘Consumer adoption of electric vehicles: A review and research agenda’, Transportation Research Part D, 99, 103000. https://doi.org/10.1016/j.trd.2021.103000</w:t>
      </w:r>
    </w:p>
    <w:p w14:paraId="28A6D752" w14:textId="77777777" w:rsidR="009E586D" w:rsidRPr="009E586D" w:rsidRDefault="009E586D" w:rsidP="009E586D">
      <w:pPr>
        <w:pStyle w:val="NormalWeb"/>
        <w:spacing w:line="360" w:lineRule="auto"/>
      </w:pPr>
      <w:r w:rsidRPr="009E586D">
        <w:t>Li, Y., Jiao, J. and Tang, Y. (2020) ‘Sustainable electric vehicle industry chain in China: A review’, Journal of Cleaner Production, 257, 120628. https://doi.org/10.1016/j.jclepro.2020.120628</w:t>
      </w:r>
    </w:p>
    <w:p w14:paraId="239F23CE" w14:textId="77777777" w:rsidR="009E586D" w:rsidRPr="009E586D" w:rsidRDefault="009E586D" w:rsidP="009E586D">
      <w:pPr>
        <w:pStyle w:val="NormalWeb"/>
        <w:spacing w:line="360" w:lineRule="auto"/>
      </w:pPr>
      <w:proofErr w:type="spellStart"/>
      <w:r w:rsidRPr="009E586D">
        <w:t>Markides</w:t>
      </w:r>
      <w:proofErr w:type="spellEnd"/>
      <w:r w:rsidRPr="009E586D">
        <w:t>, C. and Sosa, L. (2013) ‘Pioneering and first mover advantages’, Long Range Planning, 46(4–5), pp. 325–334. https://doi.org/10.1016/j.lrp.2013.06.003</w:t>
      </w:r>
    </w:p>
    <w:p w14:paraId="2B2D6676" w14:textId="77777777" w:rsidR="009E586D" w:rsidRPr="009E586D" w:rsidRDefault="009E586D" w:rsidP="009E586D">
      <w:pPr>
        <w:pStyle w:val="NormalWeb"/>
        <w:spacing w:line="360" w:lineRule="auto"/>
      </w:pPr>
      <w:proofErr w:type="spellStart"/>
      <w:r w:rsidRPr="009E586D">
        <w:t>Nambisan</w:t>
      </w:r>
      <w:proofErr w:type="spellEnd"/>
      <w:r w:rsidRPr="009E586D">
        <w:t>, S., Wright, M. and Feldman, M. (2017) ‘The digital transformation of innovation and entrepreneurship’, Research Policy, 46(8), pp. 1363–1369. https://doi.org/10.1016/j.respol.2017.05.005</w:t>
      </w:r>
    </w:p>
    <w:p w14:paraId="07C0816E" w14:textId="77777777" w:rsidR="009E586D" w:rsidRPr="009E586D" w:rsidRDefault="009E586D" w:rsidP="009E586D">
      <w:pPr>
        <w:pStyle w:val="NormalWeb"/>
        <w:spacing w:line="360" w:lineRule="auto"/>
      </w:pPr>
      <w:r w:rsidRPr="009E586D">
        <w:t>Porter, M.E. (1985) Competitive Advantage. New York: Free Press.</w:t>
      </w:r>
    </w:p>
    <w:p w14:paraId="7F321427" w14:textId="77777777" w:rsidR="009E586D" w:rsidRPr="009E586D" w:rsidRDefault="009E586D" w:rsidP="009E586D">
      <w:pPr>
        <w:pStyle w:val="NormalWeb"/>
        <w:spacing w:line="360" w:lineRule="auto"/>
      </w:pPr>
      <w:proofErr w:type="spellStart"/>
      <w:r w:rsidRPr="009E586D">
        <w:t>Rezvani</w:t>
      </w:r>
      <w:proofErr w:type="spellEnd"/>
      <w:r w:rsidRPr="009E586D">
        <w:t xml:space="preserve">, Z., </w:t>
      </w:r>
      <w:proofErr w:type="spellStart"/>
      <w:r w:rsidRPr="009E586D">
        <w:t>Jansson</w:t>
      </w:r>
      <w:proofErr w:type="spellEnd"/>
      <w:r w:rsidRPr="009E586D">
        <w:t xml:space="preserve">, J. and </w:t>
      </w:r>
      <w:proofErr w:type="spellStart"/>
      <w:r w:rsidRPr="009E586D">
        <w:t>Bodin</w:t>
      </w:r>
      <w:proofErr w:type="spellEnd"/>
      <w:r w:rsidRPr="009E586D">
        <w:t xml:space="preserve">, J. (2015) ‘Advances in consumer electric vehicle adoption research: A review and research agenda’, Transportation Research Part D, 34, pp. 122–136. </w:t>
      </w:r>
      <w:hyperlink r:id="rId19" w:tgtFrame="_new" w:history="1">
        <w:r w:rsidRPr="009E586D">
          <w:rPr>
            <w:rStyle w:val="Hyperlink"/>
            <w:color w:val="auto"/>
            <w:u w:val="none"/>
          </w:rPr>
          <w:t>https://doi.org/10.1016/j.trd.2014.10.010</w:t>
        </w:r>
      </w:hyperlink>
    </w:p>
    <w:p w14:paraId="3F3C090A" w14:textId="77777777" w:rsidR="009E586D" w:rsidRPr="009E586D" w:rsidRDefault="009E586D" w:rsidP="009E586D">
      <w:pPr>
        <w:pStyle w:val="NormalWeb"/>
        <w:spacing w:line="360" w:lineRule="auto"/>
      </w:pPr>
      <w:r w:rsidRPr="009E586D">
        <w:t xml:space="preserve">Scott, W.R. (2014) Institutions and Organizations: Ideas, Interests and Identities. 4th </w:t>
      </w:r>
      <w:proofErr w:type="spellStart"/>
      <w:r w:rsidRPr="009E586D">
        <w:t>edn</w:t>
      </w:r>
      <w:proofErr w:type="spellEnd"/>
      <w:r w:rsidRPr="009E586D">
        <w:t>. Thousand Oaks: Sage.</w:t>
      </w:r>
    </w:p>
    <w:p w14:paraId="7D339B9F" w14:textId="77777777" w:rsidR="009E586D" w:rsidRPr="009E586D" w:rsidRDefault="009E586D" w:rsidP="009E586D">
      <w:pPr>
        <w:pStyle w:val="NormalWeb"/>
        <w:spacing w:line="360" w:lineRule="auto"/>
      </w:pPr>
      <w:r w:rsidRPr="009E586D">
        <w:t xml:space="preserve">Suarez, F.F. and </w:t>
      </w:r>
      <w:proofErr w:type="spellStart"/>
      <w:r w:rsidRPr="009E586D">
        <w:t>Lanzolla</w:t>
      </w:r>
      <w:proofErr w:type="spellEnd"/>
      <w:r w:rsidRPr="009E586D">
        <w:t>, G. (2015) ‘The half-truth of first-mover advantage’, Harvard Business Review, 93(1–2), pp. 1–6.</w:t>
      </w:r>
    </w:p>
    <w:p w14:paraId="3FE61E8B" w14:textId="77777777" w:rsidR="009E586D" w:rsidRPr="009E586D" w:rsidRDefault="009E586D" w:rsidP="009E586D">
      <w:pPr>
        <w:pStyle w:val="NormalWeb"/>
        <w:spacing w:line="360" w:lineRule="auto"/>
      </w:pPr>
      <w:proofErr w:type="spellStart"/>
      <w:r w:rsidRPr="009E586D">
        <w:t>Teece</w:t>
      </w:r>
      <w:proofErr w:type="spellEnd"/>
      <w:r w:rsidRPr="009E586D">
        <w:t xml:space="preserve">, D.J. (2018) ‘Business models and dynamic capabilities’, Long Range Planning, 51(1), pp. 40–49. </w:t>
      </w:r>
      <w:hyperlink r:id="rId20" w:tgtFrame="_new" w:history="1">
        <w:r w:rsidRPr="009E586D">
          <w:rPr>
            <w:rStyle w:val="Hyperlink"/>
            <w:color w:val="auto"/>
            <w:u w:val="none"/>
          </w:rPr>
          <w:t>https://doi.org/10.1016/j.lrp.2017.06.007</w:t>
        </w:r>
      </w:hyperlink>
    </w:p>
    <w:p w14:paraId="7A2E9708" w14:textId="77777777" w:rsidR="009E586D" w:rsidRPr="009E586D" w:rsidRDefault="009E586D" w:rsidP="009E586D">
      <w:pPr>
        <w:pStyle w:val="NormalWeb"/>
        <w:spacing w:line="360" w:lineRule="auto"/>
      </w:pPr>
      <w:r w:rsidRPr="009E586D">
        <w:t xml:space="preserve">US Department of Energy (2023) Inflation Reduction Act EV incentives. Accessed on 25/02/2026. Available at: </w:t>
      </w:r>
      <w:hyperlink r:id="rId21" w:tgtFrame="_new" w:history="1">
        <w:r w:rsidRPr="009E586D">
          <w:rPr>
            <w:rStyle w:val="Hyperlink"/>
            <w:color w:val="auto"/>
            <w:u w:val="none"/>
          </w:rPr>
          <w:t>https://www.energy.gov/clean-energy</w:t>
        </w:r>
      </w:hyperlink>
    </w:p>
    <w:p w14:paraId="6864F442" w14:textId="77777777" w:rsidR="009E586D" w:rsidRPr="009E586D" w:rsidRDefault="009E586D" w:rsidP="009E586D">
      <w:pPr>
        <w:pStyle w:val="NormalWeb"/>
        <w:spacing w:line="360" w:lineRule="auto"/>
      </w:pPr>
      <w:r w:rsidRPr="009E586D">
        <w:t xml:space="preserve">Wells, P. and </w:t>
      </w:r>
      <w:proofErr w:type="spellStart"/>
      <w:r w:rsidRPr="009E586D">
        <w:t>Nieuwenhuis</w:t>
      </w:r>
      <w:proofErr w:type="spellEnd"/>
      <w:r w:rsidRPr="009E586D">
        <w:t>, P. (2018) ‘Transition failure: Understanding continuity in the automotive industry’, Technological Forecasting and Social Change, 130, pp. 1–13. https://doi.org/10.1016/j.techfore.2017.12.002</w:t>
      </w:r>
    </w:p>
    <w:p w14:paraId="03FB6677" w14:textId="77777777" w:rsidR="0009084A" w:rsidRDefault="0009084A" w:rsidP="001C7691">
      <w:pPr>
        <w:rPr>
          <w:rStyle w:val="Strong"/>
          <w:b w:val="0"/>
          <w:bCs w:val="0"/>
        </w:rPr>
      </w:pPr>
    </w:p>
    <w:p w14:paraId="5E969894" w14:textId="77777777" w:rsidR="0009084A" w:rsidRDefault="0009084A" w:rsidP="001C7691">
      <w:pPr>
        <w:rPr>
          <w:rStyle w:val="Strong"/>
          <w:b w:val="0"/>
          <w:bCs w:val="0"/>
        </w:rPr>
      </w:pPr>
    </w:p>
    <w:p w14:paraId="52684C31" w14:textId="77777777" w:rsidR="0009084A" w:rsidRDefault="0009084A" w:rsidP="001C7691">
      <w:pPr>
        <w:rPr>
          <w:rStyle w:val="Strong"/>
          <w:b w:val="0"/>
          <w:bCs w:val="0"/>
        </w:rPr>
      </w:pPr>
    </w:p>
    <w:p w14:paraId="063FD942" w14:textId="77777777" w:rsidR="0009084A" w:rsidRDefault="0009084A" w:rsidP="001C7691">
      <w:pPr>
        <w:rPr>
          <w:rStyle w:val="Strong"/>
          <w:b w:val="0"/>
          <w:bCs w:val="0"/>
        </w:rPr>
      </w:pPr>
    </w:p>
    <w:p w14:paraId="5A7E6A34" w14:textId="77777777" w:rsidR="0009084A" w:rsidRDefault="0009084A" w:rsidP="001C7691">
      <w:pPr>
        <w:rPr>
          <w:rStyle w:val="Strong"/>
          <w:b w:val="0"/>
          <w:bCs w:val="0"/>
        </w:rPr>
      </w:pPr>
    </w:p>
    <w:p w14:paraId="3EBD33B1" w14:textId="77777777" w:rsidR="0009084A" w:rsidRDefault="0009084A" w:rsidP="001C7691">
      <w:pPr>
        <w:rPr>
          <w:rStyle w:val="Strong"/>
          <w:b w:val="0"/>
          <w:bCs w:val="0"/>
        </w:rPr>
      </w:pPr>
    </w:p>
    <w:p w14:paraId="7B74EF3B" w14:textId="77777777" w:rsidR="0009084A" w:rsidRDefault="0009084A" w:rsidP="001C7691">
      <w:pPr>
        <w:rPr>
          <w:rStyle w:val="Strong"/>
          <w:b w:val="0"/>
          <w:bCs w:val="0"/>
        </w:rPr>
      </w:pPr>
    </w:p>
    <w:p w14:paraId="500A93C8" w14:textId="77777777" w:rsidR="0009084A" w:rsidRDefault="0009084A" w:rsidP="001C7691">
      <w:pPr>
        <w:rPr>
          <w:rStyle w:val="Strong"/>
          <w:b w:val="0"/>
          <w:bCs w:val="0"/>
        </w:rPr>
      </w:pPr>
    </w:p>
    <w:p w14:paraId="40D44855" w14:textId="77777777" w:rsidR="0009084A" w:rsidRDefault="0009084A" w:rsidP="001C7691">
      <w:pPr>
        <w:rPr>
          <w:rStyle w:val="Strong"/>
          <w:b w:val="0"/>
          <w:bCs w:val="0"/>
        </w:rPr>
      </w:pPr>
    </w:p>
    <w:p w14:paraId="2AE7B534" w14:textId="77777777" w:rsidR="0009084A" w:rsidRDefault="0009084A" w:rsidP="001C7691">
      <w:pPr>
        <w:rPr>
          <w:rStyle w:val="Strong"/>
          <w:b w:val="0"/>
          <w:bCs w:val="0"/>
        </w:rPr>
      </w:pPr>
    </w:p>
    <w:p w14:paraId="161F5AF1" w14:textId="77777777" w:rsidR="0009084A" w:rsidRDefault="0009084A" w:rsidP="001C7691">
      <w:pPr>
        <w:rPr>
          <w:rStyle w:val="Strong"/>
          <w:b w:val="0"/>
          <w:bCs w:val="0"/>
        </w:rPr>
      </w:pPr>
    </w:p>
    <w:p w14:paraId="4BF09B3A" w14:textId="77777777" w:rsidR="009342A8" w:rsidRDefault="009342A8" w:rsidP="001C7691">
      <w:pPr>
        <w:rPr>
          <w:rStyle w:val="Strong"/>
          <w:b w:val="0"/>
          <w:bCs w:val="0"/>
        </w:rPr>
      </w:pPr>
    </w:p>
    <w:sectPr w:rsidR="009342A8" w:rsidSect="009577CE">
      <w:headerReference w:type="default" r:id="rId22"/>
      <w:footerReference w:type="default" r:id="rId23"/>
      <w:pgSz w:w="12240" w:h="15840"/>
      <w:pgMar w:top="1440" w:right="900" w:bottom="993" w:left="1276" w:header="720" w:footer="415"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14425" w14:textId="77777777" w:rsidR="00BF15F4" w:rsidRDefault="00BF15F4" w:rsidP="006B6657">
      <w:r>
        <w:separator/>
      </w:r>
    </w:p>
  </w:endnote>
  <w:endnote w:type="continuationSeparator" w:id="0">
    <w:p w14:paraId="443D5486" w14:textId="77777777" w:rsidR="00BF15F4" w:rsidRDefault="00BF15F4"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363184"/>
      <w:docPartObj>
        <w:docPartGallery w:val="Page Numbers (Bottom of Page)"/>
        <w:docPartUnique/>
      </w:docPartObj>
    </w:sdtPr>
    <w:sdtEndPr>
      <w:rPr>
        <w:noProof/>
      </w:rPr>
    </w:sdtEndPr>
    <w:sdtContent>
      <w:p w14:paraId="69341A7B" w14:textId="77777777" w:rsidR="00E474BB" w:rsidRDefault="00E474BB" w:rsidP="00C00FA7">
        <w:pPr>
          <w:pStyle w:val="Footer"/>
          <w:jc w:val="center"/>
        </w:pPr>
        <w:r>
          <w:fldChar w:fldCharType="begin"/>
        </w:r>
        <w:r>
          <w:instrText xml:space="preserve"> PAGE   \* MERGEFORMAT </w:instrText>
        </w:r>
        <w:r>
          <w:fldChar w:fldCharType="separate"/>
        </w:r>
        <w:r w:rsidR="00E14ECA">
          <w:rPr>
            <w:noProof/>
          </w:rPr>
          <w:t>2</w:t>
        </w:r>
        <w:r>
          <w:rPr>
            <w:noProof/>
          </w:rPr>
          <w:fldChar w:fldCharType="end"/>
        </w:r>
      </w:p>
    </w:sdtContent>
  </w:sdt>
  <w:p w14:paraId="0EE8D5A6" w14:textId="77777777" w:rsidR="00E474BB" w:rsidRDefault="00E474BB" w:rsidP="009577CE">
    <w:pPr>
      <w:pStyle w:val="NormalWeb"/>
      <w:tabs>
        <w:tab w:val="left" w:pos="1670"/>
      </w:tabs>
      <w:jc w:val="both"/>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B743B" w14:textId="77777777" w:rsidR="00BF15F4" w:rsidRDefault="00BF15F4" w:rsidP="006B6657">
      <w:r>
        <w:separator/>
      </w:r>
    </w:p>
  </w:footnote>
  <w:footnote w:type="continuationSeparator" w:id="0">
    <w:p w14:paraId="7A06D143" w14:textId="77777777" w:rsidR="00BF15F4" w:rsidRDefault="00BF15F4"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F820B" w14:textId="77777777" w:rsidR="00E474BB" w:rsidRDefault="00E474BB" w:rsidP="00761BA9">
    <w:pPr>
      <w:pStyle w:val="Header"/>
      <w:ind w:left="6480"/>
    </w:pP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719E5"/>
    <w:multiLevelType w:val="multilevel"/>
    <w:tmpl w:val="232A54C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0BC4D3D"/>
    <w:multiLevelType w:val="multilevel"/>
    <w:tmpl w:val="D8D29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D50F1"/>
    <w:multiLevelType w:val="multilevel"/>
    <w:tmpl w:val="C98A4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55812"/>
    <w:multiLevelType w:val="multilevel"/>
    <w:tmpl w:val="EABCB12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A2B0C25"/>
    <w:multiLevelType w:val="multilevel"/>
    <w:tmpl w:val="4454D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9D036E"/>
    <w:multiLevelType w:val="multilevel"/>
    <w:tmpl w:val="8A124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4A7455"/>
    <w:multiLevelType w:val="multilevel"/>
    <w:tmpl w:val="717E6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B823B6"/>
    <w:multiLevelType w:val="multilevel"/>
    <w:tmpl w:val="695A1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0E0757"/>
    <w:multiLevelType w:val="multilevel"/>
    <w:tmpl w:val="861ED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A722CC"/>
    <w:multiLevelType w:val="multilevel"/>
    <w:tmpl w:val="6E123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1C0179"/>
    <w:multiLevelType w:val="multilevel"/>
    <w:tmpl w:val="5992A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98042E"/>
    <w:multiLevelType w:val="multilevel"/>
    <w:tmpl w:val="151664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EC23DC"/>
    <w:multiLevelType w:val="multilevel"/>
    <w:tmpl w:val="C41AA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E72B7C"/>
    <w:multiLevelType w:val="multilevel"/>
    <w:tmpl w:val="E9E0E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3025E2"/>
    <w:multiLevelType w:val="multilevel"/>
    <w:tmpl w:val="1ED66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A82C9E"/>
    <w:multiLevelType w:val="multilevel"/>
    <w:tmpl w:val="A8FAE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6A434A"/>
    <w:multiLevelType w:val="multilevel"/>
    <w:tmpl w:val="6840D6DC"/>
    <w:lvl w:ilvl="0">
      <w:start w:val="1"/>
      <w:numFmt w:val="decimal"/>
      <w:lvlText w:val="%1"/>
      <w:lvlJc w:val="left"/>
      <w:pPr>
        <w:ind w:left="470" w:hanging="470"/>
      </w:pPr>
      <w:rPr>
        <w:rFonts w:hint="default"/>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1073CE7"/>
    <w:multiLevelType w:val="multilevel"/>
    <w:tmpl w:val="5AF86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12255A"/>
    <w:multiLevelType w:val="multilevel"/>
    <w:tmpl w:val="568EE8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984225"/>
    <w:multiLevelType w:val="multilevel"/>
    <w:tmpl w:val="9F82C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C25B4A"/>
    <w:multiLevelType w:val="multilevel"/>
    <w:tmpl w:val="F3B2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0B4BC0"/>
    <w:multiLevelType w:val="multilevel"/>
    <w:tmpl w:val="AF68D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A055C6"/>
    <w:multiLevelType w:val="multilevel"/>
    <w:tmpl w:val="98323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7547EE"/>
    <w:multiLevelType w:val="multilevel"/>
    <w:tmpl w:val="855CA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165214"/>
    <w:multiLevelType w:val="multilevel"/>
    <w:tmpl w:val="423ED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CB4052"/>
    <w:multiLevelType w:val="hybridMultilevel"/>
    <w:tmpl w:val="7FF2064E"/>
    <w:lvl w:ilvl="0" w:tplc="39528E96">
      <w:numFmt w:val="bullet"/>
      <w:lvlText w:val=""/>
      <w:lvlJc w:val="left"/>
      <w:pPr>
        <w:ind w:left="810" w:hanging="360"/>
      </w:pPr>
      <w:rPr>
        <w:rFonts w:ascii="Wingdings" w:eastAsia="Wingdings" w:hAnsi="Wingdings" w:cs="Wingdings" w:hint="default"/>
        <w:b w:val="0"/>
        <w:bCs w:val="0"/>
        <w:i w:val="0"/>
        <w:iCs w:val="0"/>
        <w:spacing w:val="0"/>
        <w:w w:val="100"/>
        <w:sz w:val="22"/>
        <w:szCs w:val="22"/>
        <w:lang w:val="en-US" w:eastAsia="en-US" w:bidi="ar-SA"/>
      </w:rPr>
    </w:lvl>
    <w:lvl w:ilvl="1" w:tplc="8D42B98E">
      <w:numFmt w:val="bullet"/>
      <w:lvlText w:val="o"/>
      <w:lvlJc w:val="left"/>
      <w:pPr>
        <w:ind w:left="1530" w:hanging="360"/>
      </w:pPr>
      <w:rPr>
        <w:rFonts w:ascii="Courier New" w:eastAsia="Courier New" w:hAnsi="Courier New" w:cs="Courier New" w:hint="default"/>
        <w:b w:val="0"/>
        <w:bCs w:val="0"/>
        <w:i w:val="0"/>
        <w:iCs w:val="0"/>
        <w:spacing w:val="0"/>
        <w:w w:val="100"/>
        <w:sz w:val="22"/>
        <w:szCs w:val="22"/>
        <w:lang w:val="en-US" w:eastAsia="en-US" w:bidi="ar-SA"/>
      </w:rPr>
    </w:lvl>
    <w:lvl w:ilvl="2" w:tplc="F06E5C4A">
      <w:numFmt w:val="bullet"/>
      <w:lvlText w:val="•"/>
      <w:lvlJc w:val="left"/>
      <w:pPr>
        <w:ind w:left="2360" w:hanging="360"/>
      </w:pPr>
      <w:rPr>
        <w:rFonts w:hint="default"/>
        <w:lang w:val="en-US" w:eastAsia="en-US" w:bidi="ar-SA"/>
      </w:rPr>
    </w:lvl>
    <w:lvl w:ilvl="3" w:tplc="14D6A6B4">
      <w:numFmt w:val="bullet"/>
      <w:lvlText w:val="•"/>
      <w:lvlJc w:val="left"/>
      <w:pPr>
        <w:ind w:left="3181" w:hanging="360"/>
      </w:pPr>
      <w:rPr>
        <w:rFonts w:hint="default"/>
        <w:lang w:val="en-US" w:eastAsia="en-US" w:bidi="ar-SA"/>
      </w:rPr>
    </w:lvl>
    <w:lvl w:ilvl="4" w:tplc="C8CCC270">
      <w:numFmt w:val="bullet"/>
      <w:lvlText w:val="•"/>
      <w:lvlJc w:val="left"/>
      <w:pPr>
        <w:ind w:left="4002" w:hanging="360"/>
      </w:pPr>
      <w:rPr>
        <w:rFonts w:hint="default"/>
        <w:lang w:val="en-US" w:eastAsia="en-US" w:bidi="ar-SA"/>
      </w:rPr>
    </w:lvl>
    <w:lvl w:ilvl="5" w:tplc="D090C6C6">
      <w:numFmt w:val="bullet"/>
      <w:lvlText w:val="•"/>
      <w:lvlJc w:val="left"/>
      <w:pPr>
        <w:ind w:left="4822" w:hanging="360"/>
      </w:pPr>
      <w:rPr>
        <w:rFonts w:hint="default"/>
        <w:lang w:val="en-US" w:eastAsia="en-US" w:bidi="ar-SA"/>
      </w:rPr>
    </w:lvl>
    <w:lvl w:ilvl="6" w:tplc="4C247B86">
      <w:numFmt w:val="bullet"/>
      <w:lvlText w:val="•"/>
      <w:lvlJc w:val="left"/>
      <w:pPr>
        <w:ind w:left="5643" w:hanging="360"/>
      </w:pPr>
      <w:rPr>
        <w:rFonts w:hint="default"/>
        <w:lang w:val="en-US" w:eastAsia="en-US" w:bidi="ar-SA"/>
      </w:rPr>
    </w:lvl>
    <w:lvl w:ilvl="7" w:tplc="2CB46B92">
      <w:numFmt w:val="bullet"/>
      <w:lvlText w:val="•"/>
      <w:lvlJc w:val="left"/>
      <w:pPr>
        <w:ind w:left="6464" w:hanging="360"/>
      </w:pPr>
      <w:rPr>
        <w:rFonts w:hint="default"/>
        <w:lang w:val="en-US" w:eastAsia="en-US" w:bidi="ar-SA"/>
      </w:rPr>
    </w:lvl>
    <w:lvl w:ilvl="8" w:tplc="26C4B258">
      <w:numFmt w:val="bullet"/>
      <w:lvlText w:val="•"/>
      <w:lvlJc w:val="left"/>
      <w:pPr>
        <w:ind w:left="7284" w:hanging="360"/>
      </w:pPr>
      <w:rPr>
        <w:rFonts w:hint="default"/>
        <w:lang w:val="en-US" w:eastAsia="en-US" w:bidi="ar-SA"/>
      </w:rPr>
    </w:lvl>
  </w:abstractNum>
  <w:abstractNum w:abstractNumId="26" w15:restartNumberingAfterBreak="0">
    <w:nsid w:val="765D26D0"/>
    <w:multiLevelType w:val="multilevel"/>
    <w:tmpl w:val="6FE2A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6F58B1"/>
    <w:multiLevelType w:val="multilevel"/>
    <w:tmpl w:val="8D22B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5F3493"/>
    <w:multiLevelType w:val="multilevel"/>
    <w:tmpl w:val="54FEF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842977"/>
    <w:multiLevelType w:val="multilevel"/>
    <w:tmpl w:val="0AF0181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E222B42"/>
    <w:multiLevelType w:val="multilevel"/>
    <w:tmpl w:val="80C0E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F9E2705"/>
    <w:multiLevelType w:val="multilevel"/>
    <w:tmpl w:val="6EA8B5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7551888">
    <w:abstractNumId w:val="16"/>
  </w:num>
  <w:num w:numId="2" w16cid:durableId="783158550">
    <w:abstractNumId w:val="9"/>
  </w:num>
  <w:num w:numId="3" w16cid:durableId="439110440">
    <w:abstractNumId w:val="30"/>
  </w:num>
  <w:num w:numId="4" w16cid:durableId="459153003">
    <w:abstractNumId w:val="8"/>
  </w:num>
  <w:num w:numId="5" w16cid:durableId="228998978">
    <w:abstractNumId w:val="10"/>
  </w:num>
  <w:num w:numId="6" w16cid:durableId="1925186364">
    <w:abstractNumId w:val="17"/>
  </w:num>
  <w:num w:numId="7" w16cid:durableId="1269237030">
    <w:abstractNumId w:val="14"/>
  </w:num>
  <w:num w:numId="8" w16cid:durableId="1297562150">
    <w:abstractNumId w:val="7"/>
  </w:num>
  <w:num w:numId="9" w16cid:durableId="1347630051">
    <w:abstractNumId w:val="26"/>
  </w:num>
  <w:num w:numId="10" w16cid:durableId="780799610">
    <w:abstractNumId w:val="13"/>
  </w:num>
  <w:num w:numId="11" w16cid:durableId="303236693">
    <w:abstractNumId w:val="1"/>
  </w:num>
  <w:num w:numId="12" w16cid:durableId="29885749">
    <w:abstractNumId w:val="28"/>
  </w:num>
  <w:num w:numId="13" w16cid:durableId="857737076">
    <w:abstractNumId w:val="24"/>
  </w:num>
  <w:num w:numId="14" w16cid:durableId="1490246575">
    <w:abstractNumId w:val="12"/>
  </w:num>
  <w:num w:numId="15" w16cid:durableId="2044285112">
    <w:abstractNumId w:val="22"/>
  </w:num>
  <w:num w:numId="16" w16cid:durableId="2073848554">
    <w:abstractNumId w:val="2"/>
  </w:num>
  <w:num w:numId="17" w16cid:durableId="1210999599">
    <w:abstractNumId w:val="23"/>
  </w:num>
  <w:num w:numId="18" w16cid:durableId="1765347181">
    <w:abstractNumId w:val="5"/>
  </w:num>
  <w:num w:numId="19" w16cid:durableId="722556278">
    <w:abstractNumId w:val="4"/>
  </w:num>
  <w:num w:numId="20" w16cid:durableId="207762670">
    <w:abstractNumId w:val="19"/>
  </w:num>
  <w:num w:numId="21" w16cid:durableId="722562036">
    <w:abstractNumId w:val="20"/>
  </w:num>
  <w:num w:numId="22" w16cid:durableId="711272458">
    <w:abstractNumId w:val="15"/>
  </w:num>
  <w:num w:numId="23" w16cid:durableId="603071537">
    <w:abstractNumId w:val="21"/>
  </w:num>
  <w:num w:numId="24" w16cid:durableId="106703448">
    <w:abstractNumId w:val="27"/>
  </w:num>
  <w:num w:numId="25" w16cid:durableId="163670166">
    <w:abstractNumId w:val="29"/>
  </w:num>
  <w:num w:numId="26" w16cid:durableId="392893388">
    <w:abstractNumId w:val="25"/>
  </w:num>
  <w:num w:numId="27" w16cid:durableId="1359894488">
    <w:abstractNumId w:val="3"/>
  </w:num>
  <w:num w:numId="28" w16cid:durableId="1956254555">
    <w:abstractNumId w:val="0"/>
  </w:num>
  <w:num w:numId="29" w16cid:durableId="555435087">
    <w:abstractNumId w:val="6"/>
  </w:num>
  <w:num w:numId="30" w16cid:durableId="822702894">
    <w:abstractNumId w:val="31"/>
  </w:num>
  <w:num w:numId="31" w16cid:durableId="1660037506">
    <w:abstractNumId w:val="18"/>
  </w:num>
  <w:num w:numId="32" w16cid:durableId="3961263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OoBQAsdzTNLgAAAA=="/>
  </w:docVars>
  <w:rsids>
    <w:rsidRoot w:val="001E061F"/>
    <w:rsid w:val="000005A5"/>
    <w:rsid w:val="00001573"/>
    <w:rsid w:val="00002A18"/>
    <w:rsid w:val="00002EBC"/>
    <w:rsid w:val="00002F89"/>
    <w:rsid w:val="0000406B"/>
    <w:rsid w:val="000047F9"/>
    <w:rsid w:val="00004883"/>
    <w:rsid w:val="000048F4"/>
    <w:rsid w:val="00005B35"/>
    <w:rsid w:val="000061AE"/>
    <w:rsid w:val="00007323"/>
    <w:rsid w:val="0000735A"/>
    <w:rsid w:val="000103F0"/>
    <w:rsid w:val="000125C6"/>
    <w:rsid w:val="00012E37"/>
    <w:rsid w:val="00012EB9"/>
    <w:rsid w:val="00012FE7"/>
    <w:rsid w:val="00013D2E"/>
    <w:rsid w:val="0001642E"/>
    <w:rsid w:val="00017152"/>
    <w:rsid w:val="00020B8B"/>
    <w:rsid w:val="00021747"/>
    <w:rsid w:val="00022B7F"/>
    <w:rsid w:val="00023CB3"/>
    <w:rsid w:val="00023EDD"/>
    <w:rsid w:val="00024B83"/>
    <w:rsid w:val="00024E34"/>
    <w:rsid w:val="0002571E"/>
    <w:rsid w:val="00025CF2"/>
    <w:rsid w:val="00026234"/>
    <w:rsid w:val="00027E16"/>
    <w:rsid w:val="000334FD"/>
    <w:rsid w:val="000339A8"/>
    <w:rsid w:val="000345D5"/>
    <w:rsid w:val="00034CB8"/>
    <w:rsid w:val="00035AF2"/>
    <w:rsid w:val="0003611A"/>
    <w:rsid w:val="00036711"/>
    <w:rsid w:val="000369C6"/>
    <w:rsid w:val="0003772D"/>
    <w:rsid w:val="00037B1F"/>
    <w:rsid w:val="00040183"/>
    <w:rsid w:val="0004058B"/>
    <w:rsid w:val="0004235C"/>
    <w:rsid w:val="00042E02"/>
    <w:rsid w:val="00044B72"/>
    <w:rsid w:val="00044BEA"/>
    <w:rsid w:val="00046ED3"/>
    <w:rsid w:val="00047CE2"/>
    <w:rsid w:val="000521C5"/>
    <w:rsid w:val="00052863"/>
    <w:rsid w:val="00055317"/>
    <w:rsid w:val="0005601A"/>
    <w:rsid w:val="0005718E"/>
    <w:rsid w:val="00062FF1"/>
    <w:rsid w:val="000636A1"/>
    <w:rsid w:val="0006381A"/>
    <w:rsid w:val="000655A2"/>
    <w:rsid w:val="0006680D"/>
    <w:rsid w:val="00070133"/>
    <w:rsid w:val="00070B5B"/>
    <w:rsid w:val="00070CCB"/>
    <w:rsid w:val="0007159C"/>
    <w:rsid w:val="00072861"/>
    <w:rsid w:val="0007341E"/>
    <w:rsid w:val="0007483B"/>
    <w:rsid w:val="00075E28"/>
    <w:rsid w:val="00076A7A"/>
    <w:rsid w:val="00076F6E"/>
    <w:rsid w:val="00077C8A"/>
    <w:rsid w:val="00081614"/>
    <w:rsid w:val="00081E62"/>
    <w:rsid w:val="00085217"/>
    <w:rsid w:val="00085930"/>
    <w:rsid w:val="000862D5"/>
    <w:rsid w:val="00086597"/>
    <w:rsid w:val="00087592"/>
    <w:rsid w:val="00087F42"/>
    <w:rsid w:val="00090076"/>
    <w:rsid w:val="0009074B"/>
    <w:rsid w:val="0009082F"/>
    <w:rsid w:val="0009084A"/>
    <w:rsid w:val="00092643"/>
    <w:rsid w:val="00092E42"/>
    <w:rsid w:val="00093383"/>
    <w:rsid w:val="00093954"/>
    <w:rsid w:val="00094050"/>
    <w:rsid w:val="000940A2"/>
    <w:rsid w:val="000940D9"/>
    <w:rsid w:val="0009665B"/>
    <w:rsid w:val="00097C95"/>
    <w:rsid w:val="000A0FC3"/>
    <w:rsid w:val="000A1697"/>
    <w:rsid w:val="000A3BED"/>
    <w:rsid w:val="000A3D6B"/>
    <w:rsid w:val="000A5BFA"/>
    <w:rsid w:val="000B167D"/>
    <w:rsid w:val="000B2186"/>
    <w:rsid w:val="000B247B"/>
    <w:rsid w:val="000B2DC6"/>
    <w:rsid w:val="000B3494"/>
    <w:rsid w:val="000B373F"/>
    <w:rsid w:val="000B3A45"/>
    <w:rsid w:val="000B44FB"/>
    <w:rsid w:val="000B4F33"/>
    <w:rsid w:val="000B5F81"/>
    <w:rsid w:val="000B6CC7"/>
    <w:rsid w:val="000B70FA"/>
    <w:rsid w:val="000B75F6"/>
    <w:rsid w:val="000C0767"/>
    <w:rsid w:val="000C0A78"/>
    <w:rsid w:val="000C14FE"/>
    <w:rsid w:val="000C1590"/>
    <w:rsid w:val="000C2B21"/>
    <w:rsid w:val="000C3FEC"/>
    <w:rsid w:val="000C42FC"/>
    <w:rsid w:val="000C4E2D"/>
    <w:rsid w:val="000C50B8"/>
    <w:rsid w:val="000C5FB1"/>
    <w:rsid w:val="000C65F3"/>
    <w:rsid w:val="000C67C1"/>
    <w:rsid w:val="000C6C82"/>
    <w:rsid w:val="000C71F6"/>
    <w:rsid w:val="000D138D"/>
    <w:rsid w:val="000D1B62"/>
    <w:rsid w:val="000D7CF5"/>
    <w:rsid w:val="000D7FEB"/>
    <w:rsid w:val="000E01F0"/>
    <w:rsid w:val="000E06DC"/>
    <w:rsid w:val="000E203C"/>
    <w:rsid w:val="000E2397"/>
    <w:rsid w:val="000E337B"/>
    <w:rsid w:val="000E3574"/>
    <w:rsid w:val="000E35B5"/>
    <w:rsid w:val="000E4F9C"/>
    <w:rsid w:val="000E50A6"/>
    <w:rsid w:val="000E513B"/>
    <w:rsid w:val="000E684C"/>
    <w:rsid w:val="000E6FBF"/>
    <w:rsid w:val="000E6FD1"/>
    <w:rsid w:val="000E7159"/>
    <w:rsid w:val="000F0587"/>
    <w:rsid w:val="000F0774"/>
    <w:rsid w:val="000F0B68"/>
    <w:rsid w:val="000F1907"/>
    <w:rsid w:val="000F1AB6"/>
    <w:rsid w:val="000F36BA"/>
    <w:rsid w:val="000F49ED"/>
    <w:rsid w:val="000F4A13"/>
    <w:rsid w:val="000F4DCC"/>
    <w:rsid w:val="000F6631"/>
    <w:rsid w:val="000F7136"/>
    <w:rsid w:val="000F7A30"/>
    <w:rsid w:val="00101084"/>
    <w:rsid w:val="001025B6"/>
    <w:rsid w:val="00102B3B"/>
    <w:rsid w:val="001036E4"/>
    <w:rsid w:val="00104775"/>
    <w:rsid w:val="001076DF"/>
    <w:rsid w:val="00107BFD"/>
    <w:rsid w:val="0011052E"/>
    <w:rsid w:val="00110F84"/>
    <w:rsid w:val="001122BA"/>
    <w:rsid w:val="001135ED"/>
    <w:rsid w:val="0011361B"/>
    <w:rsid w:val="00113AC5"/>
    <w:rsid w:val="00115B71"/>
    <w:rsid w:val="00117BAB"/>
    <w:rsid w:val="00117E07"/>
    <w:rsid w:val="00120716"/>
    <w:rsid w:val="00120D19"/>
    <w:rsid w:val="00121224"/>
    <w:rsid w:val="001222C0"/>
    <w:rsid w:val="00122E16"/>
    <w:rsid w:val="001230B9"/>
    <w:rsid w:val="00123229"/>
    <w:rsid w:val="00125761"/>
    <w:rsid w:val="00126D1E"/>
    <w:rsid w:val="001279E9"/>
    <w:rsid w:val="00127CAA"/>
    <w:rsid w:val="001302EB"/>
    <w:rsid w:val="00132088"/>
    <w:rsid w:val="001339B3"/>
    <w:rsid w:val="00134EC0"/>
    <w:rsid w:val="001377C7"/>
    <w:rsid w:val="00140B67"/>
    <w:rsid w:val="00140CBD"/>
    <w:rsid w:val="00141044"/>
    <w:rsid w:val="00141C7E"/>
    <w:rsid w:val="00143432"/>
    <w:rsid w:val="001438CB"/>
    <w:rsid w:val="0014541F"/>
    <w:rsid w:val="00145ECF"/>
    <w:rsid w:val="001467BB"/>
    <w:rsid w:val="00146847"/>
    <w:rsid w:val="001473BA"/>
    <w:rsid w:val="001475A7"/>
    <w:rsid w:val="00152013"/>
    <w:rsid w:val="001523EF"/>
    <w:rsid w:val="001530C0"/>
    <w:rsid w:val="00154CFE"/>
    <w:rsid w:val="00154E0E"/>
    <w:rsid w:val="001603BE"/>
    <w:rsid w:val="0016115F"/>
    <w:rsid w:val="00161656"/>
    <w:rsid w:val="00161A6C"/>
    <w:rsid w:val="00161C2A"/>
    <w:rsid w:val="00161E1C"/>
    <w:rsid w:val="00162BFE"/>
    <w:rsid w:val="00164B03"/>
    <w:rsid w:val="00165177"/>
    <w:rsid w:val="00166E0C"/>
    <w:rsid w:val="00170142"/>
    <w:rsid w:val="001701DA"/>
    <w:rsid w:val="00172ADD"/>
    <w:rsid w:val="00172CC3"/>
    <w:rsid w:val="00175406"/>
    <w:rsid w:val="00175574"/>
    <w:rsid w:val="00176B3C"/>
    <w:rsid w:val="0017775E"/>
    <w:rsid w:val="00177EAD"/>
    <w:rsid w:val="001802FB"/>
    <w:rsid w:val="001809E2"/>
    <w:rsid w:val="00181812"/>
    <w:rsid w:val="001847E1"/>
    <w:rsid w:val="0018495B"/>
    <w:rsid w:val="001853D4"/>
    <w:rsid w:val="00185683"/>
    <w:rsid w:val="00186088"/>
    <w:rsid w:val="00186694"/>
    <w:rsid w:val="001873A9"/>
    <w:rsid w:val="001875EE"/>
    <w:rsid w:val="00187DD4"/>
    <w:rsid w:val="001904DA"/>
    <w:rsid w:val="00190B8C"/>
    <w:rsid w:val="00194106"/>
    <w:rsid w:val="001944EA"/>
    <w:rsid w:val="0019611A"/>
    <w:rsid w:val="00196A72"/>
    <w:rsid w:val="001A2602"/>
    <w:rsid w:val="001A2A55"/>
    <w:rsid w:val="001A2D0F"/>
    <w:rsid w:val="001A3F89"/>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1B28"/>
    <w:rsid w:val="001C26D3"/>
    <w:rsid w:val="001C39F5"/>
    <w:rsid w:val="001C3E0A"/>
    <w:rsid w:val="001C3F2D"/>
    <w:rsid w:val="001C47AE"/>
    <w:rsid w:val="001C5C01"/>
    <w:rsid w:val="001C707B"/>
    <w:rsid w:val="001C7691"/>
    <w:rsid w:val="001C7A06"/>
    <w:rsid w:val="001D114D"/>
    <w:rsid w:val="001D1B32"/>
    <w:rsid w:val="001D26AE"/>
    <w:rsid w:val="001D3967"/>
    <w:rsid w:val="001D3CB2"/>
    <w:rsid w:val="001D440C"/>
    <w:rsid w:val="001D45A3"/>
    <w:rsid w:val="001E04B0"/>
    <w:rsid w:val="001E061F"/>
    <w:rsid w:val="001E28FF"/>
    <w:rsid w:val="001E39C4"/>
    <w:rsid w:val="001E3DB9"/>
    <w:rsid w:val="001E441B"/>
    <w:rsid w:val="001E4FC0"/>
    <w:rsid w:val="001E6236"/>
    <w:rsid w:val="001E65A3"/>
    <w:rsid w:val="001F0DD1"/>
    <w:rsid w:val="001F141F"/>
    <w:rsid w:val="001F6445"/>
    <w:rsid w:val="001F644A"/>
    <w:rsid w:val="001F6F14"/>
    <w:rsid w:val="001F7F88"/>
    <w:rsid w:val="0020087B"/>
    <w:rsid w:val="00201A13"/>
    <w:rsid w:val="00202CA8"/>
    <w:rsid w:val="00203816"/>
    <w:rsid w:val="0020472A"/>
    <w:rsid w:val="00205B23"/>
    <w:rsid w:val="00206F5D"/>
    <w:rsid w:val="002073CF"/>
    <w:rsid w:val="00207911"/>
    <w:rsid w:val="00207A96"/>
    <w:rsid w:val="0021141D"/>
    <w:rsid w:val="002123BF"/>
    <w:rsid w:val="00212996"/>
    <w:rsid w:val="0021304D"/>
    <w:rsid w:val="00213749"/>
    <w:rsid w:val="00213EE7"/>
    <w:rsid w:val="002146F4"/>
    <w:rsid w:val="00214858"/>
    <w:rsid w:val="00214B0E"/>
    <w:rsid w:val="0021632C"/>
    <w:rsid w:val="00216A00"/>
    <w:rsid w:val="00217ECC"/>
    <w:rsid w:val="00220063"/>
    <w:rsid w:val="00220561"/>
    <w:rsid w:val="002222E4"/>
    <w:rsid w:val="00223AB9"/>
    <w:rsid w:val="00224548"/>
    <w:rsid w:val="0022468A"/>
    <w:rsid w:val="0022476B"/>
    <w:rsid w:val="00224A7A"/>
    <w:rsid w:val="00225064"/>
    <w:rsid w:val="002254B1"/>
    <w:rsid w:val="00225744"/>
    <w:rsid w:val="002257B5"/>
    <w:rsid w:val="002260A3"/>
    <w:rsid w:val="00226DB7"/>
    <w:rsid w:val="002278B0"/>
    <w:rsid w:val="00227D08"/>
    <w:rsid w:val="00227F2C"/>
    <w:rsid w:val="00231908"/>
    <w:rsid w:val="002339C8"/>
    <w:rsid w:val="00235DED"/>
    <w:rsid w:val="0023606B"/>
    <w:rsid w:val="002366DD"/>
    <w:rsid w:val="00237100"/>
    <w:rsid w:val="00237198"/>
    <w:rsid w:val="002400E3"/>
    <w:rsid w:val="00241F7A"/>
    <w:rsid w:val="00242B78"/>
    <w:rsid w:val="0024395C"/>
    <w:rsid w:val="00245581"/>
    <w:rsid w:val="00251375"/>
    <w:rsid w:val="00252A27"/>
    <w:rsid w:val="00252E51"/>
    <w:rsid w:val="0025431F"/>
    <w:rsid w:val="00254666"/>
    <w:rsid w:val="00254EF4"/>
    <w:rsid w:val="00255593"/>
    <w:rsid w:val="00256917"/>
    <w:rsid w:val="0026016B"/>
    <w:rsid w:val="00260C2D"/>
    <w:rsid w:val="002618D6"/>
    <w:rsid w:val="0026379C"/>
    <w:rsid w:val="002652F5"/>
    <w:rsid w:val="00265646"/>
    <w:rsid w:val="00266CDD"/>
    <w:rsid w:val="0026710F"/>
    <w:rsid w:val="00270208"/>
    <w:rsid w:val="00271F80"/>
    <w:rsid w:val="00272A28"/>
    <w:rsid w:val="00272A9A"/>
    <w:rsid w:val="00272E7C"/>
    <w:rsid w:val="002738F7"/>
    <w:rsid w:val="002751FA"/>
    <w:rsid w:val="00275B0E"/>
    <w:rsid w:val="002767A6"/>
    <w:rsid w:val="00276AFE"/>
    <w:rsid w:val="00277510"/>
    <w:rsid w:val="002807B7"/>
    <w:rsid w:val="00280D44"/>
    <w:rsid w:val="002819B3"/>
    <w:rsid w:val="0028351D"/>
    <w:rsid w:val="00283E5D"/>
    <w:rsid w:val="00284A63"/>
    <w:rsid w:val="00284AC4"/>
    <w:rsid w:val="00285156"/>
    <w:rsid w:val="002857AB"/>
    <w:rsid w:val="00287B49"/>
    <w:rsid w:val="0029036B"/>
    <w:rsid w:val="002906A4"/>
    <w:rsid w:val="00290DA4"/>
    <w:rsid w:val="002945B4"/>
    <w:rsid w:val="002945D7"/>
    <w:rsid w:val="00294940"/>
    <w:rsid w:val="0029543F"/>
    <w:rsid w:val="00296DF6"/>
    <w:rsid w:val="0029798A"/>
    <w:rsid w:val="00297C4A"/>
    <w:rsid w:val="002A0058"/>
    <w:rsid w:val="002A0134"/>
    <w:rsid w:val="002A0425"/>
    <w:rsid w:val="002A0E63"/>
    <w:rsid w:val="002A0F0F"/>
    <w:rsid w:val="002A14F7"/>
    <w:rsid w:val="002A16F7"/>
    <w:rsid w:val="002A1E3E"/>
    <w:rsid w:val="002A2B2C"/>
    <w:rsid w:val="002A5843"/>
    <w:rsid w:val="002A5B01"/>
    <w:rsid w:val="002A5DE2"/>
    <w:rsid w:val="002A6440"/>
    <w:rsid w:val="002A7158"/>
    <w:rsid w:val="002A757A"/>
    <w:rsid w:val="002A7E53"/>
    <w:rsid w:val="002B1E44"/>
    <w:rsid w:val="002B23F5"/>
    <w:rsid w:val="002B255E"/>
    <w:rsid w:val="002B2DCD"/>
    <w:rsid w:val="002B323E"/>
    <w:rsid w:val="002B4434"/>
    <w:rsid w:val="002B7239"/>
    <w:rsid w:val="002B7CB0"/>
    <w:rsid w:val="002B7CB1"/>
    <w:rsid w:val="002C15F4"/>
    <w:rsid w:val="002C2D18"/>
    <w:rsid w:val="002C358B"/>
    <w:rsid w:val="002C410B"/>
    <w:rsid w:val="002C478F"/>
    <w:rsid w:val="002C621D"/>
    <w:rsid w:val="002C621E"/>
    <w:rsid w:val="002C7C61"/>
    <w:rsid w:val="002D00FD"/>
    <w:rsid w:val="002D04DC"/>
    <w:rsid w:val="002D0986"/>
    <w:rsid w:val="002D0C85"/>
    <w:rsid w:val="002D452E"/>
    <w:rsid w:val="002D4982"/>
    <w:rsid w:val="002D5A8F"/>
    <w:rsid w:val="002D5D7A"/>
    <w:rsid w:val="002D6F00"/>
    <w:rsid w:val="002D7855"/>
    <w:rsid w:val="002E0244"/>
    <w:rsid w:val="002E039E"/>
    <w:rsid w:val="002E07FC"/>
    <w:rsid w:val="002E10B1"/>
    <w:rsid w:val="002E1124"/>
    <w:rsid w:val="002E2C20"/>
    <w:rsid w:val="002E316E"/>
    <w:rsid w:val="002E3F57"/>
    <w:rsid w:val="002E4375"/>
    <w:rsid w:val="002E4C95"/>
    <w:rsid w:val="002E5114"/>
    <w:rsid w:val="002E78AF"/>
    <w:rsid w:val="002F13B5"/>
    <w:rsid w:val="002F1AD9"/>
    <w:rsid w:val="002F21E9"/>
    <w:rsid w:val="002F22ED"/>
    <w:rsid w:val="002F2CFB"/>
    <w:rsid w:val="002F3E37"/>
    <w:rsid w:val="002F4575"/>
    <w:rsid w:val="002F4627"/>
    <w:rsid w:val="002F5591"/>
    <w:rsid w:val="002F5FAD"/>
    <w:rsid w:val="002F693B"/>
    <w:rsid w:val="002F7288"/>
    <w:rsid w:val="002F7ECF"/>
    <w:rsid w:val="002F7FD8"/>
    <w:rsid w:val="003009FC"/>
    <w:rsid w:val="00300E5D"/>
    <w:rsid w:val="003011AA"/>
    <w:rsid w:val="0030292D"/>
    <w:rsid w:val="00302C24"/>
    <w:rsid w:val="003031FE"/>
    <w:rsid w:val="00303D4E"/>
    <w:rsid w:val="00306011"/>
    <w:rsid w:val="00306BE3"/>
    <w:rsid w:val="003071B9"/>
    <w:rsid w:val="00307D0D"/>
    <w:rsid w:val="00310E93"/>
    <w:rsid w:val="00311960"/>
    <w:rsid w:val="00311BF6"/>
    <w:rsid w:val="00311FD0"/>
    <w:rsid w:val="00311FDF"/>
    <w:rsid w:val="003125F5"/>
    <w:rsid w:val="003129EF"/>
    <w:rsid w:val="003148A7"/>
    <w:rsid w:val="003149AA"/>
    <w:rsid w:val="00314CA2"/>
    <w:rsid w:val="00315411"/>
    <w:rsid w:val="0031581E"/>
    <w:rsid w:val="00316626"/>
    <w:rsid w:val="003205DE"/>
    <w:rsid w:val="00320C9A"/>
    <w:rsid w:val="00321098"/>
    <w:rsid w:val="00322970"/>
    <w:rsid w:val="00323556"/>
    <w:rsid w:val="00325148"/>
    <w:rsid w:val="003258BE"/>
    <w:rsid w:val="00327726"/>
    <w:rsid w:val="0033051A"/>
    <w:rsid w:val="00330619"/>
    <w:rsid w:val="003322DB"/>
    <w:rsid w:val="003323DC"/>
    <w:rsid w:val="00333620"/>
    <w:rsid w:val="00333DAF"/>
    <w:rsid w:val="00334759"/>
    <w:rsid w:val="003349FA"/>
    <w:rsid w:val="0033518D"/>
    <w:rsid w:val="003364E8"/>
    <w:rsid w:val="003365FB"/>
    <w:rsid w:val="00336692"/>
    <w:rsid w:val="003418BA"/>
    <w:rsid w:val="00341925"/>
    <w:rsid w:val="00342CE0"/>
    <w:rsid w:val="003441C0"/>
    <w:rsid w:val="003442F8"/>
    <w:rsid w:val="0034449C"/>
    <w:rsid w:val="00346AD2"/>
    <w:rsid w:val="0035077C"/>
    <w:rsid w:val="00350A7E"/>
    <w:rsid w:val="00350E3E"/>
    <w:rsid w:val="00351005"/>
    <w:rsid w:val="00352EE2"/>
    <w:rsid w:val="003534EF"/>
    <w:rsid w:val="00353E53"/>
    <w:rsid w:val="00355C00"/>
    <w:rsid w:val="00355F2B"/>
    <w:rsid w:val="00356B4C"/>
    <w:rsid w:val="00356CB0"/>
    <w:rsid w:val="003573E2"/>
    <w:rsid w:val="00357EB3"/>
    <w:rsid w:val="00361FE9"/>
    <w:rsid w:val="00364D33"/>
    <w:rsid w:val="00364E6E"/>
    <w:rsid w:val="003658A2"/>
    <w:rsid w:val="00370123"/>
    <w:rsid w:val="00370C06"/>
    <w:rsid w:val="00370E14"/>
    <w:rsid w:val="00370F02"/>
    <w:rsid w:val="003733EF"/>
    <w:rsid w:val="003736C7"/>
    <w:rsid w:val="00373D7F"/>
    <w:rsid w:val="00374927"/>
    <w:rsid w:val="00375EE3"/>
    <w:rsid w:val="00377091"/>
    <w:rsid w:val="00377341"/>
    <w:rsid w:val="00377376"/>
    <w:rsid w:val="003775D4"/>
    <w:rsid w:val="00381526"/>
    <w:rsid w:val="00381F6A"/>
    <w:rsid w:val="0038205C"/>
    <w:rsid w:val="003830C2"/>
    <w:rsid w:val="003838B5"/>
    <w:rsid w:val="0038521F"/>
    <w:rsid w:val="0038538F"/>
    <w:rsid w:val="003865F8"/>
    <w:rsid w:val="00386F5D"/>
    <w:rsid w:val="003878A3"/>
    <w:rsid w:val="00387BD4"/>
    <w:rsid w:val="00390B35"/>
    <w:rsid w:val="00392A24"/>
    <w:rsid w:val="00393469"/>
    <w:rsid w:val="00394503"/>
    <w:rsid w:val="00395127"/>
    <w:rsid w:val="00395C03"/>
    <w:rsid w:val="00395C3C"/>
    <w:rsid w:val="00396ECD"/>
    <w:rsid w:val="003A08E0"/>
    <w:rsid w:val="003A182D"/>
    <w:rsid w:val="003A247F"/>
    <w:rsid w:val="003A271D"/>
    <w:rsid w:val="003A2B56"/>
    <w:rsid w:val="003A3737"/>
    <w:rsid w:val="003A4B33"/>
    <w:rsid w:val="003A7E48"/>
    <w:rsid w:val="003B0C23"/>
    <w:rsid w:val="003B107B"/>
    <w:rsid w:val="003B1490"/>
    <w:rsid w:val="003B3D06"/>
    <w:rsid w:val="003B3F29"/>
    <w:rsid w:val="003B43B4"/>
    <w:rsid w:val="003B4920"/>
    <w:rsid w:val="003B4D2B"/>
    <w:rsid w:val="003B4FF9"/>
    <w:rsid w:val="003B6632"/>
    <w:rsid w:val="003B69A6"/>
    <w:rsid w:val="003B74A7"/>
    <w:rsid w:val="003B7B62"/>
    <w:rsid w:val="003C07FC"/>
    <w:rsid w:val="003C1843"/>
    <w:rsid w:val="003C2370"/>
    <w:rsid w:val="003C26B5"/>
    <w:rsid w:val="003C27A7"/>
    <w:rsid w:val="003C30FD"/>
    <w:rsid w:val="003C3870"/>
    <w:rsid w:val="003C3D7E"/>
    <w:rsid w:val="003C4181"/>
    <w:rsid w:val="003C48F8"/>
    <w:rsid w:val="003C53A7"/>
    <w:rsid w:val="003C7274"/>
    <w:rsid w:val="003C750B"/>
    <w:rsid w:val="003D295A"/>
    <w:rsid w:val="003D2C32"/>
    <w:rsid w:val="003D3161"/>
    <w:rsid w:val="003D4587"/>
    <w:rsid w:val="003D4CFB"/>
    <w:rsid w:val="003D64D0"/>
    <w:rsid w:val="003D668D"/>
    <w:rsid w:val="003D69AA"/>
    <w:rsid w:val="003D7466"/>
    <w:rsid w:val="003D760C"/>
    <w:rsid w:val="003E0264"/>
    <w:rsid w:val="003E27D0"/>
    <w:rsid w:val="003E3BA0"/>
    <w:rsid w:val="003E416F"/>
    <w:rsid w:val="003E4862"/>
    <w:rsid w:val="003E4B56"/>
    <w:rsid w:val="003E4F1D"/>
    <w:rsid w:val="003E5C26"/>
    <w:rsid w:val="003E7572"/>
    <w:rsid w:val="003E7EE4"/>
    <w:rsid w:val="003F10CB"/>
    <w:rsid w:val="003F23CE"/>
    <w:rsid w:val="003F2971"/>
    <w:rsid w:val="003F3BA5"/>
    <w:rsid w:val="003F4E5E"/>
    <w:rsid w:val="003F7657"/>
    <w:rsid w:val="003F7BE2"/>
    <w:rsid w:val="00401E43"/>
    <w:rsid w:val="0040382F"/>
    <w:rsid w:val="00405B65"/>
    <w:rsid w:val="004061B8"/>
    <w:rsid w:val="00407622"/>
    <w:rsid w:val="0040769B"/>
    <w:rsid w:val="00407B65"/>
    <w:rsid w:val="00410E8D"/>
    <w:rsid w:val="004121B0"/>
    <w:rsid w:val="00412665"/>
    <w:rsid w:val="00412B3F"/>
    <w:rsid w:val="00412D89"/>
    <w:rsid w:val="00414708"/>
    <w:rsid w:val="004147E6"/>
    <w:rsid w:val="004153E8"/>
    <w:rsid w:val="00416057"/>
    <w:rsid w:val="00417EBE"/>
    <w:rsid w:val="004202FA"/>
    <w:rsid w:val="00421761"/>
    <w:rsid w:val="00422771"/>
    <w:rsid w:val="00422B85"/>
    <w:rsid w:val="004232E5"/>
    <w:rsid w:val="004233AA"/>
    <w:rsid w:val="0042384B"/>
    <w:rsid w:val="00430092"/>
    <w:rsid w:val="00430831"/>
    <w:rsid w:val="0043217F"/>
    <w:rsid w:val="00432480"/>
    <w:rsid w:val="00432AE3"/>
    <w:rsid w:val="00433B4F"/>
    <w:rsid w:val="00434341"/>
    <w:rsid w:val="004343E1"/>
    <w:rsid w:val="0043481B"/>
    <w:rsid w:val="0043511E"/>
    <w:rsid w:val="004363D3"/>
    <w:rsid w:val="00437519"/>
    <w:rsid w:val="00441921"/>
    <w:rsid w:val="00442066"/>
    <w:rsid w:val="00442A83"/>
    <w:rsid w:val="00444A6B"/>
    <w:rsid w:val="0044582E"/>
    <w:rsid w:val="0044717A"/>
    <w:rsid w:val="004476CF"/>
    <w:rsid w:val="004476F2"/>
    <w:rsid w:val="00450767"/>
    <w:rsid w:val="00452487"/>
    <w:rsid w:val="0045384C"/>
    <w:rsid w:val="00454373"/>
    <w:rsid w:val="00454E53"/>
    <w:rsid w:val="004560CC"/>
    <w:rsid w:val="004560E4"/>
    <w:rsid w:val="004564CE"/>
    <w:rsid w:val="00456724"/>
    <w:rsid w:val="0045685D"/>
    <w:rsid w:val="00457024"/>
    <w:rsid w:val="0046098E"/>
    <w:rsid w:val="00461256"/>
    <w:rsid w:val="0046187A"/>
    <w:rsid w:val="00461BCC"/>
    <w:rsid w:val="00462168"/>
    <w:rsid w:val="0046248A"/>
    <w:rsid w:val="00462941"/>
    <w:rsid w:val="00463CB8"/>
    <w:rsid w:val="00464153"/>
    <w:rsid w:val="00465EB5"/>
    <w:rsid w:val="004669E2"/>
    <w:rsid w:val="00466E6A"/>
    <w:rsid w:val="004670F6"/>
    <w:rsid w:val="00467281"/>
    <w:rsid w:val="0047126A"/>
    <w:rsid w:val="004714F1"/>
    <w:rsid w:val="004725C5"/>
    <w:rsid w:val="00472E54"/>
    <w:rsid w:val="0047488A"/>
    <w:rsid w:val="004749BD"/>
    <w:rsid w:val="004776A6"/>
    <w:rsid w:val="00477A8A"/>
    <w:rsid w:val="00477DD5"/>
    <w:rsid w:val="0048004A"/>
    <w:rsid w:val="00480138"/>
    <w:rsid w:val="00480C62"/>
    <w:rsid w:val="00480D36"/>
    <w:rsid w:val="0048205C"/>
    <w:rsid w:val="004828B9"/>
    <w:rsid w:val="00482919"/>
    <w:rsid w:val="004835C4"/>
    <w:rsid w:val="00483ED5"/>
    <w:rsid w:val="00484252"/>
    <w:rsid w:val="004846AB"/>
    <w:rsid w:val="00484805"/>
    <w:rsid w:val="004858F6"/>
    <w:rsid w:val="004859D2"/>
    <w:rsid w:val="00487377"/>
    <w:rsid w:val="0049131C"/>
    <w:rsid w:val="0049150B"/>
    <w:rsid w:val="004921CD"/>
    <w:rsid w:val="00492841"/>
    <w:rsid w:val="00492A86"/>
    <w:rsid w:val="00492E6C"/>
    <w:rsid w:val="00494FAA"/>
    <w:rsid w:val="00496C05"/>
    <w:rsid w:val="00497B37"/>
    <w:rsid w:val="004A106A"/>
    <w:rsid w:val="004A2467"/>
    <w:rsid w:val="004A2FB3"/>
    <w:rsid w:val="004A31F2"/>
    <w:rsid w:val="004A3D8F"/>
    <w:rsid w:val="004A6DEC"/>
    <w:rsid w:val="004A7B25"/>
    <w:rsid w:val="004A7B28"/>
    <w:rsid w:val="004B20CD"/>
    <w:rsid w:val="004B2B0C"/>
    <w:rsid w:val="004B2BE6"/>
    <w:rsid w:val="004B3A41"/>
    <w:rsid w:val="004B3BB6"/>
    <w:rsid w:val="004B5452"/>
    <w:rsid w:val="004B6FF1"/>
    <w:rsid w:val="004B7626"/>
    <w:rsid w:val="004C00FE"/>
    <w:rsid w:val="004C171E"/>
    <w:rsid w:val="004C1DE7"/>
    <w:rsid w:val="004C3CEB"/>
    <w:rsid w:val="004C465A"/>
    <w:rsid w:val="004C4CD1"/>
    <w:rsid w:val="004C5B10"/>
    <w:rsid w:val="004C5BF7"/>
    <w:rsid w:val="004C5CE1"/>
    <w:rsid w:val="004C6847"/>
    <w:rsid w:val="004D05F9"/>
    <w:rsid w:val="004D070F"/>
    <w:rsid w:val="004D13CC"/>
    <w:rsid w:val="004D20E8"/>
    <w:rsid w:val="004D229F"/>
    <w:rsid w:val="004D2AD1"/>
    <w:rsid w:val="004D2FC6"/>
    <w:rsid w:val="004D41BC"/>
    <w:rsid w:val="004D455F"/>
    <w:rsid w:val="004D460B"/>
    <w:rsid w:val="004D5023"/>
    <w:rsid w:val="004D5BBF"/>
    <w:rsid w:val="004D5E17"/>
    <w:rsid w:val="004D642C"/>
    <w:rsid w:val="004E099A"/>
    <w:rsid w:val="004E0C62"/>
    <w:rsid w:val="004E1372"/>
    <w:rsid w:val="004E1B29"/>
    <w:rsid w:val="004E366B"/>
    <w:rsid w:val="004E4317"/>
    <w:rsid w:val="004E45DA"/>
    <w:rsid w:val="004E503C"/>
    <w:rsid w:val="004E57E0"/>
    <w:rsid w:val="004F0D2D"/>
    <w:rsid w:val="004F121E"/>
    <w:rsid w:val="004F250B"/>
    <w:rsid w:val="004F2645"/>
    <w:rsid w:val="004F2A64"/>
    <w:rsid w:val="004F3FAA"/>
    <w:rsid w:val="004F4544"/>
    <w:rsid w:val="004F4AAC"/>
    <w:rsid w:val="004F4B3E"/>
    <w:rsid w:val="004F5223"/>
    <w:rsid w:val="004F6A49"/>
    <w:rsid w:val="004F744B"/>
    <w:rsid w:val="004F78EC"/>
    <w:rsid w:val="0050007C"/>
    <w:rsid w:val="00500E95"/>
    <w:rsid w:val="005017DF"/>
    <w:rsid w:val="00502F29"/>
    <w:rsid w:val="00503D21"/>
    <w:rsid w:val="00503D2B"/>
    <w:rsid w:val="0050549C"/>
    <w:rsid w:val="0050783A"/>
    <w:rsid w:val="00510E53"/>
    <w:rsid w:val="005111BF"/>
    <w:rsid w:val="0051121A"/>
    <w:rsid w:val="00514C42"/>
    <w:rsid w:val="005170D2"/>
    <w:rsid w:val="0052218E"/>
    <w:rsid w:val="005238BC"/>
    <w:rsid w:val="00523C1B"/>
    <w:rsid w:val="0052484C"/>
    <w:rsid w:val="005249DF"/>
    <w:rsid w:val="00524A46"/>
    <w:rsid w:val="00524E5E"/>
    <w:rsid w:val="00530820"/>
    <w:rsid w:val="00531606"/>
    <w:rsid w:val="00533C48"/>
    <w:rsid w:val="005352AF"/>
    <w:rsid w:val="00536D80"/>
    <w:rsid w:val="00537AB3"/>
    <w:rsid w:val="00537C46"/>
    <w:rsid w:val="00540DE5"/>
    <w:rsid w:val="00542B03"/>
    <w:rsid w:val="00542B87"/>
    <w:rsid w:val="00543000"/>
    <w:rsid w:val="005433A6"/>
    <w:rsid w:val="00543B06"/>
    <w:rsid w:val="005443A8"/>
    <w:rsid w:val="00544866"/>
    <w:rsid w:val="00545345"/>
    <w:rsid w:val="00545B62"/>
    <w:rsid w:val="00546B39"/>
    <w:rsid w:val="005505BF"/>
    <w:rsid w:val="00550627"/>
    <w:rsid w:val="00551280"/>
    <w:rsid w:val="005527B0"/>
    <w:rsid w:val="00552A9F"/>
    <w:rsid w:val="00552BA0"/>
    <w:rsid w:val="00555B32"/>
    <w:rsid w:val="00555D5B"/>
    <w:rsid w:val="00556664"/>
    <w:rsid w:val="0055694C"/>
    <w:rsid w:val="00557AB3"/>
    <w:rsid w:val="0056072E"/>
    <w:rsid w:val="00561714"/>
    <w:rsid w:val="0056176B"/>
    <w:rsid w:val="00562B1A"/>
    <w:rsid w:val="005637AC"/>
    <w:rsid w:val="00563A64"/>
    <w:rsid w:val="005642DB"/>
    <w:rsid w:val="005647EC"/>
    <w:rsid w:val="00564854"/>
    <w:rsid w:val="00564C60"/>
    <w:rsid w:val="00565523"/>
    <w:rsid w:val="0056678C"/>
    <w:rsid w:val="00567254"/>
    <w:rsid w:val="00567865"/>
    <w:rsid w:val="005703CC"/>
    <w:rsid w:val="005712F3"/>
    <w:rsid w:val="005718DF"/>
    <w:rsid w:val="0057236A"/>
    <w:rsid w:val="005728B5"/>
    <w:rsid w:val="00572E84"/>
    <w:rsid w:val="00573F7D"/>
    <w:rsid w:val="00573FCB"/>
    <w:rsid w:val="00577009"/>
    <w:rsid w:val="00583696"/>
    <w:rsid w:val="005840CD"/>
    <w:rsid w:val="00584B52"/>
    <w:rsid w:val="00585B27"/>
    <w:rsid w:val="00585E82"/>
    <w:rsid w:val="00586092"/>
    <w:rsid w:val="005868E3"/>
    <w:rsid w:val="00586971"/>
    <w:rsid w:val="00586D7C"/>
    <w:rsid w:val="00587311"/>
    <w:rsid w:val="0059029C"/>
    <w:rsid w:val="00591735"/>
    <w:rsid w:val="005935C0"/>
    <w:rsid w:val="00594C82"/>
    <w:rsid w:val="005952E9"/>
    <w:rsid w:val="005953B4"/>
    <w:rsid w:val="00595C60"/>
    <w:rsid w:val="00595F31"/>
    <w:rsid w:val="005963AE"/>
    <w:rsid w:val="005975AE"/>
    <w:rsid w:val="005A1576"/>
    <w:rsid w:val="005A1E43"/>
    <w:rsid w:val="005A2C41"/>
    <w:rsid w:val="005A3DA2"/>
    <w:rsid w:val="005A5ACE"/>
    <w:rsid w:val="005A619D"/>
    <w:rsid w:val="005B038C"/>
    <w:rsid w:val="005B0914"/>
    <w:rsid w:val="005B2AA6"/>
    <w:rsid w:val="005B4212"/>
    <w:rsid w:val="005B4937"/>
    <w:rsid w:val="005B4D18"/>
    <w:rsid w:val="005B5466"/>
    <w:rsid w:val="005B5C10"/>
    <w:rsid w:val="005B6180"/>
    <w:rsid w:val="005B6602"/>
    <w:rsid w:val="005B73D9"/>
    <w:rsid w:val="005B7C25"/>
    <w:rsid w:val="005B7E10"/>
    <w:rsid w:val="005C0608"/>
    <w:rsid w:val="005C121D"/>
    <w:rsid w:val="005C4779"/>
    <w:rsid w:val="005C4F58"/>
    <w:rsid w:val="005C5E8F"/>
    <w:rsid w:val="005C5F1B"/>
    <w:rsid w:val="005C6305"/>
    <w:rsid w:val="005C646D"/>
    <w:rsid w:val="005C6671"/>
    <w:rsid w:val="005C70D3"/>
    <w:rsid w:val="005C74F2"/>
    <w:rsid w:val="005D0355"/>
    <w:rsid w:val="005D11C0"/>
    <w:rsid w:val="005D1735"/>
    <w:rsid w:val="005D28F8"/>
    <w:rsid w:val="005D2F81"/>
    <w:rsid w:val="005D32A0"/>
    <w:rsid w:val="005D352F"/>
    <w:rsid w:val="005D429E"/>
    <w:rsid w:val="005D44EB"/>
    <w:rsid w:val="005D511E"/>
    <w:rsid w:val="005D5D7B"/>
    <w:rsid w:val="005D658F"/>
    <w:rsid w:val="005E179D"/>
    <w:rsid w:val="005E2696"/>
    <w:rsid w:val="005E282F"/>
    <w:rsid w:val="005E2EC6"/>
    <w:rsid w:val="005E32F6"/>
    <w:rsid w:val="005E5CA6"/>
    <w:rsid w:val="005F0B97"/>
    <w:rsid w:val="005F1C71"/>
    <w:rsid w:val="005F3C2D"/>
    <w:rsid w:val="005F52EA"/>
    <w:rsid w:val="005F5857"/>
    <w:rsid w:val="005F5F08"/>
    <w:rsid w:val="005F6680"/>
    <w:rsid w:val="00601500"/>
    <w:rsid w:val="00601EB3"/>
    <w:rsid w:val="00602F0E"/>
    <w:rsid w:val="006053E8"/>
    <w:rsid w:val="006062EA"/>
    <w:rsid w:val="00607A57"/>
    <w:rsid w:val="006103FD"/>
    <w:rsid w:val="006111D8"/>
    <w:rsid w:val="0061141E"/>
    <w:rsid w:val="00611FE5"/>
    <w:rsid w:val="00615958"/>
    <w:rsid w:val="00622315"/>
    <w:rsid w:val="006225C0"/>
    <w:rsid w:val="00623C74"/>
    <w:rsid w:val="00623D53"/>
    <w:rsid w:val="00624396"/>
    <w:rsid w:val="006247A2"/>
    <w:rsid w:val="0062559F"/>
    <w:rsid w:val="006261F6"/>
    <w:rsid w:val="00626C9B"/>
    <w:rsid w:val="00627527"/>
    <w:rsid w:val="006304C5"/>
    <w:rsid w:val="00631454"/>
    <w:rsid w:val="00631C5D"/>
    <w:rsid w:val="006340FF"/>
    <w:rsid w:val="006345A6"/>
    <w:rsid w:val="00634A02"/>
    <w:rsid w:val="0063502E"/>
    <w:rsid w:val="00635B34"/>
    <w:rsid w:val="00635CA4"/>
    <w:rsid w:val="00640810"/>
    <w:rsid w:val="00641A74"/>
    <w:rsid w:val="00641F63"/>
    <w:rsid w:val="006446AA"/>
    <w:rsid w:val="00644D7A"/>
    <w:rsid w:val="00645923"/>
    <w:rsid w:val="006459EB"/>
    <w:rsid w:val="00645CF4"/>
    <w:rsid w:val="006461DB"/>
    <w:rsid w:val="00651879"/>
    <w:rsid w:val="00651BEB"/>
    <w:rsid w:val="00651CC5"/>
    <w:rsid w:val="00651D01"/>
    <w:rsid w:val="0065209A"/>
    <w:rsid w:val="0065266E"/>
    <w:rsid w:val="00652B93"/>
    <w:rsid w:val="00652F93"/>
    <w:rsid w:val="00653168"/>
    <w:rsid w:val="00653389"/>
    <w:rsid w:val="00654703"/>
    <w:rsid w:val="00655E58"/>
    <w:rsid w:val="00655F05"/>
    <w:rsid w:val="00656291"/>
    <w:rsid w:val="006572D5"/>
    <w:rsid w:val="0065758B"/>
    <w:rsid w:val="0066121E"/>
    <w:rsid w:val="006616BD"/>
    <w:rsid w:val="006636A8"/>
    <w:rsid w:val="00664930"/>
    <w:rsid w:val="006650D8"/>
    <w:rsid w:val="0066628B"/>
    <w:rsid w:val="006662C3"/>
    <w:rsid w:val="006662DF"/>
    <w:rsid w:val="00666AE3"/>
    <w:rsid w:val="00667C72"/>
    <w:rsid w:val="006707D1"/>
    <w:rsid w:val="00673F3D"/>
    <w:rsid w:val="0067476E"/>
    <w:rsid w:val="0067501B"/>
    <w:rsid w:val="006752C9"/>
    <w:rsid w:val="00675616"/>
    <w:rsid w:val="00680484"/>
    <w:rsid w:val="00681972"/>
    <w:rsid w:val="00683016"/>
    <w:rsid w:val="00683319"/>
    <w:rsid w:val="006840C7"/>
    <w:rsid w:val="00684F9B"/>
    <w:rsid w:val="006851D7"/>
    <w:rsid w:val="0068551E"/>
    <w:rsid w:val="00686368"/>
    <w:rsid w:val="006870CD"/>
    <w:rsid w:val="00690A6D"/>
    <w:rsid w:val="00691813"/>
    <w:rsid w:val="00692F1B"/>
    <w:rsid w:val="0069404A"/>
    <w:rsid w:val="00694341"/>
    <w:rsid w:val="006949F8"/>
    <w:rsid w:val="00695490"/>
    <w:rsid w:val="0069621C"/>
    <w:rsid w:val="00697D91"/>
    <w:rsid w:val="006A0265"/>
    <w:rsid w:val="006A0E28"/>
    <w:rsid w:val="006A148B"/>
    <w:rsid w:val="006A2DDB"/>
    <w:rsid w:val="006A464C"/>
    <w:rsid w:val="006A4D04"/>
    <w:rsid w:val="006A51B3"/>
    <w:rsid w:val="006A53A2"/>
    <w:rsid w:val="006A5DD4"/>
    <w:rsid w:val="006A5DE3"/>
    <w:rsid w:val="006B15AD"/>
    <w:rsid w:val="006B16A2"/>
    <w:rsid w:val="006B16CE"/>
    <w:rsid w:val="006B16D6"/>
    <w:rsid w:val="006B1AA7"/>
    <w:rsid w:val="006B20B4"/>
    <w:rsid w:val="006B2AF5"/>
    <w:rsid w:val="006B3339"/>
    <w:rsid w:val="006B33A0"/>
    <w:rsid w:val="006B3B8D"/>
    <w:rsid w:val="006B5CD5"/>
    <w:rsid w:val="006B6657"/>
    <w:rsid w:val="006B719B"/>
    <w:rsid w:val="006C028E"/>
    <w:rsid w:val="006C0A0D"/>
    <w:rsid w:val="006C16DB"/>
    <w:rsid w:val="006C4801"/>
    <w:rsid w:val="006C5A08"/>
    <w:rsid w:val="006D07C4"/>
    <w:rsid w:val="006D0BFF"/>
    <w:rsid w:val="006D0F51"/>
    <w:rsid w:val="006D1ADA"/>
    <w:rsid w:val="006D1F09"/>
    <w:rsid w:val="006D2A20"/>
    <w:rsid w:val="006D364C"/>
    <w:rsid w:val="006D3CB4"/>
    <w:rsid w:val="006D3F46"/>
    <w:rsid w:val="006D60E8"/>
    <w:rsid w:val="006D628F"/>
    <w:rsid w:val="006D6C1F"/>
    <w:rsid w:val="006D6E62"/>
    <w:rsid w:val="006D7489"/>
    <w:rsid w:val="006D7890"/>
    <w:rsid w:val="006E014C"/>
    <w:rsid w:val="006E0A09"/>
    <w:rsid w:val="006E0BDB"/>
    <w:rsid w:val="006E101C"/>
    <w:rsid w:val="006E2A90"/>
    <w:rsid w:val="006E30BA"/>
    <w:rsid w:val="006E3C86"/>
    <w:rsid w:val="006E3FDF"/>
    <w:rsid w:val="006E5F9F"/>
    <w:rsid w:val="006E6213"/>
    <w:rsid w:val="006E7250"/>
    <w:rsid w:val="006E7D09"/>
    <w:rsid w:val="006F12EB"/>
    <w:rsid w:val="006F1602"/>
    <w:rsid w:val="006F224D"/>
    <w:rsid w:val="006F27EF"/>
    <w:rsid w:val="006F294A"/>
    <w:rsid w:val="006F327C"/>
    <w:rsid w:val="006F3A80"/>
    <w:rsid w:val="006F4222"/>
    <w:rsid w:val="006F543D"/>
    <w:rsid w:val="006F7E45"/>
    <w:rsid w:val="007003BE"/>
    <w:rsid w:val="00700446"/>
    <w:rsid w:val="00700563"/>
    <w:rsid w:val="007006F1"/>
    <w:rsid w:val="007010DD"/>
    <w:rsid w:val="00701CC9"/>
    <w:rsid w:val="00702A44"/>
    <w:rsid w:val="00703114"/>
    <w:rsid w:val="00703EC7"/>
    <w:rsid w:val="00704313"/>
    <w:rsid w:val="00705521"/>
    <w:rsid w:val="00705A1B"/>
    <w:rsid w:val="00705EE1"/>
    <w:rsid w:val="00706301"/>
    <w:rsid w:val="0071179D"/>
    <w:rsid w:val="007118B6"/>
    <w:rsid w:val="00712018"/>
    <w:rsid w:val="00712CA1"/>
    <w:rsid w:val="00713CB3"/>
    <w:rsid w:val="007142B8"/>
    <w:rsid w:val="007146DF"/>
    <w:rsid w:val="0071522A"/>
    <w:rsid w:val="007157E4"/>
    <w:rsid w:val="007158CC"/>
    <w:rsid w:val="00717927"/>
    <w:rsid w:val="00720462"/>
    <w:rsid w:val="007214C0"/>
    <w:rsid w:val="0072212C"/>
    <w:rsid w:val="007222BA"/>
    <w:rsid w:val="00722933"/>
    <w:rsid w:val="00722B84"/>
    <w:rsid w:val="00723A5B"/>
    <w:rsid w:val="0072565E"/>
    <w:rsid w:val="007270CD"/>
    <w:rsid w:val="0073065E"/>
    <w:rsid w:val="00730C4A"/>
    <w:rsid w:val="007310D3"/>
    <w:rsid w:val="00734BD9"/>
    <w:rsid w:val="00735564"/>
    <w:rsid w:val="00735698"/>
    <w:rsid w:val="00735E51"/>
    <w:rsid w:val="00736432"/>
    <w:rsid w:val="007368A8"/>
    <w:rsid w:val="00737306"/>
    <w:rsid w:val="00737460"/>
    <w:rsid w:val="00740F8C"/>
    <w:rsid w:val="00740FF5"/>
    <w:rsid w:val="007423FF"/>
    <w:rsid w:val="007425BC"/>
    <w:rsid w:val="00745979"/>
    <w:rsid w:val="00746C1C"/>
    <w:rsid w:val="00747225"/>
    <w:rsid w:val="00750156"/>
    <w:rsid w:val="007512D6"/>
    <w:rsid w:val="00752D10"/>
    <w:rsid w:val="00756550"/>
    <w:rsid w:val="00760EAA"/>
    <w:rsid w:val="00761BA9"/>
    <w:rsid w:val="00762343"/>
    <w:rsid w:val="00762976"/>
    <w:rsid w:val="00763B25"/>
    <w:rsid w:val="00763E4B"/>
    <w:rsid w:val="00763EA4"/>
    <w:rsid w:val="007640DA"/>
    <w:rsid w:val="007649DC"/>
    <w:rsid w:val="00764E9F"/>
    <w:rsid w:val="00765271"/>
    <w:rsid w:val="00765791"/>
    <w:rsid w:val="00770382"/>
    <w:rsid w:val="007707F2"/>
    <w:rsid w:val="007727C9"/>
    <w:rsid w:val="00772BB4"/>
    <w:rsid w:val="007743FE"/>
    <w:rsid w:val="00774ABE"/>
    <w:rsid w:val="0077567D"/>
    <w:rsid w:val="00777886"/>
    <w:rsid w:val="00780417"/>
    <w:rsid w:val="007806CC"/>
    <w:rsid w:val="0078078D"/>
    <w:rsid w:val="00781997"/>
    <w:rsid w:val="00781ACD"/>
    <w:rsid w:val="00781DF2"/>
    <w:rsid w:val="00782B32"/>
    <w:rsid w:val="00784554"/>
    <w:rsid w:val="00785D15"/>
    <w:rsid w:val="007866CD"/>
    <w:rsid w:val="007866FD"/>
    <w:rsid w:val="00787A7A"/>
    <w:rsid w:val="00787CB3"/>
    <w:rsid w:val="0079028F"/>
    <w:rsid w:val="007910C0"/>
    <w:rsid w:val="00792324"/>
    <w:rsid w:val="007928F4"/>
    <w:rsid w:val="00793391"/>
    <w:rsid w:val="00797B82"/>
    <w:rsid w:val="007A0089"/>
    <w:rsid w:val="007A08F0"/>
    <w:rsid w:val="007A1429"/>
    <w:rsid w:val="007A374C"/>
    <w:rsid w:val="007A3BE5"/>
    <w:rsid w:val="007A3F68"/>
    <w:rsid w:val="007A44E7"/>
    <w:rsid w:val="007A69A7"/>
    <w:rsid w:val="007A6A73"/>
    <w:rsid w:val="007A7335"/>
    <w:rsid w:val="007B07EA"/>
    <w:rsid w:val="007B413D"/>
    <w:rsid w:val="007B4A99"/>
    <w:rsid w:val="007B59FC"/>
    <w:rsid w:val="007B6491"/>
    <w:rsid w:val="007B7E2A"/>
    <w:rsid w:val="007C14D6"/>
    <w:rsid w:val="007C2413"/>
    <w:rsid w:val="007C2D85"/>
    <w:rsid w:val="007C3536"/>
    <w:rsid w:val="007C43C0"/>
    <w:rsid w:val="007C4F76"/>
    <w:rsid w:val="007C52C6"/>
    <w:rsid w:val="007C55AF"/>
    <w:rsid w:val="007C6B0F"/>
    <w:rsid w:val="007C6BB8"/>
    <w:rsid w:val="007D0E7B"/>
    <w:rsid w:val="007D2596"/>
    <w:rsid w:val="007D305D"/>
    <w:rsid w:val="007D3430"/>
    <w:rsid w:val="007D383F"/>
    <w:rsid w:val="007D6F5D"/>
    <w:rsid w:val="007E04FD"/>
    <w:rsid w:val="007E202C"/>
    <w:rsid w:val="007E3575"/>
    <w:rsid w:val="007E3838"/>
    <w:rsid w:val="007E3973"/>
    <w:rsid w:val="007E5FE7"/>
    <w:rsid w:val="007E63D3"/>
    <w:rsid w:val="007E6403"/>
    <w:rsid w:val="007F1C99"/>
    <w:rsid w:val="007F1D3D"/>
    <w:rsid w:val="007F2DB2"/>
    <w:rsid w:val="007F43C2"/>
    <w:rsid w:val="007F461F"/>
    <w:rsid w:val="007F4624"/>
    <w:rsid w:val="007F4B89"/>
    <w:rsid w:val="007F6CA0"/>
    <w:rsid w:val="007F7B59"/>
    <w:rsid w:val="007F7DA5"/>
    <w:rsid w:val="007F7F0C"/>
    <w:rsid w:val="0080046A"/>
    <w:rsid w:val="008004A4"/>
    <w:rsid w:val="00800741"/>
    <w:rsid w:val="0080089B"/>
    <w:rsid w:val="00800B74"/>
    <w:rsid w:val="00801232"/>
    <w:rsid w:val="008032CF"/>
    <w:rsid w:val="00803A99"/>
    <w:rsid w:val="00804E09"/>
    <w:rsid w:val="0080506E"/>
    <w:rsid w:val="00805C82"/>
    <w:rsid w:val="0080678E"/>
    <w:rsid w:val="008078F5"/>
    <w:rsid w:val="00810134"/>
    <w:rsid w:val="008117EC"/>
    <w:rsid w:val="008123DE"/>
    <w:rsid w:val="00812E41"/>
    <w:rsid w:val="008132E0"/>
    <w:rsid w:val="00814570"/>
    <w:rsid w:val="00815DFE"/>
    <w:rsid w:val="0081604D"/>
    <w:rsid w:val="008167F5"/>
    <w:rsid w:val="00817F10"/>
    <w:rsid w:val="008219EF"/>
    <w:rsid w:val="008226AA"/>
    <w:rsid w:val="00822CE5"/>
    <w:rsid w:val="00822E10"/>
    <w:rsid w:val="008233E5"/>
    <w:rsid w:val="00823DBC"/>
    <w:rsid w:val="00824114"/>
    <w:rsid w:val="00824397"/>
    <w:rsid w:val="0082646B"/>
    <w:rsid w:val="00827F6F"/>
    <w:rsid w:val="008304B7"/>
    <w:rsid w:val="00831485"/>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6901"/>
    <w:rsid w:val="00837E5E"/>
    <w:rsid w:val="00841023"/>
    <w:rsid w:val="00842003"/>
    <w:rsid w:val="0084248A"/>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3174"/>
    <w:rsid w:val="00854963"/>
    <w:rsid w:val="0085535F"/>
    <w:rsid w:val="00856319"/>
    <w:rsid w:val="00856E48"/>
    <w:rsid w:val="0085715E"/>
    <w:rsid w:val="0085739A"/>
    <w:rsid w:val="0085742B"/>
    <w:rsid w:val="008579A5"/>
    <w:rsid w:val="00860B06"/>
    <w:rsid w:val="00860FCA"/>
    <w:rsid w:val="00862CA0"/>
    <w:rsid w:val="00863A10"/>
    <w:rsid w:val="00864144"/>
    <w:rsid w:val="00864B27"/>
    <w:rsid w:val="00864E3A"/>
    <w:rsid w:val="00865C9A"/>
    <w:rsid w:val="008665E0"/>
    <w:rsid w:val="00866CE9"/>
    <w:rsid w:val="00866F2A"/>
    <w:rsid w:val="00867368"/>
    <w:rsid w:val="008674A9"/>
    <w:rsid w:val="008700FF"/>
    <w:rsid w:val="008717BD"/>
    <w:rsid w:val="00871920"/>
    <w:rsid w:val="00871B31"/>
    <w:rsid w:val="00872A32"/>
    <w:rsid w:val="008807FF"/>
    <w:rsid w:val="0088081F"/>
    <w:rsid w:val="00880D45"/>
    <w:rsid w:val="0088217F"/>
    <w:rsid w:val="00882A51"/>
    <w:rsid w:val="00882F28"/>
    <w:rsid w:val="00884529"/>
    <w:rsid w:val="00885663"/>
    <w:rsid w:val="00885A2C"/>
    <w:rsid w:val="00885BB7"/>
    <w:rsid w:val="00885D51"/>
    <w:rsid w:val="00890345"/>
    <w:rsid w:val="00890A29"/>
    <w:rsid w:val="008913C6"/>
    <w:rsid w:val="00892E52"/>
    <w:rsid w:val="00895982"/>
    <w:rsid w:val="00895A30"/>
    <w:rsid w:val="008964AF"/>
    <w:rsid w:val="008A10C1"/>
    <w:rsid w:val="008A15E3"/>
    <w:rsid w:val="008A2AE1"/>
    <w:rsid w:val="008A5317"/>
    <w:rsid w:val="008A62B9"/>
    <w:rsid w:val="008A7D85"/>
    <w:rsid w:val="008B0731"/>
    <w:rsid w:val="008B0D03"/>
    <w:rsid w:val="008B108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50C"/>
    <w:rsid w:val="008C54FB"/>
    <w:rsid w:val="008C62B4"/>
    <w:rsid w:val="008C66F0"/>
    <w:rsid w:val="008C6F17"/>
    <w:rsid w:val="008C7C01"/>
    <w:rsid w:val="008D04C0"/>
    <w:rsid w:val="008D05E7"/>
    <w:rsid w:val="008D0B7F"/>
    <w:rsid w:val="008D184D"/>
    <w:rsid w:val="008D2201"/>
    <w:rsid w:val="008D2DFE"/>
    <w:rsid w:val="008D427C"/>
    <w:rsid w:val="008D476A"/>
    <w:rsid w:val="008D713B"/>
    <w:rsid w:val="008D72E7"/>
    <w:rsid w:val="008E3419"/>
    <w:rsid w:val="008E370C"/>
    <w:rsid w:val="008E413E"/>
    <w:rsid w:val="008E5753"/>
    <w:rsid w:val="008E6C22"/>
    <w:rsid w:val="008E6D57"/>
    <w:rsid w:val="008E7AB5"/>
    <w:rsid w:val="008F09D5"/>
    <w:rsid w:val="008F0FCD"/>
    <w:rsid w:val="008F1C61"/>
    <w:rsid w:val="008F2024"/>
    <w:rsid w:val="008F25BC"/>
    <w:rsid w:val="008F2FF9"/>
    <w:rsid w:val="008F3A80"/>
    <w:rsid w:val="008F4B07"/>
    <w:rsid w:val="008F50AA"/>
    <w:rsid w:val="008F5AE0"/>
    <w:rsid w:val="008F7EF2"/>
    <w:rsid w:val="00900208"/>
    <w:rsid w:val="009005C4"/>
    <w:rsid w:val="00901602"/>
    <w:rsid w:val="00901A04"/>
    <w:rsid w:val="00901A51"/>
    <w:rsid w:val="00901BFE"/>
    <w:rsid w:val="00901CC7"/>
    <w:rsid w:val="00901CED"/>
    <w:rsid w:val="00902EA9"/>
    <w:rsid w:val="00902EC9"/>
    <w:rsid w:val="009037C3"/>
    <w:rsid w:val="0090396D"/>
    <w:rsid w:val="00903E34"/>
    <w:rsid w:val="00905276"/>
    <w:rsid w:val="009056A9"/>
    <w:rsid w:val="00905A98"/>
    <w:rsid w:val="00906186"/>
    <w:rsid w:val="00906433"/>
    <w:rsid w:val="009072A6"/>
    <w:rsid w:val="00910407"/>
    <w:rsid w:val="0091100B"/>
    <w:rsid w:val="0091171C"/>
    <w:rsid w:val="009118A0"/>
    <w:rsid w:val="00912DEE"/>
    <w:rsid w:val="00913303"/>
    <w:rsid w:val="009135FF"/>
    <w:rsid w:val="00913CB9"/>
    <w:rsid w:val="00914854"/>
    <w:rsid w:val="00915634"/>
    <w:rsid w:val="009158A6"/>
    <w:rsid w:val="00916988"/>
    <w:rsid w:val="00917201"/>
    <w:rsid w:val="00917AF0"/>
    <w:rsid w:val="0092063C"/>
    <w:rsid w:val="0092134C"/>
    <w:rsid w:val="00921E29"/>
    <w:rsid w:val="009249A0"/>
    <w:rsid w:val="00924EEC"/>
    <w:rsid w:val="00925220"/>
    <w:rsid w:val="0092598B"/>
    <w:rsid w:val="00925CE0"/>
    <w:rsid w:val="00930A83"/>
    <w:rsid w:val="00930DEA"/>
    <w:rsid w:val="00933005"/>
    <w:rsid w:val="0093403A"/>
    <w:rsid w:val="009342A8"/>
    <w:rsid w:val="00934626"/>
    <w:rsid w:val="009365B4"/>
    <w:rsid w:val="00937EE6"/>
    <w:rsid w:val="00940E32"/>
    <w:rsid w:val="009414A4"/>
    <w:rsid w:val="009420ED"/>
    <w:rsid w:val="009421A8"/>
    <w:rsid w:val="00943DAB"/>
    <w:rsid w:val="00944EAB"/>
    <w:rsid w:val="009456C4"/>
    <w:rsid w:val="00945B15"/>
    <w:rsid w:val="00946176"/>
    <w:rsid w:val="0095048A"/>
    <w:rsid w:val="00952504"/>
    <w:rsid w:val="0095382A"/>
    <w:rsid w:val="009539DF"/>
    <w:rsid w:val="00954176"/>
    <w:rsid w:val="00954229"/>
    <w:rsid w:val="009544B2"/>
    <w:rsid w:val="00956C7D"/>
    <w:rsid w:val="009577CE"/>
    <w:rsid w:val="00960954"/>
    <w:rsid w:val="00961200"/>
    <w:rsid w:val="00961A34"/>
    <w:rsid w:val="00963687"/>
    <w:rsid w:val="00963D29"/>
    <w:rsid w:val="00964066"/>
    <w:rsid w:val="00964CAA"/>
    <w:rsid w:val="00964D56"/>
    <w:rsid w:val="00964DEC"/>
    <w:rsid w:val="009650E2"/>
    <w:rsid w:val="00965D14"/>
    <w:rsid w:val="00966FB8"/>
    <w:rsid w:val="0097071A"/>
    <w:rsid w:val="0097096F"/>
    <w:rsid w:val="009736D2"/>
    <w:rsid w:val="00973FF1"/>
    <w:rsid w:val="00975CD2"/>
    <w:rsid w:val="009762A9"/>
    <w:rsid w:val="00980661"/>
    <w:rsid w:val="00980F2B"/>
    <w:rsid w:val="00985CB3"/>
    <w:rsid w:val="00986506"/>
    <w:rsid w:val="00986CD4"/>
    <w:rsid w:val="0098766A"/>
    <w:rsid w:val="00987E6F"/>
    <w:rsid w:val="00991F06"/>
    <w:rsid w:val="009921F8"/>
    <w:rsid w:val="00993CBA"/>
    <w:rsid w:val="00994437"/>
    <w:rsid w:val="00995262"/>
    <w:rsid w:val="00996203"/>
    <w:rsid w:val="009967F9"/>
    <w:rsid w:val="00997C9A"/>
    <w:rsid w:val="009A0F66"/>
    <w:rsid w:val="009A1570"/>
    <w:rsid w:val="009A1BFF"/>
    <w:rsid w:val="009A5F88"/>
    <w:rsid w:val="009A6582"/>
    <w:rsid w:val="009B1769"/>
    <w:rsid w:val="009B2001"/>
    <w:rsid w:val="009B5761"/>
    <w:rsid w:val="009B59F5"/>
    <w:rsid w:val="009B6237"/>
    <w:rsid w:val="009B6BED"/>
    <w:rsid w:val="009B736A"/>
    <w:rsid w:val="009B7551"/>
    <w:rsid w:val="009C1BDB"/>
    <w:rsid w:val="009C2FC1"/>
    <w:rsid w:val="009C3115"/>
    <w:rsid w:val="009C341A"/>
    <w:rsid w:val="009C3A97"/>
    <w:rsid w:val="009C407B"/>
    <w:rsid w:val="009C4B3F"/>
    <w:rsid w:val="009C4F07"/>
    <w:rsid w:val="009C5169"/>
    <w:rsid w:val="009C580E"/>
    <w:rsid w:val="009C68A8"/>
    <w:rsid w:val="009C74AA"/>
    <w:rsid w:val="009C7E40"/>
    <w:rsid w:val="009D0199"/>
    <w:rsid w:val="009D09AA"/>
    <w:rsid w:val="009D1B1B"/>
    <w:rsid w:val="009D35E2"/>
    <w:rsid w:val="009D399F"/>
    <w:rsid w:val="009D3B2D"/>
    <w:rsid w:val="009D54FB"/>
    <w:rsid w:val="009D60A9"/>
    <w:rsid w:val="009D6642"/>
    <w:rsid w:val="009E0546"/>
    <w:rsid w:val="009E0A46"/>
    <w:rsid w:val="009E192C"/>
    <w:rsid w:val="009E3EA9"/>
    <w:rsid w:val="009E4952"/>
    <w:rsid w:val="009E50BC"/>
    <w:rsid w:val="009E586D"/>
    <w:rsid w:val="009E5BF1"/>
    <w:rsid w:val="009E6E0C"/>
    <w:rsid w:val="009E7B41"/>
    <w:rsid w:val="009F016A"/>
    <w:rsid w:val="009F153A"/>
    <w:rsid w:val="009F23CD"/>
    <w:rsid w:val="009F43FC"/>
    <w:rsid w:val="009F449E"/>
    <w:rsid w:val="009F4EDA"/>
    <w:rsid w:val="009F51C3"/>
    <w:rsid w:val="009F7509"/>
    <w:rsid w:val="009F7D2A"/>
    <w:rsid w:val="00A00387"/>
    <w:rsid w:val="00A012EB"/>
    <w:rsid w:val="00A02B0C"/>
    <w:rsid w:val="00A0352D"/>
    <w:rsid w:val="00A046C8"/>
    <w:rsid w:val="00A04949"/>
    <w:rsid w:val="00A061DD"/>
    <w:rsid w:val="00A07073"/>
    <w:rsid w:val="00A0715A"/>
    <w:rsid w:val="00A07E94"/>
    <w:rsid w:val="00A11DA7"/>
    <w:rsid w:val="00A12DC4"/>
    <w:rsid w:val="00A162FE"/>
    <w:rsid w:val="00A1630C"/>
    <w:rsid w:val="00A16B22"/>
    <w:rsid w:val="00A16DB6"/>
    <w:rsid w:val="00A204C2"/>
    <w:rsid w:val="00A21477"/>
    <w:rsid w:val="00A21AE1"/>
    <w:rsid w:val="00A22969"/>
    <w:rsid w:val="00A23550"/>
    <w:rsid w:val="00A25BC4"/>
    <w:rsid w:val="00A26291"/>
    <w:rsid w:val="00A26589"/>
    <w:rsid w:val="00A27281"/>
    <w:rsid w:val="00A30A04"/>
    <w:rsid w:val="00A30EAC"/>
    <w:rsid w:val="00A3268A"/>
    <w:rsid w:val="00A33637"/>
    <w:rsid w:val="00A34638"/>
    <w:rsid w:val="00A34B46"/>
    <w:rsid w:val="00A35180"/>
    <w:rsid w:val="00A35534"/>
    <w:rsid w:val="00A35B7C"/>
    <w:rsid w:val="00A36AF7"/>
    <w:rsid w:val="00A40688"/>
    <w:rsid w:val="00A4080E"/>
    <w:rsid w:val="00A41D04"/>
    <w:rsid w:val="00A424BC"/>
    <w:rsid w:val="00A42793"/>
    <w:rsid w:val="00A42CC6"/>
    <w:rsid w:val="00A43A85"/>
    <w:rsid w:val="00A4427C"/>
    <w:rsid w:val="00A45032"/>
    <w:rsid w:val="00A45FE2"/>
    <w:rsid w:val="00A465BE"/>
    <w:rsid w:val="00A46D98"/>
    <w:rsid w:val="00A46DBE"/>
    <w:rsid w:val="00A46E26"/>
    <w:rsid w:val="00A47778"/>
    <w:rsid w:val="00A5041F"/>
    <w:rsid w:val="00A54369"/>
    <w:rsid w:val="00A55E36"/>
    <w:rsid w:val="00A568BB"/>
    <w:rsid w:val="00A56A78"/>
    <w:rsid w:val="00A60681"/>
    <w:rsid w:val="00A608A8"/>
    <w:rsid w:val="00A60F82"/>
    <w:rsid w:val="00A61455"/>
    <w:rsid w:val="00A61E1C"/>
    <w:rsid w:val="00A62689"/>
    <w:rsid w:val="00A62EC5"/>
    <w:rsid w:val="00A63069"/>
    <w:rsid w:val="00A63FA6"/>
    <w:rsid w:val="00A67BE1"/>
    <w:rsid w:val="00A701F5"/>
    <w:rsid w:val="00A72C35"/>
    <w:rsid w:val="00A72C5A"/>
    <w:rsid w:val="00A73CDA"/>
    <w:rsid w:val="00A75306"/>
    <w:rsid w:val="00A75494"/>
    <w:rsid w:val="00A76424"/>
    <w:rsid w:val="00A774BC"/>
    <w:rsid w:val="00A77AF9"/>
    <w:rsid w:val="00A804A9"/>
    <w:rsid w:val="00A80975"/>
    <w:rsid w:val="00A81086"/>
    <w:rsid w:val="00A83566"/>
    <w:rsid w:val="00A866F9"/>
    <w:rsid w:val="00A9133C"/>
    <w:rsid w:val="00A918F1"/>
    <w:rsid w:val="00A91DA7"/>
    <w:rsid w:val="00A92252"/>
    <w:rsid w:val="00A92454"/>
    <w:rsid w:val="00A927D9"/>
    <w:rsid w:val="00A93E2C"/>
    <w:rsid w:val="00A955BA"/>
    <w:rsid w:val="00A965F0"/>
    <w:rsid w:val="00AA04D5"/>
    <w:rsid w:val="00AA149B"/>
    <w:rsid w:val="00AA1AFE"/>
    <w:rsid w:val="00AA222F"/>
    <w:rsid w:val="00AA3022"/>
    <w:rsid w:val="00AA3605"/>
    <w:rsid w:val="00AA45DB"/>
    <w:rsid w:val="00AA51DE"/>
    <w:rsid w:val="00AA5416"/>
    <w:rsid w:val="00AA5CEA"/>
    <w:rsid w:val="00AA66DD"/>
    <w:rsid w:val="00AA790C"/>
    <w:rsid w:val="00AB0809"/>
    <w:rsid w:val="00AB12B5"/>
    <w:rsid w:val="00AB17FE"/>
    <w:rsid w:val="00AB180C"/>
    <w:rsid w:val="00AB2106"/>
    <w:rsid w:val="00AB22FC"/>
    <w:rsid w:val="00AB2CCC"/>
    <w:rsid w:val="00AB5147"/>
    <w:rsid w:val="00AB61FF"/>
    <w:rsid w:val="00AB7D63"/>
    <w:rsid w:val="00AC08FB"/>
    <w:rsid w:val="00AC127F"/>
    <w:rsid w:val="00AC171B"/>
    <w:rsid w:val="00AC219A"/>
    <w:rsid w:val="00AC24E4"/>
    <w:rsid w:val="00AC4983"/>
    <w:rsid w:val="00AC4C30"/>
    <w:rsid w:val="00AC4D66"/>
    <w:rsid w:val="00AC5128"/>
    <w:rsid w:val="00AC79F7"/>
    <w:rsid w:val="00AC7B15"/>
    <w:rsid w:val="00AC7BDB"/>
    <w:rsid w:val="00AD0790"/>
    <w:rsid w:val="00AD08A1"/>
    <w:rsid w:val="00AD16F6"/>
    <w:rsid w:val="00AD4483"/>
    <w:rsid w:val="00AD6C1A"/>
    <w:rsid w:val="00AD6EF9"/>
    <w:rsid w:val="00AD6F49"/>
    <w:rsid w:val="00AD728E"/>
    <w:rsid w:val="00AD7F53"/>
    <w:rsid w:val="00AE0840"/>
    <w:rsid w:val="00AE2FAF"/>
    <w:rsid w:val="00AE3A23"/>
    <w:rsid w:val="00AE3C4D"/>
    <w:rsid w:val="00AE5813"/>
    <w:rsid w:val="00AE5BCA"/>
    <w:rsid w:val="00AE5F4B"/>
    <w:rsid w:val="00AE746A"/>
    <w:rsid w:val="00AE74EF"/>
    <w:rsid w:val="00AF08A0"/>
    <w:rsid w:val="00AF0C62"/>
    <w:rsid w:val="00AF2332"/>
    <w:rsid w:val="00AF269A"/>
    <w:rsid w:val="00AF48E9"/>
    <w:rsid w:val="00AF5463"/>
    <w:rsid w:val="00AF616F"/>
    <w:rsid w:val="00AF6C0C"/>
    <w:rsid w:val="00AF6DE1"/>
    <w:rsid w:val="00AF76E6"/>
    <w:rsid w:val="00B0003C"/>
    <w:rsid w:val="00B00921"/>
    <w:rsid w:val="00B00C03"/>
    <w:rsid w:val="00B00E55"/>
    <w:rsid w:val="00B025A5"/>
    <w:rsid w:val="00B02D75"/>
    <w:rsid w:val="00B0372E"/>
    <w:rsid w:val="00B03B48"/>
    <w:rsid w:val="00B0426D"/>
    <w:rsid w:val="00B0459B"/>
    <w:rsid w:val="00B05197"/>
    <w:rsid w:val="00B05F53"/>
    <w:rsid w:val="00B05FD5"/>
    <w:rsid w:val="00B061C8"/>
    <w:rsid w:val="00B06549"/>
    <w:rsid w:val="00B069B4"/>
    <w:rsid w:val="00B07407"/>
    <w:rsid w:val="00B0794C"/>
    <w:rsid w:val="00B10823"/>
    <w:rsid w:val="00B12265"/>
    <w:rsid w:val="00B13EEF"/>
    <w:rsid w:val="00B15046"/>
    <w:rsid w:val="00B155C9"/>
    <w:rsid w:val="00B15B99"/>
    <w:rsid w:val="00B166E6"/>
    <w:rsid w:val="00B17954"/>
    <w:rsid w:val="00B17EAC"/>
    <w:rsid w:val="00B2002E"/>
    <w:rsid w:val="00B2152A"/>
    <w:rsid w:val="00B21A63"/>
    <w:rsid w:val="00B2242A"/>
    <w:rsid w:val="00B22874"/>
    <w:rsid w:val="00B25A53"/>
    <w:rsid w:val="00B31116"/>
    <w:rsid w:val="00B31333"/>
    <w:rsid w:val="00B335DE"/>
    <w:rsid w:val="00B33AC5"/>
    <w:rsid w:val="00B34627"/>
    <w:rsid w:val="00B3598A"/>
    <w:rsid w:val="00B36115"/>
    <w:rsid w:val="00B3639B"/>
    <w:rsid w:val="00B369A8"/>
    <w:rsid w:val="00B36C75"/>
    <w:rsid w:val="00B36DA5"/>
    <w:rsid w:val="00B36EEF"/>
    <w:rsid w:val="00B37735"/>
    <w:rsid w:val="00B37D21"/>
    <w:rsid w:val="00B41A63"/>
    <w:rsid w:val="00B426BF"/>
    <w:rsid w:val="00B44B4C"/>
    <w:rsid w:val="00B452C4"/>
    <w:rsid w:val="00B5001C"/>
    <w:rsid w:val="00B503D9"/>
    <w:rsid w:val="00B507C5"/>
    <w:rsid w:val="00B50D31"/>
    <w:rsid w:val="00B51592"/>
    <w:rsid w:val="00B52C26"/>
    <w:rsid w:val="00B52EB0"/>
    <w:rsid w:val="00B555E6"/>
    <w:rsid w:val="00B57680"/>
    <w:rsid w:val="00B57768"/>
    <w:rsid w:val="00B609EC"/>
    <w:rsid w:val="00B611E9"/>
    <w:rsid w:val="00B62534"/>
    <w:rsid w:val="00B62E87"/>
    <w:rsid w:val="00B62EF8"/>
    <w:rsid w:val="00B632D6"/>
    <w:rsid w:val="00B638BF"/>
    <w:rsid w:val="00B63FFA"/>
    <w:rsid w:val="00B6417E"/>
    <w:rsid w:val="00B64B04"/>
    <w:rsid w:val="00B64BC3"/>
    <w:rsid w:val="00B64E52"/>
    <w:rsid w:val="00B665C6"/>
    <w:rsid w:val="00B667A0"/>
    <w:rsid w:val="00B70DBF"/>
    <w:rsid w:val="00B73B38"/>
    <w:rsid w:val="00B73B74"/>
    <w:rsid w:val="00B74669"/>
    <w:rsid w:val="00B74677"/>
    <w:rsid w:val="00B74725"/>
    <w:rsid w:val="00B74F39"/>
    <w:rsid w:val="00B74F81"/>
    <w:rsid w:val="00B75EC7"/>
    <w:rsid w:val="00B76B4D"/>
    <w:rsid w:val="00B775BC"/>
    <w:rsid w:val="00B77F7E"/>
    <w:rsid w:val="00B807AF"/>
    <w:rsid w:val="00B80A4D"/>
    <w:rsid w:val="00B816F4"/>
    <w:rsid w:val="00B8276F"/>
    <w:rsid w:val="00B8296D"/>
    <w:rsid w:val="00B831D7"/>
    <w:rsid w:val="00B835B0"/>
    <w:rsid w:val="00B83616"/>
    <w:rsid w:val="00B853CC"/>
    <w:rsid w:val="00B85B2B"/>
    <w:rsid w:val="00B866AF"/>
    <w:rsid w:val="00B86D2A"/>
    <w:rsid w:val="00B877FC"/>
    <w:rsid w:val="00B87A17"/>
    <w:rsid w:val="00B87B69"/>
    <w:rsid w:val="00B90071"/>
    <w:rsid w:val="00B90C50"/>
    <w:rsid w:val="00B910E1"/>
    <w:rsid w:val="00B94568"/>
    <w:rsid w:val="00B9497F"/>
    <w:rsid w:val="00B9608E"/>
    <w:rsid w:val="00B960D9"/>
    <w:rsid w:val="00B96EE5"/>
    <w:rsid w:val="00BA0187"/>
    <w:rsid w:val="00BA0E89"/>
    <w:rsid w:val="00BA176D"/>
    <w:rsid w:val="00BA28E4"/>
    <w:rsid w:val="00BA2F5D"/>
    <w:rsid w:val="00BA36ED"/>
    <w:rsid w:val="00BA6695"/>
    <w:rsid w:val="00BA6EA2"/>
    <w:rsid w:val="00BA7C53"/>
    <w:rsid w:val="00BB0867"/>
    <w:rsid w:val="00BB087E"/>
    <w:rsid w:val="00BB178D"/>
    <w:rsid w:val="00BB2B33"/>
    <w:rsid w:val="00BB3F60"/>
    <w:rsid w:val="00BB4073"/>
    <w:rsid w:val="00BB4D20"/>
    <w:rsid w:val="00BB5086"/>
    <w:rsid w:val="00BB52A8"/>
    <w:rsid w:val="00BB62DE"/>
    <w:rsid w:val="00BC143B"/>
    <w:rsid w:val="00BC19B1"/>
    <w:rsid w:val="00BC63C5"/>
    <w:rsid w:val="00BC71CA"/>
    <w:rsid w:val="00BC72DF"/>
    <w:rsid w:val="00BD0C03"/>
    <w:rsid w:val="00BD0E88"/>
    <w:rsid w:val="00BD0F0B"/>
    <w:rsid w:val="00BD15C8"/>
    <w:rsid w:val="00BD3608"/>
    <w:rsid w:val="00BD3D11"/>
    <w:rsid w:val="00BD4852"/>
    <w:rsid w:val="00BD5022"/>
    <w:rsid w:val="00BD6376"/>
    <w:rsid w:val="00BD647C"/>
    <w:rsid w:val="00BE041F"/>
    <w:rsid w:val="00BE101C"/>
    <w:rsid w:val="00BE127A"/>
    <w:rsid w:val="00BE1DBE"/>
    <w:rsid w:val="00BE3165"/>
    <w:rsid w:val="00BE5302"/>
    <w:rsid w:val="00BE5766"/>
    <w:rsid w:val="00BE594A"/>
    <w:rsid w:val="00BE5B8A"/>
    <w:rsid w:val="00BE74AF"/>
    <w:rsid w:val="00BE78F1"/>
    <w:rsid w:val="00BF1222"/>
    <w:rsid w:val="00BF1248"/>
    <w:rsid w:val="00BF15F4"/>
    <w:rsid w:val="00BF2496"/>
    <w:rsid w:val="00BF2DBB"/>
    <w:rsid w:val="00BF2F2A"/>
    <w:rsid w:val="00BF54C8"/>
    <w:rsid w:val="00BF58EF"/>
    <w:rsid w:val="00BF6832"/>
    <w:rsid w:val="00BF72B2"/>
    <w:rsid w:val="00BF72FB"/>
    <w:rsid w:val="00BF7B6C"/>
    <w:rsid w:val="00C00388"/>
    <w:rsid w:val="00C00FA7"/>
    <w:rsid w:val="00C01E83"/>
    <w:rsid w:val="00C02C6F"/>
    <w:rsid w:val="00C03038"/>
    <w:rsid w:val="00C0303E"/>
    <w:rsid w:val="00C031C4"/>
    <w:rsid w:val="00C03295"/>
    <w:rsid w:val="00C033C3"/>
    <w:rsid w:val="00C041E1"/>
    <w:rsid w:val="00C04F56"/>
    <w:rsid w:val="00C0509A"/>
    <w:rsid w:val="00C05C11"/>
    <w:rsid w:val="00C06C63"/>
    <w:rsid w:val="00C1017E"/>
    <w:rsid w:val="00C11CC8"/>
    <w:rsid w:val="00C11D39"/>
    <w:rsid w:val="00C11D6E"/>
    <w:rsid w:val="00C13224"/>
    <w:rsid w:val="00C13D8F"/>
    <w:rsid w:val="00C14033"/>
    <w:rsid w:val="00C14D49"/>
    <w:rsid w:val="00C15146"/>
    <w:rsid w:val="00C16ED0"/>
    <w:rsid w:val="00C170B7"/>
    <w:rsid w:val="00C170BD"/>
    <w:rsid w:val="00C172C8"/>
    <w:rsid w:val="00C202E0"/>
    <w:rsid w:val="00C207B7"/>
    <w:rsid w:val="00C20ED6"/>
    <w:rsid w:val="00C23720"/>
    <w:rsid w:val="00C243FB"/>
    <w:rsid w:val="00C24714"/>
    <w:rsid w:val="00C24E7F"/>
    <w:rsid w:val="00C26290"/>
    <w:rsid w:val="00C26850"/>
    <w:rsid w:val="00C272F1"/>
    <w:rsid w:val="00C2753E"/>
    <w:rsid w:val="00C279BE"/>
    <w:rsid w:val="00C279D9"/>
    <w:rsid w:val="00C27B39"/>
    <w:rsid w:val="00C27D43"/>
    <w:rsid w:val="00C3009B"/>
    <w:rsid w:val="00C3131B"/>
    <w:rsid w:val="00C317E9"/>
    <w:rsid w:val="00C33C2F"/>
    <w:rsid w:val="00C344F0"/>
    <w:rsid w:val="00C34CFC"/>
    <w:rsid w:val="00C34F31"/>
    <w:rsid w:val="00C36D85"/>
    <w:rsid w:val="00C36E8A"/>
    <w:rsid w:val="00C413A1"/>
    <w:rsid w:val="00C4153F"/>
    <w:rsid w:val="00C416CA"/>
    <w:rsid w:val="00C41D12"/>
    <w:rsid w:val="00C42753"/>
    <w:rsid w:val="00C42BBB"/>
    <w:rsid w:val="00C42E65"/>
    <w:rsid w:val="00C438C6"/>
    <w:rsid w:val="00C43967"/>
    <w:rsid w:val="00C43C89"/>
    <w:rsid w:val="00C45CE8"/>
    <w:rsid w:val="00C46EB0"/>
    <w:rsid w:val="00C50766"/>
    <w:rsid w:val="00C52766"/>
    <w:rsid w:val="00C5380F"/>
    <w:rsid w:val="00C56331"/>
    <w:rsid w:val="00C6003F"/>
    <w:rsid w:val="00C614C6"/>
    <w:rsid w:val="00C61E9C"/>
    <w:rsid w:val="00C632C5"/>
    <w:rsid w:val="00C63F48"/>
    <w:rsid w:val="00C65BD0"/>
    <w:rsid w:val="00C65DC1"/>
    <w:rsid w:val="00C66A89"/>
    <w:rsid w:val="00C67856"/>
    <w:rsid w:val="00C716CB"/>
    <w:rsid w:val="00C71988"/>
    <w:rsid w:val="00C739C7"/>
    <w:rsid w:val="00C75C6D"/>
    <w:rsid w:val="00C7624A"/>
    <w:rsid w:val="00C771B2"/>
    <w:rsid w:val="00C80106"/>
    <w:rsid w:val="00C82107"/>
    <w:rsid w:val="00C8274E"/>
    <w:rsid w:val="00C8368F"/>
    <w:rsid w:val="00C83AB7"/>
    <w:rsid w:val="00C8435D"/>
    <w:rsid w:val="00C8455E"/>
    <w:rsid w:val="00C84974"/>
    <w:rsid w:val="00C85FF1"/>
    <w:rsid w:val="00C8657D"/>
    <w:rsid w:val="00C87208"/>
    <w:rsid w:val="00C87BA5"/>
    <w:rsid w:val="00C87C34"/>
    <w:rsid w:val="00C87F01"/>
    <w:rsid w:val="00C9032D"/>
    <w:rsid w:val="00C90957"/>
    <w:rsid w:val="00C91031"/>
    <w:rsid w:val="00C91DE6"/>
    <w:rsid w:val="00C9200E"/>
    <w:rsid w:val="00C92298"/>
    <w:rsid w:val="00C9309D"/>
    <w:rsid w:val="00C93222"/>
    <w:rsid w:val="00C9329D"/>
    <w:rsid w:val="00C937AD"/>
    <w:rsid w:val="00C9403B"/>
    <w:rsid w:val="00C944BF"/>
    <w:rsid w:val="00C95305"/>
    <w:rsid w:val="00C95652"/>
    <w:rsid w:val="00C97283"/>
    <w:rsid w:val="00C9746E"/>
    <w:rsid w:val="00CA0C3D"/>
    <w:rsid w:val="00CA18D5"/>
    <w:rsid w:val="00CA1C70"/>
    <w:rsid w:val="00CA2C1A"/>
    <w:rsid w:val="00CA3442"/>
    <w:rsid w:val="00CA38A3"/>
    <w:rsid w:val="00CA49D6"/>
    <w:rsid w:val="00CA6163"/>
    <w:rsid w:val="00CA6324"/>
    <w:rsid w:val="00CA651C"/>
    <w:rsid w:val="00CA74C6"/>
    <w:rsid w:val="00CA771D"/>
    <w:rsid w:val="00CB0A04"/>
    <w:rsid w:val="00CB0E61"/>
    <w:rsid w:val="00CB1E6D"/>
    <w:rsid w:val="00CB41A1"/>
    <w:rsid w:val="00CB4EB5"/>
    <w:rsid w:val="00CB5AA0"/>
    <w:rsid w:val="00CB76B5"/>
    <w:rsid w:val="00CB7CCD"/>
    <w:rsid w:val="00CB7E05"/>
    <w:rsid w:val="00CC03E1"/>
    <w:rsid w:val="00CC0666"/>
    <w:rsid w:val="00CC0E02"/>
    <w:rsid w:val="00CC13B2"/>
    <w:rsid w:val="00CC194A"/>
    <w:rsid w:val="00CC2D22"/>
    <w:rsid w:val="00CC3163"/>
    <w:rsid w:val="00CC4259"/>
    <w:rsid w:val="00CC52EB"/>
    <w:rsid w:val="00CC5FD2"/>
    <w:rsid w:val="00CC63CB"/>
    <w:rsid w:val="00CC63F1"/>
    <w:rsid w:val="00CC6AB0"/>
    <w:rsid w:val="00CC7F1B"/>
    <w:rsid w:val="00CD08A1"/>
    <w:rsid w:val="00CD1585"/>
    <w:rsid w:val="00CD1A36"/>
    <w:rsid w:val="00CD1A83"/>
    <w:rsid w:val="00CD1DE2"/>
    <w:rsid w:val="00CD2A6B"/>
    <w:rsid w:val="00CD34C9"/>
    <w:rsid w:val="00CD3D93"/>
    <w:rsid w:val="00CD628C"/>
    <w:rsid w:val="00CE0348"/>
    <w:rsid w:val="00CE14A6"/>
    <w:rsid w:val="00CE1891"/>
    <w:rsid w:val="00CE207B"/>
    <w:rsid w:val="00CE301A"/>
    <w:rsid w:val="00CE3467"/>
    <w:rsid w:val="00CE3BC6"/>
    <w:rsid w:val="00CE3C64"/>
    <w:rsid w:val="00CE3EBD"/>
    <w:rsid w:val="00CE4699"/>
    <w:rsid w:val="00CE49B8"/>
    <w:rsid w:val="00CE4FC4"/>
    <w:rsid w:val="00CE54E5"/>
    <w:rsid w:val="00CE6710"/>
    <w:rsid w:val="00CE6DAD"/>
    <w:rsid w:val="00CE7B29"/>
    <w:rsid w:val="00CF03FD"/>
    <w:rsid w:val="00CF1033"/>
    <w:rsid w:val="00CF1DAC"/>
    <w:rsid w:val="00CF2E2E"/>
    <w:rsid w:val="00CF52AD"/>
    <w:rsid w:val="00CF6709"/>
    <w:rsid w:val="00CF6745"/>
    <w:rsid w:val="00CF758A"/>
    <w:rsid w:val="00CF7839"/>
    <w:rsid w:val="00CF7B1C"/>
    <w:rsid w:val="00CF7FEF"/>
    <w:rsid w:val="00D01158"/>
    <w:rsid w:val="00D03D1F"/>
    <w:rsid w:val="00D0400C"/>
    <w:rsid w:val="00D0422F"/>
    <w:rsid w:val="00D05DAD"/>
    <w:rsid w:val="00D069E8"/>
    <w:rsid w:val="00D06D7A"/>
    <w:rsid w:val="00D071A0"/>
    <w:rsid w:val="00D1082E"/>
    <w:rsid w:val="00D10BFA"/>
    <w:rsid w:val="00D11C1E"/>
    <w:rsid w:val="00D12520"/>
    <w:rsid w:val="00D13005"/>
    <w:rsid w:val="00D150BA"/>
    <w:rsid w:val="00D15CAB"/>
    <w:rsid w:val="00D161D5"/>
    <w:rsid w:val="00D16599"/>
    <w:rsid w:val="00D21444"/>
    <w:rsid w:val="00D214F3"/>
    <w:rsid w:val="00D219EC"/>
    <w:rsid w:val="00D21C1A"/>
    <w:rsid w:val="00D21D2B"/>
    <w:rsid w:val="00D21EFE"/>
    <w:rsid w:val="00D22E63"/>
    <w:rsid w:val="00D23177"/>
    <w:rsid w:val="00D23468"/>
    <w:rsid w:val="00D23984"/>
    <w:rsid w:val="00D261D3"/>
    <w:rsid w:val="00D30DAA"/>
    <w:rsid w:val="00D3148B"/>
    <w:rsid w:val="00D32F9A"/>
    <w:rsid w:val="00D3574C"/>
    <w:rsid w:val="00D35C9B"/>
    <w:rsid w:val="00D36C24"/>
    <w:rsid w:val="00D37275"/>
    <w:rsid w:val="00D37C68"/>
    <w:rsid w:val="00D4040B"/>
    <w:rsid w:val="00D40555"/>
    <w:rsid w:val="00D41EE2"/>
    <w:rsid w:val="00D425F9"/>
    <w:rsid w:val="00D43514"/>
    <w:rsid w:val="00D4568C"/>
    <w:rsid w:val="00D4586F"/>
    <w:rsid w:val="00D46C84"/>
    <w:rsid w:val="00D46D9F"/>
    <w:rsid w:val="00D522D8"/>
    <w:rsid w:val="00D53DD5"/>
    <w:rsid w:val="00D53FFF"/>
    <w:rsid w:val="00D55A6B"/>
    <w:rsid w:val="00D56046"/>
    <w:rsid w:val="00D567A4"/>
    <w:rsid w:val="00D6026C"/>
    <w:rsid w:val="00D61C2C"/>
    <w:rsid w:val="00D6306D"/>
    <w:rsid w:val="00D63082"/>
    <w:rsid w:val="00D635A8"/>
    <w:rsid w:val="00D65CB2"/>
    <w:rsid w:val="00D6601D"/>
    <w:rsid w:val="00D664E9"/>
    <w:rsid w:val="00D6721D"/>
    <w:rsid w:val="00D67A43"/>
    <w:rsid w:val="00D70D1F"/>
    <w:rsid w:val="00D711F6"/>
    <w:rsid w:val="00D71DC4"/>
    <w:rsid w:val="00D732EB"/>
    <w:rsid w:val="00D74147"/>
    <w:rsid w:val="00D755BA"/>
    <w:rsid w:val="00D75D30"/>
    <w:rsid w:val="00D75F7D"/>
    <w:rsid w:val="00D76C1D"/>
    <w:rsid w:val="00D77E26"/>
    <w:rsid w:val="00D8013A"/>
    <w:rsid w:val="00D80D7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2B5"/>
    <w:rsid w:val="00D966F2"/>
    <w:rsid w:val="00D96CF6"/>
    <w:rsid w:val="00D97506"/>
    <w:rsid w:val="00D97600"/>
    <w:rsid w:val="00DA1B40"/>
    <w:rsid w:val="00DA1C08"/>
    <w:rsid w:val="00DA46E7"/>
    <w:rsid w:val="00DA4AE4"/>
    <w:rsid w:val="00DA4BD9"/>
    <w:rsid w:val="00DA54FD"/>
    <w:rsid w:val="00DA5B33"/>
    <w:rsid w:val="00DA6DE9"/>
    <w:rsid w:val="00DA6F4F"/>
    <w:rsid w:val="00DB0020"/>
    <w:rsid w:val="00DB0047"/>
    <w:rsid w:val="00DB286D"/>
    <w:rsid w:val="00DB4240"/>
    <w:rsid w:val="00DB49A3"/>
    <w:rsid w:val="00DB6797"/>
    <w:rsid w:val="00DC01C8"/>
    <w:rsid w:val="00DC216D"/>
    <w:rsid w:val="00DC2844"/>
    <w:rsid w:val="00DC34FB"/>
    <w:rsid w:val="00DC3D5F"/>
    <w:rsid w:val="00DC3E74"/>
    <w:rsid w:val="00DC4627"/>
    <w:rsid w:val="00DC49CB"/>
    <w:rsid w:val="00DC574B"/>
    <w:rsid w:val="00DC644F"/>
    <w:rsid w:val="00DC6A77"/>
    <w:rsid w:val="00DC77A0"/>
    <w:rsid w:val="00DD405A"/>
    <w:rsid w:val="00DD435C"/>
    <w:rsid w:val="00DD4933"/>
    <w:rsid w:val="00DD4BA5"/>
    <w:rsid w:val="00DD59A0"/>
    <w:rsid w:val="00DD6AFA"/>
    <w:rsid w:val="00DD6F3C"/>
    <w:rsid w:val="00DD70D3"/>
    <w:rsid w:val="00DD7D7F"/>
    <w:rsid w:val="00DE0B19"/>
    <w:rsid w:val="00DE0F80"/>
    <w:rsid w:val="00DE1E02"/>
    <w:rsid w:val="00DE26FD"/>
    <w:rsid w:val="00DE4EB1"/>
    <w:rsid w:val="00DE52C5"/>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65C"/>
    <w:rsid w:val="00E056AE"/>
    <w:rsid w:val="00E074D1"/>
    <w:rsid w:val="00E117AC"/>
    <w:rsid w:val="00E11CA0"/>
    <w:rsid w:val="00E124C9"/>
    <w:rsid w:val="00E12636"/>
    <w:rsid w:val="00E12704"/>
    <w:rsid w:val="00E12D86"/>
    <w:rsid w:val="00E143E9"/>
    <w:rsid w:val="00E14A01"/>
    <w:rsid w:val="00E14ECA"/>
    <w:rsid w:val="00E1599E"/>
    <w:rsid w:val="00E20CA6"/>
    <w:rsid w:val="00E22139"/>
    <w:rsid w:val="00E22477"/>
    <w:rsid w:val="00E225C4"/>
    <w:rsid w:val="00E23DD5"/>
    <w:rsid w:val="00E241ED"/>
    <w:rsid w:val="00E24201"/>
    <w:rsid w:val="00E24CC7"/>
    <w:rsid w:val="00E24EB3"/>
    <w:rsid w:val="00E25AB6"/>
    <w:rsid w:val="00E26CBB"/>
    <w:rsid w:val="00E306B4"/>
    <w:rsid w:val="00E30A3F"/>
    <w:rsid w:val="00E318BB"/>
    <w:rsid w:val="00E31AE0"/>
    <w:rsid w:val="00E31CF6"/>
    <w:rsid w:val="00E32A5B"/>
    <w:rsid w:val="00E32A95"/>
    <w:rsid w:val="00E3334E"/>
    <w:rsid w:val="00E339B1"/>
    <w:rsid w:val="00E355E0"/>
    <w:rsid w:val="00E358CB"/>
    <w:rsid w:val="00E412D6"/>
    <w:rsid w:val="00E41681"/>
    <w:rsid w:val="00E4176E"/>
    <w:rsid w:val="00E419BD"/>
    <w:rsid w:val="00E4206C"/>
    <w:rsid w:val="00E42958"/>
    <w:rsid w:val="00E436C9"/>
    <w:rsid w:val="00E43FE4"/>
    <w:rsid w:val="00E44810"/>
    <w:rsid w:val="00E453C0"/>
    <w:rsid w:val="00E4677B"/>
    <w:rsid w:val="00E474BB"/>
    <w:rsid w:val="00E500CD"/>
    <w:rsid w:val="00E50DD3"/>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D40"/>
    <w:rsid w:val="00E70508"/>
    <w:rsid w:val="00E7065C"/>
    <w:rsid w:val="00E726B2"/>
    <w:rsid w:val="00E730EA"/>
    <w:rsid w:val="00E77FA9"/>
    <w:rsid w:val="00E80D90"/>
    <w:rsid w:val="00E81CB5"/>
    <w:rsid w:val="00E8251F"/>
    <w:rsid w:val="00E82E31"/>
    <w:rsid w:val="00E83AE8"/>
    <w:rsid w:val="00E83BBA"/>
    <w:rsid w:val="00E85FE2"/>
    <w:rsid w:val="00E8719B"/>
    <w:rsid w:val="00E91304"/>
    <w:rsid w:val="00E91F43"/>
    <w:rsid w:val="00E92B00"/>
    <w:rsid w:val="00E94914"/>
    <w:rsid w:val="00E94AD5"/>
    <w:rsid w:val="00E9526D"/>
    <w:rsid w:val="00E95F05"/>
    <w:rsid w:val="00E96147"/>
    <w:rsid w:val="00E96447"/>
    <w:rsid w:val="00E96570"/>
    <w:rsid w:val="00E96FE7"/>
    <w:rsid w:val="00E975B2"/>
    <w:rsid w:val="00E977DD"/>
    <w:rsid w:val="00E97C44"/>
    <w:rsid w:val="00EA1D4C"/>
    <w:rsid w:val="00EA2366"/>
    <w:rsid w:val="00EA23F6"/>
    <w:rsid w:val="00EA28D8"/>
    <w:rsid w:val="00EA3D8D"/>
    <w:rsid w:val="00EA58F5"/>
    <w:rsid w:val="00EA7C27"/>
    <w:rsid w:val="00EB047C"/>
    <w:rsid w:val="00EB10E8"/>
    <w:rsid w:val="00EB24A6"/>
    <w:rsid w:val="00EB2DC9"/>
    <w:rsid w:val="00EB389E"/>
    <w:rsid w:val="00EB5929"/>
    <w:rsid w:val="00EB6E95"/>
    <w:rsid w:val="00EB6EB6"/>
    <w:rsid w:val="00EB7161"/>
    <w:rsid w:val="00EB79D7"/>
    <w:rsid w:val="00EC0029"/>
    <w:rsid w:val="00EC0844"/>
    <w:rsid w:val="00EC0E9F"/>
    <w:rsid w:val="00EC0FEB"/>
    <w:rsid w:val="00EC15F1"/>
    <w:rsid w:val="00EC471C"/>
    <w:rsid w:val="00EC58DB"/>
    <w:rsid w:val="00EC6E87"/>
    <w:rsid w:val="00EC7D44"/>
    <w:rsid w:val="00ED12F6"/>
    <w:rsid w:val="00ED13B6"/>
    <w:rsid w:val="00ED1668"/>
    <w:rsid w:val="00ED1A68"/>
    <w:rsid w:val="00ED20CA"/>
    <w:rsid w:val="00ED29C4"/>
    <w:rsid w:val="00ED2EBF"/>
    <w:rsid w:val="00ED42D2"/>
    <w:rsid w:val="00ED4665"/>
    <w:rsid w:val="00ED4FB4"/>
    <w:rsid w:val="00ED521F"/>
    <w:rsid w:val="00ED6240"/>
    <w:rsid w:val="00ED6503"/>
    <w:rsid w:val="00EE08CD"/>
    <w:rsid w:val="00EE1D01"/>
    <w:rsid w:val="00EE2D76"/>
    <w:rsid w:val="00EE3651"/>
    <w:rsid w:val="00EE3EA3"/>
    <w:rsid w:val="00EE4E24"/>
    <w:rsid w:val="00EE5E16"/>
    <w:rsid w:val="00EE74CE"/>
    <w:rsid w:val="00EE7DDF"/>
    <w:rsid w:val="00EF01B4"/>
    <w:rsid w:val="00EF14A4"/>
    <w:rsid w:val="00EF2C39"/>
    <w:rsid w:val="00EF302A"/>
    <w:rsid w:val="00EF4561"/>
    <w:rsid w:val="00EF45AB"/>
    <w:rsid w:val="00EF5D37"/>
    <w:rsid w:val="00EF5E7A"/>
    <w:rsid w:val="00EF72EE"/>
    <w:rsid w:val="00EF7BEC"/>
    <w:rsid w:val="00F0065B"/>
    <w:rsid w:val="00F00BC9"/>
    <w:rsid w:val="00F01308"/>
    <w:rsid w:val="00F024BC"/>
    <w:rsid w:val="00F02C52"/>
    <w:rsid w:val="00F02CE3"/>
    <w:rsid w:val="00F03C67"/>
    <w:rsid w:val="00F04FA1"/>
    <w:rsid w:val="00F05778"/>
    <w:rsid w:val="00F0739E"/>
    <w:rsid w:val="00F10496"/>
    <w:rsid w:val="00F104F4"/>
    <w:rsid w:val="00F1182B"/>
    <w:rsid w:val="00F11A2F"/>
    <w:rsid w:val="00F11B5F"/>
    <w:rsid w:val="00F11C93"/>
    <w:rsid w:val="00F14BEA"/>
    <w:rsid w:val="00F2044C"/>
    <w:rsid w:val="00F21803"/>
    <w:rsid w:val="00F2188E"/>
    <w:rsid w:val="00F21F28"/>
    <w:rsid w:val="00F243AB"/>
    <w:rsid w:val="00F24539"/>
    <w:rsid w:val="00F26328"/>
    <w:rsid w:val="00F26740"/>
    <w:rsid w:val="00F26AF4"/>
    <w:rsid w:val="00F274BB"/>
    <w:rsid w:val="00F277A8"/>
    <w:rsid w:val="00F33BB6"/>
    <w:rsid w:val="00F346AE"/>
    <w:rsid w:val="00F34791"/>
    <w:rsid w:val="00F34C15"/>
    <w:rsid w:val="00F34E69"/>
    <w:rsid w:val="00F352B5"/>
    <w:rsid w:val="00F3557B"/>
    <w:rsid w:val="00F35F7F"/>
    <w:rsid w:val="00F36D4F"/>
    <w:rsid w:val="00F3769C"/>
    <w:rsid w:val="00F37F40"/>
    <w:rsid w:val="00F417EE"/>
    <w:rsid w:val="00F41F75"/>
    <w:rsid w:val="00F422CF"/>
    <w:rsid w:val="00F427A9"/>
    <w:rsid w:val="00F42E90"/>
    <w:rsid w:val="00F450DA"/>
    <w:rsid w:val="00F45E94"/>
    <w:rsid w:val="00F4640F"/>
    <w:rsid w:val="00F471EF"/>
    <w:rsid w:val="00F504EB"/>
    <w:rsid w:val="00F5094D"/>
    <w:rsid w:val="00F51FFF"/>
    <w:rsid w:val="00F534D4"/>
    <w:rsid w:val="00F542E9"/>
    <w:rsid w:val="00F54622"/>
    <w:rsid w:val="00F56903"/>
    <w:rsid w:val="00F5747C"/>
    <w:rsid w:val="00F62E6A"/>
    <w:rsid w:val="00F64874"/>
    <w:rsid w:val="00F649FF"/>
    <w:rsid w:val="00F65546"/>
    <w:rsid w:val="00F659AD"/>
    <w:rsid w:val="00F664BC"/>
    <w:rsid w:val="00F701E0"/>
    <w:rsid w:val="00F70C7F"/>
    <w:rsid w:val="00F71884"/>
    <w:rsid w:val="00F71D35"/>
    <w:rsid w:val="00F71EE8"/>
    <w:rsid w:val="00F7298E"/>
    <w:rsid w:val="00F751E6"/>
    <w:rsid w:val="00F7786D"/>
    <w:rsid w:val="00F77BE1"/>
    <w:rsid w:val="00F77FE3"/>
    <w:rsid w:val="00F83223"/>
    <w:rsid w:val="00F8421A"/>
    <w:rsid w:val="00F8481A"/>
    <w:rsid w:val="00F852D8"/>
    <w:rsid w:val="00F91075"/>
    <w:rsid w:val="00F92B5F"/>
    <w:rsid w:val="00F92C48"/>
    <w:rsid w:val="00F94311"/>
    <w:rsid w:val="00F971B5"/>
    <w:rsid w:val="00F97661"/>
    <w:rsid w:val="00FA0754"/>
    <w:rsid w:val="00FA1802"/>
    <w:rsid w:val="00FA20ED"/>
    <w:rsid w:val="00FA3B3A"/>
    <w:rsid w:val="00FA5B01"/>
    <w:rsid w:val="00FA7258"/>
    <w:rsid w:val="00FA7696"/>
    <w:rsid w:val="00FA7901"/>
    <w:rsid w:val="00FB006B"/>
    <w:rsid w:val="00FB2817"/>
    <w:rsid w:val="00FB33C3"/>
    <w:rsid w:val="00FB3923"/>
    <w:rsid w:val="00FB3B78"/>
    <w:rsid w:val="00FB4694"/>
    <w:rsid w:val="00FB519B"/>
    <w:rsid w:val="00FB53B8"/>
    <w:rsid w:val="00FB74E9"/>
    <w:rsid w:val="00FB7EE5"/>
    <w:rsid w:val="00FC283A"/>
    <w:rsid w:val="00FC3823"/>
    <w:rsid w:val="00FC3A35"/>
    <w:rsid w:val="00FC41C3"/>
    <w:rsid w:val="00FC41C9"/>
    <w:rsid w:val="00FC43F7"/>
    <w:rsid w:val="00FC536A"/>
    <w:rsid w:val="00FC5C82"/>
    <w:rsid w:val="00FC6176"/>
    <w:rsid w:val="00FC665E"/>
    <w:rsid w:val="00FC6947"/>
    <w:rsid w:val="00FC749E"/>
    <w:rsid w:val="00FC750C"/>
    <w:rsid w:val="00FD0AD6"/>
    <w:rsid w:val="00FD1960"/>
    <w:rsid w:val="00FD2B34"/>
    <w:rsid w:val="00FD2F83"/>
    <w:rsid w:val="00FD3141"/>
    <w:rsid w:val="00FD481D"/>
    <w:rsid w:val="00FD5782"/>
    <w:rsid w:val="00FE0C0F"/>
    <w:rsid w:val="00FE2715"/>
    <w:rsid w:val="00FE2ED0"/>
    <w:rsid w:val="00FE3A0C"/>
    <w:rsid w:val="00FE3D24"/>
    <w:rsid w:val="00FE3E0D"/>
    <w:rsid w:val="00FE45CF"/>
    <w:rsid w:val="00FE5A52"/>
    <w:rsid w:val="00FE7545"/>
    <w:rsid w:val="00FE79FA"/>
    <w:rsid w:val="00FF04FF"/>
    <w:rsid w:val="00FF0CB1"/>
    <w:rsid w:val="00FF0EA5"/>
    <w:rsid w:val="00FF140D"/>
    <w:rsid w:val="00FF2283"/>
    <w:rsid w:val="00FF2A13"/>
    <w:rsid w:val="00FF3175"/>
    <w:rsid w:val="00FF3C57"/>
    <w:rsid w:val="00FF4EE4"/>
    <w:rsid w:val="00FF561F"/>
    <w:rsid w:val="00FF689D"/>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0FD73E"/>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CE4699"/>
    <w:pPr>
      <w:keepNext/>
      <w:keepLines/>
      <w:tabs>
        <w:tab w:val="left" w:pos="6663"/>
      </w:tabs>
      <w:spacing w:before="40"/>
      <w:outlineLvl w:val="1"/>
    </w:pPr>
    <w:rPr>
      <w:rFonts w:asciiTheme="majorHAnsi" w:eastAsia="Times New Roman" w:hAnsiTheme="majorHAnsi" w:cstheme="majorBidi"/>
      <w:b/>
      <w:color w:val="365F91" w:themeColor="accent1" w:themeShade="BF"/>
      <w:sz w:val="28"/>
      <w:szCs w:val="26"/>
      <w:lang w:val="en-GB" w:eastAsia="en-GB"/>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673F3D"/>
    <w:pPr>
      <w:tabs>
        <w:tab w:val="left" w:pos="480"/>
        <w:tab w:val="left" w:pos="1134"/>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E4699"/>
    <w:rPr>
      <w:rFonts w:asciiTheme="majorHAnsi" w:eastAsia="Times New Roman" w:hAnsiTheme="majorHAnsi" w:cstheme="majorBidi"/>
      <w:b/>
      <w:color w:val="365F91" w:themeColor="accent1" w:themeShade="BF"/>
      <w:sz w:val="28"/>
      <w:szCs w:val="26"/>
      <w:lang w:val="en-GB" w:eastAsia="en-GB"/>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semiHidden/>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100" w:beforeAutospacing="1" w:after="100" w:afterAutospacing="1" w:line="240" w:lineRule="auto"/>
      <w:jc w:val="left"/>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100" w:beforeAutospacing="1" w:after="100" w:afterAutospacing="1" w:line="240" w:lineRule="auto"/>
      <w:jc w:val="left"/>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rPr>
      <w:sz w:val="20"/>
      <w:szCs w:val="20"/>
    </w:r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qFormat/>
    <w:rsid w:val="00653389"/>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qFormat/>
    <w:rsid w:val="00653389"/>
    <w:pPr>
      <w:widowControl w:val="0"/>
      <w:autoSpaceDE w:val="0"/>
      <w:autoSpaceDN w:val="0"/>
      <w:spacing w:line="249" w:lineRule="exact"/>
      <w:ind w:left="107"/>
      <w:jc w:val="left"/>
    </w:pPr>
    <w:rPr>
      <w:rFonts w:ascii="Calibri" w:eastAsia="Calibri" w:hAnsi="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73860">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018387">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5450655">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151279">
      <w:bodyDiv w:val="1"/>
      <w:marLeft w:val="0"/>
      <w:marRight w:val="0"/>
      <w:marTop w:val="0"/>
      <w:marBottom w:val="0"/>
      <w:divBdr>
        <w:top w:val="none" w:sz="0" w:space="0" w:color="auto"/>
        <w:left w:val="none" w:sz="0" w:space="0" w:color="auto"/>
        <w:bottom w:val="none" w:sz="0" w:space="0" w:color="auto"/>
        <w:right w:val="none" w:sz="0" w:space="0" w:color="auto"/>
      </w:divBdr>
    </w:div>
    <w:div w:id="106851881">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40935">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053650">
      <w:bodyDiv w:val="1"/>
      <w:marLeft w:val="0"/>
      <w:marRight w:val="0"/>
      <w:marTop w:val="0"/>
      <w:marBottom w:val="0"/>
      <w:divBdr>
        <w:top w:val="none" w:sz="0" w:space="0" w:color="auto"/>
        <w:left w:val="none" w:sz="0" w:space="0" w:color="auto"/>
        <w:bottom w:val="none" w:sz="0" w:space="0" w:color="auto"/>
        <w:right w:val="none" w:sz="0" w:space="0" w:color="auto"/>
      </w:divBdr>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9254089">
      <w:bodyDiv w:val="1"/>
      <w:marLeft w:val="0"/>
      <w:marRight w:val="0"/>
      <w:marTop w:val="0"/>
      <w:marBottom w:val="0"/>
      <w:divBdr>
        <w:top w:val="none" w:sz="0" w:space="0" w:color="auto"/>
        <w:left w:val="none" w:sz="0" w:space="0" w:color="auto"/>
        <w:bottom w:val="none" w:sz="0" w:space="0" w:color="auto"/>
        <w:right w:val="none" w:sz="0" w:space="0" w:color="auto"/>
      </w:divBdr>
    </w:div>
    <w:div w:id="132796331">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7477956">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80632275">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27204">
      <w:bodyDiv w:val="1"/>
      <w:marLeft w:val="0"/>
      <w:marRight w:val="0"/>
      <w:marTop w:val="0"/>
      <w:marBottom w:val="0"/>
      <w:divBdr>
        <w:top w:val="none" w:sz="0" w:space="0" w:color="auto"/>
        <w:left w:val="none" w:sz="0" w:space="0" w:color="auto"/>
        <w:bottom w:val="none" w:sz="0" w:space="0" w:color="auto"/>
        <w:right w:val="none" w:sz="0" w:space="0" w:color="auto"/>
      </w:divBdr>
    </w:div>
    <w:div w:id="188568160">
      <w:bodyDiv w:val="1"/>
      <w:marLeft w:val="0"/>
      <w:marRight w:val="0"/>
      <w:marTop w:val="0"/>
      <w:marBottom w:val="0"/>
      <w:divBdr>
        <w:top w:val="none" w:sz="0" w:space="0" w:color="auto"/>
        <w:left w:val="none" w:sz="0" w:space="0" w:color="auto"/>
        <w:bottom w:val="none" w:sz="0" w:space="0" w:color="auto"/>
        <w:right w:val="none" w:sz="0" w:space="0" w:color="auto"/>
      </w:divBdr>
    </w:div>
    <w:div w:id="196310682">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2661860">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303974410">
      <w:bodyDiv w:val="1"/>
      <w:marLeft w:val="0"/>
      <w:marRight w:val="0"/>
      <w:marTop w:val="0"/>
      <w:marBottom w:val="0"/>
      <w:divBdr>
        <w:top w:val="none" w:sz="0" w:space="0" w:color="auto"/>
        <w:left w:val="none" w:sz="0" w:space="0" w:color="auto"/>
        <w:bottom w:val="none" w:sz="0" w:space="0" w:color="auto"/>
        <w:right w:val="none" w:sz="0" w:space="0" w:color="auto"/>
      </w:divBdr>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9234799">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9725566">
      <w:bodyDiv w:val="1"/>
      <w:marLeft w:val="0"/>
      <w:marRight w:val="0"/>
      <w:marTop w:val="0"/>
      <w:marBottom w:val="0"/>
      <w:divBdr>
        <w:top w:val="none" w:sz="0" w:space="0" w:color="auto"/>
        <w:left w:val="none" w:sz="0" w:space="0" w:color="auto"/>
        <w:bottom w:val="none" w:sz="0" w:space="0" w:color="auto"/>
        <w:right w:val="none" w:sz="0" w:space="0" w:color="auto"/>
      </w:divBdr>
      <w:divsChild>
        <w:div w:id="18984667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37263500">
      <w:bodyDiv w:val="1"/>
      <w:marLeft w:val="0"/>
      <w:marRight w:val="0"/>
      <w:marTop w:val="0"/>
      <w:marBottom w:val="0"/>
      <w:divBdr>
        <w:top w:val="none" w:sz="0" w:space="0" w:color="auto"/>
        <w:left w:val="none" w:sz="0" w:space="0" w:color="auto"/>
        <w:bottom w:val="none" w:sz="0" w:space="0" w:color="auto"/>
        <w:right w:val="none" w:sz="0" w:space="0" w:color="auto"/>
      </w:divBdr>
    </w:div>
    <w:div w:id="44507979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1754982">
      <w:bodyDiv w:val="1"/>
      <w:marLeft w:val="0"/>
      <w:marRight w:val="0"/>
      <w:marTop w:val="0"/>
      <w:marBottom w:val="0"/>
      <w:divBdr>
        <w:top w:val="none" w:sz="0" w:space="0" w:color="auto"/>
        <w:left w:val="none" w:sz="0" w:space="0" w:color="auto"/>
        <w:bottom w:val="none" w:sz="0" w:space="0" w:color="auto"/>
        <w:right w:val="none" w:sz="0" w:space="0" w:color="auto"/>
      </w:divBdr>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403465">
      <w:bodyDiv w:val="1"/>
      <w:marLeft w:val="0"/>
      <w:marRight w:val="0"/>
      <w:marTop w:val="0"/>
      <w:marBottom w:val="0"/>
      <w:divBdr>
        <w:top w:val="none" w:sz="0" w:space="0" w:color="auto"/>
        <w:left w:val="none" w:sz="0" w:space="0" w:color="auto"/>
        <w:bottom w:val="none" w:sz="0" w:space="0" w:color="auto"/>
        <w:right w:val="none" w:sz="0" w:space="0" w:color="auto"/>
      </w:divBdr>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6584835">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5758158">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62789580">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4483920">
      <w:bodyDiv w:val="1"/>
      <w:marLeft w:val="0"/>
      <w:marRight w:val="0"/>
      <w:marTop w:val="0"/>
      <w:marBottom w:val="0"/>
      <w:divBdr>
        <w:top w:val="none" w:sz="0" w:space="0" w:color="auto"/>
        <w:left w:val="none" w:sz="0" w:space="0" w:color="auto"/>
        <w:bottom w:val="none" w:sz="0" w:space="0" w:color="auto"/>
        <w:right w:val="none" w:sz="0" w:space="0" w:color="auto"/>
      </w:divBdr>
      <w:divsChild>
        <w:div w:id="597761694">
          <w:marLeft w:val="0"/>
          <w:marRight w:val="0"/>
          <w:marTop w:val="0"/>
          <w:marBottom w:val="0"/>
          <w:divBdr>
            <w:top w:val="none" w:sz="0" w:space="0" w:color="auto"/>
            <w:left w:val="none" w:sz="0" w:space="0" w:color="auto"/>
            <w:bottom w:val="none" w:sz="0" w:space="0" w:color="auto"/>
            <w:right w:val="none" w:sz="0" w:space="0" w:color="auto"/>
          </w:divBdr>
          <w:divsChild>
            <w:div w:id="35396981">
              <w:marLeft w:val="0"/>
              <w:marRight w:val="0"/>
              <w:marTop w:val="0"/>
              <w:marBottom w:val="0"/>
              <w:divBdr>
                <w:top w:val="none" w:sz="0" w:space="0" w:color="auto"/>
                <w:left w:val="none" w:sz="0" w:space="0" w:color="auto"/>
                <w:bottom w:val="none" w:sz="0" w:space="0" w:color="auto"/>
                <w:right w:val="none" w:sz="0" w:space="0" w:color="auto"/>
              </w:divBdr>
              <w:divsChild>
                <w:div w:id="1133714594">
                  <w:marLeft w:val="0"/>
                  <w:marRight w:val="0"/>
                  <w:marTop w:val="0"/>
                  <w:marBottom w:val="0"/>
                  <w:divBdr>
                    <w:top w:val="none" w:sz="0" w:space="0" w:color="auto"/>
                    <w:left w:val="none" w:sz="0" w:space="0" w:color="auto"/>
                    <w:bottom w:val="none" w:sz="0" w:space="0" w:color="auto"/>
                    <w:right w:val="none" w:sz="0" w:space="0" w:color="auto"/>
                  </w:divBdr>
                  <w:divsChild>
                    <w:div w:id="541751486">
                      <w:marLeft w:val="0"/>
                      <w:marRight w:val="0"/>
                      <w:marTop w:val="0"/>
                      <w:marBottom w:val="0"/>
                      <w:divBdr>
                        <w:top w:val="none" w:sz="0" w:space="0" w:color="auto"/>
                        <w:left w:val="none" w:sz="0" w:space="0" w:color="auto"/>
                        <w:bottom w:val="none" w:sz="0" w:space="0" w:color="auto"/>
                        <w:right w:val="none" w:sz="0" w:space="0" w:color="auto"/>
                      </w:divBdr>
                      <w:divsChild>
                        <w:div w:id="2015765571">
                          <w:marLeft w:val="0"/>
                          <w:marRight w:val="0"/>
                          <w:marTop w:val="0"/>
                          <w:marBottom w:val="0"/>
                          <w:divBdr>
                            <w:top w:val="none" w:sz="0" w:space="0" w:color="auto"/>
                            <w:left w:val="none" w:sz="0" w:space="0" w:color="auto"/>
                            <w:bottom w:val="none" w:sz="0" w:space="0" w:color="auto"/>
                            <w:right w:val="none" w:sz="0" w:space="0" w:color="auto"/>
                          </w:divBdr>
                          <w:divsChild>
                            <w:div w:id="1165314500">
                              <w:marLeft w:val="0"/>
                              <w:marRight w:val="0"/>
                              <w:marTop w:val="0"/>
                              <w:marBottom w:val="0"/>
                              <w:divBdr>
                                <w:top w:val="none" w:sz="0" w:space="0" w:color="auto"/>
                                <w:left w:val="none" w:sz="0" w:space="0" w:color="auto"/>
                                <w:bottom w:val="none" w:sz="0" w:space="0" w:color="auto"/>
                                <w:right w:val="none" w:sz="0" w:space="0" w:color="auto"/>
                              </w:divBdr>
                              <w:divsChild>
                                <w:div w:id="34440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73805437">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5986386">
      <w:bodyDiv w:val="1"/>
      <w:marLeft w:val="0"/>
      <w:marRight w:val="0"/>
      <w:marTop w:val="0"/>
      <w:marBottom w:val="0"/>
      <w:divBdr>
        <w:top w:val="none" w:sz="0" w:space="0" w:color="auto"/>
        <w:left w:val="none" w:sz="0" w:space="0" w:color="auto"/>
        <w:bottom w:val="none" w:sz="0" w:space="0" w:color="auto"/>
        <w:right w:val="none" w:sz="0" w:space="0" w:color="auto"/>
      </w:divBdr>
      <w:divsChild>
        <w:div w:id="421995377">
          <w:marLeft w:val="0"/>
          <w:marRight w:val="0"/>
          <w:marTop w:val="0"/>
          <w:marBottom w:val="0"/>
          <w:divBdr>
            <w:top w:val="none" w:sz="0" w:space="0" w:color="auto"/>
            <w:left w:val="none" w:sz="0" w:space="0" w:color="auto"/>
            <w:bottom w:val="none" w:sz="0" w:space="0" w:color="auto"/>
            <w:right w:val="none" w:sz="0" w:space="0" w:color="auto"/>
          </w:divBdr>
          <w:divsChild>
            <w:div w:id="1364593282">
              <w:marLeft w:val="0"/>
              <w:marRight w:val="0"/>
              <w:marTop w:val="0"/>
              <w:marBottom w:val="0"/>
              <w:divBdr>
                <w:top w:val="none" w:sz="0" w:space="0" w:color="auto"/>
                <w:left w:val="none" w:sz="0" w:space="0" w:color="auto"/>
                <w:bottom w:val="none" w:sz="0" w:space="0" w:color="auto"/>
                <w:right w:val="none" w:sz="0" w:space="0" w:color="auto"/>
              </w:divBdr>
              <w:divsChild>
                <w:div w:id="1081952430">
                  <w:marLeft w:val="0"/>
                  <w:marRight w:val="0"/>
                  <w:marTop w:val="0"/>
                  <w:marBottom w:val="0"/>
                  <w:divBdr>
                    <w:top w:val="none" w:sz="0" w:space="0" w:color="auto"/>
                    <w:left w:val="none" w:sz="0" w:space="0" w:color="auto"/>
                    <w:bottom w:val="none" w:sz="0" w:space="0" w:color="auto"/>
                    <w:right w:val="none" w:sz="0" w:space="0" w:color="auto"/>
                  </w:divBdr>
                  <w:divsChild>
                    <w:div w:id="17865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2827490">
      <w:bodyDiv w:val="1"/>
      <w:marLeft w:val="0"/>
      <w:marRight w:val="0"/>
      <w:marTop w:val="0"/>
      <w:marBottom w:val="0"/>
      <w:divBdr>
        <w:top w:val="none" w:sz="0" w:space="0" w:color="auto"/>
        <w:left w:val="none" w:sz="0" w:space="0" w:color="auto"/>
        <w:bottom w:val="none" w:sz="0" w:space="0" w:color="auto"/>
        <w:right w:val="none" w:sz="0" w:space="0" w:color="auto"/>
      </w:divBdr>
    </w:div>
    <w:div w:id="703868250">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5663935">
      <w:bodyDiv w:val="1"/>
      <w:marLeft w:val="0"/>
      <w:marRight w:val="0"/>
      <w:marTop w:val="0"/>
      <w:marBottom w:val="0"/>
      <w:divBdr>
        <w:top w:val="none" w:sz="0" w:space="0" w:color="auto"/>
        <w:left w:val="none" w:sz="0" w:space="0" w:color="auto"/>
        <w:bottom w:val="none" w:sz="0" w:space="0" w:color="auto"/>
        <w:right w:val="none" w:sz="0" w:space="0" w:color="auto"/>
      </w:divBdr>
    </w:div>
    <w:div w:id="717627654">
      <w:bodyDiv w:val="1"/>
      <w:marLeft w:val="0"/>
      <w:marRight w:val="0"/>
      <w:marTop w:val="0"/>
      <w:marBottom w:val="0"/>
      <w:divBdr>
        <w:top w:val="none" w:sz="0" w:space="0" w:color="auto"/>
        <w:left w:val="none" w:sz="0" w:space="0" w:color="auto"/>
        <w:bottom w:val="none" w:sz="0" w:space="0" w:color="auto"/>
        <w:right w:val="none" w:sz="0" w:space="0" w:color="auto"/>
      </w:divBdr>
    </w:div>
    <w:div w:id="734670507">
      <w:bodyDiv w:val="1"/>
      <w:marLeft w:val="0"/>
      <w:marRight w:val="0"/>
      <w:marTop w:val="0"/>
      <w:marBottom w:val="0"/>
      <w:divBdr>
        <w:top w:val="none" w:sz="0" w:space="0" w:color="auto"/>
        <w:left w:val="none" w:sz="0" w:space="0" w:color="auto"/>
        <w:bottom w:val="none" w:sz="0" w:space="0" w:color="auto"/>
        <w:right w:val="none" w:sz="0" w:space="0" w:color="auto"/>
      </w:divBdr>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74638290">
      <w:bodyDiv w:val="1"/>
      <w:marLeft w:val="0"/>
      <w:marRight w:val="0"/>
      <w:marTop w:val="0"/>
      <w:marBottom w:val="0"/>
      <w:divBdr>
        <w:top w:val="none" w:sz="0" w:space="0" w:color="auto"/>
        <w:left w:val="none" w:sz="0" w:space="0" w:color="auto"/>
        <w:bottom w:val="none" w:sz="0" w:space="0" w:color="auto"/>
        <w:right w:val="none" w:sz="0" w:space="0" w:color="auto"/>
      </w:divBdr>
    </w:div>
    <w:div w:id="775294899">
      <w:bodyDiv w:val="1"/>
      <w:marLeft w:val="0"/>
      <w:marRight w:val="0"/>
      <w:marTop w:val="0"/>
      <w:marBottom w:val="0"/>
      <w:divBdr>
        <w:top w:val="none" w:sz="0" w:space="0" w:color="auto"/>
        <w:left w:val="none" w:sz="0" w:space="0" w:color="auto"/>
        <w:bottom w:val="none" w:sz="0" w:space="0" w:color="auto"/>
        <w:right w:val="none" w:sz="0" w:space="0" w:color="auto"/>
      </w:divBdr>
    </w:div>
    <w:div w:id="781070928">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8932549">
      <w:bodyDiv w:val="1"/>
      <w:marLeft w:val="0"/>
      <w:marRight w:val="0"/>
      <w:marTop w:val="0"/>
      <w:marBottom w:val="0"/>
      <w:divBdr>
        <w:top w:val="none" w:sz="0" w:space="0" w:color="auto"/>
        <w:left w:val="none" w:sz="0" w:space="0" w:color="auto"/>
        <w:bottom w:val="none" w:sz="0" w:space="0" w:color="auto"/>
        <w:right w:val="none" w:sz="0" w:space="0" w:color="auto"/>
      </w:divBdr>
    </w:div>
    <w:div w:id="819424357">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42283978">
      <w:bodyDiv w:val="1"/>
      <w:marLeft w:val="0"/>
      <w:marRight w:val="0"/>
      <w:marTop w:val="0"/>
      <w:marBottom w:val="0"/>
      <w:divBdr>
        <w:top w:val="none" w:sz="0" w:space="0" w:color="auto"/>
        <w:left w:val="none" w:sz="0" w:space="0" w:color="auto"/>
        <w:bottom w:val="none" w:sz="0" w:space="0" w:color="auto"/>
        <w:right w:val="none" w:sz="0" w:space="0" w:color="auto"/>
      </w:divBdr>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762458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13004151">
      <w:bodyDiv w:val="1"/>
      <w:marLeft w:val="0"/>
      <w:marRight w:val="0"/>
      <w:marTop w:val="0"/>
      <w:marBottom w:val="0"/>
      <w:divBdr>
        <w:top w:val="none" w:sz="0" w:space="0" w:color="auto"/>
        <w:left w:val="none" w:sz="0" w:space="0" w:color="auto"/>
        <w:bottom w:val="none" w:sz="0" w:space="0" w:color="auto"/>
        <w:right w:val="none" w:sz="0" w:space="0" w:color="auto"/>
      </w:divBdr>
    </w:div>
    <w:div w:id="930503900">
      <w:bodyDiv w:val="1"/>
      <w:marLeft w:val="0"/>
      <w:marRight w:val="0"/>
      <w:marTop w:val="0"/>
      <w:marBottom w:val="0"/>
      <w:divBdr>
        <w:top w:val="none" w:sz="0" w:space="0" w:color="auto"/>
        <w:left w:val="none" w:sz="0" w:space="0" w:color="auto"/>
        <w:bottom w:val="none" w:sz="0" w:space="0" w:color="auto"/>
        <w:right w:val="none" w:sz="0" w:space="0" w:color="auto"/>
      </w:divBdr>
    </w:div>
    <w:div w:id="931620758">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786011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7949295">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16425494">
      <w:bodyDiv w:val="1"/>
      <w:marLeft w:val="0"/>
      <w:marRight w:val="0"/>
      <w:marTop w:val="0"/>
      <w:marBottom w:val="0"/>
      <w:divBdr>
        <w:top w:val="none" w:sz="0" w:space="0" w:color="auto"/>
        <w:left w:val="none" w:sz="0" w:space="0" w:color="auto"/>
        <w:bottom w:val="none" w:sz="0" w:space="0" w:color="auto"/>
        <w:right w:val="none" w:sz="0" w:space="0" w:color="auto"/>
      </w:divBdr>
    </w:div>
    <w:div w:id="1026563980">
      <w:bodyDiv w:val="1"/>
      <w:marLeft w:val="0"/>
      <w:marRight w:val="0"/>
      <w:marTop w:val="0"/>
      <w:marBottom w:val="0"/>
      <w:divBdr>
        <w:top w:val="none" w:sz="0" w:space="0" w:color="auto"/>
        <w:left w:val="none" w:sz="0" w:space="0" w:color="auto"/>
        <w:bottom w:val="none" w:sz="0" w:space="0" w:color="auto"/>
        <w:right w:val="none" w:sz="0" w:space="0" w:color="auto"/>
      </w:divBdr>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54815503">
      <w:bodyDiv w:val="1"/>
      <w:marLeft w:val="0"/>
      <w:marRight w:val="0"/>
      <w:marTop w:val="0"/>
      <w:marBottom w:val="0"/>
      <w:divBdr>
        <w:top w:val="none" w:sz="0" w:space="0" w:color="auto"/>
        <w:left w:val="none" w:sz="0" w:space="0" w:color="auto"/>
        <w:bottom w:val="none" w:sz="0" w:space="0" w:color="auto"/>
        <w:right w:val="none" w:sz="0" w:space="0" w:color="auto"/>
      </w:divBdr>
    </w:div>
    <w:div w:id="106741114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91123520">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751192616">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88202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641882">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13087084">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52411631">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63739690">
      <w:bodyDiv w:val="1"/>
      <w:marLeft w:val="0"/>
      <w:marRight w:val="0"/>
      <w:marTop w:val="0"/>
      <w:marBottom w:val="0"/>
      <w:divBdr>
        <w:top w:val="none" w:sz="0" w:space="0" w:color="auto"/>
        <w:left w:val="none" w:sz="0" w:space="0" w:color="auto"/>
        <w:bottom w:val="none" w:sz="0" w:space="0" w:color="auto"/>
        <w:right w:val="none" w:sz="0" w:space="0" w:color="auto"/>
      </w:divBdr>
    </w:div>
    <w:div w:id="1165124720">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3422287">
      <w:bodyDiv w:val="1"/>
      <w:marLeft w:val="0"/>
      <w:marRight w:val="0"/>
      <w:marTop w:val="0"/>
      <w:marBottom w:val="0"/>
      <w:divBdr>
        <w:top w:val="none" w:sz="0" w:space="0" w:color="auto"/>
        <w:left w:val="none" w:sz="0" w:space="0" w:color="auto"/>
        <w:bottom w:val="none" w:sz="0" w:space="0" w:color="auto"/>
        <w:right w:val="none" w:sz="0" w:space="0" w:color="auto"/>
      </w:divBdr>
    </w:div>
    <w:div w:id="1187332102">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197426575">
      <w:bodyDiv w:val="1"/>
      <w:marLeft w:val="0"/>
      <w:marRight w:val="0"/>
      <w:marTop w:val="0"/>
      <w:marBottom w:val="0"/>
      <w:divBdr>
        <w:top w:val="none" w:sz="0" w:space="0" w:color="auto"/>
        <w:left w:val="none" w:sz="0" w:space="0" w:color="auto"/>
        <w:bottom w:val="none" w:sz="0" w:space="0" w:color="auto"/>
        <w:right w:val="none" w:sz="0" w:space="0" w:color="auto"/>
      </w:divBdr>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0385282">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8203289">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6333993">
      <w:bodyDiv w:val="1"/>
      <w:marLeft w:val="0"/>
      <w:marRight w:val="0"/>
      <w:marTop w:val="0"/>
      <w:marBottom w:val="0"/>
      <w:divBdr>
        <w:top w:val="none" w:sz="0" w:space="0" w:color="auto"/>
        <w:left w:val="none" w:sz="0" w:space="0" w:color="auto"/>
        <w:bottom w:val="none" w:sz="0" w:space="0" w:color="auto"/>
        <w:right w:val="none" w:sz="0" w:space="0" w:color="auto"/>
      </w:divBdr>
    </w:div>
    <w:div w:id="1229219885">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485038">
      <w:bodyDiv w:val="1"/>
      <w:marLeft w:val="0"/>
      <w:marRight w:val="0"/>
      <w:marTop w:val="0"/>
      <w:marBottom w:val="0"/>
      <w:divBdr>
        <w:top w:val="none" w:sz="0" w:space="0" w:color="auto"/>
        <w:left w:val="none" w:sz="0" w:space="0" w:color="auto"/>
        <w:bottom w:val="none" w:sz="0" w:space="0" w:color="auto"/>
        <w:right w:val="none" w:sz="0" w:space="0" w:color="auto"/>
      </w:divBdr>
      <w:divsChild>
        <w:div w:id="271668479">
          <w:marLeft w:val="0"/>
          <w:marRight w:val="0"/>
          <w:marTop w:val="0"/>
          <w:marBottom w:val="0"/>
          <w:divBdr>
            <w:top w:val="none" w:sz="0" w:space="0" w:color="auto"/>
            <w:left w:val="none" w:sz="0" w:space="0" w:color="auto"/>
            <w:bottom w:val="none" w:sz="0" w:space="0" w:color="auto"/>
            <w:right w:val="none" w:sz="0" w:space="0" w:color="auto"/>
          </w:divBdr>
          <w:divsChild>
            <w:div w:id="145585511">
              <w:marLeft w:val="0"/>
              <w:marRight w:val="0"/>
              <w:marTop w:val="0"/>
              <w:marBottom w:val="0"/>
              <w:divBdr>
                <w:top w:val="none" w:sz="0" w:space="0" w:color="auto"/>
                <w:left w:val="none" w:sz="0" w:space="0" w:color="auto"/>
                <w:bottom w:val="none" w:sz="0" w:space="0" w:color="auto"/>
                <w:right w:val="none" w:sz="0" w:space="0" w:color="auto"/>
              </w:divBdr>
              <w:divsChild>
                <w:div w:id="339047335">
                  <w:marLeft w:val="0"/>
                  <w:marRight w:val="0"/>
                  <w:marTop w:val="0"/>
                  <w:marBottom w:val="0"/>
                  <w:divBdr>
                    <w:top w:val="none" w:sz="0" w:space="0" w:color="auto"/>
                    <w:left w:val="none" w:sz="0" w:space="0" w:color="auto"/>
                    <w:bottom w:val="none" w:sz="0" w:space="0" w:color="auto"/>
                    <w:right w:val="none" w:sz="0" w:space="0" w:color="auto"/>
                  </w:divBdr>
                  <w:divsChild>
                    <w:div w:id="869610123">
                      <w:marLeft w:val="0"/>
                      <w:marRight w:val="0"/>
                      <w:marTop w:val="0"/>
                      <w:marBottom w:val="0"/>
                      <w:divBdr>
                        <w:top w:val="none" w:sz="0" w:space="0" w:color="auto"/>
                        <w:left w:val="none" w:sz="0" w:space="0" w:color="auto"/>
                        <w:bottom w:val="none" w:sz="0" w:space="0" w:color="auto"/>
                        <w:right w:val="none" w:sz="0" w:space="0" w:color="auto"/>
                      </w:divBdr>
                      <w:divsChild>
                        <w:div w:id="190605250">
                          <w:marLeft w:val="0"/>
                          <w:marRight w:val="0"/>
                          <w:marTop w:val="0"/>
                          <w:marBottom w:val="0"/>
                          <w:divBdr>
                            <w:top w:val="none" w:sz="0" w:space="0" w:color="auto"/>
                            <w:left w:val="none" w:sz="0" w:space="0" w:color="auto"/>
                            <w:bottom w:val="none" w:sz="0" w:space="0" w:color="auto"/>
                            <w:right w:val="none" w:sz="0" w:space="0" w:color="auto"/>
                          </w:divBdr>
                          <w:divsChild>
                            <w:div w:id="615912913">
                              <w:marLeft w:val="0"/>
                              <w:marRight w:val="0"/>
                              <w:marTop w:val="0"/>
                              <w:marBottom w:val="0"/>
                              <w:divBdr>
                                <w:top w:val="none" w:sz="0" w:space="0" w:color="auto"/>
                                <w:left w:val="none" w:sz="0" w:space="0" w:color="auto"/>
                                <w:bottom w:val="none" w:sz="0" w:space="0" w:color="auto"/>
                                <w:right w:val="none" w:sz="0" w:space="0" w:color="auto"/>
                              </w:divBdr>
                              <w:divsChild>
                                <w:div w:id="64331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60916711">
      <w:bodyDiv w:val="1"/>
      <w:marLeft w:val="0"/>
      <w:marRight w:val="0"/>
      <w:marTop w:val="0"/>
      <w:marBottom w:val="0"/>
      <w:divBdr>
        <w:top w:val="none" w:sz="0" w:space="0" w:color="auto"/>
        <w:left w:val="none" w:sz="0" w:space="0" w:color="auto"/>
        <w:bottom w:val="none" w:sz="0" w:space="0" w:color="auto"/>
        <w:right w:val="none" w:sz="0" w:space="0" w:color="auto"/>
      </w:divBdr>
      <w:divsChild>
        <w:div w:id="357044520">
          <w:marLeft w:val="0"/>
          <w:marRight w:val="0"/>
          <w:marTop w:val="0"/>
          <w:marBottom w:val="0"/>
          <w:divBdr>
            <w:top w:val="none" w:sz="0" w:space="0" w:color="auto"/>
            <w:left w:val="none" w:sz="0" w:space="0" w:color="auto"/>
            <w:bottom w:val="none" w:sz="0" w:space="0" w:color="auto"/>
            <w:right w:val="none" w:sz="0" w:space="0" w:color="auto"/>
          </w:divBdr>
          <w:divsChild>
            <w:div w:id="855462771">
              <w:marLeft w:val="0"/>
              <w:marRight w:val="0"/>
              <w:marTop w:val="0"/>
              <w:marBottom w:val="0"/>
              <w:divBdr>
                <w:top w:val="none" w:sz="0" w:space="0" w:color="auto"/>
                <w:left w:val="none" w:sz="0" w:space="0" w:color="auto"/>
                <w:bottom w:val="none" w:sz="0" w:space="0" w:color="auto"/>
                <w:right w:val="none" w:sz="0" w:space="0" w:color="auto"/>
              </w:divBdr>
              <w:divsChild>
                <w:div w:id="1681807624">
                  <w:marLeft w:val="0"/>
                  <w:marRight w:val="0"/>
                  <w:marTop w:val="0"/>
                  <w:marBottom w:val="0"/>
                  <w:divBdr>
                    <w:top w:val="none" w:sz="0" w:space="0" w:color="auto"/>
                    <w:left w:val="none" w:sz="0" w:space="0" w:color="auto"/>
                    <w:bottom w:val="none" w:sz="0" w:space="0" w:color="auto"/>
                    <w:right w:val="none" w:sz="0" w:space="0" w:color="auto"/>
                  </w:divBdr>
                  <w:divsChild>
                    <w:div w:id="75887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4383935">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7108909">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9407064">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9352097">
      <w:bodyDiv w:val="1"/>
      <w:marLeft w:val="0"/>
      <w:marRight w:val="0"/>
      <w:marTop w:val="0"/>
      <w:marBottom w:val="0"/>
      <w:divBdr>
        <w:top w:val="none" w:sz="0" w:space="0" w:color="auto"/>
        <w:left w:val="none" w:sz="0" w:space="0" w:color="auto"/>
        <w:bottom w:val="none" w:sz="0" w:space="0" w:color="auto"/>
        <w:right w:val="none" w:sz="0" w:space="0" w:color="auto"/>
      </w:divBdr>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sChild>
    </w:div>
    <w:div w:id="1420178197">
      <w:bodyDiv w:val="1"/>
      <w:marLeft w:val="0"/>
      <w:marRight w:val="0"/>
      <w:marTop w:val="0"/>
      <w:marBottom w:val="0"/>
      <w:divBdr>
        <w:top w:val="none" w:sz="0" w:space="0" w:color="auto"/>
        <w:left w:val="none" w:sz="0" w:space="0" w:color="auto"/>
        <w:bottom w:val="none" w:sz="0" w:space="0" w:color="auto"/>
        <w:right w:val="none" w:sz="0" w:space="0" w:color="auto"/>
      </w:divBdr>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925322">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500585941">
      <w:bodyDiv w:val="1"/>
      <w:marLeft w:val="0"/>
      <w:marRight w:val="0"/>
      <w:marTop w:val="0"/>
      <w:marBottom w:val="0"/>
      <w:divBdr>
        <w:top w:val="none" w:sz="0" w:space="0" w:color="auto"/>
        <w:left w:val="none" w:sz="0" w:space="0" w:color="auto"/>
        <w:bottom w:val="none" w:sz="0" w:space="0" w:color="auto"/>
        <w:right w:val="none" w:sz="0" w:space="0" w:color="auto"/>
      </w:divBdr>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19584232">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3934131">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724725">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61944285">
      <w:bodyDiv w:val="1"/>
      <w:marLeft w:val="0"/>
      <w:marRight w:val="0"/>
      <w:marTop w:val="0"/>
      <w:marBottom w:val="0"/>
      <w:divBdr>
        <w:top w:val="none" w:sz="0" w:space="0" w:color="auto"/>
        <w:left w:val="none" w:sz="0" w:space="0" w:color="auto"/>
        <w:bottom w:val="none" w:sz="0" w:space="0" w:color="auto"/>
        <w:right w:val="none" w:sz="0" w:space="0" w:color="auto"/>
      </w:divBdr>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5963930">
      <w:bodyDiv w:val="1"/>
      <w:marLeft w:val="0"/>
      <w:marRight w:val="0"/>
      <w:marTop w:val="0"/>
      <w:marBottom w:val="0"/>
      <w:divBdr>
        <w:top w:val="none" w:sz="0" w:space="0" w:color="auto"/>
        <w:left w:val="none" w:sz="0" w:space="0" w:color="auto"/>
        <w:bottom w:val="none" w:sz="0" w:space="0" w:color="auto"/>
        <w:right w:val="none" w:sz="0" w:space="0" w:color="auto"/>
      </w:divBdr>
    </w:div>
    <w:div w:id="1606038890">
      <w:bodyDiv w:val="1"/>
      <w:marLeft w:val="0"/>
      <w:marRight w:val="0"/>
      <w:marTop w:val="0"/>
      <w:marBottom w:val="0"/>
      <w:divBdr>
        <w:top w:val="none" w:sz="0" w:space="0" w:color="auto"/>
        <w:left w:val="none" w:sz="0" w:space="0" w:color="auto"/>
        <w:bottom w:val="none" w:sz="0" w:space="0" w:color="auto"/>
        <w:right w:val="none" w:sz="0" w:space="0" w:color="auto"/>
      </w:divBdr>
    </w:div>
    <w:div w:id="1608346149">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5187829">
      <w:bodyDiv w:val="1"/>
      <w:marLeft w:val="0"/>
      <w:marRight w:val="0"/>
      <w:marTop w:val="0"/>
      <w:marBottom w:val="0"/>
      <w:divBdr>
        <w:top w:val="none" w:sz="0" w:space="0" w:color="auto"/>
        <w:left w:val="none" w:sz="0" w:space="0" w:color="auto"/>
        <w:bottom w:val="none" w:sz="0" w:space="0" w:color="auto"/>
        <w:right w:val="none" w:sz="0" w:space="0" w:color="auto"/>
      </w:divBdr>
      <w:divsChild>
        <w:div w:id="244848871">
          <w:marLeft w:val="0"/>
          <w:marRight w:val="0"/>
          <w:marTop w:val="0"/>
          <w:marBottom w:val="0"/>
          <w:divBdr>
            <w:top w:val="none" w:sz="0" w:space="0" w:color="auto"/>
            <w:left w:val="none" w:sz="0" w:space="0" w:color="auto"/>
            <w:bottom w:val="none" w:sz="0" w:space="0" w:color="auto"/>
            <w:right w:val="none" w:sz="0" w:space="0" w:color="auto"/>
          </w:divBdr>
          <w:divsChild>
            <w:div w:id="750389122">
              <w:marLeft w:val="0"/>
              <w:marRight w:val="0"/>
              <w:marTop w:val="0"/>
              <w:marBottom w:val="0"/>
              <w:divBdr>
                <w:top w:val="none" w:sz="0" w:space="0" w:color="auto"/>
                <w:left w:val="none" w:sz="0" w:space="0" w:color="auto"/>
                <w:bottom w:val="none" w:sz="0" w:space="0" w:color="auto"/>
                <w:right w:val="none" w:sz="0" w:space="0" w:color="auto"/>
              </w:divBdr>
              <w:divsChild>
                <w:div w:id="1551460857">
                  <w:marLeft w:val="0"/>
                  <w:marRight w:val="0"/>
                  <w:marTop w:val="0"/>
                  <w:marBottom w:val="0"/>
                  <w:divBdr>
                    <w:top w:val="none" w:sz="0" w:space="0" w:color="auto"/>
                    <w:left w:val="none" w:sz="0" w:space="0" w:color="auto"/>
                    <w:bottom w:val="none" w:sz="0" w:space="0" w:color="auto"/>
                    <w:right w:val="none" w:sz="0" w:space="0" w:color="auto"/>
                  </w:divBdr>
                  <w:divsChild>
                    <w:div w:id="434984605">
                      <w:marLeft w:val="0"/>
                      <w:marRight w:val="0"/>
                      <w:marTop w:val="0"/>
                      <w:marBottom w:val="0"/>
                      <w:divBdr>
                        <w:top w:val="none" w:sz="0" w:space="0" w:color="auto"/>
                        <w:left w:val="none" w:sz="0" w:space="0" w:color="auto"/>
                        <w:bottom w:val="none" w:sz="0" w:space="0" w:color="auto"/>
                        <w:right w:val="none" w:sz="0" w:space="0" w:color="auto"/>
                      </w:divBdr>
                      <w:divsChild>
                        <w:div w:id="2091921435">
                          <w:marLeft w:val="0"/>
                          <w:marRight w:val="0"/>
                          <w:marTop w:val="0"/>
                          <w:marBottom w:val="0"/>
                          <w:divBdr>
                            <w:top w:val="none" w:sz="0" w:space="0" w:color="auto"/>
                            <w:left w:val="none" w:sz="0" w:space="0" w:color="auto"/>
                            <w:bottom w:val="none" w:sz="0" w:space="0" w:color="auto"/>
                            <w:right w:val="none" w:sz="0" w:space="0" w:color="auto"/>
                          </w:divBdr>
                          <w:divsChild>
                            <w:div w:id="1614438220">
                              <w:marLeft w:val="0"/>
                              <w:marRight w:val="0"/>
                              <w:marTop w:val="0"/>
                              <w:marBottom w:val="0"/>
                              <w:divBdr>
                                <w:top w:val="none" w:sz="0" w:space="0" w:color="auto"/>
                                <w:left w:val="none" w:sz="0" w:space="0" w:color="auto"/>
                                <w:bottom w:val="none" w:sz="0" w:space="0" w:color="auto"/>
                                <w:right w:val="none" w:sz="0" w:space="0" w:color="auto"/>
                              </w:divBdr>
                              <w:divsChild>
                                <w:div w:id="150339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1089953">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2084132860">
          <w:marLeft w:val="0"/>
          <w:marRight w:val="0"/>
          <w:marTop w:val="0"/>
          <w:marBottom w:val="0"/>
          <w:divBdr>
            <w:top w:val="none" w:sz="0" w:space="0" w:color="auto"/>
            <w:left w:val="none" w:sz="0" w:space="0" w:color="auto"/>
            <w:bottom w:val="none" w:sz="0" w:space="0" w:color="auto"/>
            <w:right w:val="none" w:sz="0" w:space="0" w:color="auto"/>
          </w:divBdr>
        </w:div>
        <w:div w:id="187910001">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3021012">
      <w:bodyDiv w:val="1"/>
      <w:marLeft w:val="0"/>
      <w:marRight w:val="0"/>
      <w:marTop w:val="0"/>
      <w:marBottom w:val="0"/>
      <w:divBdr>
        <w:top w:val="none" w:sz="0" w:space="0" w:color="auto"/>
        <w:left w:val="none" w:sz="0" w:space="0" w:color="auto"/>
        <w:bottom w:val="none" w:sz="0" w:space="0" w:color="auto"/>
        <w:right w:val="none" w:sz="0" w:space="0" w:color="auto"/>
      </w:divBdr>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702239185">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44336179">
      <w:bodyDiv w:val="1"/>
      <w:marLeft w:val="0"/>
      <w:marRight w:val="0"/>
      <w:marTop w:val="0"/>
      <w:marBottom w:val="0"/>
      <w:divBdr>
        <w:top w:val="none" w:sz="0" w:space="0" w:color="auto"/>
        <w:left w:val="none" w:sz="0" w:space="0" w:color="auto"/>
        <w:bottom w:val="none" w:sz="0" w:space="0" w:color="auto"/>
        <w:right w:val="none" w:sz="0" w:space="0" w:color="auto"/>
      </w:divBdr>
    </w:div>
    <w:div w:id="1754163285">
      <w:bodyDiv w:val="1"/>
      <w:marLeft w:val="0"/>
      <w:marRight w:val="0"/>
      <w:marTop w:val="0"/>
      <w:marBottom w:val="0"/>
      <w:divBdr>
        <w:top w:val="none" w:sz="0" w:space="0" w:color="auto"/>
        <w:left w:val="none" w:sz="0" w:space="0" w:color="auto"/>
        <w:bottom w:val="none" w:sz="0" w:space="0" w:color="auto"/>
        <w:right w:val="none" w:sz="0" w:space="0" w:color="auto"/>
      </w:divBdr>
    </w:div>
    <w:div w:id="1758598403">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07995795">
                                  <w:marLeft w:val="0"/>
                                  <w:marRight w:val="0"/>
                                  <w:marTop w:val="0"/>
                                  <w:marBottom w:val="0"/>
                                  <w:divBdr>
                                    <w:top w:val="none" w:sz="0" w:space="0" w:color="auto"/>
                                    <w:left w:val="none" w:sz="0" w:space="0" w:color="auto"/>
                                    <w:bottom w:val="none" w:sz="0" w:space="0" w:color="auto"/>
                                    <w:right w:val="none" w:sz="0" w:space="0" w:color="auto"/>
                                  </w:divBdr>
                                  <w:divsChild>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06849668">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22232319">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23889522">
      <w:bodyDiv w:val="1"/>
      <w:marLeft w:val="0"/>
      <w:marRight w:val="0"/>
      <w:marTop w:val="0"/>
      <w:marBottom w:val="0"/>
      <w:divBdr>
        <w:top w:val="none" w:sz="0" w:space="0" w:color="auto"/>
        <w:left w:val="none" w:sz="0" w:space="0" w:color="auto"/>
        <w:bottom w:val="none" w:sz="0" w:space="0" w:color="auto"/>
        <w:right w:val="none" w:sz="0" w:space="0" w:color="auto"/>
      </w:divBdr>
    </w:div>
    <w:div w:id="1826361666">
      <w:bodyDiv w:val="1"/>
      <w:marLeft w:val="0"/>
      <w:marRight w:val="0"/>
      <w:marTop w:val="0"/>
      <w:marBottom w:val="0"/>
      <w:divBdr>
        <w:top w:val="none" w:sz="0" w:space="0" w:color="auto"/>
        <w:left w:val="none" w:sz="0" w:space="0" w:color="auto"/>
        <w:bottom w:val="none" w:sz="0" w:space="0" w:color="auto"/>
        <w:right w:val="none" w:sz="0" w:space="0" w:color="auto"/>
      </w:divBdr>
    </w:div>
    <w:div w:id="1829906888">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42507675">
      <w:bodyDiv w:val="1"/>
      <w:marLeft w:val="0"/>
      <w:marRight w:val="0"/>
      <w:marTop w:val="0"/>
      <w:marBottom w:val="0"/>
      <w:divBdr>
        <w:top w:val="none" w:sz="0" w:space="0" w:color="auto"/>
        <w:left w:val="none" w:sz="0" w:space="0" w:color="auto"/>
        <w:bottom w:val="none" w:sz="0" w:space="0" w:color="auto"/>
        <w:right w:val="none" w:sz="0" w:space="0" w:color="auto"/>
      </w:divBdr>
    </w:div>
    <w:div w:id="1844514094">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2602982">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4827213">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414468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095778627">
      <w:bodyDiv w:val="1"/>
      <w:marLeft w:val="0"/>
      <w:marRight w:val="0"/>
      <w:marTop w:val="0"/>
      <w:marBottom w:val="0"/>
      <w:divBdr>
        <w:top w:val="none" w:sz="0" w:space="0" w:color="auto"/>
        <w:left w:val="none" w:sz="0" w:space="0" w:color="auto"/>
        <w:bottom w:val="none" w:sz="0" w:space="0" w:color="auto"/>
        <w:right w:val="none" w:sz="0" w:space="0" w:color="auto"/>
      </w:divBdr>
    </w:div>
    <w:div w:id="2097244996">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iea.org/reports/global-ev-outlook-2024" TargetMode="External" /><Relationship Id="rId3" Type="http://schemas.openxmlformats.org/officeDocument/2006/relationships/styles" Target="styles.xml" /><Relationship Id="rId21" Type="http://schemas.openxmlformats.org/officeDocument/2006/relationships/hyperlink" Target="https://www.energy.gov/clean-energy"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about.bnef.com"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doi.org/10.1016/j.lrp.2017.06.00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doi.org/10.1016/j.trd.2014.10.010"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FEDE37A-8395-4476-9631-17F8A133C6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3210</Words>
  <Characters>18299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18bsc012@hicas.ac.in</cp:lastModifiedBy>
  <cp:revision>2</cp:revision>
  <dcterms:created xsi:type="dcterms:W3CDTF">2026-02-27T12:25:00Z</dcterms:created>
  <dcterms:modified xsi:type="dcterms:W3CDTF">2026-02-27T12:25:00Z</dcterms:modified>
</cp:coreProperties>
</file>