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6194250" w:displacedByCustomXml="next"/>
    <w:sdt>
      <w:sdtPr>
        <w:rPr>
          <w:color w:val="4472C4" w:themeColor="accent1"/>
        </w:rPr>
        <w:id w:val="402574007"/>
        <w:docPartObj>
          <w:docPartGallery w:val="Cover Pages"/>
          <w:docPartUnique/>
        </w:docPartObj>
      </w:sdtPr>
      <w:sdtEndPr>
        <w:rPr>
          <w:rFonts w:ascii="Calibri" w:eastAsia="WenQuanYi Micro Hei" w:hAnsi="Calibri" w:cs="Times New Roman"/>
          <w:color w:val="000000"/>
          <w:kern w:val="1"/>
          <w:lang w:eastAsia="zh-CN" w:bidi="hi-IN"/>
        </w:rPr>
      </w:sdtEndPr>
      <w:sdtContent>
        <w:p w14:paraId="3E174C10" w14:textId="75D1C856" w:rsidR="006673DE" w:rsidRDefault="006673DE">
          <w:pPr>
            <w:pStyle w:val="NoSpacing"/>
            <w:spacing w:before="1540" w:after="240"/>
            <w:jc w:val="center"/>
            <w:rPr>
              <w:color w:val="4472C4" w:themeColor="accent1"/>
            </w:rPr>
          </w:pPr>
          <w:r>
            <w:rPr>
              <w:noProof/>
              <w:color w:val="4472C4" w:themeColor="accent1"/>
            </w:rPr>
            <w:drawing>
              <wp:inline distT="0" distB="0" distL="0" distR="0" wp14:anchorId="00AB6B44" wp14:editId="4B3ECF8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B1074B1EDCC422B9971066C28D9B95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CDE685" w14:textId="255D389F" w:rsidR="006673DE" w:rsidRDefault="006673D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strategy change and organisation lcdb 7005</w:t>
              </w:r>
            </w:p>
          </w:sdtContent>
        </w:sdt>
        <w:sdt>
          <w:sdtPr>
            <w:rPr>
              <w:color w:val="4472C4" w:themeColor="accent1"/>
              <w:sz w:val="28"/>
              <w:szCs w:val="28"/>
            </w:rPr>
            <w:alias w:val="Subtitle"/>
            <w:tag w:val=""/>
            <w:id w:val="328029620"/>
            <w:placeholder>
              <w:docPart w:val="1588CBFB21304DE281D2822F410CEF9D"/>
            </w:placeholder>
            <w:dataBinding w:prefixMappings="xmlns:ns0='http://purl.org/dc/elements/1.1/' xmlns:ns1='http://schemas.openxmlformats.org/package/2006/metadata/core-properties' " w:xpath="/ns1:coreProperties[1]/ns0:subject[1]" w:storeItemID="{6C3C8BC8-F283-45AE-878A-BAB7291924A1}"/>
            <w:text/>
          </w:sdtPr>
          <w:sdtContent>
            <w:p w14:paraId="5C113496" w14:textId="2302382B" w:rsidR="006673DE" w:rsidRDefault="006673DE">
              <w:pPr>
                <w:pStyle w:val="NoSpacing"/>
                <w:jc w:val="center"/>
                <w:rPr>
                  <w:color w:val="4472C4" w:themeColor="accent1"/>
                  <w:sz w:val="28"/>
                  <w:szCs w:val="28"/>
                </w:rPr>
              </w:pPr>
              <w:r>
                <w:rPr>
                  <w:color w:val="4472C4" w:themeColor="accent1"/>
                  <w:sz w:val="28"/>
                  <w:szCs w:val="28"/>
                </w:rPr>
                <w:t>SOFTBANK AND ARM HOLDING ACQUISTION BY AYODEJI SUNDAY HABIB (1812672)</w:t>
              </w:r>
            </w:p>
          </w:sdtContent>
        </w:sdt>
        <w:p w14:paraId="1B1B4825" w14:textId="77777777" w:rsidR="006673DE" w:rsidRDefault="006673D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3ACD80C" wp14:editId="58E90D6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4CEE40" w14:textId="55D982B7" w:rsidR="006673DE" w:rsidRDefault="006673DE" w:rsidP="006673DE">
                                    <w:pPr>
                                      <w:pStyle w:val="NoSpacing"/>
                                      <w:spacing w:after="40"/>
                                      <w:rPr>
                                        <w:caps/>
                                        <w:color w:val="4472C4" w:themeColor="accent1"/>
                                        <w:sz w:val="28"/>
                                        <w:szCs w:val="28"/>
                                      </w:rPr>
                                    </w:pPr>
                                    <w:r>
                                      <w:rPr>
                                        <w:caps/>
                                        <w:color w:val="4472C4" w:themeColor="accent1"/>
                                        <w:sz w:val="28"/>
                                        <w:szCs w:val="28"/>
                                      </w:rPr>
                                      <w:t xml:space="preserve">     </w:t>
                                    </w:r>
                                  </w:p>
                                </w:sdtContent>
                              </w:sdt>
                              <w:p w14:paraId="375CBF87" w14:textId="1630658F" w:rsidR="006673DE" w:rsidRDefault="006673DE" w:rsidP="006673DE">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7C2C734F" w14:textId="11DD1DA2" w:rsidR="006673DE" w:rsidRDefault="006673D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ACD80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4CEE40" w14:textId="55D982B7" w:rsidR="006673DE" w:rsidRDefault="006673DE" w:rsidP="006673DE">
                              <w:pPr>
                                <w:pStyle w:val="NoSpacing"/>
                                <w:spacing w:after="40"/>
                                <w:rPr>
                                  <w:caps/>
                                  <w:color w:val="4472C4" w:themeColor="accent1"/>
                                  <w:sz w:val="28"/>
                                  <w:szCs w:val="28"/>
                                </w:rPr>
                              </w:pPr>
                              <w:r>
                                <w:rPr>
                                  <w:caps/>
                                  <w:color w:val="4472C4" w:themeColor="accent1"/>
                                  <w:sz w:val="28"/>
                                  <w:szCs w:val="28"/>
                                </w:rPr>
                                <w:t xml:space="preserve">     </w:t>
                              </w:r>
                            </w:p>
                          </w:sdtContent>
                        </w:sdt>
                        <w:p w14:paraId="375CBF87" w14:textId="1630658F" w:rsidR="006673DE" w:rsidRDefault="006673DE" w:rsidP="006673DE">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7C2C734F" w14:textId="11DD1DA2" w:rsidR="006673DE" w:rsidRDefault="006673D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7FB4792A" wp14:editId="4999426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A5F9C5" w14:textId="721DA1B6" w:rsidR="006673DE" w:rsidRDefault="006673DE">
          <w:pPr>
            <w:spacing w:after="160" w:line="259" w:lineRule="auto"/>
            <w:rPr>
              <w:rFonts w:ascii="Times New Roman" w:eastAsia="WenQuanYi Micro Hei" w:hAnsi="Times New Roman"/>
              <w:color w:val="000000"/>
              <w:kern w:val="1"/>
              <w:sz w:val="24"/>
              <w:szCs w:val="24"/>
              <w:lang w:val="en-AU" w:eastAsia="zh-CN" w:bidi="hi-IN"/>
            </w:rPr>
          </w:pPr>
          <w:r>
            <w:rPr>
              <w:rFonts w:eastAsia="WenQuanYi Micro Hei"/>
              <w:color w:val="000000"/>
              <w:kern w:val="1"/>
              <w:lang w:eastAsia="zh-CN" w:bidi="hi-IN"/>
            </w:rPr>
            <w:br w:type="page"/>
          </w:r>
        </w:p>
      </w:sdtContent>
    </w:sdt>
    <w:p w14:paraId="134A0B85" w14:textId="1A563E6F" w:rsidR="006E10B3" w:rsidRPr="00721E19" w:rsidRDefault="006E10B3" w:rsidP="00721E19">
      <w:pPr>
        <w:pStyle w:val="Heading1"/>
        <w:contextualSpacing/>
        <w:rPr>
          <w:lang w:val="en-GB"/>
        </w:rPr>
      </w:pPr>
      <w:r w:rsidRPr="00721E19">
        <w:rPr>
          <w:rFonts w:eastAsia="WenQuanYi Micro Hei"/>
          <w:color w:val="000000"/>
          <w:kern w:val="1"/>
          <w:lang w:eastAsia="zh-CN" w:bidi="hi-IN"/>
        </w:rPr>
        <w:lastRenderedPageBreak/>
        <w:t>Soft Bank Acquisition of Arm Holdings</w:t>
      </w:r>
    </w:p>
    <w:p w14:paraId="1AA8B121" w14:textId="77777777" w:rsidR="006E10B3" w:rsidRPr="00721E19" w:rsidRDefault="006E10B3" w:rsidP="00721E19">
      <w:pPr>
        <w:pStyle w:val="Heading1"/>
      </w:pPr>
      <w:r w:rsidRPr="00721E19">
        <w:t>Introduction</w:t>
      </w:r>
      <w:bookmarkEnd w:id="0"/>
    </w:p>
    <w:p w14:paraId="54A00139"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SoftBank Group Corporation is a multinational company that has its headquarters in Tokyo, Japan. The conglomerate holding company owns stakes in various companies, including Uber, Slack Technologies, Boston Dynamics, Yahoo Japan, Alibaba, T-Mobile USA, among others. It is the largest trading company in Japan after the Toyota company. The company was founded by Masayoshi Son, who is currently the CEO and has a twenty-one percent ownership stake of the company. In 2018, SoftBank announced the acquisition of ARM holdings, which is a software design and semiconductor company situated in Britain (</w:t>
      </w:r>
      <w:r w:rsidRPr="00721E19">
        <w:rPr>
          <w:rFonts w:ascii="Times New Roman" w:hAnsi="Times New Roman"/>
          <w:color w:val="222222"/>
          <w:sz w:val="24"/>
          <w:szCs w:val="24"/>
          <w:shd w:val="clear" w:color="auto" w:fill="FFFFFF"/>
          <w:lang w:val="en-GB"/>
        </w:rPr>
        <w:t>Kodama, 2019</w:t>
      </w:r>
      <w:r w:rsidRPr="00721E19">
        <w:rPr>
          <w:rFonts w:ascii="Times New Roman" w:hAnsi="Times New Roman"/>
          <w:sz w:val="24"/>
          <w:szCs w:val="24"/>
        </w:rPr>
        <w:t>.</w:t>
      </w:r>
      <w:r w:rsidRPr="00721E19">
        <w:rPr>
          <w:rFonts w:ascii="Times New Roman" w:hAnsi="Times New Roman"/>
          <w:sz w:val="24"/>
          <w:szCs w:val="24"/>
          <w:lang w:val="en-GB"/>
        </w:rPr>
        <w:t xml:space="preserve"> This paper aims at answering the questions that arose as a predicament of this acquisition. Specifically, the paper will initially address the strategic constraint behind this acquisition form the SoftBank’s perspective. The paper will then attempt a comparison and an evaluation of the implications of the change from the viewpoints of both ARM and SoftBank.</w:t>
      </w:r>
    </w:p>
    <w:p w14:paraId="195BD76E" w14:textId="77777777" w:rsidR="006E10B3" w:rsidRPr="00721E19" w:rsidRDefault="006E10B3" w:rsidP="00721E19">
      <w:pPr>
        <w:tabs>
          <w:tab w:val="left" w:pos="6675"/>
        </w:tabs>
        <w:spacing w:after="0" w:line="480" w:lineRule="auto"/>
        <w:jc w:val="center"/>
        <w:rPr>
          <w:rFonts w:ascii="Times New Roman" w:hAnsi="Times New Roman"/>
          <w:sz w:val="24"/>
          <w:szCs w:val="24"/>
        </w:rPr>
      </w:pPr>
      <w:r w:rsidRPr="00721E19">
        <w:rPr>
          <w:rFonts w:ascii="Times New Roman" w:hAnsi="Times New Roman"/>
          <w:sz w:val="24"/>
          <w:szCs w:val="24"/>
        </w:rPr>
        <w:t>History of Softbank Group Corp and ARM Holdings</w:t>
      </w:r>
    </w:p>
    <w:p w14:paraId="736443C4" w14:textId="77777777" w:rsidR="006E10B3" w:rsidRPr="00721E19" w:rsidRDefault="006E10B3" w:rsidP="00721E19">
      <w:pPr>
        <w:tabs>
          <w:tab w:val="left" w:pos="6675"/>
        </w:tabs>
        <w:spacing w:after="0" w:line="480" w:lineRule="auto"/>
        <w:rPr>
          <w:rFonts w:ascii="Times New Roman" w:hAnsi="Times New Roman"/>
          <w:i/>
          <w:sz w:val="24"/>
          <w:szCs w:val="24"/>
        </w:rPr>
      </w:pPr>
      <w:r w:rsidRPr="00721E19">
        <w:rPr>
          <w:rFonts w:ascii="Times New Roman" w:hAnsi="Times New Roman"/>
          <w:i/>
          <w:sz w:val="24"/>
          <w:szCs w:val="24"/>
        </w:rPr>
        <w:t>Softbank Group Corp</w:t>
      </w:r>
    </w:p>
    <w:p w14:paraId="6888A7DE" w14:textId="77777777" w:rsidR="006E10B3" w:rsidRPr="00721E19" w:rsidRDefault="006E10B3" w:rsidP="00721E19">
      <w:pPr>
        <w:tabs>
          <w:tab w:val="left" w:pos="6675"/>
        </w:tabs>
        <w:spacing w:after="0" w:line="480" w:lineRule="auto"/>
        <w:ind w:firstLine="720"/>
        <w:jc w:val="both"/>
        <w:rPr>
          <w:rFonts w:ascii="Times New Roman" w:hAnsi="Times New Roman"/>
          <w:sz w:val="24"/>
          <w:szCs w:val="24"/>
        </w:rPr>
      </w:pPr>
      <w:r w:rsidRPr="00721E19">
        <w:rPr>
          <w:rFonts w:ascii="Times New Roman" w:hAnsi="Times New Roman"/>
          <w:sz w:val="24"/>
          <w:szCs w:val="24"/>
        </w:rPr>
        <w:t>SoftBank was founded by the then twenty-four-year-old Masayoshi Son in September of 1981. During this time, Mr. Son was a software distributor before venturing into the publishing business with the launch of Oh! MZ magazines, and Oh!PC that talked about Sharp and NEC computers, respectively. In 1994, the company held in its Initial Public Offering and was valued at three billion dollars</w:t>
      </w:r>
      <w:r w:rsidRPr="00721E19">
        <w:rPr>
          <w:rFonts w:ascii="Times New Roman" w:hAnsi="Times New Roman"/>
          <w:b/>
          <w:sz w:val="24"/>
          <w:szCs w:val="24"/>
        </w:rPr>
        <w:t xml:space="preserve"> </w:t>
      </w:r>
      <w:r w:rsidRPr="00721E19">
        <w:rPr>
          <w:rFonts w:ascii="Times New Roman" w:hAnsi="Times New Roman"/>
          <w:color w:val="222222"/>
          <w:sz w:val="24"/>
          <w:szCs w:val="24"/>
          <w:shd w:val="clear" w:color="auto" w:fill="FFFFFF"/>
        </w:rPr>
        <w:t>(Zhang, 2018).</w:t>
      </w:r>
      <w:r w:rsidRPr="00721E19">
        <w:rPr>
          <w:rFonts w:ascii="Times New Roman" w:hAnsi="Times New Roman"/>
          <w:sz w:val="24"/>
          <w:szCs w:val="24"/>
        </w:rPr>
        <w:t xml:space="preserve"> During the nineties, the CEO of the company, Mr.Son, made large investments in internet services because of the potential that it had. During this time, they created a joint venture with the American Yahoo company, effectively creating Yahoo Japan that became a huge success in the country. SoftBank became a holding company in October of 1999. In the following year, they made their most successful investment ever by investing twenty million dollars in the Chinese venture, now known as Alibaba. The investment </w:t>
      </w:r>
      <w:r w:rsidRPr="00721E19">
        <w:rPr>
          <w:rFonts w:ascii="Times New Roman" w:hAnsi="Times New Roman"/>
          <w:sz w:val="24"/>
          <w:szCs w:val="24"/>
        </w:rPr>
        <w:lastRenderedPageBreak/>
        <w:t>later turned into sixty billion dollars in September of 2014 when Alibaba went public. Within the duration of its lifetime, it has gone on to acquire either wholly or some part in some of the most successful and promising companies today, with ARM Holdings being their latest acquisition.</w:t>
      </w:r>
    </w:p>
    <w:p w14:paraId="5D9CDE9E" w14:textId="77777777" w:rsidR="006E10B3" w:rsidRPr="00721E19" w:rsidRDefault="006E10B3" w:rsidP="00721E19">
      <w:pPr>
        <w:tabs>
          <w:tab w:val="left" w:pos="6675"/>
        </w:tabs>
        <w:spacing w:after="0" w:line="480" w:lineRule="auto"/>
        <w:jc w:val="both"/>
        <w:rPr>
          <w:rFonts w:ascii="Times New Roman" w:hAnsi="Times New Roman"/>
          <w:i/>
          <w:sz w:val="24"/>
          <w:szCs w:val="24"/>
        </w:rPr>
      </w:pPr>
      <w:r w:rsidRPr="00721E19">
        <w:rPr>
          <w:rFonts w:ascii="Times New Roman" w:hAnsi="Times New Roman"/>
          <w:i/>
          <w:sz w:val="24"/>
          <w:szCs w:val="24"/>
        </w:rPr>
        <w:t>ARM Holdings</w:t>
      </w:r>
    </w:p>
    <w:p w14:paraId="66152D9C" w14:textId="77777777" w:rsidR="006E10B3" w:rsidRPr="00721E19" w:rsidRDefault="006E10B3" w:rsidP="00721E19">
      <w:pPr>
        <w:tabs>
          <w:tab w:val="left" w:pos="6675"/>
        </w:tabs>
        <w:spacing w:after="0" w:line="480" w:lineRule="auto"/>
        <w:ind w:firstLine="720"/>
        <w:jc w:val="both"/>
        <w:rPr>
          <w:rFonts w:ascii="Times New Roman" w:hAnsi="Times New Roman"/>
          <w:color w:val="222222"/>
          <w:sz w:val="24"/>
          <w:szCs w:val="24"/>
          <w:shd w:val="clear" w:color="auto" w:fill="FFFFFF"/>
        </w:rPr>
      </w:pPr>
      <w:r w:rsidRPr="00721E19">
        <w:rPr>
          <w:rFonts w:ascii="Times New Roman" w:hAnsi="Times New Roman"/>
          <w:sz w:val="24"/>
          <w:szCs w:val="24"/>
        </w:rPr>
        <w:t xml:space="preserve">The company was founded in 1990 as a joint venture between Apple Computers, VLSI Technology, and Acorn Computers as Advanced RISC Machines Limited. The term ARM was, however, coined prior to the official founding of the company and originally abbreviated Acorn RISC Machine. The name was changed when Apple joined the venture as they disliked the idea of having their product bearing the name of its competitors, the Acorn Computers </w:t>
      </w:r>
      <w:r w:rsidRPr="00721E19">
        <w:rPr>
          <w:rFonts w:ascii="Times New Roman" w:hAnsi="Times New Roman"/>
          <w:color w:val="222222"/>
          <w:sz w:val="24"/>
          <w:szCs w:val="24"/>
          <w:shd w:val="clear" w:color="auto" w:fill="FFFFFF"/>
        </w:rPr>
        <w:t>(Frésard, Hege, and Phillips, 2017).</w:t>
      </w:r>
    </w:p>
    <w:p w14:paraId="5583AE2F" w14:textId="77777777" w:rsidR="006E10B3" w:rsidRPr="00721E19" w:rsidRDefault="006E10B3" w:rsidP="00721E19">
      <w:pPr>
        <w:tabs>
          <w:tab w:val="left" w:pos="6675"/>
        </w:tabs>
        <w:spacing w:after="0" w:line="480" w:lineRule="auto"/>
        <w:ind w:firstLine="720"/>
        <w:jc w:val="both"/>
        <w:rPr>
          <w:rFonts w:ascii="Times New Roman" w:hAnsi="Times New Roman"/>
          <w:sz w:val="24"/>
          <w:szCs w:val="24"/>
        </w:rPr>
      </w:pPr>
      <w:r w:rsidRPr="00721E19">
        <w:rPr>
          <w:rFonts w:ascii="Times New Roman" w:hAnsi="Times New Roman"/>
          <w:sz w:val="24"/>
          <w:szCs w:val="24"/>
        </w:rPr>
        <w:t>The company first went public in 1998 and changed its name from Advanced RISC Machined Limited to simply ARM Limited. During its years, ARM has also ventured into acquiring various companies, mostly in the fields of IoT, debugging, and integrated circuits.</w:t>
      </w:r>
    </w:p>
    <w:p w14:paraId="37BE2C39" w14:textId="77777777" w:rsidR="006E10B3" w:rsidRPr="00721E19" w:rsidRDefault="006E10B3" w:rsidP="00721E19">
      <w:pPr>
        <w:tabs>
          <w:tab w:val="left" w:pos="6675"/>
        </w:tabs>
        <w:spacing w:after="0" w:line="480" w:lineRule="auto"/>
        <w:jc w:val="both"/>
        <w:rPr>
          <w:rFonts w:ascii="Times New Roman" w:hAnsi="Times New Roman"/>
          <w:sz w:val="24"/>
          <w:szCs w:val="24"/>
        </w:rPr>
      </w:pPr>
      <w:r w:rsidRPr="00721E19">
        <w:rPr>
          <w:rFonts w:ascii="Times New Roman" w:hAnsi="Times New Roman"/>
          <w:sz w:val="24"/>
          <w:szCs w:val="24"/>
        </w:rPr>
        <w:t>Strategic Imperative Behind the Acquisition of ARM</w:t>
      </w:r>
    </w:p>
    <w:p w14:paraId="15B356CF" w14:textId="77777777" w:rsidR="006E10B3" w:rsidRPr="00721E19" w:rsidRDefault="006E10B3" w:rsidP="00721E19">
      <w:pPr>
        <w:tabs>
          <w:tab w:val="left" w:pos="6675"/>
        </w:tabs>
        <w:spacing w:after="0" w:line="480" w:lineRule="auto"/>
        <w:jc w:val="both"/>
        <w:rPr>
          <w:rFonts w:ascii="Times New Roman" w:hAnsi="Times New Roman"/>
          <w:i/>
          <w:sz w:val="24"/>
          <w:szCs w:val="24"/>
        </w:rPr>
      </w:pPr>
      <w:r w:rsidRPr="00721E19">
        <w:rPr>
          <w:rFonts w:ascii="Times New Roman" w:hAnsi="Times New Roman"/>
          <w:i/>
          <w:sz w:val="24"/>
          <w:szCs w:val="24"/>
        </w:rPr>
        <w:t>SoftBank Perspective</w:t>
      </w:r>
    </w:p>
    <w:p w14:paraId="1C15FD59"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 xml:space="preserve">One may employ a KPI to understand the reasons why SoftBank might have decided to take over the processor manufacturing company, ARM. This KPI may be referred to as the IoT KPI. A Key Performance Indicator, abbreviated as KPI, is a measurable value that is used to show the effectiveness of a particular company towards achieving its set objectives. To be able to define a KPI, one must answer the following questions so that everybody in the company or the department consciously knows and understands what they want, how to get there, and if it is a truly logical step and everybody is inboard </w:t>
      </w:r>
      <w:r w:rsidRPr="00721E19">
        <w:rPr>
          <w:rFonts w:ascii="Times New Roman" w:hAnsi="Times New Roman"/>
          <w:color w:val="222222"/>
          <w:sz w:val="24"/>
          <w:szCs w:val="24"/>
          <w:shd w:val="clear" w:color="auto" w:fill="FFFFFF"/>
          <w:lang w:val="en-GB"/>
        </w:rPr>
        <w:t>(Alina, 2018).</w:t>
      </w:r>
      <w:r w:rsidRPr="00721E19">
        <w:rPr>
          <w:rFonts w:ascii="Times New Roman" w:hAnsi="Times New Roman"/>
          <w:sz w:val="24"/>
          <w:szCs w:val="24"/>
          <w:lang w:val="en-GB"/>
        </w:rPr>
        <w:t xml:space="preserve"> This clears ambiguity, and everybody in the department or company unambiguously understands their role in the matter and pervasively evaluates their progress concerning the expected outcome. The questions that </w:t>
      </w:r>
      <w:r w:rsidRPr="00721E19">
        <w:rPr>
          <w:rFonts w:ascii="Times New Roman" w:hAnsi="Times New Roman"/>
          <w:sz w:val="24"/>
          <w:szCs w:val="24"/>
          <w:lang w:val="en-GB"/>
        </w:rPr>
        <w:lastRenderedPageBreak/>
        <w:t xml:space="preserve">the organisation needs to ponder include: what is the desired outcome? Why is the outcome important? How will one be able to quantify progress? What actions can be taken to get the desired predicament?Whose responsibility is it to ensure that the business outcome is achieved? How will one be able to know that the outcome has been achieved? What is the frequency with which the progress shall be measured? In general, the questions are contextual and may vary depending on the product and department. Based on the current case study, one might answer the IoT questions in the following fashion. The desired outcome is to reduce the cost of buying processors for IoT by fifty percent </w:t>
      </w:r>
      <w:r w:rsidRPr="00721E19">
        <w:rPr>
          <w:rFonts w:ascii="Times New Roman" w:hAnsi="Times New Roman"/>
          <w:color w:val="222222"/>
          <w:sz w:val="24"/>
          <w:szCs w:val="24"/>
          <w:shd w:val="clear" w:color="auto" w:fill="FFFFFF"/>
          <w:lang w:val="en-GB"/>
        </w:rPr>
        <w:t>(Engel, Hamirani, and Saklatvala, 2016).</w:t>
      </w:r>
      <w:r w:rsidRPr="00721E19">
        <w:rPr>
          <w:rFonts w:ascii="Times New Roman" w:hAnsi="Times New Roman"/>
          <w:sz w:val="24"/>
          <w:szCs w:val="24"/>
          <w:lang w:val="en-GB"/>
        </w:rPr>
        <w:t xml:space="preserve"> The outcome is important because it will increase the overall profit margins in the long run and also allow faster and more effective processors that are tailored for the products developed inhouse. Progress shall be quantified in the amount of money that is spent in making a single processor after factoring in economies of scale and other determining parameters. What can be done to improve the outcome is to purchase the ARM holdings company to make inhouse processors that are tailored for the products made. The deal to acquire the company is the responsibility of the CEO of SoftBank, Mr. Son. The company will know that the objective has been achieved if the cost of procuring a single processor will have reduced by fifty percent. The progress shall be reviewed every quarter. Of importance to note is that the metric needs to be measurable. That is why the objective is set to a value that can be easily derived by crunching down numbers, i.e., the objective is measurable rather than being qualitative.</w:t>
      </w:r>
    </w:p>
    <w:p w14:paraId="12A4F103"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 xml:space="preserve">SoftBank, during its announcement of its takeover, indicated that the £24.3 billion takeovers was a gamble with the hope that smartphone chip company would assist it in becoming a leader in the internet-of-things technology market. Internet of Things, colloquially abbreviated as IoT, refers to a unified system of computing devices, digital and mechanical machines </w:t>
      </w:r>
      <w:r w:rsidRPr="00721E19">
        <w:rPr>
          <w:rFonts w:ascii="Times New Roman" w:hAnsi="Times New Roman"/>
          <w:color w:val="222222"/>
          <w:sz w:val="24"/>
          <w:szCs w:val="24"/>
          <w:shd w:val="clear" w:color="auto" w:fill="FFFFFF"/>
          <w:lang w:val="en-GB"/>
        </w:rPr>
        <w:t>(Frésard, Hege, and Phillips, 2017).</w:t>
      </w:r>
      <w:r w:rsidRPr="00721E19">
        <w:rPr>
          <w:rFonts w:ascii="Times New Roman" w:hAnsi="Times New Roman"/>
          <w:sz w:val="24"/>
          <w:szCs w:val="24"/>
          <w:lang w:val="en-GB"/>
        </w:rPr>
        <w:t xml:space="preserve"> To facilitate interconnectivity between the components of this system and consequently be labeled an IoT device, each component has to </w:t>
      </w:r>
      <w:r w:rsidRPr="00721E19">
        <w:rPr>
          <w:rFonts w:ascii="Times New Roman" w:hAnsi="Times New Roman"/>
          <w:sz w:val="24"/>
          <w:szCs w:val="24"/>
          <w:lang w:val="en-GB"/>
        </w:rPr>
        <w:lastRenderedPageBreak/>
        <w:t>be assigned a unique identifier and possess the capacity to transmit and receive data over the internet devoid of human interaction. These components can range from anything from embedded electronics such as those installed in a fridge, a microwave to control systems, home, and building control systems. The future of technology is moving along these lines, and a lot of development is going into this technology. To be able to build devices that have network capabilities, one needs a piece of equipment with the requirement that it should have a low power consumption and still be able to perform tasks such as sending network packets and receiving them over the internet. This prerequisite is the gap that that SoftBank aims to bring with its acquisition of ARM.</w:t>
      </w:r>
    </w:p>
    <w:p w14:paraId="5CBEC3F9"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 xml:space="preserve">One might, however, ask, what is the point of acquiring ARM holdings while they can basically strike a deal to buy the processors and integrate them into their products. ARM is one of the major microprocessor chip manufacturers after Intel. The intel x86 chip, however, is built for PCs and performs poorly on low power devices that run on battery cells. ARM processors have, however, been optimised for low-power devices such as mobile phones, making it ideal for the Internet of Things </w:t>
      </w:r>
      <w:r w:rsidRPr="00721E19">
        <w:rPr>
          <w:rFonts w:ascii="Times New Roman" w:hAnsi="Times New Roman"/>
          <w:color w:val="222222"/>
          <w:sz w:val="24"/>
          <w:szCs w:val="24"/>
          <w:shd w:val="clear" w:color="auto" w:fill="FFFFFF"/>
          <w:lang w:val="en-GB"/>
        </w:rPr>
        <w:t>(Kodama, 2019).</w:t>
      </w:r>
      <w:r w:rsidRPr="00721E19">
        <w:rPr>
          <w:rFonts w:ascii="Times New Roman" w:hAnsi="Times New Roman"/>
          <w:sz w:val="24"/>
          <w:szCs w:val="24"/>
          <w:lang w:val="en-GB"/>
        </w:rPr>
        <w:t xml:space="preserve"> To this end, ARM supplies processors to technology giants such as Samsung and Apple. This implies that if SoftBank required customised processors, they would have to wait in line with the technology giants, and this would be a potential bottleneck to the company’s productivity. Besides, being in control of the production would give the company the capacity to be able to test experimental processor architectures that would be designed by in-house engineers, to improve the productivity of the overall product. Most industrial innovations have been accidental, and being control of the processor manufacturing guarantees greater productivity and encourages innovation. Initially, the cost of acquisition might be high, but the payoff will, in turn, be higher. In addition to facilitating the goal of IoT, SoftBank may further capitalise on supplying the technology giants such as Samsung and Apple with processors as has been the history. In fact, </w:t>
      </w:r>
      <w:r w:rsidRPr="00721E19">
        <w:rPr>
          <w:rFonts w:ascii="Times New Roman" w:hAnsi="Times New Roman"/>
          <w:sz w:val="24"/>
          <w:szCs w:val="24"/>
          <w:lang w:val="en-GB"/>
        </w:rPr>
        <w:lastRenderedPageBreak/>
        <w:t>the company might be able to not only cut its costs of production but also make more money, say, by the sale of processors. Owning a processor company implies that SoftBank will be able to customise and even invent its own instruction set that will be optimised for the product that it is intended to be used for.</w:t>
      </w:r>
    </w:p>
    <w:p w14:paraId="1D711707"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 xml:space="preserve">An Instruction Set is a term that is used to refer to the total instructions that are available in a particular processor chip. The instruction set defines the capability of a particular processor. For most of the applications, developers need not worry about instructions as most of the details are usually abstracted for them by the compiler. In embedded systems such as those use in IoT systems, which are the principal reason for the acquisition of ARM, even the littlest of optimisations can improve the overall costs. For instance, being able to design custom processors means that the company may decide to only include the necessary instruction set for a particular product cutting on cost. This also means that they can be able to invent and customise the instruction set to fit into their use case. There is, however, the question of how the employees are affected by this drastic change in not only the management but also the schedule and the manner in which the activities are run. There </w:t>
      </w:r>
      <w:r w:rsidRPr="00721E19">
        <w:rPr>
          <w:rFonts w:ascii="Times New Roman" w:hAnsi="Times New Roman"/>
          <w:sz w:val="24"/>
          <w:szCs w:val="24"/>
        </w:rPr>
        <w:t>needs to be a critical</w:t>
      </w:r>
      <w:r w:rsidRPr="00721E19">
        <w:rPr>
          <w:rFonts w:ascii="Times New Roman" w:hAnsi="Times New Roman"/>
          <w:sz w:val="24"/>
          <w:szCs w:val="24"/>
          <w:lang w:val="en-GB"/>
        </w:rPr>
        <w:t xml:space="preserve"> change in the company to be able to reflect the vision and mission of the new owner of the company. There may be individuals within the company who may generally disagree with the new management.</w:t>
      </w:r>
    </w:p>
    <w:p w14:paraId="168D2CC8"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Brexit is a colloquial term that refers to the exit of Britain from the European Union, which happened on 31</w:t>
      </w:r>
      <w:r w:rsidRPr="00721E19">
        <w:rPr>
          <w:rFonts w:ascii="Times New Roman" w:hAnsi="Times New Roman"/>
          <w:sz w:val="24"/>
          <w:szCs w:val="24"/>
          <w:vertAlign w:val="superscript"/>
          <w:lang w:val="en-GB"/>
        </w:rPr>
        <w:t>st</w:t>
      </w:r>
      <w:r w:rsidRPr="00721E19">
        <w:rPr>
          <w:rFonts w:ascii="Times New Roman" w:hAnsi="Times New Roman"/>
          <w:sz w:val="24"/>
          <w:szCs w:val="24"/>
          <w:lang w:val="en-GB"/>
        </w:rPr>
        <w:t xml:space="preserve"> January of 2020. The exit from the union causes a huge uncertainty for the country’s economy. This proposition is supported by the fact that the day after the Brexit vote, the pound fell by eight percent of its original value </w:t>
      </w:r>
      <w:r w:rsidRPr="00721E19">
        <w:rPr>
          <w:rFonts w:ascii="Times New Roman" w:hAnsi="Times New Roman"/>
          <w:color w:val="222222"/>
          <w:sz w:val="24"/>
          <w:szCs w:val="24"/>
          <w:shd w:val="clear" w:color="auto" w:fill="FFFFFF"/>
          <w:lang w:val="en-GB"/>
        </w:rPr>
        <w:t>(Zhang, 2018).</w:t>
      </w:r>
      <w:r w:rsidRPr="00721E19">
        <w:rPr>
          <w:rFonts w:ascii="Times New Roman" w:hAnsi="Times New Roman"/>
          <w:sz w:val="24"/>
          <w:szCs w:val="24"/>
          <w:lang w:val="en-GB"/>
        </w:rPr>
        <w:t xml:space="preserve"> ARM being a global force in the design and manufacturing of microprocessors makes it better adapted to handle the negative impact that Brexit may have on other smaller companies in the United Kingdom due </w:t>
      </w:r>
      <w:r w:rsidRPr="00721E19">
        <w:rPr>
          <w:rFonts w:ascii="Times New Roman" w:hAnsi="Times New Roman"/>
          <w:sz w:val="24"/>
          <w:szCs w:val="24"/>
          <w:lang w:val="en-GB"/>
        </w:rPr>
        <w:lastRenderedPageBreak/>
        <w:t>to the fundamental role that it plays in the technology market and also because it earns in US dollars.</w:t>
      </w:r>
    </w:p>
    <w:p w14:paraId="40FBA1D7"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 xml:space="preserve">A corporate acquisition or merger is a phenomenon that can have dire consequences on a company’s development outlooks and long-term prospects </w:t>
      </w:r>
      <w:r w:rsidRPr="00721E19">
        <w:rPr>
          <w:rFonts w:ascii="Times New Roman" w:hAnsi="Times New Roman"/>
          <w:color w:val="222222"/>
          <w:sz w:val="24"/>
          <w:szCs w:val="24"/>
          <w:shd w:val="clear" w:color="auto" w:fill="FFFFFF"/>
          <w:lang w:val="en-GB"/>
        </w:rPr>
        <w:t>(Lee, 2017).</w:t>
      </w:r>
      <w:r w:rsidRPr="00721E19">
        <w:rPr>
          <w:rFonts w:ascii="Times New Roman" w:hAnsi="Times New Roman"/>
          <w:sz w:val="24"/>
          <w:szCs w:val="24"/>
          <w:lang w:val="en-GB"/>
        </w:rPr>
        <w:t xml:space="preserve"> The key reasons that companies merge or buy out other companies usually involve riding themselves of competition or boosting their business prospects, as is the case with the case study explored in this document. The acquisition of a company may affect the company in a variety of ways, for instance, its stock price, future growth outlook, and capital structure. The main reason that SoftBank acquired ARM is so in line with its goal of being the technology giants in the field of the Internet of Things. This is a smart move because the future of technology is headed in that direction whereby all the electronic devices in homes and offices are all going to be smart and integrated into the internet. SoftBank wants to be at the forefront of IoT, ARM being the leading low-power processor manufacturer. It is obvious that if IoT became the next big thing, the ARM would be a great beneficiary given the fact that it has already made billions of profit from the cellphone boom with the production of processor chips that run in most devices in the world today.</w:t>
      </w:r>
    </w:p>
    <w:p w14:paraId="107C7CE4" w14:textId="77777777" w:rsidR="006E10B3" w:rsidRPr="00721E19" w:rsidRDefault="006E10B3" w:rsidP="00721E19">
      <w:pPr>
        <w:tabs>
          <w:tab w:val="left" w:pos="6675"/>
        </w:tabs>
        <w:spacing w:after="0" w:line="480" w:lineRule="auto"/>
        <w:jc w:val="both"/>
        <w:rPr>
          <w:rFonts w:ascii="Times New Roman" w:hAnsi="Times New Roman"/>
          <w:i/>
          <w:sz w:val="24"/>
          <w:szCs w:val="24"/>
        </w:rPr>
      </w:pPr>
      <w:r w:rsidRPr="00721E19">
        <w:rPr>
          <w:rFonts w:ascii="Times New Roman" w:hAnsi="Times New Roman"/>
          <w:i/>
          <w:sz w:val="24"/>
          <w:szCs w:val="24"/>
        </w:rPr>
        <w:br w:type="column"/>
      </w:r>
      <w:r w:rsidRPr="00721E19">
        <w:rPr>
          <w:rFonts w:ascii="Times New Roman" w:hAnsi="Times New Roman"/>
          <w:i/>
          <w:sz w:val="24"/>
          <w:szCs w:val="24"/>
        </w:rPr>
        <w:lastRenderedPageBreak/>
        <w:t>ARM Holdings Perspective</w:t>
      </w:r>
    </w:p>
    <w:p w14:paraId="12CFEAC2"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ARM also aims to benefit from the acquisition. SoftBank conglomerate is a hotbed for a lot of investors given the various companies it has subsidiaries, and thus, attracts a lot of funding in the event that it launches a project. Due to its access to unlimited resources at its disposal means that the current employees, especially the scientists in the research department, get better opportunities and possibly better remunerations. This is because they will be at the center stage of innovation and also create a competitive environment for the researchers. The host government is also bound to benefit from the company because of the trade, taxes, and the revenue generated from the company, and as it grows, so does the economy as well as the creation of more jobs for the residents.</w:t>
      </w:r>
    </w:p>
    <w:p w14:paraId="4D6DC33B"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Another key reason that companies merge is to be able to dominate the sector. This is rather interesting because, given the fact that SoftBank is going to be, to some degree, autonomous in the area of developing IoT with the recent acquisition of ARM. Without the acquisition, they would have had to buy the processors just like everybody else, and this would place a bottleneck in their products just like everybody else in the competition pool. They, however, have leverage due to the fact that they will now be producing their very own inhouse processors that they will be able to integrate into their IoT products. This might potentially morph them into a monopoly, which would consequently subject them to the constant poking and prodding from the anti-competition agencies and regulatory bodies.</w:t>
      </w:r>
    </w:p>
    <w:p w14:paraId="06E79577"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rPr>
      </w:pPr>
      <w:r w:rsidRPr="00721E19">
        <w:rPr>
          <w:rFonts w:ascii="Times New Roman" w:hAnsi="Times New Roman"/>
          <w:sz w:val="24"/>
          <w:szCs w:val="24"/>
          <w:lang w:val="en-GB"/>
        </w:rPr>
        <w:t xml:space="preserve">A rather nefarious motive for the acquisition of a company would be tax-exempt. This activity is done in a rather subtle fashion, and the motive is usually implicit than explicit. For instance, some companies resort to corporate inversions whereby a certain company purchases a competitor from overseas and then migrate the entity tax home to the foreign country in a bid to decrement the tax jurisdiction. This move is made so as to reduce the tax bill. Given the current case, it would be really hard to say that it falls in this category given its size and the </w:t>
      </w:r>
      <w:r w:rsidRPr="00721E19">
        <w:rPr>
          <w:rFonts w:ascii="Times New Roman" w:hAnsi="Times New Roman"/>
          <w:sz w:val="24"/>
          <w:szCs w:val="24"/>
          <w:lang w:val="en-GB"/>
        </w:rPr>
        <w:lastRenderedPageBreak/>
        <w:t>fact that it is a publicly-traded company meaning that it belongs to the people. Migrating the company to a new country would be a feat that would be anything but subtle.</w:t>
      </w:r>
    </w:p>
    <w:p w14:paraId="7D5DA056" w14:textId="77777777" w:rsidR="006E10B3" w:rsidRPr="00721E19" w:rsidRDefault="006E10B3" w:rsidP="00721E19">
      <w:pPr>
        <w:tabs>
          <w:tab w:val="left" w:pos="6675"/>
        </w:tabs>
        <w:spacing w:after="0" w:line="480" w:lineRule="auto"/>
        <w:jc w:val="both"/>
        <w:rPr>
          <w:rFonts w:ascii="Times New Roman" w:hAnsi="Times New Roman"/>
          <w:sz w:val="24"/>
          <w:szCs w:val="24"/>
        </w:rPr>
      </w:pPr>
      <w:r w:rsidRPr="00721E19">
        <w:rPr>
          <w:rFonts w:ascii="Times New Roman" w:hAnsi="Times New Roman"/>
          <w:sz w:val="24"/>
          <w:szCs w:val="24"/>
        </w:rPr>
        <w:t>Changes Implications from ARM and SoftBank Viewpoints</w:t>
      </w:r>
    </w:p>
    <w:p w14:paraId="0BDD0698"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It is reasonable to infer that SoftBank acquired ARM so as to take advantage of economies of scale and the synergies. Synergy is a term that is used to denote a situation whereby two companies combine to merge their duplicate resources such as regional offices, research projects, and manufacturing facilities. The alternative for SoftBank would be to start its processor design and manufacturing branch within its ranks. It would then have to buy a piece of land and then build a manufacturing facility and then recruit new talent to develop the processors for the company. Planning and implementing the latter strategy would take a long time, and the opportunity to implement the IoT might pass them before they can even embark on designing the first IoT device. SoftBank may also use the goodwill and the name of ARM in the campaign to market the IoT devices that they make. ARM already has offices in various parts of the world, manufacturing facilities, and also skilled scientists and engineers who have been working on similar projects and have experience with the technology. Thus, SoftBank can immediately embark on their vision and mission.</w:t>
      </w:r>
    </w:p>
    <w:p w14:paraId="3952B8BB"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 xml:space="preserve">ARM acquisition or a merger usually has long-term repercussions for the dominant entity of the acquiring company, in our case SoftBank than the company that is the subject of acquisition </w:t>
      </w:r>
      <w:r w:rsidRPr="00721E19">
        <w:rPr>
          <w:rFonts w:ascii="Times New Roman" w:hAnsi="Times New Roman"/>
          <w:color w:val="222222"/>
          <w:sz w:val="24"/>
          <w:szCs w:val="24"/>
          <w:shd w:val="clear" w:color="auto" w:fill="FFFFFF"/>
          <w:lang w:val="en-GB"/>
        </w:rPr>
        <w:t>(Saito, 2017).</w:t>
      </w:r>
      <w:r w:rsidRPr="00721E19">
        <w:rPr>
          <w:rFonts w:ascii="Times New Roman" w:hAnsi="Times New Roman"/>
          <w:sz w:val="24"/>
          <w:szCs w:val="24"/>
          <w:lang w:val="en-GB"/>
        </w:rPr>
        <w:t xml:space="preserve"> If the transaction bestows to its shareholders the chance to cash out a substantial premium, particularly if the entire transaction was paid out entirely in cash. In the case study discussed herein, SoftBank paid £17 for each share in ARM in cash, which was a forty-three percent premium to the closing price it had a week before the acquisition deal. After this event, the shares in the target company surged to a staggering sixteen pounds per share </w:t>
      </w:r>
      <w:r w:rsidRPr="00721E19">
        <w:rPr>
          <w:rFonts w:ascii="Times New Roman" w:hAnsi="Times New Roman"/>
          <w:color w:val="222222"/>
          <w:sz w:val="24"/>
          <w:szCs w:val="24"/>
          <w:shd w:val="clear" w:color="auto" w:fill="FFFFFF"/>
          <w:lang w:val="en-GB"/>
        </w:rPr>
        <w:t>(Thomas and Bhattacharya, 2019).</w:t>
      </w:r>
      <w:r w:rsidRPr="00721E19">
        <w:rPr>
          <w:rFonts w:ascii="Times New Roman" w:hAnsi="Times New Roman"/>
          <w:sz w:val="24"/>
          <w:szCs w:val="24"/>
          <w:lang w:val="en-GB"/>
        </w:rPr>
        <w:t xml:space="preserve"> Generally, the impact of an acquisition depends on the size of the deal with respect to the size of the company, and thus, the bigger the target company, </w:t>
      </w:r>
      <w:r w:rsidRPr="00721E19">
        <w:rPr>
          <w:rFonts w:ascii="Times New Roman" w:hAnsi="Times New Roman"/>
          <w:sz w:val="24"/>
          <w:szCs w:val="24"/>
          <w:lang w:val="en-GB"/>
        </w:rPr>
        <w:lastRenderedPageBreak/>
        <w:t>the higher the risk to the acquiring company. SoftBank took a huge risk in its acquisition ARM due to its massive infrastructure and the acquisition itself was not without some deal of political unrest as the company contributes significantly to the economy of the UK. In the highly unlikely event that ARM fails to fulfill its expectations, this may compromise the SoftBank’s long-term success. In fact, the entire future in the IoT business that SoftBank is planning on venturing into depends on the success of ARM in delivering efficient microprocessing chips that are a core requirement in the development of the technology.</w:t>
      </w:r>
    </w:p>
    <w:p w14:paraId="3585AAA9"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 xml:space="preserve">Capital structure is a term that is used to denote the particular blend of equity and debt that is used by a company in a bid to finance its overall undertakings. Equity takes the form of stock or retained earnings, while debt, on the other hand, comes in the form of loans or bond issues </w:t>
      </w:r>
      <w:r w:rsidRPr="00721E19">
        <w:rPr>
          <w:rFonts w:ascii="Times New Roman" w:hAnsi="Times New Roman"/>
          <w:color w:val="222222"/>
          <w:sz w:val="24"/>
          <w:szCs w:val="24"/>
          <w:shd w:val="clear" w:color="auto" w:fill="FFFFFF"/>
          <w:lang w:val="en-GB"/>
        </w:rPr>
        <w:t>(Singh, 2018).</w:t>
      </w:r>
      <w:r w:rsidRPr="00721E19">
        <w:rPr>
          <w:rFonts w:ascii="Times New Roman" w:hAnsi="Times New Roman"/>
          <w:sz w:val="24"/>
          <w:szCs w:val="24"/>
          <w:lang w:val="en-GB"/>
        </w:rPr>
        <w:t xml:space="preserve"> The debt-to-equity ratio is a metric that is used in the determination of the amount of risk in the borrowing practices of a company. The capital structure of ARM inevitably changed during its acquisition. Typically, an all-cash deal usually depletes the cash holdings of the acquiring company, but infrequently do companies have cash ready for such a transaction but usually finance it in debt, but the cash flow from the target company may justify the said debt. The acquisition of ARM by SoftBank is entirely by cash, and the acquirer apparently still has some cash in its reserve, this being made evident by the various plans for further acquisitions and the current rich investments in other various fortune-one-hundred companies as cited earlier.</w:t>
      </w:r>
    </w:p>
    <w:p w14:paraId="63F0EF3B"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 xml:space="preserve">The market reaction of the acquisition is another factor that determines the favourability of the deal, which depends upon the view of the participants of the market pertaining to the merits of the deal. In the case of the subject of this paper, the market value of the share rose to sixteen pounds, barely a share below the price offered by SoftBank </w:t>
      </w:r>
      <w:r w:rsidRPr="00721E19">
        <w:rPr>
          <w:rFonts w:ascii="Times New Roman" w:hAnsi="Times New Roman"/>
          <w:color w:val="222222"/>
          <w:sz w:val="24"/>
          <w:szCs w:val="24"/>
          <w:shd w:val="clear" w:color="auto" w:fill="FFFFFF"/>
          <w:lang w:val="en-GB"/>
        </w:rPr>
        <w:t>(Shi, 2018).</w:t>
      </w:r>
      <w:r w:rsidRPr="00721E19">
        <w:rPr>
          <w:rFonts w:ascii="Times New Roman" w:hAnsi="Times New Roman"/>
          <w:sz w:val="24"/>
          <w:szCs w:val="24"/>
          <w:lang w:val="en-GB"/>
        </w:rPr>
        <w:t xml:space="preserve"> This was a good reaction by the market because, in the event that the market price of the share went beyond what SoftBank offered, it would mean that ARM was being undervalued and the deal would </w:t>
      </w:r>
      <w:r w:rsidRPr="00721E19">
        <w:rPr>
          <w:rFonts w:ascii="Times New Roman" w:hAnsi="Times New Roman"/>
          <w:sz w:val="24"/>
          <w:szCs w:val="24"/>
          <w:lang w:val="en-GB"/>
        </w:rPr>
        <w:lastRenderedPageBreak/>
        <w:t>have to be subject to revision and would be forced to raise the amount they are offering to acquire the target company. This would also mean that the low bid would attract a rival bid for the acquisition of the company.</w:t>
      </w:r>
    </w:p>
    <w:p w14:paraId="2D16A278" w14:textId="77777777" w:rsidR="006E10B3" w:rsidRPr="00721E19" w:rsidRDefault="006E10B3" w:rsidP="00721E19">
      <w:pPr>
        <w:tabs>
          <w:tab w:val="left" w:pos="6675"/>
        </w:tabs>
        <w:spacing w:after="0" w:line="480" w:lineRule="auto"/>
        <w:ind w:firstLine="720"/>
        <w:contextualSpacing/>
        <w:jc w:val="both"/>
        <w:rPr>
          <w:rFonts w:ascii="Times New Roman" w:hAnsi="Times New Roman"/>
          <w:sz w:val="24"/>
          <w:szCs w:val="24"/>
          <w:lang w:val="en-GB"/>
        </w:rPr>
      </w:pPr>
      <w:r w:rsidRPr="00721E19">
        <w:rPr>
          <w:rFonts w:ascii="Times New Roman" w:hAnsi="Times New Roman"/>
          <w:sz w:val="24"/>
          <w:szCs w:val="24"/>
          <w:lang w:val="en-GB"/>
        </w:rPr>
        <w:t xml:space="preserve">In conclusion, the move by Masayoshi was rather bold as has been characteristic of his history which includes a phenomenal loss of seventy billion dollars in the dotcom era earning him the distinction of the man having lost the most money ever in history but became a successful billionaire philanthropist. It is despite the fact with a company owning assets in some of the most lucrative ventures in history such as Alibaba. The move has the potential of making or breaking the company, but the current prospects are promising for the company. Even in the highly unlikely event that IoT is a one-night sensation, and the IoT plan does not pan out, the company can still harvest huge profits from the old business model of ARM since it is a successful venture in its own respect. IoT, however, is the future of computing, and the current technology and the human lifestyle all seem to converge towards it; thus, capitalising on this can reap the company huge profits in the future since they now seem more than ready for it. They have also been accumulating a lot of money to fund the venture, and at this point in time, the sky is the limit for Softbank's venture into the Internet of Things. </w:t>
      </w:r>
      <w:r w:rsidRPr="00721E19">
        <w:rPr>
          <w:rFonts w:ascii="Times New Roman" w:hAnsi="Times New Roman"/>
          <w:sz w:val="24"/>
          <w:szCs w:val="24"/>
          <w:lang w:val="en-GB"/>
        </w:rPr>
        <w:br w:type="page"/>
      </w:r>
    </w:p>
    <w:p w14:paraId="1B029723" w14:textId="77777777" w:rsidR="006E10B3" w:rsidRPr="00665CBC" w:rsidRDefault="006E10B3" w:rsidP="006E10B3">
      <w:pPr>
        <w:pStyle w:val="Heading1"/>
        <w:contextualSpacing/>
        <w:rPr>
          <w:lang w:val="en-GB"/>
        </w:rPr>
      </w:pPr>
      <w:bookmarkStart w:id="1" w:name="_Toc36194254"/>
      <w:r w:rsidRPr="00665CBC">
        <w:rPr>
          <w:lang w:val="en-GB"/>
        </w:rPr>
        <w:lastRenderedPageBreak/>
        <w:t>References</w:t>
      </w:r>
      <w:bookmarkEnd w:id="1"/>
    </w:p>
    <w:p w14:paraId="4D6CEC36" w14:textId="77777777" w:rsidR="006E10B3" w:rsidRPr="00665CBC" w:rsidRDefault="006E10B3" w:rsidP="006E10B3">
      <w:pPr>
        <w:spacing w:after="0" w:line="480" w:lineRule="auto"/>
        <w:ind w:left="720" w:hanging="720"/>
        <w:contextualSpacing/>
        <w:rPr>
          <w:rFonts w:ascii="Times New Roman" w:hAnsi="Times New Roman"/>
          <w:color w:val="222222"/>
          <w:sz w:val="24"/>
          <w:shd w:val="clear" w:color="auto" w:fill="FFFFFF"/>
          <w:lang w:val="en-GB"/>
        </w:rPr>
      </w:pPr>
      <w:r w:rsidRPr="00665CBC">
        <w:rPr>
          <w:rFonts w:ascii="Times New Roman" w:hAnsi="Times New Roman"/>
          <w:color w:val="222222"/>
          <w:sz w:val="24"/>
          <w:shd w:val="clear" w:color="auto" w:fill="FFFFFF"/>
          <w:lang w:val="en-GB"/>
        </w:rPr>
        <w:t xml:space="preserve">Alina, V., 2018. The </w:t>
      </w:r>
      <w:r w:rsidRPr="005A45DB">
        <w:rPr>
          <w:rFonts w:ascii="Times New Roman" w:hAnsi="Times New Roman"/>
          <w:color w:val="222222"/>
          <w:sz w:val="24"/>
          <w:szCs w:val="20"/>
          <w:shd w:val="clear" w:color="auto" w:fill="FFFFFF"/>
          <w:lang w:val="en-GB"/>
        </w:rPr>
        <w:t>evolution</w:t>
      </w:r>
      <w:r w:rsidRPr="00665CBC">
        <w:rPr>
          <w:rFonts w:ascii="Times New Roman" w:hAnsi="Times New Roman"/>
          <w:color w:val="222222"/>
          <w:sz w:val="24"/>
          <w:shd w:val="clear" w:color="auto" w:fill="FFFFFF"/>
          <w:lang w:val="en-GB"/>
        </w:rPr>
        <w:t xml:space="preserve"> of </w:t>
      </w:r>
      <w:r w:rsidRPr="005A45DB">
        <w:rPr>
          <w:rFonts w:ascii="Times New Roman" w:hAnsi="Times New Roman"/>
          <w:color w:val="222222"/>
          <w:sz w:val="24"/>
          <w:szCs w:val="20"/>
          <w:shd w:val="clear" w:color="auto" w:fill="FFFFFF"/>
          <w:lang w:val="en-GB"/>
        </w:rPr>
        <w:t>transnational mergers</w:t>
      </w:r>
      <w:r w:rsidRPr="00665CBC">
        <w:rPr>
          <w:rFonts w:ascii="Times New Roman" w:hAnsi="Times New Roman"/>
          <w:color w:val="222222"/>
          <w:sz w:val="24"/>
          <w:shd w:val="clear" w:color="auto" w:fill="FFFFFF"/>
          <w:lang w:val="en-GB"/>
        </w:rPr>
        <w:t xml:space="preserve"> and </w:t>
      </w:r>
      <w:r w:rsidRPr="005A45DB">
        <w:rPr>
          <w:rFonts w:ascii="Times New Roman" w:hAnsi="Times New Roman"/>
          <w:color w:val="222222"/>
          <w:sz w:val="24"/>
          <w:szCs w:val="20"/>
          <w:shd w:val="clear" w:color="auto" w:fill="FFFFFF"/>
          <w:lang w:val="en-GB"/>
        </w:rPr>
        <w:t>acquisitions</w:t>
      </w:r>
      <w:r w:rsidRPr="00665CBC">
        <w:rPr>
          <w:rFonts w:ascii="Times New Roman" w:hAnsi="Times New Roman"/>
          <w:color w:val="222222"/>
          <w:sz w:val="24"/>
          <w:shd w:val="clear" w:color="auto" w:fill="FFFFFF"/>
          <w:lang w:val="en-GB"/>
        </w:rPr>
        <w:t>. </w:t>
      </w:r>
      <w:r w:rsidRPr="00665CBC">
        <w:rPr>
          <w:rFonts w:ascii="Times New Roman" w:hAnsi="Times New Roman"/>
          <w:i/>
          <w:color w:val="222222"/>
          <w:sz w:val="24"/>
          <w:shd w:val="clear" w:color="auto" w:fill="FFFFFF"/>
          <w:lang w:val="en-GB"/>
        </w:rPr>
        <w:t>Ovidius University Annals, Economic Sciences Series</w:t>
      </w:r>
      <w:r w:rsidRPr="00665CBC">
        <w:rPr>
          <w:rFonts w:ascii="Times New Roman" w:hAnsi="Times New Roman"/>
          <w:color w:val="222222"/>
          <w:sz w:val="24"/>
          <w:shd w:val="clear" w:color="auto" w:fill="FFFFFF"/>
          <w:lang w:val="en-GB"/>
        </w:rPr>
        <w:t>, </w:t>
      </w:r>
      <w:r w:rsidRPr="00665CBC">
        <w:rPr>
          <w:rFonts w:ascii="Times New Roman" w:hAnsi="Times New Roman"/>
          <w:b/>
          <w:color w:val="222222"/>
          <w:sz w:val="24"/>
          <w:shd w:val="clear" w:color="auto" w:fill="FFFFFF"/>
          <w:lang w:val="en-GB"/>
        </w:rPr>
        <w:t>18</w:t>
      </w:r>
      <w:r w:rsidRPr="00665CBC">
        <w:rPr>
          <w:rFonts w:ascii="Times New Roman" w:hAnsi="Times New Roman"/>
          <w:color w:val="222222"/>
          <w:sz w:val="24"/>
          <w:shd w:val="clear" w:color="auto" w:fill="FFFFFF"/>
          <w:lang w:val="en-GB"/>
        </w:rPr>
        <w:t>(1), pp.117-121.</w:t>
      </w:r>
    </w:p>
    <w:p w14:paraId="66AEACEE" w14:textId="77777777" w:rsidR="006E10B3" w:rsidRPr="00665CBC" w:rsidRDefault="006E10B3" w:rsidP="006E10B3">
      <w:pPr>
        <w:spacing w:after="0" w:line="480" w:lineRule="auto"/>
        <w:ind w:left="720" w:hanging="720"/>
        <w:contextualSpacing/>
        <w:rPr>
          <w:rFonts w:ascii="Times New Roman" w:hAnsi="Times New Roman"/>
          <w:color w:val="222222"/>
          <w:sz w:val="24"/>
          <w:shd w:val="clear" w:color="auto" w:fill="FFFFFF"/>
          <w:lang w:val="en-GB"/>
        </w:rPr>
      </w:pPr>
      <w:r w:rsidRPr="00665CBC">
        <w:rPr>
          <w:rFonts w:ascii="Times New Roman" w:hAnsi="Times New Roman"/>
          <w:color w:val="222222"/>
          <w:sz w:val="24"/>
          <w:shd w:val="clear" w:color="auto" w:fill="FFFFFF"/>
          <w:lang w:val="en-GB"/>
        </w:rPr>
        <w:t>Engel, J., Hamirani, H</w:t>
      </w:r>
      <w:r>
        <w:rPr>
          <w:rFonts w:ascii="Times New Roman" w:hAnsi="Times New Roman"/>
          <w:color w:val="222222"/>
          <w:sz w:val="24"/>
          <w:szCs w:val="20"/>
          <w:shd w:val="clear" w:color="auto" w:fill="FFFFFF"/>
          <w:lang w:val="en-GB"/>
        </w:rPr>
        <w:t>.</w:t>
      </w:r>
      <w:r w:rsidRPr="00665CBC">
        <w:rPr>
          <w:rFonts w:ascii="Times New Roman" w:hAnsi="Times New Roman"/>
          <w:color w:val="222222"/>
          <w:sz w:val="24"/>
          <w:shd w:val="clear" w:color="auto" w:fill="FFFFFF"/>
          <w:lang w:val="en-GB"/>
        </w:rPr>
        <w:t xml:space="preserve"> and Saklatvala, K., 2016. Pursuing </w:t>
      </w:r>
      <w:r w:rsidRPr="005A45DB">
        <w:rPr>
          <w:rFonts w:ascii="Times New Roman" w:hAnsi="Times New Roman"/>
          <w:color w:val="222222"/>
          <w:sz w:val="24"/>
          <w:szCs w:val="20"/>
          <w:shd w:val="clear" w:color="auto" w:fill="FFFFFF"/>
          <w:lang w:val="en-GB"/>
        </w:rPr>
        <w:t>innovation: sovereign wealth funds</w:t>
      </w:r>
      <w:r w:rsidRPr="00665CBC">
        <w:rPr>
          <w:rFonts w:ascii="Times New Roman" w:hAnsi="Times New Roman"/>
          <w:color w:val="222222"/>
          <w:sz w:val="24"/>
          <w:shd w:val="clear" w:color="auto" w:fill="FFFFFF"/>
          <w:lang w:val="en-GB"/>
        </w:rPr>
        <w:t xml:space="preserve"> and </w:t>
      </w:r>
      <w:r w:rsidRPr="005A45DB">
        <w:rPr>
          <w:rFonts w:ascii="Times New Roman" w:hAnsi="Times New Roman"/>
          <w:color w:val="222222"/>
          <w:sz w:val="24"/>
          <w:szCs w:val="20"/>
          <w:shd w:val="clear" w:color="auto" w:fill="FFFFFF"/>
          <w:lang w:val="en-GB"/>
        </w:rPr>
        <w:t>technology investment</w:t>
      </w:r>
      <w:r w:rsidRPr="00665CBC">
        <w:rPr>
          <w:rFonts w:ascii="Times New Roman" w:hAnsi="Times New Roman"/>
          <w:color w:val="222222"/>
          <w:sz w:val="24"/>
          <w:shd w:val="clear" w:color="auto" w:fill="FFFFFF"/>
          <w:lang w:val="en-GB"/>
        </w:rPr>
        <w:t>. </w:t>
      </w:r>
      <w:r w:rsidRPr="00665CBC">
        <w:rPr>
          <w:rFonts w:ascii="Times New Roman" w:hAnsi="Times New Roman"/>
          <w:i/>
          <w:color w:val="222222"/>
          <w:sz w:val="24"/>
          <w:shd w:val="clear" w:color="auto" w:fill="FFFFFF"/>
          <w:lang w:val="en-GB"/>
        </w:rPr>
        <w:t>Available at SSRN 2864853</w:t>
      </w:r>
      <w:r w:rsidRPr="00665CBC">
        <w:rPr>
          <w:rFonts w:ascii="Times New Roman" w:hAnsi="Times New Roman"/>
          <w:color w:val="222222"/>
          <w:sz w:val="24"/>
          <w:shd w:val="clear" w:color="auto" w:fill="FFFFFF"/>
          <w:lang w:val="en-GB"/>
        </w:rPr>
        <w:t>.</w:t>
      </w:r>
    </w:p>
    <w:p w14:paraId="562D1414" w14:textId="77777777" w:rsidR="006E10B3" w:rsidRPr="00665CBC" w:rsidRDefault="006E10B3" w:rsidP="006E10B3">
      <w:pPr>
        <w:spacing w:after="0" w:line="480" w:lineRule="auto"/>
        <w:ind w:left="720" w:hanging="720"/>
        <w:contextualSpacing/>
        <w:rPr>
          <w:rFonts w:ascii="Times New Roman" w:hAnsi="Times New Roman"/>
          <w:color w:val="222222"/>
          <w:sz w:val="24"/>
          <w:shd w:val="clear" w:color="auto" w:fill="FFFFFF"/>
          <w:lang w:val="en-GB"/>
        </w:rPr>
      </w:pPr>
      <w:r w:rsidRPr="00665CBC">
        <w:rPr>
          <w:rFonts w:ascii="Times New Roman" w:hAnsi="Times New Roman"/>
          <w:color w:val="222222"/>
          <w:sz w:val="24"/>
          <w:shd w:val="clear" w:color="auto" w:fill="FFFFFF"/>
          <w:lang w:val="en-GB"/>
        </w:rPr>
        <w:t>Frésard, L., Hege, U</w:t>
      </w:r>
      <w:r>
        <w:rPr>
          <w:rFonts w:ascii="Times New Roman" w:hAnsi="Times New Roman"/>
          <w:color w:val="222222"/>
          <w:sz w:val="24"/>
          <w:szCs w:val="20"/>
          <w:shd w:val="clear" w:color="auto" w:fill="FFFFFF"/>
          <w:lang w:val="en-GB"/>
        </w:rPr>
        <w:t>.</w:t>
      </w:r>
      <w:r w:rsidRPr="00665CBC">
        <w:rPr>
          <w:rFonts w:ascii="Times New Roman" w:hAnsi="Times New Roman"/>
          <w:color w:val="222222"/>
          <w:sz w:val="24"/>
          <w:shd w:val="clear" w:color="auto" w:fill="FFFFFF"/>
          <w:lang w:val="en-GB"/>
        </w:rPr>
        <w:t xml:space="preserve"> and Phillips, G., 2017. Extending industry </w:t>
      </w:r>
      <w:r w:rsidRPr="005A45DB">
        <w:rPr>
          <w:rFonts w:ascii="Times New Roman" w:hAnsi="Times New Roman"/>
          <w:color w:val="222222"/>
          <w:sz w:val="24"/>
          <w:szCs w:val="20"/>
          <w:shd w:val="clear" w:color="auto" w:fill="FFFFFF"/>
          <w:lang w:val="en-GB"/>
        </w:rPr>
        <w:t>speciali</w:t>
      </w:r>
      <w:r>
        <w:rPr>
          <w:rFonts w:ascii="Times New Roman" w:hAnsi="Times New Roman"/>
          <w:color w:val="222222"/>
          <w:sz w:val="24"/>
          <w:szCs w:val="20"/>
          <w:shd w:val="clear" w:color="auto" w:fill="FFFFFF"/>
          <w:lang w:val="en-GB"/>
        </w:rPr>
        <w:t>s</w:t>
      </w:r>
      <w:r w:rsidRPr="005A45DB">
        <w:rPr>
          <w:rFonts w:ascii="Times New Roman" w:hAnsi="Times New Roman"/>
          <w:color w:val="222222"/>
          <w:sz w:val="24"/>
          <w:szCs w:val="20"/>
          <w:shd w:val="clear" w:color="auto" w:fill="FFFFFF"/>
          <w:lang w:val="en-GB"/>
        </w:rPr>
        <w:t>ation</w:t>
      </w:r>
      <w:r w:rsidRPr="00665CBC">
        <w:rPr>
          <w:rFonts w:ascii="Times New Roman" w:hAnsi="Times New Roman"/>
          <w:color w:val="222222"/>
          <w:sz w:val="24"/>
          <w:shd w:val="clear" w:color="auto" w:fill="FFFFFF"/>
          <w:lang w:val="en-GB"/>
        </w:rPr>
        <w:t xml:space="preserve"> through cross-border acquisitions. </w:t>
      </w:r>
      <w:r w:rsidRPr="00665CBC">
        <w:rPr>
          <w:rFonts w:ascii="Times New Roman" w:hAnsi="Times New Roman"/>
          <w:i/>
          <w:color w:val="222222"/>
          <w:sz w:val="24"/>
          <w:shd w:val="clear" w:color="auto" w:fill="FFFFFF"/>
          <w:lang w:val="en-GB"/>
        </w:rPr>
        <w:t>The Review of Financial Studies</w:t>
      </w:r>
      <w:r w:rsidRPr="00665CBC">
        <w:rPr>
          <w:rFonts w:ascii="Times New Roman" w:hAnsi="Times New Roman"/>
          <w:color w:val="222222"/>
          <w:sz w:val="24"/>
          <w:shd w:val="clear" w:color="auto" w:fill="FFFFFF"/>
          <w:lang w:val="en-GB"/>
        </w:rPr>
        <w:t>, </w:t>
      </w:r>
      <w:r w:rsidRPr="00665CBC">
        <w:rPr>
          <w:rFonts w:ascii="Times New Roman" w:hAnsi="Times New Roman"/>
          <w:b/>
          <w:color w:val="222222"/>
          <w:sz w:val="24"/>
          <w:shd w:val="clear" w:color="auto" w:fill="FFFFFF"/>
          <w:lang w:val="en-GB"/>
        </w:rPr>
        <w:t>30</w:t>
      </w:r>
      <w:r w:rsidRPr="00665CBC">
        <w:rPr>
          <w:rFonts w:ascii="Times New Roman" w:hAnsi="Times New Roman"/>
          <w:color w:val="222222"/>
          <w:sz w:val="24"/>
          <w:shd w:val="clear" w:color="auto" w:fill="FFFFFF"/>
          <w:lang w:val="en-GB"/>
        </w:rPr>
        <w:t>(5), pp.1539-1582.</w:t>
      </w:r>
    </w:p>
    <w:p w14:paraId="1A683981" w14:textId="77777777" w:rsidR="006E10B3" w:rsidRPr="00665CBC" w:rsidRDefault="006E10B3" w:rsidP="006E10B3">
      <w:pPr>
        <w:spacing w:after="0" w:line="480" w:lineRule="auto"/>
        <w:ind w:left="720" w:hanging="720"/>
        <w:contextualSpacing/>
        <w:rPr>
          <w:rFonts w:ascii="Times New Roman" w:hAnsi="Times New Roman"/>
          <w:color w:val="222222"/>
          <w:sz w:val="24"/>
          <w:shd w:val="clear" w:color="auto" w:fill="FFFFFF"/>
          <w:lang w:val="en-GB"/>
        </w:rPr>
      </w:pPr>
      <w:r w:rsidRPr="00665CBC">
        <w:rPr>
          <w:rFonts w:ascii="Times New Roman" w:hAnsi="Times New Roman"/>
          <w:color w:val="222222"/>
          <w:sz w:val="24"/>
          <w:shd w:val="clear" w:color="auto" w:fill="FFFFFF"/>
          <w:lang w:val="en-GB"/>
        </w:rPr>
        <w:t xml:space="preserve">Kodama, M., 2019. New </w:t>
      </w:r>
      <w:r w:rsidRPr="005A45DB">
        <w:rPr>
          <w:rFonts w:ascii="Times New Roman" w:hAnsi="Times New Roman"/>
          <w:color w:val="222222"/>
          <w:sz w:val="24"/>
          <w:szCs w:val="20"/>
          <w:shd w:val="clear" w:color="auto" w:fill="FFFFFF"/>
          <w:lang w:val="en-GB"/>
        </w:rPr>
        <w:t>business model innovation</w:t>
      </w:r>
      <w:r w:rsidRPr="00665CBC">
        <w:rPr>
          <w:rFonts w:ascii="Times New Roman" w:hAnsi="Times New Roman"/>
          <w:color w:val="222222"/>
          <w:sz w:val="24"/>
          <w:shd w:val="clear" w:color="auto" w:fill="FFFFFF"/>
          <w:lang w:val="en-GB"/>
        </w:rPr>
        <w:t xml:space="preserve"> in the </w:t>
      </w:r>
      <w:r w:rsidRPr="005A45DB">
        <w:rPr>
          <w:rFonts w:ascii="Times New Roman" w:hAnsi="Times New Roman"/>
          <w:color w:val="222222"/>
          <w:sz w:val="24"/>
          <w:szCs w:val="20"/>
          <w:shd w:val="clear" w:color="auto" w:fill="FFFFFF"/>
          <w:lang w:val="en-GB"/>
        </w:rPr>
        <w:t>mobile telecommunication industry—a case study</w:t>
      </w:r>
      <w:r w:rsidRPr="00665CBC">
        <w:rPr>
          <w:rFonts w:ascii="Times New Roman" w:hAnsi="Times New Roman"/>
          <w:color w:val="222222"/>
          <w:sz w:val="24"/>
          <w:shd w:val="clear" w:color="auto" w:fill="FFFFFF"/>
          <w:lang w:val="en-GB"/>
        </w:rPr>
        <w:t xml:space="preserve"> of SoftBank. </w:t>
      </w:r>
      <w:r w:rsidRPr="00665CBC">
        <w:rPr>
          <w:rFonts w:ascii="Times New Roman" w:hAnsi="Times New Roman"/>
          <w:i/>
          <w:color w:val="222222"/>
          <w:sz w:val="24"/>
          <w:shd w:val="clear" w:color="auto" w:fill="FFFFFF"/>
          <w:lang w:val="en-GB"/>
        </w:rPr>
        <w:t>World Scientific Book Chapters</w:t>
      </w:r>
      <w:r w:rsidRPr="00665CBC">
        <w:rPr>
          <w:rFonts w:ascii="Times New Roman" w:hAnsi="Times New Roman"/>
          <w:color w:val="222222"/>
          <w:sz w:val="24"/>
          <w:shd w:val="clear" w:color="auto" w:fill="FFFFFF"/>
          <w:lang w:val="en-GB"/>
        </w:rPr>
        <w:t>, pp.275-325.</w:t>
      </w:r>
    </w:p>
    <w:p w14:paraId="2B72D578" w14:textId="77777777" w:rsidR="006E10B3" w:rsidRPr="00665CBC" w:rsidRDefault="006E10B3" w:rsidP="006E10B3">
      <w:pPr>
        <w:spacing w:after="0" w:line="480" w:lineRule="auto"/>
        <w:ind w:left="720" w:hanging="720"/>
        <w:contextualSpacing/>
        <w:rPr>
          <w:rFonts w:ascii="Times New Roman" w:hAnsi="Times New Roman"/>
          <w:color w:val="222222"/>
          <w:sz w:val="24"/>
          <w:shd w:val="clear" w:color="auto" w:fill="FFFFFF"/>
          <w:lang w:val="en-GB"/>
        </w:rPr>
      </w:pPr>
      <w:r w:rsidRPr="00665CBC">
        <w:rPr>
          <w:rFonts w:ascii="Times New Roman" w:hAnsi="Times New Roman"/>
          <w:color w:val="222222"/>
          <w:sz w:val="24"/>
          <w:shd w:val="clear" w:color="auto" w:fill="FFFFFF"/>
          <w:lang w:val="en-GB"/>
        </w:rPr>
        <w:t xml:space="preserve">Lee, J., 2017. The current barriers to corporate takeovers in Japan: </w:t>
      </w:r>
      <w:r>
        <w:rPr>
          <w:rFonts w:ascii="Times New Roman" w:hAnsi="Times New Roman"/>
          <w:color w:val="222222"/>
          <w:sz w:val="24"/>
          <w:szCs w:val="20"/>
          <w:shd w:val="clear" w:color="auto" w:fill="FFFFFF"/>
          <w:lang w:val="en-GB"/>
        </w:rPr>
        <w:t>d</w:t>
      </w:r>
      <w:r w:rsidRPr="005A45DB">
        <w:rPr>
          <w:rFonts w:ascii="Times New Roman" w:hAnsi="Times New Roman"/>
          <w:color w:val="222222"/>
          <w:sz w:val="24"/>
          <w:szCs w:val="20"/>
          <w:shd w:val="clear" w:color="auto" w:fill="FFFFFF"/>
          <w:lang w:val="en-GB"/>
        </w:rPr>
        <w:t>o</w:t>
      </w:r>
      <w:r w:rsidRPr="00665CBC">
        <w:rPr>
          <w:rFonts w:ascii="Times New Roman" w:hAnsi="Times New Roman"/>
          <w:color w:val="222222"/>
          <w:sz w:val="24"/>
          <w:shd w:val="clear" w:color="auto" w:fill="FFFFFF"/>
          <w:lang w:val="en-GB"/>
        </w:rPr>
        <w:t xml:space="preserve"> the UK Takeover Code and the EU Takeover Directive offer a solution</w:t>
      </w:r>
      <w:r>
        <w:rPr>
          <w:rFonts w:ascii="Times New Roman" w:hAnsi="Times New Roman"/>
          <w:color w:val="222222"/>
          <w:sz w:val="24"/>
          <w:szCs w:val="20"/>
          <w:shd w:val="clear" w:color="auto" w:fill="FFFFFF"/>
          <w:lang w:val="en-GB"/>
        </w:rPr>
        <w:t xml:space="preserve">? </w:t>
      </w:r>
      <w:r w:rsidRPr="00665CBC">
        <w:rPr>
          <w:rFonts w:ascii="Times New Roman" w:hAnsi="Times New Roman"/>
          <w:i/>
          <w:color w:val="222222"/>
          <w:sz w:val="24"/>
          <w:shd w:val="clear" w:color="auto" w:fill="FFFFFF"/>
          <w:lang w:val="en-GB"/>
        </w:rPr>
        <w:t xml:space="preserve">European Business </w:t>
      </w:r>
      <w:r w:rsidRPr="005A45DB">
        <w:rPr>
          <w:rFonts w:ascii="Times New Roman" w:hAnsi="Times New Roman"/>
          <w:i/>
          <w:iCs/>
          <w:color w:val="222222"/>
          <w:sz w:val="24"/>
          <w:szCs w:val="20"/>
          <w:shd w:val="clear" w:color="auto" w:fill="FFFFFF"/>
          <w:lang w:val="en-GB"/>
        </w:rPr>
        <w:t>Organi</w:t>
      </w:r>
      <w:r>
        <w:rPr>
          <w:rFonts w:ascii="Times New Roman" w:hAnsi="Times New Roman"/>
          <w:i/>
          <w:iCs/>
          <w:color w:val="222222"/>
          <w:sz w:val="24"/>
          <w:szCs w:val="20"/>
          <w:shd w:val="clear" w:color="auto" w:fill="FFFFFF"/>
          <w:lang w:val="en-GB"/>
        </w:rPr>
        <w:t>s</w:t>
      </w:r>
      <w:r w:rsidRPr="005A45DB">
        <w:rPr>
          <w:rFonts w:ascii="Times New Roman" w:hAnsi="Times New Roman"/>
          <w:i/>
          <w:iCs/>
          <w:color w:val="222222"/>
          <w:sz w:val="24"/>
          <w:szCs w:val="20"/>
          <w:shd w:val="clear" w:color="auto" w:fill="FFFFFF"/>
          <w:lang w:val="en-GB"/>
        </w:rPr>
        <w:t>ation</w:t>
      </w:r>
      <w:r w:rsidRPr="00665CBC">
        <w:rPr>
          <w:rFonts w:ascii="Times New Roman" w:hAnsi="Times New Roman"/>
          <w:i/>
          <w:color w:val="222222"/>
          <w:sz w:val="24"/>
          <w:shd w:val="clear" w:color="auto" w:fill="FFFFFF"/>
          <w:lang w:val="en-GB"/>
        </w:rPr>
        <w:t xml:space="preserve"> Law Review</w:t>
      </w:r>
      <w:r w:rsidRPr="00665CBC">
        <w:rPr>
          <w:rFonts w:ascii="Times New Roman" w:hAnsi="Times New Roman"/>
          <w:color w:val="222222"/>
          <w:sz w:val="24"/>
          <w:shd w:val="clear" w:color="auto" w:fill="FFFFFF"/>
          <w:lang w:val="en-GB"/>
        </w:rPr>
        <w:t>, </w:t>
      </w:r>
      <w:r w:rsidRPr="00665CBC">
        <w:rPr>
          <w:rFonts w:ascii="Times New Roman" w:hAnsi="Times New Roman"/>
          <w:b/>
          <w:color w:val="222222"/>
          <w:sz w:val="24"/>
          <w:shd w:val="clear" w:color="auto" w:fill="FFFFFF"/>
          <w:lang w:val="en-GB"/>
        </w:rPr>
        <w:t>18</w:t>
      </w:r>
      <w:r w:rsidRPr="00665CBC">
        <w:rPr>
          <w:rFonts w:ascii="Times New Roman" w:hAnsi="Times New Roman"/>
          <w:color w:val="222222"/>
          <w:sz w:val="24"/>
          <w:shd w:val="clear" w:color="auto" w:fill="FFFFFF"/>
          <w:lang w:val="en-GB"/>
        </w:rPr>
        <w:t>(4), pp.761-783.</w:t>
      </w:r>
    </w:p>
    <w:p w14:paraId="6F741AA2" w14:textId="77777777" w:rsidR="006E10B3" w:rsidRPr="00665CBC" w:rsidRDefault="006E10B3" w:rsidP="006E10B3">
      <w:pPr>
        <w:spacing w:after="0" w:line="480" w:lineRule="auto"/>
        <w:ind w:left="720" w:hanging="720"/>
        <w:contextualSpacing/>
        <w:rPr>
          <w:rFonts w:ascii="Times New Roman" w:hAnsi="Times New Roman"/>
          <w:color w:val="222222"/>
          <w:sz w:val="24"/>
          <w:shd w:val="clear" w:color="auto" w:fill="FFFFFF"/>
          <w:lang w:val="en-GB"/>
        </w:rPr>
      </w:pPr>
      <w:r w:rsidRPr="00665CBC">
        <w:rPr>
          <w:rFonts w:ascii="Times New Roman" w:hAnsi="Times New Roman"/>
          <w:color w:val="222222"/>
          <w:sz w:val="24"/>
          <w:shd w:val="clear" w:color="auto" w:fill="FFFFFF"/>
          <w:lang w:val="en-GB"/>
        </w:rPr>
        <w:t xml:space="preserve">Saito, T., 2017. Market </w:t>
      </w:r>
      <w:r w:rsidRPr="005A45DB">
        <w:rPr>
          <w:rFonts w:ascii="Times New Roman" w:hAnsi="Times New Roman"/>
          <w:color w:val="222222"/>
          <w:sz w:val="24"/>
          <w:szCs w:val="20"/>
          <w:shd w:val="clear" w:color="auto" w:fill="FFFFFF"/>
          <w:lang w:val="en-GB"/>
        </w:rPr>
        <w:t>reaction</w:t>
      </w:r>
      <w:r w:rsidRPr="00665CBC">
        <w:rPr>
          <w:rFonts w:ascii="Times New Roman" w:hAnsi="Times New Roman"/>
          <w:color w:val="222222"/>
          <w:sz w:val="24"/>
          <w:shd w:val="clear" w:color="auto" w:fill="FFFFFF"/>
          <w:lang w:val="en-GB"/>
        </w:rPr>
        <w:t xml:space="preserve"> to </w:t>
      </w:r>
      <w:r w:rsidRPr="005A45DB">
        <w:rPr>
          <w:rFonts w:ascii="Times New Roman" w:hAnsi="Times New Roman"/>
          <w:color w:val="222222"/>
          <w:sz w:val="24"/>
          <w:szCs w:val="20"/>
          <w:shd w:val="clear" w:color="auto" w:fill="FFFFFF"/>
          <w:lang w:val="en-GB"/>
        </w:rPr>
        <w:t>cross-border acquisitions</w:t>
      </w:r>
      <w:r w:rsidRPr="00665CBC">
        <w:rPr>
          <w:rFonts w:ascii="Times New Roman" w:hAnsi="Times New Roman"/>
          <w:color w:val="222222"/>
          <w:sz w:val="24"/>
          <w:shd w:val="clear" w:color="auto" w:fill="FFFFFF"/>
          <w:lang w:val="en-GB"/>
        </w:rPr>
        <w:t xml:space="preserve"> by </w:t>
      </w:r>
      <w:r w:rsidRPr="005A45DB">
        <w:rPr>
          <w:rFonts w:ascii="Times New Roman" w:hAnsi="Times New Roman"/>
          <w:color w:val="222222"/>
          <w:sz w:val="24"/>
          <w:szCs w:val="20"/>
          <w:shd w:val="clear" w:color="auto" w:fill="FFFFFF"/>
          <w:lang w:val="en-GB"/>
        </w:rPr>
        <w:t>japanese firms.</w:t>
      </w:r>
      <w:r w:rsidRPr="00665CBC">
        <w:rPr>
          <w:rFonts w:ascii="Times New Roman" w:hAnsi="Times New Roman"/>
          <w:color w:val="222222"/>
          <w:sz w:val="24"/>
          <w:shd w:val="clear" w:color="auto" w:fill="FFFFFF"/>
          <w:lang w:val="en-GB"/>
        </w:rPr>
        <w:t xml:space="preserve"> In</w:t>
      </w:r>
      <w:r>
        <w:rPr>
          <w:rFonts w:ascii="Times New Roman" w:hAnsi="Times New Roman"/>
          <w:color w:val="222222"/>
          <w:sz w:val="24"/>
          <w:szCs w:val="20"/>
          <w:shd w:val="clear" w:color="auto" w:fill="FFFFFF"/>
          <w:lang w:val="en-GB"/>
        </w:rPr>
        <w:t>:</w:t>
      </w:r>
      <w:r w:rsidRPr="00665CBC">
        <w:rPr>
          <w:rFonts w:ascii="Times New Roman" w:hAnsi="Times New Roman"/>
          <w:color w:val="222222"/>
          <w:sz w:val="24"/>
          <w:shd w:val="clear" w:color="auto" w:fill="FFFFFF"/>
          <w:lang w:val="en-GB"/>
        </w:rPr>
        <w:t> </w:t>
      </w:r>
      <w:r w:rsidRPr="00665CBC">
        <w:rPr>
          <w:rFonts w:ascii="Times New Roman" w:hAnsi="Times New Roman"/>
          <w:i/>
          <w:color w:val="222222"/>
          <w:sz w:val="24"/>
          <w:shd w:val="clear" w:color="auto" w:fill="FFFFFF"/>
          <w:lang w:val="en-GB"/>
        </w:rPr>
        <w:t>Competition, Innovation, and Growth in Japan</w:t>
      </w:r>
      <w:r w:rsidRPr="00665CBC">
        <w:rPr>
          <w:rFonts w:ascii="Times New Roman" w:hAnsi="Times New Roman"/>
          <w:color w:val="222222"/>
          <w:sz w:val="24"/>
          <w:shd w:val="clear" w:color="auto" w:fill="FFFFFF"/>
          <w:lang w:val="en-GB"/>
        </w:rPr>
        <w:t> (pp. 201-224). Singapore</w:t>
      </w:r>
      <w:r>
        <w:rPr>
          <w:rFonts w:ascii="Times New Roman" w:hAnsi="Times New Roman"/>
          <w:color w:val="222222"/>
          <w:sz w:val="24"/>
          <w:szCs w:val="20"/>
          <w:shd w:val="clear" w:color="auto" w:fill="FFFFFF"/>
          <w:lang w:val="en-GB"/>
        </w:rPr>
        <w:t>:</w:t>
      </w:r>
      <w:r w:rsidRPr="005A45DB">
        <w:rPr>
          <w:rFonts w:ascii="Times New Roman" w:hAnsi="Times New Roman"/>
          <w:color w:val="222222"/>
          <w:sz w:val="24"/>
          <w:szCs w:val="20"/>
          <w:shd w:val="clear" w:color="auto" w:fill="FFFFFF"/>
          <w:lang w:val="en-GB"/>
        </w:rPr>
        <w:t xml:space="preserve"> </w:t>
      </w:r>
      <w:r>
        <w:rPr>
          <w:rFonts w:ascii="Times New Roman" w:hAnsi="Times New Roman"/>
          <w:color w:val="222222"/>
          <w:sz w:val="24"/>
          <w:szCs w:val="20"/>
          <w:shd w:val="clear" w:color="auto" w:fill="FFFFFF"/>
          <w:lang w:val="en-GB"/>
        </w:rPr>
        <w:t>Springer</w:t>
      </w:r>
      <w:r w:rsidRPr="00665CBC">
        <w:rPr>
          <w:rFonts w:ascii="Times New Roman" w:hAnsi="Times New Roman"/>
          <w:color w:val="222222"/>
          <w:sz w:val="24"/>
          <w:shd w:val="clear" w:color="auto" w:fill="FFFFFF"/>
          <w:lang w:val="en-GB"/>
        </w:rPr>
        <w:t>.</w:t>
      </w:r>
    </w:p>
    <w:p w14:paraId="542EA1FA" w14:textId="77777777" w:rsidR="006E10B3" w:rsidRPr="00665CBC" w:rsidRDefault="006E10B3" w:rsidP="006E10B3">
      <w:pPr>
        <w:spacing w:after="0" w:line="480" w:lineRule="auto"/>
        <w:ind w:left="720" w:hanging="720"/>
        <w:contextualSpacing/>
        <w:rPr>
          <w:rFonts w:ascii="Times New Roman" w:hAnsi="Times New Roman"/>
          <w:color w:val="222222"/>
          <w:sz w:val="24"/>
          <w:shd w:val="clear" w:color="auto" w:fill="FFFFFF"/>
          <w:lang w:val="en-GB"/>
        </w:rPr>
      </w:pPr>
      <w:r w:rsidRPr="00665CBC">
        <w:rPr>
          <w:rFonts w:ascii="Times New Roman" w:hAnsi="Times New Roman"/>
          <w:color w:val="222222"/>
          <w:sz w:val="24"/>
          <w:shd w:val="clear" w:color="auto" w:fill="FFFFFF"/>
          <w:lang w:val="en-GB"/>
        </w:rPr>
        <w:t>Shi, Z., 2018. </w:t>
      </w:r>
      <w:r w:rsidRPr="00665CBC">
        <w:rPr>
          <w:rFonts w:ascii="Times New Roman" w:hAnsi="Times New Roman"/>
          <w:i/>
          <w:color w:val="222222"/>
          <w:sz w:val="24"/>
          <w:shd w:val="clear" w:color="auto" w:fill="FFFFFF"/>
          <w:lang w:val="en-GB"/>
        </w:rPr>
        <w:t xml:space="preserve">Effects of </w:t>
      </w:r>
      <w:r w:rsidRPr="005A45DB">
        <w:rPr>
          <w:rFonts w:ascii="Times New Roman" w:hAnsi="Times New Roman"/>
          <w:i/>
          <w:iCs/>
          <w:color w:val="222222"/>
          <w:sz w:val="24"/>
          <w:szCs w:val="20"/>
          <w:shd w:val="clear" w:color="auto" w:fill="FFFFFF"/>
          <w:lang w:val="en-GB"/>
        </w:rPr>
        <w:t>mergers</w:t>
      </w:r>
      <w:r w:rsidRPr="00665CBC">
        <w:rPr>
          <w:rFonts w:ascii="Times New Roman" w:hAnsi="Times New Roman"/>
          <w:i/>
          <w:color w:val="222222"/>
          <w:sz w:val="24"/>
          <w:shd w:val="clear" w:color="auto" w:fill="FFFFFF"/>
          <w:lang w:val="en-GB"/>
        </w:rPr>
        <w:t xml:space="preserve"> and </w:t>
      </w:r>
      <w:r w:rsidRPr="005A45DB">
        <w:rPr>
          <w:rFonts w:ascii="Times New Roman" w:hAnsi="Times New Roman"/>
          <w:i/>
          <w:iCs/>
          <w:color w:val="222222"/>
          <w:sz w:val="24"/>
          <w:szCs w:val="20"/>
          <w:shd w:val="clear" w:color="auto" w:fill="FFFFFF"/>
          <w:lang w:val="en-GB"/>
        </w:rPr>
        <w:t>acquisitions</w:t>
      </w:r>
      <w:r w:rsidRPr="00665CBC">
        <w:rPr>
          <w:rFonts w:ascii="Times New Roman" w:hAnsi="Times New Roman"/>
          <w:i/>
          <w:color w:val="222222"/>
          <w:sz w:val="24"/>
          <w:shd w:val="clear" w:color="auto" w:fill="FFFFFF"/>
          <w:lang w:val="en-GB"/>
        </w:rPr>
        <w:t xml:space="preserve"> on </w:t>
      </w:r>
      <w:r w:rsidRPr="005A45DB">
        <w:rPr>
          <w:rFonts w:ascii="Times New Roman" w:hAnsi="Times New Roman"/>
          <w:i/>
          <w:iCs/>
          <w:color w:val="222222"/>
          <w:sz w:val="24"/>
          <w:szCs w:val="20"/>
          <w:shd w:val="clear" w:color="auto" w:fill="FFFFFF"/>
          <w:lang w:val="en-GB"/>
        </w:rPr>
        <w:t>corporation valuation</w:t>
      </w:r>
      <w:r w:rsidRPr="00665CBC">
        <w:rPr>
          <w:rFonts w:ascii="Times New Roman" w:hAnsi="Times New Roman"/>
          <w:color w:val="222222"/>
          <w:sz w:val="24"/>
          <w:shd w:val="clear" w:color="auto" w:fill="FFFFFF"/>
          <w:lang w:val="en-GB"/>
        </w:rPr>
        <w:t> (Doctoral dissertation, Tufts University).</w:t>
      </w:r>
    </w:p>
    <w:p w14:paraId="1C08C7AB" w14:textId="77777777" w:rsidR="006E10B3" w:rsidRPr="00665CBC" w:rsidRDefault="006E10B3" w:rsidP="006E10B3">
      <w:pPr>
        <w:spacing w:after="0" w:line="480" w:lineRule="auto"/>
        <w:ind w:left="720" w:hanging="720"/>
        <w:contextualSpacing/>
        <w:rPr>
          <w:rFonts w:ascii="Times New Roman" w:hAnsi="Times New Roman"/>
          <w:color w:val="222222"/>
          <w:sz w:val="24"/>
          <w:shd w:val="clear" w:color="auto" w:fill="FFFFFF"/>
          <w:lang w:val="en-GB"/>
        </w:rPr>
      </w:pPr>
      <w:r w:rsidRPr="00665CBC">
        <w:rPr>
          <w:rFonts w:ascii="Times New Roman" w:hAnsi="Times New Roman"/>
          <w:color w:val="222222"/>
          <w:sz w:val="24"/>
          <w:shd w:val="clear" w:color="auto" w:fill="FFFFFF"/>
          <w:lang w:val="en-GB"/>
        </w:rPr>
        <w:t xml:space="preserve">Singh, P.N., 2018. Impact of </w:t>
      </w:r>
      <w:r w:rsidRPr="005A45DB">
        <w:rPr>
          <w:rFonts w:ascii="Times New Roman" w:hAnsi="Times New Roman"/>
          <w:color w:val="222222"/>
          <w:sz w:val="24"/>
          <w:szCs w:val="20"/>
          <w:shd w:val="clear" w:color="auto" w:fill="FFFFFF"/>
          <w:lang w:val="en-GB"/>
        </w:rPr>
        <w:t>mergers</w:t>
      </w:r>
      <w:r w:rsidRPr="00665CBC">
        <w:rPr>
          <w:rFonts w:ascii="Times New Roman" w:hAnsi="Times New Roman"/>
          <w:color w:val="222222"/>
          <w:sz w:val="24"/>
          <w:shd w:val="clear" w:color="auto" w:fill="FFFFFF"/>
          <w:lang w:val="en-GB"/>
        </w:rPr>
        <w:t xml:space="preserve"> and acquisition of </w:t>
      </w:r>
      <w:r w:rsidRPr="005A45DB">
        <w:rPr>
          <w:rFonts w:ascii="Times New Roman" w:hAnsi="Times New Roman"/>
          <w:color w:val="222222"/>
          <w:sz w:val="24"/>
          <w:szCs w:val="20"/>
          <w:shd w:val="clear" w:color="auto" w:fill="FFFFFF"/>
          <w:lang w:val="en-GB"/>
        </w:rPr>
        <w:t>management</w:t>
      </w:r>
      <w:r w:rsidRPr="00665CBC">
        <w:rPr>
          <w:rFonts w:ascii="Times New Roman" w:hAnsi="Times New Roman"/>
          <w:color w:val="222222"/>
          <w:sz w:val="24"/>
          <w:shd w:val="clear" w:color="auto" w:fill="FFFFFF"/>
          <w:lang w:val="en-GB"/>
        </w:rPr>
        <w:t xml:space="preserve"> and </w:t>
      </w:r>
      <w:r w:rsidRPr="005A45DB">
        <w:rPr>
          <w:rFonts w:ascii="Times New Roman" w:hAnsi="Times New Roman"/>
          <w:color w:val="222222"/>
          <w:sz w:val="24"/>
          <w:szCs w:val="20"/>
          <w:shd w:val="clear" w:color="auto" w:fill="FFFFFF"/>
          <w:lang w:val="en-GB"/>
        </w:rPr>
        <w:t>employees</w:t>
      </w:r>
      <w:r w:rsidRPr="00665CBC">
        <w:rPr>
          <w:rFonts w:ascii="Times New Roman" w:hAnsi="Times New Roman"/>
          <w:color w:val="222222"/>
          <w:sz w:val="24"/>
          <w:shd w:val="clear" w:color="auto" w:fill="FFFFFF"/>
          <w:lang w:val="en-GB"/>
        </w:rPr>
        <w:t xml:space="preserve">. </w:t>
      </w:r>
      <w:r w:rsidRPr="00665CBC">
        <w:rPr>
          <w:rFonts w:ascii="Times New Roman" w:hAnsi="Times New Roman"/>
          <w:i/>
          <w:color w:val="222222"/>
          <w:sz w:val="24"/>
          <w:shd w:val="clear" w:color="auto" w:fill="FFFFFF"/>
          <w:lang w:val="en-GB"/>
        </w:rPr>
        <w:t>Journal of Management Science, Operations &amp; Strategies (e ISSN 2456-9305)</w:t>
      </w:r>
      <w:r w:rsidRPr="00665CBC">
        <w:rPr>
          <w:rFonts w:ascii="Times New Roman" w:hAnsi="Times New Roman"/>
          <w:color w:val="222222"/>
          <w:sz w:val="24"/>
          <w:shd w:val="clear" w:color="auto" w:fill="FFFFFF"/>
          <w:lang w:val="en-GB"/>
        </w:rPr>
        <w:t>, </w:t>
      </w:r>
      <w:r w:rsidRPr="00665CBC">
        <w:rPr>
          <w:rFonts w:ascii="Times New Roman" w:hAnsi="Times New Roman"/>
          <w:b/>
          <w:color w:val="222222"/>
          <w:sz w:val="24"/>
          <w:shd w:val="clear" w:color="auto" w:fill="FFFFFF"/>
          <w:lang w:val="en-GB"/>
        </w:rPr>
        <w:t>2</w:t>
      </w:r>
      <w:r w:rsidRPr="00665CBC">
        <w:rPr>
          <w:rFonts w:ascii="Times New Roman" w:hAnsi="Times New Roman"/>
          <w:color w:val="222222"/>
          <w:sz w:val="24"/>
          <w:shd w:val="clear" w:color="auto" w:fill="FFFFFF"/>
          <w:lang w:val="en-GB"/>
        </w:rPr>
        <w:t>(1), pp.32-37.</w:t>
      </w:r>
    </w:p>
    <w:p w14:paraId="17E0A86A" w14:textId="77777777" w:rsidR="006E10B3" w:rsidRPr="00665CBC" w:rsidRDefault="006E10B3" w:rsidP="006E10B3">
      <w:pPr>
        <w:spacing w:after="0" w:line="480" w:lineRule="auto"/>
        <w:ind w:left="720" w:hanging="720"/>
        <w:contextualSpacing/>
        <w:rPr>
          <w:rFonts w:ascii="Times New Roman" w:hAnsi="Times New Roman"/>
          <w:color w:val="222222"/>
          <w:sz w:val="24"/>
          <w:shd w:val="clear" w:color="auto" w:fill="FFFFFF"/>
          <w:lang w:val="en-GB"/>
        </w:rPr>
      </w:pPr>
      <w:r w:rsidRPr="005A45DB">
        <w:rPr>
          <w:rFonts w:ascii="Times New Roman" w:hAnsi="Times New Roman"/>
          <w:color w:val="222222"/>
          <w:sz w:val="24"/>
          <w:szCs w:val="20"/>
          <w:shd w:val="clear" w:color="auto" w:fill="FFFFFF"/>
          <w:lang w:val="en-GB"/>
        </w:rPr>
        <w:t>Thomas</w:t>
      </w:r>
      <w:r w:rsidRPr="00665CBC">
        <w:rPr>
          <w:rFonts w:ascii="Times New Roman" w:hAnsi="Times New Roman"/>
          <w:color w:val="222222"/>
          <w:sz w:val="24"/>
          <w:shd w:val="clear" w:color="auto" w:fill="FFFFFF"/>
          <w:lang w:val="en-GB"/>
        </w:rPr>
        <w:t>, H</w:t>
      </w:r>
      <w:r>
        <w:rPr>
          <w:rFonts w:ascii="Times New Roman" w:hAnsi="Times New Roman"/>
          <w:color w:val="222222"/>
          <w:sz w:val="24"/>
          <w:szCs w:val="20"/>
          <w:shd w:val="clear" w:color="auto" w:fill="FFFFFF"/>
          <w:lang w:val="en-GB"/>
        </w:rPr>
        <w:t>.</w:t>
      </w:r>
      <w:r w:rsidRPr="00665CBC">
        <w:rPr>
          <w:rFonts w:ascii="Times New Roman" w:hAnsi="Times New Roman"/>
          <w:color w:val="222222"/>
          <w:sz w:val="24"/>
          <w:shd w:val="clear" w:color="auto" w:fill="FFFFFF"/>
          <w:lang w:val="en-GB"/>
        </w:rPr>
        <w:t xml:space="preserve"> and </w:t>
      </w:r>
      <w:r w:rsidRPr="005A45DB">
        <w:rPr>
          <w:rFonts w:ascii="Times New Roman" w:hAnsi="Times New Roman"/>
          <w:color w:val="222222"/>
          <w:sz w:val="24"/>
          <w:szCs w:val="20"/>
          <w:shd w:val="clear" w:color="auto" w:fill="FFFFFF"/>
          <w:lang w:val="en-GB"/>
        </w:rPr>
        <w:t>Bhattacharya</w:t>
      </w:r>
      <w:r w:rsidRPr="00665CBC">
        <w:rPr>
          <w:rFonts w:ascii="Times New Roman" w:hAnsi="Times New Roman"/>
          <w:color w:val="222222"/>
          <w:sz w:val="24"/>
          <w:shd w:val="clear" w:color="auto" w:fill="FFFFFF"/>
          <w:lang w:val="en-GB"/>
        </w:rPr>
        <w:t xml:space="preserve">, L., 2019. </w:t>
      </w:r>
      <w:r w:rsidRPr="00665CBC">
        <w:rPr>
          <w:rFonts w:ascii="Times New Roman" w:hAnsi="Times New Roman"/>
          <w:i/>
          <w:color w:val="222222"/>
          <w:sz w:val="24"/>
          <w:shd w:val="clear" w:color="auto" w:fill="FFFFFF"/>
          <w:lang w:val="en-GB"/>
        </w:rPr>
        <w:t xml:space="preserve">ARM </w:t>
      </w:r>
      <w:r w:rsidRPr="00E17529">
        <w:rPr>
          <w:rFonts w:ascii="Times New Roman" w:hAnsi="Times New Roman"/>
          <w:i/>
          <w:color w:val="222222"/>
          <w:sz w:val="24"/>
          <w:szCs w:val="20"/>
          <w:shd w:val="clear" w:color="auto" w:fill="FFFFFF"/>
          <w:lang w:val="en-GB"/>
        </w:rPr>
        <w:t>holdings</w:t>
      </w:r>
      <w:r w:rsidRPr="00665CBC">
        <w:rPr>
          <w:rFonts w:ascii="Times New Roman" w:hAnsi="Times New Roman"/>
          <w:i/>
          <w:color w:val="222222"/>
          <w:sz w:val="24"/>
          <w:shd w:val="clear" w:color="auto" w:fill="FFFFFF"/>
          <w:lang w:val="en-GB"/>
        </w:rPr>
        <w:t>: IP licensing to the internet of things.</w:t>
      </w:r>
      <w:r>
        <w:rPr>
          <w:rFonts w:ascii="Times New Roman" w:hAnsi="Times New Roman"/>
          <w:color w:val="222222"/>
          <w:sz w:val="24"/>
          <w:szCs w:val="20"/>
          <w:shd w:val="clear" w:color="auto" w:fill="FFFFFF"/>
          <w:lang w:val="en-GB"/>
        </w:rPr>
        <w:t xml:space="preserve"> [Online] Available at: </w:t>
      </w:r>
      <w:hyperlink r:id="rId6" w:history="1">
        <w:r w:rsidRPr="00AA09C8">
          <w:rPr>
            <w:rStyle w:val="Hyperlink"/>
            <w:rFonts w:ascii="Times New Roman" w:hAnsi="Times New Roman"/>
            <w:sz w:val="24"/>
            <w:szCs w:val="20"/>
            <w:shd w:val="clear" w:color="auto" w:fill="FFFFFF"/>
            <w:lang w:val="en-GB"/>
          </w:rPr>
          <w:t>https://cmp.smu.edu.sg/case/4106</w:t>
        </w:r>
      </w:hyperlink>
      <w:r>
        <w:rPr>
          <w:rFonts w:ascii="Times New Roman" w:hAnsi="Times New Roman"/>
          <w:color w:val="222222"/>
          <w:sz w:val="24"/>
          <w:szCs w:val="20"/>
          <w:shd w:val="clear" w:color="auto" w:fill="FFFFFF"/>
          <w:lang w:val="en-GB"/>
        </w:rPr>
        <w:t xml:space="preserve"> [Accessed 21/04/2020].</w:t>
      </w:r>
    </w:p>
    <w:p w14:paraId="20A9B450" w14:textId="77777777" w:rsidR="006E10B3" w:rsidRPr="00665CBC" w:rsidRDefault="006E10B3" w:rsidP="006E10B3">
      <w:pPr>
        <w:spacing w:after="0" w:line="480" w:lineRule="auto"/>
        <w:ind w:left="720" w:hanging="720"/>
        <w:contextualSpacing/>
        <w:rPr>
          <w:rFonts w:ascii="Times New Roman" w:hAnsi="Times New Roman"/>
          <w:sz w:val="36"/>
          <w:shd w:val="clear" w:color="auto" w:fill="FFFFFF"/>
          <w:lang w:val="en-GB"/>
        </w:rPr>
      </w:pPr>
      <w:r w:rsidRPr="00665CBC">
        <w:rPr>
          <w:rFonts w:ascii="Times New Roman" w:hAnsi="Times New Roman"/>
          <w:color w:val="222222"/>
          <w:sz w:val="24"/>
          <w:shd w:val="clear" w:color="auto" w:fill="FFFFFF"/>
          <w:lang w:val="en-GB"/>
        </w:rPr>
        <w:t>Zhang, Q., 2018. </w:t>
      </w:r>
      <w:r w:rsidRPr="00665CBC">
        <w:rPr>
          <w:rFonts w:ascii="Times New Roman" w:hAnsi="Times New Roman"/>
          <w:i/>
          <w:color w:val="222222"/>
          <w:sz w:val="24"/>
          <w:shd w:val="clear" w:color="auto" w:fill="FFFFFF"/>
          <w:lang w:val="en-GB"/>
        </w:rPr>
        <w:t xml:space="preserve">Financing and </w:t>
      </w:r>
      <w:r w:rsidRPr="005A45DB">
        <w:rPr>
          <w:rFonts w:ascii="Times New Roman" w:hAnsi="Times New Roman"/>
          <w:i/>
          <w:iCs/>
          <w:color w:val="222222"/>
          <w:sz w:val="24"/>
          <w:szCs w:val="20"/>
          <w:shd w:val="clear" w:color="auto" w:fill="FFFFFF"/>
          <w:lang w:val="en-GB"/>
        </w:rPr>
        <w:t>regulatory frictions</w:t>
      </w:r>
      <w:r w:rsidRPr="00665CBC">
        <w:rPr>
          <w:rFonts w:ascii="Times New Roman" w:hAnsi="Times New Roman"/>
          <w:i/>
          <w:color w:val="222222"/>
          <w:sz w:val="24"/>
          <w:shd w:val="clear" w:color="auto" w:fill="FFFFFF"/>
          <w:lang w:val="en-GB"/>
        </w:rPr>
        <w:t xml:space="preserve"> in </w:t>
      </w:r>
      <w:r w:rsidRPr="005A45DB">
        <w:rPr>
          <w:rFonts w:ascii="Times New Roman" w:hAnsi="Times New Roman"/>
          <w:i/>
          <w:iCs/>
          <w:color w:val="222222"/>
          <w:sz w:val="24"/>
          <w:szCs w:val="20"/>
          <w:shd w:val="clear" w:color="auto" w:fill="FFFFFF"/>
          <w:lang w:val="en-GB"/>
        </w:rPr>
        <w:t>mergers</w:t>
      </w:r>
      <w:r w:rsidRPr="00665CBC">
        <w:rPr>
          <w:rFonts w:ascii="Times New Roman" w:hAnsi="Times New Roman"/>
          <w:i/>
          <w:color w:val="222222"/>
          <w:sz w:val="24"/>
          <w:shd w:val="clear" w:color="auto" w:fill="FFFFFF"/>
          <w:lang w:val="en-GB"/>
        </w:rPr>
        <w:t xml:space="preserve"> and </w:t>
      </w:r>
      <w:r w:rsidRPr="005A45DB">
        <w:rPr>
          <w:rFonts w:ascii="Times New Roman" w:hAnsi="Times New Roman"/>
          <w:i/>
          <w:iCs/>
          <w:color w:val="222222"/>
          <w:sz w:val="24"/>
          <w:szCs w:val="20"/>
          <w:shd w:val="clear" w:color="auto" w:fill="FFFFFF"/>
          <w:lang w:val="en-GB"/>
        </w:rPr>
        <w:t>acquisitions</w:t>
      </w:r>
      <w:r w:rsidRPr="00665CBC">
        <w:rPr>
          <w:rFonts w:ascii="Times New Roman" w:hAnsi="Times New Roman"/>
          <w:color w:val="222222"/>
          <w:sz w:val="24"/>
          <w:shd w:val="clear" w:color="auto" w:fill="FFFFFF"/>
          <w:lang w:val="en-GB"/>
        </w:rPr>
        <w:t> (No. EPS-2018-428-F&amp;A).</w:t>
      </w:r>
    </w:p>
    <w:p w14:paraId="46E2A00C" w14:textId="77777777" w:rsidR="00316039" w:rsidRDefault="00316039"/>
    <w:sectPr w:rsidR="00316039" w:rsidSect="006673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nQuanYi Micro Hei">
    <w:altName w:val="Arial Unicode MS"/>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0B3"/>
    <w:rsid w:val="002C1FC8"/>
    <w:rsid w:val="00316039"/>
    <w:rsid w:val="00446CA6"/>
    <w:rsid w:val="005C2B1B"/>
    <w:rsid w:val="006673DE"/>
    <w:rsid w:val="006E10B3"/>
    <w:rsid w:val="00721E19"/>
    <w:rsid w:val="007A7F62"/>
    <w:rsid w:val="007F4CA8"/>
    <w:rsid w:val="008A234E"/>
    <w:rsid w:val="009852A4"/>
    <w:rsid w:val="00A95EBC"/>
    <w:rsid w:val="00D36D75"/>
    <w:rsid w:val="00D40E92"/>
    <w:rsid w:val="00D75913"/>
    <w:rsid w:val="00F12E53"/>
    <w:rsid w:val="00F76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9DC81"/>
  <w15:chartTrackingRefBased/>
  <w15:docId w15:val="{668F26FF-7F0E-4330-B084-888F8CDB0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0B3"/>
    <w:pPr>
      <w:spacing w:after="200" w:line="276" w:lineRule="auto"/>
    </w:pPr>
    <w:rPr>
      <w:rFonts w:ascii="Calibri" w:eastAsia="Calibri" w:hAnsi="Calibri" w:cs="Times New Roman"/>
      <w:lang w:val="en-US"/>
    </w:rPr>
  </w:style>
  <w:style w:type="paragraph" w:styleId="Heading1">
    <w:name w:val="heading 1"/>
    <w:basedOn w:val="Normal"/>
    <w:next w:val="Normal"/>
    <w:link w:val="Heading1Char"/>
    <w:uiPriority w:val="9"/>
    <w:qFormat/>
    <w:rsid w:val="006E10B3"/>
    <w:pPr>
      <w:spacing w:after="0" w:line="480" w:lineRule="auto"/>
      <w:jc w:val="center"/>
      <w:outlineLvl w:val="0"/>
    </w:pPr>
    <w:rPr>
      <w:rFonts w:ascii="Times New Roman" w:hAnsi="Times New Roman"/>
      <w:sz w:val="24"/>
      <w:szCs w:val="24"/>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0B3"/>
    <w:rPr>
      <w:rFonts w:ascii="Times New Roman" w:eastAsia="Calibri" w:hAnsi="Times New Roman" w:cs="Times New Roman"/>
      <w:sz w:val="24"/>
      <w:szCs w:val="24"/>
      <w:lang w:val="en-AU"/>
    </w:rPr>
  </w:style>
  <w:style w:type="character" w:styleId="Hyperlink">
    <w:name w:val="Hyperlink"/>
    <w:basedOn w:val="DefaultParagraphFont"/>
    <w:uiPriority w:val="99"/>
    <w:unhideWhenUsed/>
    <w:rsid w:val="006E10B3"/>
    <w:rPr>
      <w:color w:val="0563C1" w:themeColor="hyperlink"/>
      <w:u w:val="single"/>
    </w:rPr>
  </w:style>
  <w:style w:type="paragraph" w:styleId="NoSpacing">
    <w:name w:val="No Spacing"/>
    <w:link w:val="NoSpacingChar"/>
    <w:uiPriority w:val="1"/>
    <w:qFormat/>
    <w:rsid w:val="006673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73D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mp.smu.edu.sg/case/4106" TargetMode="External"/><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B1074B1EDCC422B9971066C28D9B95E"/>
        <w:category>
          <w:name w:val="General"/>
          <w:gallery w:val="placeholder"/>
        </w:category>
        <w:types>
          <w:type w:val="bbPlcHdr"/>
        </w:types>
        <w:behaviors>
          <w:behavior w:val="content"/>
        </w:behaviors>
        <w:guid w:val="{76EF0092-97F0-4745-8AA3-DEB948E671F7}"/>
      </w:docPartPr>
      <w:docPartBody>
        <w:p w:rsidR="00000000" w:rsidRDefault="00FF469F" w:rsidP="00FF469F">
          <w:pPr>
            <w:pStyle w:val="0B1074B1EDCC422B9971066C28D9B95E"/>
          </w:pPr>
          <w:r>
            <w:rPr>
              <w:rFonts w:asciiTheme="majorHAnsi" w:eastAsiaTheme="majorEastAsia" w:hAnsiTheme="majorHAnsi" w:cstheme="majorBidi"/>
              <w:caps/>
              <w:color w:val="4472C4" w:themeColor="accent1"/>
              <w:sz w:val="80"/>
              <w:szCs w:val="80"/>
            </w:rPr>
            <w:t>[Document title]</w:t>
          </w:r>
        </w:p>
      </w:docPartBody>
    </w:docPart>
    <w:docPart>
      <w:docPartPr>
        <w:name w:val="1588CBFB21304DE281D2822F410CEF9D"/>
        <w:category>
          <w:name w:val="General"/>
          <w:gallery w:val="placeholder"/>
        </w:category>
        <w:types>
          <w:type w:val="bbPlcHdr"/>
        </w:types>
        <w:behaviors>
          <w:behavior w:val="content"/>
        </w:behaviors>
        <w:guid w:val="{255716CF-307B-4799-98F9-E0649AAB5A00}"/>
      </w:docPartPr>
      <w:docPartBody>
        <w:p w:rsidR="00000000" w:rsidRDefault="00FF469F" w:rsidP="00FF469F">
          <w:pPr>
            <w:pStyle w:val="1588CBFB21304DE281D2822F410CEF9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nQuanYi Micro Hei">
    <w:altName w:val="Arial Unicode MS"/>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69F"/>
    <w:rsid w:val="004F1693"/>
    <w:rsid w:val="00FF4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1074B1EDCC422B9971066C28D9B95E">
    <w:name w:val="0B1074B1EDCC422B9971066C28D9B95E"/>
    <w:rsid w:val="00FF469F"/>
  </w:style>
  <w:style w:type="paragraph" w:customStyle="1" w:styleId="1588CBFB21304DE281D2822F410CEF9D">
    <w:name w:val="1588CBFB21304DE281D2822F410CEF9D"/>
    <w:rsid w:val="00FF46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3230</Words>
  <Characters>18416</Characters>
  <Application>Microsoft Office Word</Application>
  <DocSecurity>0</DocSecurity>
  <Lines>153</Lines>
  <Paragraphs>43</Paragraphs>
  <ScaleCrop>false</ScaleCrop>
  <Company/>
  <LinksUpToDate>false</LinksUpToDate>
  <CharactersWithSpaces>21603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strategy change and organisation lcdb 7005</dc:title>
  <dc:subject>SOFTBANK AND ARM HOLDING ACQUISTION BY AYODEJI SUNDAY HABIB (1812672)</dc:subject>
  <dc:creator>DEJI</dc:creator>
  <cp:keywords/>
  <dc:description/>
  <cp:lastModifiedBy>DEJI</cp:lastModifiedBy>
  <cp:revision>3</cp:revision>
  <dcterms:created xsi:type="dcterms:W3CDTF">2020-04-26T12:34:00Z</dcterms:created>
  <dcterms:modified xsi:type="dcterms:W3CDTF">2020-04-26T12:43:00Z</dcterms:modified>
</cp:coreProperties>
</file>