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70907680"/>
        <w:docPartObj>
          <w:docPartGallery w:val="Cover Pages"/>
          <w:docPartUnique/>
        </w:docPartObj>
      </w:sdtPr>
      <w:sdtEndPr>
        <w:rPr>
          <w:rFonts w:asciiTheme="majorHAnsi" w:hAnsiTheme="majorHAnsi" w:cstheme="majorHAnsi"/>
          <w:sz w:val="28"/>
          <w:szCs w:val="28"/>
        </w:rPr>
      </w:sdtEndPr>
      <w:sdtContent>
        <w:p w14:paraId="41E7C829" w14:textId="1C16CA39" w:rsidR="00F46156" w:rsidRPr="00705448" w:rsidRDefault="00F46156">
          <w:pPr>
            <w:rPr>
              <w:rFonts w:asciiTheme="majorHAnsi" w:hAnsiTheme="majorHAnsi" w:cstheme="majorHAnsi"/>
            </w:rPr>
          </w:pPr>
          <w:r w:rsidRPr="00705448">
            <w:rPr>
              <w:rFonts w:asciiTheme="majorHAnsi" w:hAnsiTheme="majorHAnsi" w:cstheme="majorHAnsi"/>
              <w:noProof/>
            </w:rPr>
            <mc:AlternateContent>
              <mc:Choice Requires="wpg">
                <w:drawing>
                  <wp:anchor distT="0" distB="0" distL="114300" distR="114300" simplePos="0" relativeHeight="251658243" behindDoc="0" locked="0" layoutInCell="1" allowOverlap="1" wp14:anchorId="73F6AE73" wp14:editId="598F5EA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DCFAC98"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sidRPr="00705448">
            <w:rPr>
              <w:rFonts w:asciiTheme="majorHAnsi" w:hAnsiTheme="majorHAnsi" w:cstheme="majorHAnsi"/>
              <w:noProof/>
            </w:rPr>
            <mc:AlternateContent>
              <mc:Choice Requires="wps">
                <w:drawing>
                  <wp:anchor distT="0" distB="0" distL="114300" distR="114300" simplePos="0" relativeHeight="251658241" behindDoc="0" locked="0" layoutInCell="1" allowOverlap="1" wp14:anchorId="6C2EDD4B" wp14:editId="5CEC820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6D10BE6" w14:textId="3EDB99A6" w:rsidR="00F46156" w:rsidRDefault="00F46156">
                                    <w:pPr>
                                      <w:pStyle w:val="NoSpacing"/>
                                      <w:jc w:val="right"/>
                                      <w:rPr>
                                        <w:color w:val="595959" w:themeColor="text1" w:themeTint="A6"/>
                                        <w:sz w:val="28"/>
                                        <w:szCs w:val="28"/>
                                      </w:rPr>
                                    </w:pPr>
                                    <w:r>
                                      <w:rPr>
                                        <w:color w:val="595959" w:themeColor="text1" w:themeTint="A6"/>
                                        <w:sz w:val="28"/>
                                        <w:szCs w:val="28"/>
                                      </w:rPr>
                                      <w:t>Chloe Rees (2105842)</w:t>
                                    </w:r>
                                  </w:p>
                                </w:sdtContent>
                              </w:sdt>
                              <w:p w14:paraId="3CC248E7" w14:textId="21E36C31" w:rsidR="00F46156" w:rsidRDefault="008E58C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1718C">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C2EDD4B" id="_x0000_t202" coordsize="21600,21600" o:spt="202" path="m,l,21600r21600,l21600,xe">
                    <v:stroke joinstyle="miter"/>
                    <v:path gradientshapeok="t" o:connecttype="rect"/>
                  </v:shapetype>
                  <v:shape id="Text Box 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6D10BE6" w14:textId="3EDB99A6" w:rsidR="00F46156" w:rsidRDefault="00F46156">
                              <w:pPr>
                                <w:pStyle w:val="NoSpacing"/>
                                <w:jc w:val="right"/>
                                <w:rPr>
                                  <w:color w:val="595959" w:themeColor="text1" w:themeTint="A6"/>
                                  <w:sz w:val="28"/>
                                  <w:szCs w:val="28"/>
                                </w:rPr>
                              </w:pPr>
                              <w:r>
                                <w:rPr>
                                  <w:color w:val="595959" w:themeColor="text1" w:themeTint="A6"/>
                                  <w:sz w:val="28"/>
                                  <w:szCs w:val="28"/>
                                </w:rPr>
                                <w:t>Chloe Rees (2105842)</w:t>
                              </w:r>
                            </w:p>
                          </w:sdtContent>
                        </w:sdt>
                        <w:p w14:paraId="3CC248E7" w14:textId="21E36C31" w:rsidR="00F46156" w:rsidRDefault="008E58C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1718C">
                                <w:rPr>
                                  <w:color w:val="595959" w:themeColor="text1" w:themeTint="A6"/>
                                  <w:sz w:val="18"/>
                                  <w:szCs w:val="18"/>
                                </w:rPr>
                                <w:t xml:space="preserve">     </w:t>
                              </w:r>
                            </w:sdtContent>
                          </w:sdt>
                        </w:p>
                      </w:txbxContent>
                    </v:textbox>
                    <w10:wrap type="square" anchorx="page" anchory="page"/>
                  </v:shape>
                </w:pict>
              </mc:Fallback>
            </mc:AlternateContent>
          </w:r>
          <w:r w:rsidRPr="00705448">
            <w:rPr>
              <w:rFonts w:asciiTheme="majorHAnsi" w:hAnsiTheme="majorHAnsi" w:cstheme="majorHAnsi"/>
              <w:noProof/>
            </w:rPr>
            <mc:AlternateContent>
              <mc:Choice Requires="wps">
                <w:drawing>
                  <wp:anchor distT="0" distB="0" distL="114300" distR="114300" simplePos="0" relativeHeight="251658242" behindDoc="0" locked="0" layoutInCell="1" allowOverlap="1" wp14:anchorId="78452314" wp14:editId="0F5F9C9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37614D" w14:textId="148981F1" w:rsidR="00F46156" w:rsidRDefault="00F46156">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8452314" id="Text Box 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A37614D" w14:textId="148981F1" w:rsidR="00F46156" w:rsidRDefault="00F46156">
                          <w:pPr>
                            <w:pStyle w:val="NoSpacing"/>
                            <w:jc w:val="right"/>
                            <w:rPr>
                              <w:color w:val="595959" w:themeColor="text1" w:themeTint="A6"/>
                              <w:sz w:val="20"/>
                              <w:szCs w:val="20"/>
                            </w:rPr>
                          </w:pPr>
                        </w:p>
                      </w:txbxContent>
                    </v:textbox>
                    <w10:wrap type="square" anchorx="page" anchory="page"/>
                  </v:shape>
                </w:pict>
              </mc:Fallback>
            </mc:AlternateContent>
          </w:r>
        </w:p>
        <w:p w14:paraId="684653A6" w14:textId="6FD0592C" w:rsidR="005E280E" w:rsidRPr="00705448" w:rsidRDefault="00C63FD8" w:rsidP="00217939">
          <w:pPr>
            <w:rPr>
              <w:rFonts w:asciiTheme="majorHAnsi" w:hAnsiTheme="majorHAnsi" w:cstheme="majorHAnsi"/>
              <w:sz w:val="28"/>
              <w:szCs w:val="28"/>
            </w:rPr>
          </w:pPr>
          <w:r w:rsidRPr="00705448">
            <w:rPr>
              <w:rFonts w:asciiTheme="majorHAnsi" w:hAnsiTheme="majorHAnsi" w:cstheme="majorHAnsi"/>
              <w:noProof/>
            </w:rPr>
            <mc:AlternateContent>
              <mc:Choice Requires="wps">
                <w:drawing>
                  <wp:anchor distT="0" distB="0" distL="114300" distR="114300" simplePos="0" relativeHeight="251658240" behindDoc="0" locked="0" layoutInCell="1" allowOverlap="1" wp14:anchorId="62083808" wp14:editId="539B847A">
                    <wp:simplePos x="0" y="0"/>
                    <wp:positionH relativeFrom="page">
                      <wp:posOffset>-700535</wp:posOffset>
                    </wp:positionH>
                    <wp:positionV relativeFrom="page">
                      <wp:posOffset>2375925</wp:posOffset>
                    </wp:positionV>
                    <wp:extent cx="8131810" cy="4446270"/>
                    <wp:effectExtent l="0" t="0" r="0" b="11430"/>
                    <wp:wrapSquare wrapText="bothSides"/>
                    <wp:docPr id="154" name="Text Box 54"/>
                    <wp:cNvGraphicFramePr/>
                    <a:graphic xmlns:a="http://schemas.openxmlformats.org/drawingml/2006/main">
                      <a:graphicData uri="http://schemas.microsoft.com/office/word/2010/wordprocessingShape">
                        <wps:wsp>
                          <wps:cNvSpPr txBox="1"/>
                          <wps:spPr>
                            <a:xfrm>
                              <a:off x="0" y="0"/>
                              <a:ext cx="8131810" cy="44462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7CE2AA" w14:textId="7147127A" w:rsidR="00F46156" w:rsidRDefault="008E58C7" w:rsidP="0031718C">
                                <w:pPr>
                                  <w:jc w:val="center"/>
                                  <w:rPr>
                                    <w:smallCaps/>
                                    <w:color w:val="404040" w:themeColor="text1" w:themeTint="BF"/>
                                    <w:sz w:val="36"/>
                                    <w:szCs w:val="36"/>
                                  </w:rPr>
                                </w:pPr>
                                <w:sdt>
                                  <w:sdtPr>
                                    <w:rPr>
                                      <w:rFonts w:asciiTheme="majorHAnsi" w:eastAsia="Times New Roman" w:hAnsiTheme="majorHAnsi" w:cstheme="majorHAnsi"/>
                                      <w:kern w:val="0"/>
                                      <w:sz w:val="44"/>
                                      <w:szCs w:val="44"/>
                                      <w:u w:val="single"/>
                                      <w:lang w:eastAsia="en-GB"/>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967B92">
                                      <w:rPr>
                                        <w:rFonts w:asciiTheme="majorHAnsi" w:eastAsia="Times New Roman" w:hAnsiTheme="majorHAnsi" w:cstheme="majorHAnsi"/>
                                        <w:kern w:val="0"/>
                                        <w:sz w:val="44"/>
                                        <w:szCs w:val="44"/>
                                        <w:u w:val="single"/>
                                        <w:lang w:eastAsia="en-GB"/>
                                        <w14:ligatures w14:val="none"/>
                                      </w:rPr>
                                      <w:t>Critically evaluate and compare the provision of services for the older people with dementia in Wales, the United Kingdom and Worldwide</w:t>
                                    </w:r>
                                  </w:sdtContent>
                                </w:sdt>
                                <w:r w:rsidR="002F05F0">
                                  <w:rPr>
                                    <w:rFonts w:asciiTheme="majorHAnsi" w:eastAsia="Times New Roman" w:hAnsiTheme="majorHAnsi" w:cstheme="majorHAnsi"/>
                                    <w:kern w:val="0"/>
                                    <w:sz w:val="44"/>
                                    <w:szCs w:val="44"/>
                                    <w:u w:val="single"/>
                                    <w:lang w:eastAsia="en-GB"/>
                                    <w14:ligatures w14:val="none"/>
                                  </w:rPr>
                                  <w:t xml:space="preserve"> and how its evolved</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2083808" id="Text Box 54" o:spid="_x0000_s1028" type="#_x0000_t202" style="position:absolute;margin-left:-55.15pt;margin-top:187.1pt;width:640.3pt;height:350.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" filled="f" stroked="f" strokeweight=".5pt">
                    <v:textbox inset="126pt,0,54pt,0">
                      <w:txbxContent>
                        <w:p w14:paraId="287CE2AA" w14:textId="7147127A" w:rsidR="00F46156" w:rsidRDefault="008E58C7" w:rsidP="0031718C">
                          <w:pPr>
                            <w:jc w:val="center"/>
                            <w:rPr>
                              <w:smallCaps/>
                              <w:color w:val="404040" w:themeColor="text1" w:themeTint="BF"/>
                              <w:sz w:val="36"/>
                              <w:szCs w:val="36"/>
                            </w:rPr>
                          </w:pPr>
                          <w:sdt>
                            <w:sdtPr>
                              <w:rPr>
                                <w:rFonts w:asciiTheme="majorHAnsi" w:eastAsia="Times New Roman" w:hAnsiTheme="majorHAnsi" w:cstheme="majorHAnsi"/>
                                <w:kern w:val="0"/>
                                <w:sz w:val="44"/>
                                <w:szCs w:val="44"/>
                                <w:u w:val="single"/>
                                <w:lang w:eastAsia="en-GB"/>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967B92">
                                <w:rPr>
                                  <w:rFonts w:asciiTheme="majorHAnsi" w:eastAsia="Times New Roman" w:hAnsiTheme="majorHAnsi" w:cstheme="majorHAnsi"/>
                                  <w:kern w:val="0"/>
                                  <w:sz w:val="44"/>
                                  <w:szCs w:val="44"/>
                                  <w:u w:val="single"/>
                                  <w:lang w:eastAsia="en-GB"/>
                                  <w14:ligatures w14:val="none"/>
                                </w:rPr>
                                <w:t>Critically evaluate and compare the provision of services for the older people with dementia in Wales, the United Kingdom and Worldwide</w:t>
                              </w:r>
                            </w:sdtContent>
                          </w:sdt>
                          <w:r w:rsidR="002F05F0">
                            <w:rPr>
                              <w:rFonts w:asciiTheme="majorHAnsi" w:eastAsia="Times New Roman" w:hAnsiTheme="majorHAnsi" w:cstheme="majorHAnsi"/>
                              <w:kern w:val="0"/>
                              <w:sz w:val="44"/>
                              <w:szCs w:val="44"/>
                              <w:u w:val="single"/>
                              <w:lang w:eastAsia="en-GB"/>
                              <w14:ligatures w14:val="none"/>
                            </w:rPr>
                            <w:t xml:space="preserve"> and how its evolved</w:t>
                          </w:r>
                        </w:p>
                      </w:txbxContent>
                    </v:textbox>
                    <w10:wrap type="square" anchorx="page" anchory="page"/>
                  </v:shape>
                </w:pict>
              </mc:Fallback>
            </mc:AlternateContent>
          </w:r>
          <w:r w:rsidR="00F46156" w:rsidRPr="00705448">
            <w:rPr>
              <w:rFonts w:asciiTheme="majorHAnsi" w:hAnsiTheme="majorHAnsi" w:cstheme="majorHAnsi"/>
              <w:sz w:val="28"/>
              <w:szCs w:val="28"/>
            </w:rPr>
            <w:br w:type="page"/>
          </w:r>
        </w:p>
      </w:sdtContent>
    </w:sdt>
    <w:p w14:paraId="552DF13D" w14:textId="4D6B32C5" w:rsidR="006A6AB9" w:rsidRPr="004331E0" w:rsidRDefault="006D2A8A" w:rsidP="004331E0">
      <w:pPr>
        <w:spacing w:before="100" w:beforeAutospacing="1" w:after="100" w:afterAutospacing="1" w:line="240" w:lineRule="auto"/>
        <w:rPr>
          <w:rFonts w:asciiTheme="majorHAnsi" w:eastAsia="Times New Roman" w:hAnsiTheme="majorHAnsi" w:cstheme="majorHAnsi"/>
          <w:kern w:val="0"/>
          <w:sz w:val="24"/>
          <w:szCs w:val="24"/>
          <w:lang w:eastAsia="en-GB"/>
          <w14:ligatures w14:val="none"/>
        </w:rPr>
      </w:pPr>
      <w:r w:rsidRPr="004331E0">
        <w:rPr>
          <w:rFonts w:asciiTheme="majorHAnsi" w:hAnsiTheme="majorHAnsi" w:cstheme="majorHAnsi"/>
          <w:sz w:val="24"/>
          <w:szCs w:val="24"/>
        </w:rPr>
        <w:lastRenderedPageBreak/>
        <w:t xml:space="preserve">The National Health </w:t>
      </w:r>
      <w:r w:rsidR="4D26DD99" w:rsidRPr="004331E0">
        <w:rPr>
          <w:rFonts w:asciiTheme="majorHAnsi" w:hAnsiTheme="majorHAnsi" w:cstheme="majorHAnsi"/>
          <w:sz w:val="24"/>
          <w:szCs w:val="24"/>
        </w:rPr>
        <w:t>Service</w:t>
      </w:r>
      <w:r w:rsidRPr="004331E0">
        <w:rPr>
          <w:rFonts w:asciiTheme="majorHAnsi" w:hAnsiTheme="majorHAnsi" w:cstheme="majorHAnsi"/>
          <w:sz w:val="24"/>
          <w:szCs w:val="24"/>
        </w:rPr>
        <w:t xml:space="preserve"> (2023) </w:t>
      </w:r>
      <w:r w:rsidR="0062478F" w:rsidRPr="004331E0">
        <w:rPr>
          <w:rFonts w:asciiTheme="majorHAnsi" w:hAnsiTheme="majorHAnsi" w:cstheme="majorHAnsi"/>
          <w:sz w:val="24"/>
          <w:szCs w:val="24"/>
        </w:rPr>
        <w:t xml:space="preserve">defines </w:t>
      </w:r>
      <w:r w:rsidR="0062478F" w:rsidRPr="004331E0">
        <w:rPr>
          <w:rFonts w:asciiTheme="majorHAnsi" w:eastAsia="Times New Roman" w:hAnsiTheme="majorHAnsi" w:cstheme="majorHAnsi"/>
          <w:kern w:val="0"/>
          <w:sz w:val="24"/>
          <w:szCs w:val="24"/>
          <w:lang w:eastAsia="en-GB"/>
          <w14:ligatures w14:val="none"/>
        </w:rPr>
        <w:t>d</w:t>
      </w:r>
      <w:r w:rsidRPr="004331E0">
        <w:rPr>
          <w:rFonts w:asciiTheme="majorHAnsi" w:eastAsia="Times New Roman" w:hAnsiTheme="majorHAnsi" w:cstheme="majorHAnsi"/>
          <w:kern w:val="0"/>
          <w:sz w:val="24"/>
          <w:szCs w:val="24"/>
          <w:lang w:eastAsia="en-GB"/>
          <w14:ligatures w14:val="none"/>
        </w:rPr>
        <w:t xml:space="preserve">ementia as a common and complex condition that affects millions of </w:t>
      </w:r>
      <w:r w:rsidR="00EC5971" w:rsidRPr="004331E0">
        <w:rPr>
          <w:rFonts w:asciiTheme="majorHAnsi" w:eastAsia="Times New Roman" w:hAnsiTheme="majorHAnsi" w:cstheme="majorHAnsi"/>
          <w:kern w:val="0"/>
          <w:sz w:val="24"/>
          <w:szCs w:val="24"/>
          <w:lang w:eastAsia="en-GB"/>
          <w14:ligatures w14:val="none"/>
        </w:rPr>
        <w:t>older</w:t>
      </w:r>
      <w:r w:rsidRPr="004331E0">
        <w:rPr>
          <w:rFonts w:asciiTheme="majorHAnsi" w:eastAsia="Times New Roman" w:hAnsiTheme="majorHAnsi" w:cstheme="majorHAnsi"/>
          <w:kern w:val="0"/>
          <w:sz w:val="24"/>
          <w:szCs w:val="24"/>
          <w:lang w:eastAsia="en-GB"/>
          <w14:ligatures w14:val="none"/>
        </w:rPr>
        <w:t xml:space="preserve"> people</w:t>
      </w:r>
      <w:r w:rsidR="6E182436" w:rsidRPr="004331E0">
        <w:rPr>
          <w:rFonts w:asciiTheme="majorHAnsi" w:eastAsia="Times New Roman" w:hAnsiTheme="majorHAnsi" w:cstheme="majorHAnsi"/>
          <w:kern w:val="0"/>
          <w:sz w:val="24"/>
          <w:szCs w:val="24"/>
          <w:lang w:eastAsia="en-GB"/>
          <w14:ligatures w14:val="none"/>
        </w:rPr>
        <w:t>, and</w:t>
      </w:r>
      <w:r w:rsidRPr="004331E0">
        <w:rPr>
          <w:rFonts w:asciiTheme="majorHAnsi" w:eastAsia="Times New Roman" w:hAnsiTheme="majorHAnsi" w:cstheme="majorHAnsi"/>
          <w:kern w:val="0"/>
          <w:sz w:val="24"/>
          <w:szCs w:val="24"/>
          <w:lang w:eastAsia="en-GB"/>
          <w14:ligatures w14:val="none"/>
        </w:rPr>
        <w:t xml:space="preserve"> worldwide </w:t>
      </w:r>
      <w:r w:rsidR="39CC98FB" w:rsidRPr="004331E0">
        <w:rPr>
          <w:rFonts w:asciiTheme="majorHAnsi" w:eastAsia="Times New Roman" w:hAnsiTheme="majorHAnsi" w:cstheme="majorHAnsi"/>
          <w:kern w:val="0"/>
          <w:sz w:val="24"/>
          <w:szCs w:val="24"/>
          <w:lang w:eastAsia="en-GB"/>
          <w14:ligatures w14:val="none"/>
        </w:rPr>
        <w:t xml:space="preserve">the </w:t>
      </w:r>
      <w:r w:rsidRPr="004331E0">
        <w:rPr>
          <w:rFonts w:asciiTheme="majorHAnsi" w:hAnsiTheme="majorHAnsi" w:cstheme="majorHAnsi"/>
          <w:sz w:val="24"/>
          <w:szCs w:val="24"/>
        </w:rPr>
        <w:t>Alzheimer's Society (2022)</w:t>
      </w:r>
      <w:r w:rsidRPr="004331E0">
        <w:rPr>
          <w:rFonts w:asciiTheme="majorHAnsi" w:eastAsia="Times New Roman" w:hAnsiTheme="majorHAnsi" w:cstheme="majorHAnsi"/>
          <w:kern w:val="0"/>
          <w:sz w:val="24"/>
          <w:szCs w:val="24"/>
          <w:lang w:eastAsia="en-GB"/>
          <w14:ligatures w14:val="none"/>
        </w:rPr>
        <w:t xml:space="preserve"> shares </w:t>
      </w:r>
      <w:r w:rsidR="61D3364C" w:rsidRPr="004331E0">
        <w:rPr>
          <w:rFonts w:asciiTheme="majorHAnsi" w:eastAsia="Times New Roman" w:hAnsiTheme="majorHAnsi" w:cstheme="majorHAnsi"/>
          <w:kern w:val="0"/>
          <w:sz w:val="24"/>
          <w:szCs w:val="24"/>
          <w:lang w:eastAsia="en-GB"/>
          <w14:ligatures w14:val="none"/>
        </w:rPr>
        <w:t xml:space="preserve">that </w:t>
      </w:r>
      <w:r w:rsidRPr="004331E0">
        <w:rPr>
          <w:rFonts w:asciiTheme="majorHAnsi" w:eastAsia="Times New Roman" w:hAnsiTheme="majorHAnsi" w:cstheme="majorHAnsi"/>
          <w:kern w:val="0"/>
          <w:sz w:val="24"/>
          <w:szCs w:val="24"/>
          <w:lang w:eastAsia="en-GB"/>
          <w14:ligatures w14:val="none"/>
        </w:rPr>
        <w:t xml:space="preserve">as the world's population ages, the provision of services for people with dementia becomes increasingly important. This essay </w:t>
      </w:r>
      <w:r w:rsidR="687F4F63" w:rsidRPr="004331E0">
        <w:rPr>
          <w:rFonts w:asciiTheme="majorHAnsi" w:eastAsia="Times New Roman" w:hAnsiTheme="majorHAnsi" w:cstheme="majorHAnsi"/>
          <w:kern w:val="0"/>
          <w:sz w:val="24"/>
          <w:szCs w:val="24"/>
          <w:lang w:eastAsia="en-GB"/>
          <w14:ligatures w14:val="none"/>
        </w:rPr>
        <w:t>aims</w:t>
      </w:r>
      <w:r w:rsidRPr="004331E0">
        <w:rPr>
          <w:rFonts w:asciiTheme="majorHAnsi" w:eastAsia="Times New Roman" w:hAnsiTheme="majorHAnsi" w:cstheme="majorHAnsi"/>
          <w:kern w:val="0"/>
          <w:sz w:val="24"/>
          <w:szCs w:val="24"/>
          <w:lang w:eastAsia="en-GB"/>
          <w14:ligatures w14:val="none"/>
        </w:rPr>
        <w:t xml:space="preserve"> to critically evaluate and compare the provision of services for older people with dementia in Wales, the United Kingdom, and globally and how it has evolved</w:t>
      </w:r>
      <w:r w:rsidR="0071660F" w:rsidRPr="004331E0">
        <w:rPr>
          <w:rFonts w:asciiTheme="majorHAnsi" w:eastAsia="Times New Roman" w:hAnsiTheme="majorHAnsi" w:cstheme="majorHAnsi"/>
          <w:kern w:val="0"/>
          <w:sz w:val="24"/>
          <w:szCs w:val="24"/>
          <w:lang w:eastAsia="en-GB"/>
          <w14:ligatures w14:val="none"/>
        </w:rPr>
        <w:t xml:space="preserve">. </w:t>
      </w:r>
      <w:r w:rsidR="00EF6C1C" w:rsidRPr="004331E0">
        <w:rPr>
          <w:rFonts w:asciiTheme="majorHAnsi" w:eastAsia="Times New Roman" w:hAnsiTheme="majorHAnsi" w:cstheme="majorHAnsi"/>
          <w:kern w:val="0"/>
          <w:sz w:val="24"/>
          <w:szCs w:val="24"/>
          <w:lang w:eastAsia="en-GB"/>
          <w14:ligatures w14:val="none"/>
        </w:rPr>
        <w:t xml:space="preserve"> </w:t>
      </w:r>
      <w:r w:rsidR="006A6AB9" w:rsidRPr="004331E0">
        <w:rPr>
          <w:rFonts w:asciiTheme="majorHAnsi" w:hAnsiTheme="majorHAnsi" w:cstheme="majorHAnsi"/>
          <w:sz w:val="24"/>
          <w:szCs w:val="24"/>
        </w:rPr>
        <w:t xml:space="preserve">Dementia is a condition that has plagued humanity for centuries, with </w:t>
      </w:r>
      <w:r w:rsidR="003103C5" w:rsidRPr="004331E0">
        <w:rPr>
          <w:rFonts w:asciiTheme="majorHAnsi" w:hAnsiTheme="majorHAnsi" w:cstheme="majorHAnsi"/>
          <w:sz w:val="24"/>
          <w:szCs w:val="24"/>
        </w:rPr>
        <w:t>its</w:t>
      </w:r>
      <w:r w:rsidR="006A6AB9" w:rsidRPr="004331E0">
        <w:rPr>
          <w:rFonts w:asciiTheme="majorHAnsi" w:hAnsiTheme="majorHAnsi" w:cstheme="majorHAnsi"/>
          <w:sz w:val="24"/>
          <w:szCs w:val="24"/>
        </w:rPr>
        <w:t xml:space="preserve"> history dating back to ancient times. The term "dementia" itself comes from the Latin word "</w:t>
      </w:r>
      <w:proofErr w:type="spellStart"/>
      <w:r w:rsidR="006A6AB9" w:rsidRPr="004331E0">
        <w:rPr>
          <w:rFonts w:asciiTheme="majorHAnsi" w:hAnsiTheme="majorHAnsi" w:cstheme="majorHAnsi"/>
          <w:sz w:val="24"/>
          <w:szCs w:val="24"/>
        </w:rPr>
        <w:t>demens</w:t>
      </w:r>
      <w:proofErr w:type="spellEnd"/>
      <w:r w:rsidR="006A6AB9" w:rsidRPr="004331E0">
        <w:rPr>
          <w:rFonts w:asciiTheme="majorHAnsi" w:hAnsiTheme="majorHAnsi" w:cstheme="majorHAnsi"/>
          <w:sz w:val="24"/>
          <w:szCs w:val="24"/>
        </w:rPr>
        <w:t>," meaning "out of one's mind." In the past, dementia was often misunderstood and attributed to supernatural causes or moral failings</w:t>
      </w:r>
      <w:r w:rsidR="004D0752" w:rsidRPr="004331E0">
        <w:rPr>
          <w:rFonts w:asciiTheme="majorHAnsi" w:hAnsiTheme="majorHAnsi" w:cstheme="majorHAnsi"/>
          <w:sz w:val="24"/>
          <w:szCs w:val="24"/>
        </w:rPr>
        <w:t xml:space="preserve"> (The Lancet, 2014 ; Downs, 2013</w:t>
      </w:r>
      <w:r w:rsidR="009A1B09" w:rsidRPr="004331E0">
        <w:rPr>
          <w:rFonts w:asciiTheme="majorHAnsi" w:hAnsiTheme="majorHAnsi" w:cstheme="majorHAnsi"/>
          <w:sz w:val="24"/>
          <w:szCs w:val="24"/>
        </w:rPr>
        <w:t>)</w:t>
      </w:r>
    </w:p>
    <w:p w14:paraId="5E8CA2FA" w14:textId="0B1C18E3" w:rsidR="006A6AB9" w:rsidRPr="004331E0" w:rsidRDefault="00690386" w:rsidP="004331E0">
      <w:pPr>
        <w:pStyle w:val="NormalWeb"/>
        <w:rPr>
          <w:rFonts w:asciiTheme="majorHAnsi" w:hAnsiTheme="majorHAnsi" w:cstheme="majorHAnsi"/>
        </w:rPr>
      </w:pPr>
      <w:r w:rsidRPr="004331E0">
        <w:rPr>
          <w:rFonts w:asciiTheme="majorHAnsi" w:hAnsiTheme="majorHAnsi" w:cstheme="majorHAnsi"/>
        </w:rPr>
        <w:t xml:space="preserve"> Assal, (2019) shares that </w:t>
      </w:r>
      <w:r w:rsidR="01FFA729" w:rsidRPr="004331E0">
        <w:rPr>
          <w:rFonts w:asciiTheme="majorHAnsi" w:hAnsiTheme="majorHAnsi" w:cstheme="majorHAnsi"/>
        </w:rPr>
        <w:t>it</w:t>
      </w:r>
      <w:r w:rsidR="006A6AB9" w:rsidRPr="004331E0">
        <w:rPr>
          <w:rFonts w:asciiTheme="majorHAnsi" w:hAnsiTheme="majorHAnsi" w:cstheme="majorHAnsi"/>
        </w:rPr>
        <w:t xml:space="preserve"> was</w:t>
      </w:r>
      <w:r w:rsidR="003103C5" w:rsidRPr="004331E0">
        <w:rPr>
          <w:rFonts w:asciiTheme="majorHAnsi" w:hAnsiTheme="majorHAnsi" w:cstheme="majorHAnsi"/>
        </w:rPr>
        <w:t xml:space="preserve"> not</w:t>
      </w:r>
      <w:r w:rsidR="006A6AB9" w:rsidRPr="004331E0">
        <w:rPr>
          <w:rFonts w:asciiTheme="majorHAnsi" w:hAnsiTheme="majorHAnsi" w:cstheme="majorHAnsi"/>
        </w:rPr>
        <w:t xml:space="preserve"> until the 19th century that medical professionals began to recogni</w:t>
      </w:r>
      <w:r w:rsidR="00585340" w:rsidRPr="004331E0">
        <w:rPr>
          <w:rFonts w:asciiTheme="majorHAnsi" w:hAnsiTheme="majorHAnsi" w:cstheme="majorHAnsi"/>
        </w:rPr>
        <w:t>s</w:t>
      </w:r>
      <w:r w:rsidR="006A6AB9" w:rsidRPr="004331E0">
        <w:rPr>
          <w:rFonts w:asciiTheme="majorHAnsi" w:hAnsiTheme="majorHAnsi" w:cstheme="majorHAnsi"/>
        </w:rPr>
        <w:t xml:space="preserve">e dementia as a distinct medical condition. </w:t>
      </w:r>
      <w:r w:rsidR="002D071B" w:rsidRPr="004331E0">
        <w:rPr>
          <w:rFonts w:asciiTheme="majorHAnsi" w:hAnsiTheme="majorHAnsi" w:cstheme="majorHAnsi"/>
        </w:rPr>
        <w:t xml:space="preserve">Kendler (2020) adds that a </w:t>
      </w:r>
      <w:r w:rsidR="006A6AB9" w:rsidRPr="004331E0">
        <w:rPr>
          <w:rFonts w:asciiTheme="majorHAnsi" w:hAnsiTheme="majorHAnsi" w:cstheme="majorHAnsi"/>
        </w:rPr>
        <w:t xml:space="preserve">French psychiatrist Philippe Pinel was one of the first to classify dementia as a disease of the brain, rather than a spiritual affliction. Throughout the 20th century, </w:t>
      </w:r>
      <w:r w:rsidR="007622D2" w:rsidRPr="004331E0">
        <w:rPr>
          <w:rFonts w:asciiTheme="majorHAnsi" w:hAnsiTheme="majorHAnsi" w:cstheme="majorHAnsi"/>
        </w:rPr>
        <w:t>dementia research</w:t>
      </w:r>
      <w:r w:rsidR="006A6AB9" w:rsidRPr="004331E0">
        <w:rPr>
          <w:rFonts w:asciiTheme="majorHAnsi" w:hAnsiTheme="majorHAnsi" w:cstheme="majorHAnsi"/>
        </w:rPr>
        <w:t xml:space="preserve"> increased, leading to breakthroughs in understanding its causes and treatment options.</w:t>
      </w:r>
    </w:p>
    <w:p w14:paraId="776C7576" w14:textId="69F43C5C" w:rsidR="0010509F" w:rsidRPr="004331E0" w:rsidRDefault="006A6AB9" w:rsidP="004331E0">
      <w:pPr>
        <w:pStyle w:val="NormalWeb"/>
        <w:rPr>
          <w:rFonts w:asciiTheme="majorHAnsi" w:hAnsiTheme="majorHAnsi" w:cstheme="majorHAnsi"/>
        </w:rPr>
      </w:pPr>
      <w:r w:rsidRPr="004331E0">
        <w:rPr>
          <w:rFonts w:asciiTheme="majorHAnsi" w:hAnsiTheme="majorHAnsi" w:cstheme="majorHAnsi"/>
        </w:rPr>
        <w:t>Today</w:t>
      </w:r>
      <w:r w:rsidR="00B47433" w:rsidRPr="004331E0">
        <w:rPr>
          <w:rFonts w:asciiTheme="majorHAnsi" w:hAnsiTheme="majorHAnsi" w:cstheme="majorHAnsi"/>
        </w:rPr>
        <w:t xml:space="preserve"> </w:t>
      </w:r>
      <w:r w:rsidRPr="004331E0">
        <w:rPr>
          <w:rFonts w:asciiTheme="majorHAnsi" w:hAnsiTheme="majorHAnsi" w:cstheme="majorHAnsi"/>
        </w:rPr>
        <w:t>dementia affects millions of people worldwide, with Alzheimer's disease being the most common form. Despite advances in medical science, there is still much to learn about this complex condition and how best to support those living with it</w:t>
      </w:r>
      <w:r w:rsidR="00CA56FB" w:rsidRPr="004331E0">
        <w:rPr>
          <w:rFonts w:asciiTheme="majorHAnsi" w:hAnsiTheme="majorHAnsi" w:cstheme="majorHAnsi"/>
        </w:rPr>
        <w:t xml:space="preserve"> </w:t>
      </w:r>
      <w:r w:rsidR="00CA56FB" w:rsidRPr="004331E0">
        <w:rPr>
          <w:rFonts w:asciiTheme="majorHAnsi" w:hAnsiTheme="majorHAnsi" w:cstheme="majorHAnsi"/>
        </w:rPr>
        <w:t>(Martin and Sabbagh, 2010)</w:t>
      </w:r>
      <w:r w:rsidRPr="004331E0">
        <w:rPr>
          <w:rFonts w:asciiTheme="majorHAnsi" w:hAnsiTheme="majorHAnsi" w:cstheme="majorHAnsi"/>
        </w:rPr>
        <w:t>.</w:t>
      </w:r>
      <w:r w:rsidR="000040C7" w:rsidRPr="004331E0">
        <w:rPr>
          <w:rFonts w:asciiTheme="majorHAnsi" w:hAnsiTheme="majorHAnsi" w:cstheme="majorHAnsi"/>
        </w:rPr>
        <w:t xml:space="preserve"> </w:t>
      </w:r>
      <w:r w:rsidR="0010509F" w:rsidRPr="004331E0">
        <w:rPr>
          <w:rFonts w:asciiTheme="majorHAnsi" w:hAnsiTheme="majorHAnsi" w:cstheme="majorHAnsi"/>
        </w:rPr>
        <w:t>Dementia care has undergone significant changes over the years, reflecting a growing understanding of the condition and a shift towards person-</w:t>
      </w:r>
      <w:proofErr w:type="spellStart"/>
      <w:r w:rsidR="0010509F" w:rsidRPr="004331E0">
        <w:rPr>
          <w:rFonts w:asciiTheme="majorHAnsi" w:hAnsiTheme="majorHAnsi" w:cstheme="majorHAnsi"/>
        </w:rPr>
        <w:t>centered</w:t>
      </w:r>
      <w:proofErr w:type="spellEnd"/>
      <w:r w:rsidR="0010509F" w:rsidRPr="004331E0">
        <w:rPr>
          <w:rFonts w:asciiTheme="majorHAnsi" w:hAnsiTheme="majorHAnsi" w:cstheme="majorHAnsi"/>
        </w:rPr>
        <w:t xml:space="preserve"> care. In the past, individuals with dementia were often institutionalized in large, impersonal facilities where their needs were not adequately met. However, as research on dementia has advanced, </w:t>
      </w:r>
      <w:r w:rsidR="003103C5" w:rsidRPr="004331E0">
        <w:rPr>
          <w:rFonts w:asciiTheme="majorHAnsi" w:hAnsiTheme="majorHAnsi" w:cstheme="majorHAnsi"/>
        </w:rPr>
        <w:t>the</w:t>
      </w:r>
      <w:r w:rsidR="0010509F" w:rsidRPr="004331E0">
        <w:rPr>
          <w:rFonts w:asciiTheme="majorHAnsi" w:hAnsiTheme="majorHAnsi" w:cstheme="majorHAnsi"/>
        </w:rPr>
        <w:t xml:space="preserve"> approach to caring for those affected by it</w:t>
      </w:r>
      <w:r w:rsidR="00C740CB" w:rsidRPr="004331E0">
        <w:rPr>
          <w:rFonts w:asciiTheme="majorHAnsi" w:hAnsiTheme="majorHAnsi" w:cstheme="majorHAnsi"/>
        </w:rPr>
        <w:t xml:space="preserve"> has also changed</w:t>
      </w:r>
      <w:r w:rsidR="00B47433" w:rsidRPr="004331E0">
        <w:rPr>
          <w:rFonts w:asciiTheme="majorHAnsi" w:hAnsiTheme="majorHAnsi" w:cstheme="majorHAnsi"/>
        </w:rPr>
        <w:t>, (World Health Organization, 2012)</w:t>
      </w:r>
      <w:r w:rsidR="00C740CB" w:rsidRPr="004331E0">
        <w:rPr>
          <w:rFonts w:asciiTheme="majorHAnsi" w:hAnsiTheme="majorHAnsi" w:cstheme="majorHAnsi"/>
        </w:rPr>
        <w:t>.</w:t>
      </w:r>
    </w:p>
    <w:p w14:paraId="6C9FD2CA" w14:textId="0139FFDF" w:rsidR="00A70331" w:rsidRPr="004331E0" w:rsidRDefault="00692B87" w:rsidP="004331E0">
      <w:pPr>
        <w:pStyle w:val="NormalWeb"/>
        <w:rPr>
          <w:rFonts w:asciiTheme="majorHAnsi" w:hAnsiTheme="majorHAnsi" w:cstheme="majorHAnsi"/>
        </w:rPr>
      </w:pPr>
      <w:r w:rsidRPr="004331E0">
        <w:rPr>
          <w:rFonts w:asciiTheme="majorHAnsi" w:hAnsiTheme="majorHAnsi" w:cstheme="majorHAnsi"/>
        </w:rPr>
        <w:t xml:space="preserve">Mace, Coons and </w:t>
      </w:r>
      <w:proofErr w:type="spellStart"/>
      <w:r w:rsidRPr="004331E0">
        <w:rPr>
          <w:rFonts w:asciiTheme="majorHAnsi" w:hAnsiTheme="majorHAnsi" w:cstheme="majorHAnsi"/>
        </w:rPr>
        <w:t>Weaverdyck</w:t>
      </w:r>
      <w:proofErr w:type="spellEnd"/>
      <w:r w:rsidRPr="004331E0">
        <w:rPr>
          <w:rFonts w:asciiTheme="majorHAnsi" w:hAnsiTheme="majorHAnsi" w:cstheme="majorHAnsi"/>
        </w:rPr>
        <w:t xml:space="preserve">, </w:t>
      </w:r>
      <w:r w:rsidR="008C689B" w:rsidRPr="004331E0">
        <w:rPr>
          <w:rFonts w:asciiTheme="majorHAnsi" w:hAnsiTheme="majorHAnsi" w:cstheme="majorHAnsi"/>
        </w:rPr>
        <w:t>(</w:t>
      </w:r>
      <w:r w:rsidRPr="004331E0">
        <w:rPr>
          <w:rFonts w:asciiTheme="majorHAnsi" w:hAnsiTheme="majorHAnsi" w:cstheme="majorHAnsi"/>
        </w:rPr>
        <w:t>2005)</w:t>
      </w:r>
      <w:r w:rsidRPr="004331E0">
        <w:rPr>
          <w:rFonts w:asciiTheme="majorHAnsi" w:hAnsiTheme="majorHAnsi" w:cstheme="majorHAnsi"/>
        </w:rPr>
        <w:t xml:space="preserve"> </w:t>
      </w:r>
      <w:r w:rsidR="008C689B" w:rsidRPr="004331E0">
        <w:rPr>
          <w:rFonts w:asciiTheme="majorHAnsi" w:hAnsiTheme="majorHAnsi" w:cstheme="majorHAnsi"/>
        </w:rPr>
        <w:t>explain</w:t>
      </w:r>
      <w:r w:rsidRPr="004331E0">
        <w:rPr>
          <w:rFonts w:asciiTheme="majorHAnsi" w:hAnsiTheme="majorHAnsi" w:cstheme="majorHAnsi"/>
        </w:rPr>
        <w:t xml:space="preserve"> </w:t>
      </w:r>
      <w:r w:rsidR="008C689B" w:rsidRPr="004331E0">
        <w:rPr>
          <w:rFonts w:asciiTheme="majorHAnsi" w:hAnsiTheme="majorHAnsi" w:cstheme="majorHAnsi"/>
        </w:rPr>
        <w:t>o</w:t>
      </w:r>
      <w:r w:rsidR="00A70331" w:rsidRPr="004331E0">
        <w:rPr>
          <w:rFonts w:asciiTheme="majorHAnsi" w:hAnsiTheme="majorHAnsi" w:cstheme="majorHAnsi"/>
        </w:rPr>
        <w:t>ver the last 50 years, dementia care has undergone significant changes that have greatly improved the quality of life for individuals living with this condition. One major shift has been a move towards person-</w:t>
      </w:r>
      <w:proofErr w:type="spellStart"/>
      <w:r w:rsidR="00A70331" w:rsidRPr="004331E0">
        <w:rPr>
          <w:rFonts w:asciiTheme="majorHAnsi" w:hAnsiTheme="majorHAnsi" w:cstheme="majorHAnsi"/>
        </w:rPr>
        <w:t>centered</w:t>
      </w:r>
      <w:proofErr w:type="spellEnd"/>
      <w:r w:rsidR="00A70331" w:rsidRPr="004331E0">
        <w:rPr>
          <w:rFonts w:asciiTheme="majorHAnsi" w:hAnsiTheme="majorHAnsi" w:cstheme="majorHAnsi"/>
        </w:rPr>
        <w:t xml:space="preserve"> care, which focuses on understanding the unique needs and preferences of each individual and tailoring care to meet those needs. This approach has led to a more holistic and individualized approach to dementia care, resulting in better outcomes for patients.</w:t>
      </w:r>
      <w:r w:rsidR="00A77855" w:rsidRPr="004331E0">
        <w:rPr>
          <w:rFonts w:asciiTheme="majorHAnsi" w:hAnsiTheme="majorHAnsi" w:cstheme="majorHAnsi"/>
        </w:rPr>
        <w:t xml:space="preserve"> </w:t>
      </w:r>
      <w:r w:rsidR="00A70331" w:rsidRPr="004331E0">
        <w:rPr>
          <w:rFonts w:asciiTheme="majorHAnsi" w:hAnsiTheme="majorHAnsi" w:cstheme="majorHAnsi"/>
        </w:rPr>
        <w:t>Additionally,</w:t>
      </w:r>
      <w:r w:rsidR="007969EF" w:rsidRPr="004331E0">
        <w:rPr>
          <w:rFonts w:asciiTheme="majorHAnsi" w:hAnsiTheme="majorHAnsi" w:cstheme="majorHAnsi"/>
        </w:rPr>
        <w:t xml:space="preserve"> </w:t>
      </w:r>
      <w:r w:rsidR="007969EF" w:rsidRPr="004331E0">
        <w:rPr>
          <w:rFonts w:asciiTheme="majorHAnsi" w:hAnsiTheme="majorHAnsi" w:cstheme="majorHAnsi"/>
        </w:rPr>
        <w:t xml:space="preserve">Alzheimer's Research , </w:t>
      </w:r>
      <w:r w:rsidR="007969EF" w:rsidRPr="004331E0">
        <w:rPr>
          <w:rFonts w:asciiTheme="majorHAnsi" w:hAnsiTheme="majorHAnsi" w:cstheme="majorHAnsi"/>
        </w:rPr>
        <w:t>(</w:t>
      </w:r>
      <w:r w:rsidR="007969EF" w:rsidRPr="004331E0">
        <w:rPr>
          <w:rFonts w:asciiTheme="majorHAnsi" w:hAnsiTheme="majorHAnsi" w:cstheme="majorHAnsi"/>
        </w:rPr>
        <w:t>2024)</w:t>
      </w:r>
      <w:r w:rsidR="007969EF" w:rsidRPr="004331E0">
        <w:rPr>
          <w:rFonts w:asciiTheme="majorHAnsi" w:hAnsiTheme="majorHAnsi" w:cstheme="majorHAnsi"/>
        </w:rPr>
        <w:t xml:space="preserve"> shares</w:t>
      </w:r>
      <w:r w:rsidR="00A70331" w:rsidRPr="004331E0">
        <w:rPr>
          <w:rFonts w:asciiTheme="majorHAnsi" w:hAnsiTheme="majorHAnsi" w:cstheme="majorHAnsi"/>
        </w:rPr>
        <w:t xml:space="preserve"> there has been a greater emphasis on providing support not only to individuals with dementia but also to their caregivers. This recognition of the importance of caregiver support has led to the development of resources and services aimed at helping caregivers navigate the challenges of caring for someone with dementia.</w:t>
      </w:r>
    </w:p>
    <w:p w14:paraId="7AE50E47" w14:textId="353C6B87" w:rsidR="007C7E45" w:rsidRPr="004331E0" w:rsidRDefault="00521C85" w:rsidP="004331E0">
      <w:pPr>
        <w:pStyle w:val="NormalWeb"/>
        <w:rPr>
          <w:rFonts w:asciiTheme="majorHAnsi" w:hAnsiTheme="majorHAnsi" w:cstheme="majorHAnsi"/>
        </w:rPr>
      </w:pPr>
      <w:r w:rsidRPr="004331E0">
        <w:rPr>
          <w:rFonts w:asciiTheme="majorHAnsi" w:hAnsiTheme="majorHAnsi" w:cstheme="majorHAnsi"/>
        </w:rPr>
        <w:t xml:space="preserve">Ryan, </w:t>
      </w:r>
      <w:proofErr w:type="spellStart"/>
      <w:r w:rsidRPr="004331E0">
        <w:rPr>
          <w:rFonts w:asciiTheme="majorHAnsi" w:hAnsiTheme="majorHAnsi" w:cstheme="majorHAnsi"/>
        </w:rPr>
        <w:t>Rossor</w:t>
      </w:r>
      <w:proofErr w:type="spellEnd"/>
      <w:r w:rsidRPr="004331E0">
        <w:rPr>
          <w:rFonts w:asciiTheme="majorHAnsi" w:hAnsiTheme="majorHAnsi" w:cstheme="majorHAnsi"/>
        </w:rPr>
        <w:t xml:space="preserve"> and Fox </w:t>
      </w:r>
      <w:r w:rsidRPr="004331E0">
        <w:rPr>
          <w:rFonts w:asciiTheme="majorHAnsi" w:hAnsiTheme="majorHAnsi" w:cstheme="majorHAnsi"/>
        </w:rPr>
        <w:t>(</w:t>
      </w:r>
      <w:r w:rsidRPr="004331E0">
        <w:rPr>
          <w:rFonts w:asciiTheme="majorHAnsi" w:hAnsiTheme="majorHAnsi" w:cstheme="majorHAnsi"/>
        </w:rPr>
        <w:t>2015)</w:t>
      </w:r>
      <w:r w:rsidRPr="004331E0">
        <w:rPr>
          <w:rFonts w:asciiTheme="majorHAnsi" w:hAnsiTheme="majorHAnsi" w:cstheme="majorHAnsi"/>
        </w:rPr>
        <w:t xml:space="preserve"> explain th</w:t>
      </w:r>
      <w:r w:rsidR="007C7E45" w:rsidRPr="004331E0">
        <w:rPr>
          <w:rFonts w:asciiTheme="majorHAnsi" w:hAnsiTheme="majorHAnsi" w:cstheme="majorHAnsi"/>
        </w:rPr>
        <w:t xml:space="preserve">e shift away from institutionalization began in the mid-20th century, as researchers and healthcare professionals recognized the importance of providing personalized care and support for individuals with dementia. This led to the development of community-based care programs and specialized facilities that catered specifically to the needs of those living with </w:t>
      </w:r>
      <w:proofErr w:type="spellStart"/>
      <w:r w:rsidR="007C7E45" w:rsidRPr="004331E0">
        <w:rPr>
          <w:rFonts w:asciiTheme="majorHAnsi" w:hAnsiTheme="majorHAnsi" w:cstheme="majorHAnsi"/>
        </w:rPr>
        <w:t>dementia.In</w:t>
      </w:r>
      <w:proofErr w:type="spellEnd"/>
      <w:r w:rsidR="007C7E45" w:rsidRPr="004331E0">
        <w:rPr>
          <w:rFonts w:asciiTheme="majorHAnsi" w:hAnsiTheme="majorHAnsi" w:cstheme="majorHAnsi"/>
        </w:rPr>
        <w:t xml:space="preserve"> recent decades, there has been a growing emphasis on promoting independence and quality of life for individuals with dementia. As a result, many countries have implemented policies aimed at </w:t>
      </w:r>
      <w:r w:rsidR="007C7E45" w:rsidRPr="004331E0">
        <w:rPr>
          <w:rFonts w:asciiTheme="majorHAnsi" w:hAnsiTheme="majorHAnsi" w:cstheme="majorHAnsi"/>
        </w:rPr>
        <w:lastRenderedPageBreak/>
        <w:t>deinstitutionalizing care for these individuals and providing more person-</w:t>
      </w:r>
      <w:proofErr w:type="spellStart"/>
      <w:r w:rsidR="007C7E45" w:rsidRPr="004331E0">
        <w:rPr>
          <w:rFonts w:asciiTheme="majorHAnsi" w:hAnsiTheme="majorHAnsi" w:cstheme="majorHAnsi"/>
        </w:rPr>
        <w:t>centered</w:t>
      </w:r>
      <w:proofErr w:type="spellEnd"/>
      <w:r w:rsidR="007C7E45" w:rsidRPr="004331E0">
        <w:rPr>
          <w:rFonts w:asciiTheme="majorHAnsi" w:hAnsiTheme="majorHAnsi" w:cstheme="majorHAnsi"/>
        </w:rPr>
        <w:t xml:space="preserve"> approaches to treatment</w:t>
      </w:r>
      <w:r w:rsidR="00AA4010" w:rsidRPr="004331E0">
        <w:rPr>
          <w:rFonts w:asciiTheme="majorHAnsi" w:hAnsiTheme="majorHAnsi" w:cstheme="majorHAnsi"/>
        </w:rPr>
        <w:t xml:space="preserve"> </w:t>
      </w:r>
      <w:r w:rsidR="00AA4010" w:rsidRPr="004331E0">
        <w:rPr>
          <w:rFonts w:asciiTheme="majorHAnsi" w:hAnsiTheme="majorHAnsi" w:cstheme="majorHAnsi"/>
        </w:rPr>
        <w:t>(Yates et al., 2019)</w:t>
      </w:r>
      <w:r w:rsidR="007C7E45" w:rsidRPr="004331E0">
        <w:rPr>
          <w:rFonts w:asciiTheme="majorHAnsi" w:hAnsiTheme="majorHAnsi" w:cstheme="majorHAnsi"/>
        </w:rPr>
        <w:t>.</w:t>
      </w:r>
    </w:p>
    <w:p w14:paraId="5A177E0B" w14:textId="23BC7A6C" w:rsidR="00181042" w:rsidRPr="004331E0" w:rsidRDefault="007C7E45" w:rsidP="004331E0">
      <w:pPr>
        <w:pStyle w:val="NormalWeb"/>
        <w:rPr>
          <w:rFonts w:asciiTheme="majorHAnsi" w:hAnsiTheme="majorHAnsi" w:cstheme="majorHAnsi"/>
        </w:rPr>
      </w:pPr>
      <w:r w:rsidRPr="004331E0">
        <w:rPr>
          <w:rFonts w:asciiTheme="majorHAnsi" w:hAnsiTheme="majorHAnsi" w:cstheme="majorHAnsi"/>
        </w:rPr>
        <w:t xml:space="preserve">While there is still </w:t>
      </w:r>
      <w:bookmarkStart w:id="0" w:name="_Int_8dqTO3ZO"/>
      <w:r w:rsidRPr="004331E0">
        <w:rPr>
          <w:rFonts w:asciiTheme="majorHAnsi" w:hAnsiTheme="majorHAnsi" w:cstheme="majorHAnsi"/>
        </w:rPr>
        <w:t>progress</w:t>
      </w:r>
      <w:bookmarkEnd w:id="0"/>
      <w:r w:rsidRPr="004331E0">
        <w:rPr>
          <w:rFonts w:asciiTheme="majorHAnsi" w:hAnsiTheme="majorHAnsi" w:cstheme="majorHAnsi"/>
        </w:rPr>
        <w:t xml:space="preserve"> to be made in ensuring that all individuals with dementia receive the care and </w:t>
      </w:r>
      <w:bookmarkStart w:id="1" w:name="_Int_Js1IG2fH"/>
      <w:r w:rsidRPr="004331E0">
        <w:rPr>
          <w:rFonts w:asciiTheme="majorHAnsi" w:hAnsiTheme="majorHAnsi" w:cstheme="majorHAnsi"/>
        </w:rPr>
        <w:t>support</w:t>
      </w:r>
      <w:bookmarkEnd w:id="1"/>
      <w:r w:rsidRPr="004331E0">
        <w:rPr>
          <w:rFonts w:asciiTheme="majorHAnsi" w:hAnsiTheme="majorHAnsi" w:cstheme="majorHAnsi"/>
        </w:rPr>
        <w:t xml:space="preserve"> they deserve, it is clear that </w:t>
      </w:r>
      <w:r w:rsidR="003D2F93" w:rsidRPr="004331E0">
        <w:rPr>
          <w:rFonts w:asciiTheme="majorHAnsi" w:hAnsiTheme="majorHAnsi" w:cstheme="majorHAnsi"/>
        </w:rPr>
        <w:t>it</w:t>
      </w:r>
      <w:r w:rsidRPr="004331E0">
        <w:rPr>
          <w:rFonts w:asciiTheme="majorHAnsi" w:hAnsiTheme="majorHAnsi" w:cstheme="majorHAnsi"/>
        </w:rPr>
        <w:t xml:space="preserve"> ha</w:t>
      </w:r>
      <w:r w:rsidR="003D2F93" w:rsidRPr="004331E0">
        <w:rPr>
          <w:rFonts w:asciiTheme="majorHAnsi" w:hAnsiTheme="majorHAnsi" w:cstheme="majorHAnsi"/>
        </w:rPr>
        <w:t>s</w:t>
      </w:r>
      <w:r w:rsidRPr="004331E0">
        <w:rPr>
          <w:rFonts w:asciiTheme="majorHAnsi" w:hAnsiTheme="majorHAnsi" w:cstheme="majorHAnsi"/>
        </w:rPr>
        <w:t xml:space="preserve"> come a long way from the days when institutionalization was seen as the only option. Today,</w:t>
      </w:r>
      <w:r w:rsidR="003B5765" w:rsidRPr="004331E0">
        <w:rPr>
          <w:rFonts w:asciiTheme="majorHAnsi" w:hAnsiTheme="majorHAnsi" w:cstheme="majorHAnsi"/>
        </w:rPr>
        <w:t xml:space="preserve"> it </w:t>
      </w:r>
      <w:r w:rsidR="00920541" w:rsidRPr="004331E0">
        <w:rPr>
          <w:rFonts w:asciiTheme="majorHAnsi" w:hAnsiTheme="majorHAnsi" w:cstheme="majorHAnsi"/>
        </w:rPr>
        <w:t>is recognized</w:t>
      </w:r>
      <w:r w:rsidRPr="004331E0">
        <w:rPr>
          <w:rFonts w:asciiTheme="majorHAnsi" w:hAnsiTheme="majorHAnsi" w:cstheme="majorHAnsi"/>
        </w:rPr>
        <w:t xml:space="preserve"> that people with dementia are deserving of respect, compassion, and quality care</w:t>
      </w:r>
      <w:r w:rsidRPr="004331E0">
        <w:rPr>
          <w:rFonts w:asciiTheme="majorHAnsi" w:hAnsiTheme="majorHAnsi" w:cstheme="majorHAnsi"/>
        </w:rPr>
        <w:t xml:space="preserve"> </w:t>
      </w:r>
      <w:r w:rsidRPr="004331E0">
        <w:rPr>
          <w:rFonts w:asciiTheme="majorHAnsi" w:hAnsiTheme="majorHAnsi" w:cstheme="majorHAnsi"/>
        </w:rPr>
        <w:t>regardless of their condition</w:t>
      </w:r>
      <w:r w:rsidR="00A35A46" w:rsidRPr="004331E0">
        <w:rPr>
          <w:rFonts w:asciiTheme="majorHAnsi" w:hAnsiTheme="majorHAnsi" w:cstheme="majorHAnsi"/>
        </w:rPr>
        <w:t xml:space="preserve"> </w:t>
      </w:r>
      <w:r w:rsidR="00A35A46" w:rsidRPr="004331E0">
        <w:rPr>
          <w:rFonts w:asciiTheme="majorHAnsi" w:hAnsiTheme="majorHAnsi" w:cstheme="majorHAnsi"/>
        </w:rPr>
        <w:t>(Wortmann, 2013)</w:t>
      </w:r>
      <w:r w:rsidRPr="004331E0">
        <w:rPr>
          <w:rFonts w:asciiTheme="majorHAnsi" w:hAnsiTheme="majorHAnsi" w:cstheme="majorHAnsi"/>
        </w:rPr>
        <w:t>.</w:t>
      </w:r>
      <w:r w:rsidR="00BE28D0" w:rsidRPr="004331E0">
        <w:rPr>
          <w:rFonts w:asciiTheme="majorHAnsi" w:hAnsiTheme="majorHAnsi" w:cstheme="majorHAnsi"/>
        </w:rPr>
        <w:t xml:space="preserve"> </w:t>
      </w:r>
      <w:r w:rsidR="009245B3" w:rsidRPr="004331E0">
        <w:rPr>
          <w:rFonts w:asciiTheme="majorHAnsi" w:hAnsiTheme="majorHAnsi" w:cstheme="majorHAnsi"/>
        </w:rPr>
        <w:t xml:space="preserve">Dresser (2003) shares that current </w:t>
      </w:r>
      <w:r w:rsidR="00C2519B" w:rsidRPr="004331E0">
        <w:rPr>
          <w:rFonts w:asciiTheme="majorHAnsi" w:hAnsiTheme="majorHAnsi" w:cstheme="majorHAnsi"/>
        </w:rPr>
        <w:t xml:space="preserve">government policies and regulations governing dementia care are an important factor to consider when researching the subject. Governments play an important role in determining the framework within which dementia care services operate. By analysing and comparing existing policies in Wales, the United Kingdom, and other countries around the world, </w:t>
      </w:r>
      <w:r w:rsidR="69E5E41B" w:rsidRPr="004331E0">
        <w:rPr>
          <w:rFonts w:asciiTheme="majorHAnsi" w:hAnsiTheme="majorHAnsi" w:cstheme="majorHAnsi"/>
        </w:rPr>
        <w:t>much can be</w:t>
      </w:r>
      <w:r w:rsidR="00C2519B" w:rsidRPr="004331E0">
        <w:rPr>
          <w:rFonts w:asciiTheme="majorHAnsi" w:hAnsiTheme="majorHAnsi" w:cstheme="majorHAnsi"/>
        </w:rPr>
        <w:t xml:space="preserve"> </w:t>
      </w:r>
      <w:r w:rsidR="3B5BF889" w:rsidRPr="004331E0">
        <w:rPr>
          <w:rFonts w:asciiTheme="majorHAnsi" w:hAnsiTheme="majorHAnsi" w:cstheme="majorHAnsi"/>
        </w:rPr>
        <w:t>learned</w:t>
      </w:r>
      <w:r w:rsidR="00C2519B" w:rsidRPr="004331E0">
        <w:rPr>
          <w:rFonts w:asciiTheme="majorHAnsi" w:hAnsiTheme="majorHAnsi" w:cstheme="majorHAnsi"/>
        </w:rPr>
        <w:t xml:space="preserve"> about how different governments prioritise and address this issue.</w:t>
      </w:r>
    </w:p>
    <w:p w14:paraId="658E45B9" w14:textId="1C2FF09A" w:rsidR="006C6663" w:rsidRPr="004331E0" w:rsidRDefault="00C2519B" w:rsidP="004331E0">
      <w:pPr>
        <w:spacing w:before="100" w:beforeAutospacing="1" w:after="100" w:afterAutospacing="1" w:line="240" w:lineRule="auto"/>
        <w:rPr>
          <w:rFonts w:asciiTheme="majorHAnsi" w:eastAsia="Times New Roman" w:hAnsiTheme="majorHAnsi" w:cstheme="majorHAnsi"/>
          <w:kern w:val="0"/>
          <w:sz w:val="24"/>
          <w:szCs w:val="24"/>
          <w:lang w:eastAsia="en-GB"/>
          <w14:ligatures w14:val="none"/>
        </w:rPr>
      </w:pPr>
      <w:r w:rsidRPr="004331E0">
        <w:rPr>
          <w:rFonts w:asciiTheme="majorHAnsi" w:eastAsia="Times New Roman" w:hAnsiTheme="majorHAnsi" w:cstheme="majorHAnsi"/>
          <w:kern w:val="0"/>
          <w:sz w:val="24"/>
          <w:szCs w:val="24"/>
          <w:lang w:eastAsia="en-GB"/>
          <w14:ligatures w14:val="none"/>
        </w:rPr>
        <w:t xml:space="preserve">Another important factor to consider is the availability and accessibility of support services </w:t>
      </w:r>
      <w:r w:rsidRPr="00143508">
        <w:rPr>
          <w:rFonts w:asciiTheme="majorHAnsi" w:eastAsia="Times New Roman" w:hAnsiTheme="majorHAnsi" w:cstheme="majorHAnsi"/>
          <w:kern w:val="0"/>
          <w:sz w:val="24"/>
          <w:szCs w:val="24"/>
          <w:lang w:eastAsia="en-GB"/>
          <w14:ligatures w14:val="none"/>
        </w:rPr>
        <w:t>for older people with dementia</w:t>
      </w:r>
      <w:r w:rsidR="5614E67D" w:rsidRPr="00143508">
        <w:rPr>
          <w:rFonts w:asciiTheme="majorHAnsi" w:eastAsia="Times New Roman" w:hAnsiTheme="majorHAnsi" w:cstheme="majorHAnsi"/>
          <w:kern w:val="0"/>
          <w:sz w:val="24"/>
          <w:szCs w:val="24"/>
          <w:lang w:eastAsia="en-GB"/>
          <w14:ligatures w14:val="none"/>
        </w:rPr>
        <w:t xml:space="preserve"> </w:t>
      </w:r>
      <w:r w:rsidR="5614E67D" w:rsidRPr="00143508">
        <w:rPr>
          <w:rFonts w:asciiTheme="majorHAnsi" w:hAnsiTheme="majorHAnsi" w:cstheme="majorHAnsi"/>
          <w:sz w:val="24"/>
          <w:szCs w:val="24"/>
        </w:rPr>
        <w:t>(Bayly et al., 2020)</w:t>
      </w:r>
      <w:r w:rsidRPr="00143508">
        <w:rPr>
          <w:rFonts w:asciiTheme="majorHAnsi" w:eastAsia="Times New Roman" w:hAnsiTheme="majorHAnsi" w:cstheme="majorHAnsi"/>
          <w:kern w:val="0"/>
          <w:sz w:val="24"/>
          <w:szCs w:val="24"/>
          <w:lang w:eastAsia="en-GB"/>
          <w14:ligatures w14:val="none"/>
        </w:rPr>
        <w:t xml:space="preserve">. </w:t>
      </w:r>
      <w:r w:rsidR="00E34142" w:rsidRPr="00143508">
        <w:rPr>
          <w:rFonts w:asciiTheme="majorHAnsi" w:hAnsiTheme="majorHAnsi" w:cstheme="majorHAnsi"/>
          <w:sz w:val="24"/>
          <w:szCs w:val="24"/>
        </w:rPr>
        <w:t>Assessing whether there are sufficient resources allocated to providing support for people living with dementia is crucial for several reasons. Adequate resources ensure that individuals with dementia receive the care they need to maintain their quality of life, while also helping to manage healthcare costs and support family caregivers. Moreover, allocating resources to dementia care facilitates research and innovation in the field, potentially leading to new treatments and support strategies. Given the growing public health concern surrounding dementia, ensuring adequate resources demonstrates a commitment to addressing this issue and supporting affected individuals and their families</w:t>
      </w:r>
      <w:r w:rsidR="00794B08" w:rsidRPr="00143508">
        <w:rPr>
          <w:rFonts w:asciiTheme="majorHAnsi" w:hAnsiTheme="majorHAnsi" w:cstheme="majorHAnsi"/>
          <w:sz w:val="24"/>
          <w:szCs w:val="24"/>
        </w:rPr>
        <w:t xml:space="preserve"> </w:t>
      </w:r>
      <w:r w:rsidR="00794B08" w:rsidRPr="00143508">
        <w:rPr>
          <w:rFonts w:asciiTheme="majorHAnsi" w:hAnsiTheme="majorHAnsi" w:cstheme="majorHAnsi"/>
          <w:sz w:val="24"/>
          <w:szCs w:val="24"/>
        </w:rPr>
        <w:t>(Bayly et al., 2020)</w:t>
      </w:r>
      <w:r w:rsidR="00794B08" w:rsidRPr="00143508">
        <w:rPr>
          <w:rFonts w:asciiTheme="majorHAnsi" w:eastAsia="Times New Roman" w:hAnsiTheme="majorHAnsi" w:cstheme="majorHAnsi"/>
          <w:kern w:val="0"/>
          <w:sz w:val="24"/>
          <w:szCs w:val="24"/>
          <w:lang w:eastAsia="en-GB"/>
          <w14:ligatures w14:val="none"/>
        </w:rPr>
        <w:t>.</w:t>
      </w:r>
    </w:p>
    <w:p w14:paraId="555E58E0" w14:textId="2382A204" w:rsidR="00267506" w:rsidRPr="004331E0" w:rsidRDefault="00FA1422" w:rsidP="004331E0">
      <w:pPr>
        <w:spacing w:before="100" w:beforeAutospacing="1" w:after="100" w:afterAutospacing="1" w:line="240" w:lineRule="auto"/>
        <w:rPr>
          <w:rFonts w:asciiTheme="majorHAnsi" w:eastAsia="Times New Roman" w:hAnsiTheme="majorHAnsi" w:cstheme="majorHAnsi"/>
          <w:kern w:val="0"/>
          <w:sz w:val="24"/>
          <w:szCs w:val="24"/>
          <w:lang w:eastAsia="en-GB"/>
          <w14:ligatures w14:val="none"/>
        </w:rPr>
      </w:pPr>
      <w:r w:rsidRPr="004331E0">
        <w:rPr>
          <w:rFonts w:asciiTheme="majorHAnsi" w:eastAsia="Times New Roman" w:hAnsiTheme="majorHAnsi" w:cstheme="majorHAnsi"/>
          <w:kern w:val="0"/>
          <w:sz w:val="24"/>
          <w:szCs w:val="24"/>
          <w:lang w:eastAsia="en-GB"/>
          <w14:ligatures w14:val="none"/>
        </w:rPr>
        <w:t>It is also important to take into consideration</w:t>
      </w:r>
      <w:r w:rsidR="00C2519B" w:rsidRPr="004331E0">
        <w:rPr>
          <w:rFonts w:asciiTheme="majorHAnsi" w:eastAsia="Times New Roman" w:hAnsiTheme="majorHAnsi" w:cstheme="majorHAnsi"/>
          <w:kern w:val="0"/>
          <w:sz w:val="24"/>
          <w:szCs w:val="24"/>
          <w:lang w:eastAsia="en-GB"/>
          <w14:ligatures w14:val="none"/>
        </w:rPr>
        <w:t xml:space="preserve"> how accessible these services are to those who require them.</w:t>
      </w:r>
      <w:r w:rsidR="008B3434" w:rsidRPr="004331E0">
        <w:rPr>
          <w:rFonts w:asciiTheme="majorHAnsi" w:eastAsia="Times New Roman" w:hAnsiTheme="majorHAnsi" w:cstheme="majorHAnsi"/>
          <w:kern w:val="0"/>
          <w:sz w:val="24"/>
          <w:szCs w:val="24"/>
          <w:lang w:eastAsia="en-GB"/>
          <w14:ligatures w14:val="none"/>
        </w:rPr>
        <w:t xml:space="preserve"> </w:t>
      </w:r>
      <w:r w:rsidR="00C2519B" w:rsidRPr="004331E0">
        <w:rPr>
          <w:rFonts w:asciiTheme="majorHAnsi" w:eastAsia="Times New Roman" w:hAnsiTheme="majorHAnsi" w:cstheme="majorHAnsi"/>
          <w:kern w:val="0"/>
          <w:sz w:val="24"/>
          <w:szCs w:val="24"/>
          <w:lang w:eastAsia="en-GB"/>
          <w14:ligatures w14:val="none"/>
        </w:rPr>
        <w:t>Finally, understanding how cultural and societal factors influence dementia care is critical in determining any differences or similarities between regions. Examining cultural beliefs about ageing and mental health stigma can shed light on the potential barriers that older people with dementia face when seeking appropriate care.</w:t>
      </w:r>
      <w:r w:rsidR="008E64A8" w:rsidRPr="004331E0">
        <w:rPr>
          <w:rFonts w:asciiTheme="majorHAnsi" w:eastAsia="Times New Roman" w:hAnsiTheme="majorHAnsi" w:cstheme="majorHAnsi"/>
          <w:kern w:val="0"/>
          <w:sz w:val="24"/>
          <w:szCs w:val="24"/>
          <w:lang w:eastAsia="en-GB"/>
          <w14:ligatures w14:val="none"/>
        </w:rPr>
        <w:t xml:space="preserve"> </w:t>
      </w:r>
      <w:r w:rsidR="00267506" w:rsidRPr="004331E0">
        <w:rPr>
          <w:rFonts w:asciiTheme="majorHAnsi" w:eastAsia="Times New Roman" w:hAnsiTheme="majorHAnsi" w:cstheme="majorHAnsi"/>
          <w:kern w:val="0"/>
          <w:sz w:val="24"/>
          <w:szCs w:val="24"/>
          <w:lang w:eastAsia="en-GB"/>
          <w14:ligatures w14:val="none"/>
        </w:rPr>
        <w:t>By critically evaluating these aspects</w:t>
      </w:r>
      <w:r w:rsidR="26057A69" w:rsidRPr="004331E0">
        <w:rPr>
          <w:rFonts w:asciiTheme="majorHAnsi" w:eastAsia="Times New Roman" w:hAnsiTheme="majorHAnsi" w:cstheme="majorHAnsi"/>
          <w:kern w:val="0"/>
          <w:sz w:val="24"/>
          <w:szCs w:val="24"/>
          <w:lang w:eastAsia="en-GB"/>
          <w14:ligatures w14:val="none"/>
        </w:rPr>
        <w:t>,</w:t>
      </w:r>
      <w:r w:rsidR="00267506" w:rsidRPr="004331E0">
        <w:rPr>
          <w:rFonts w:asciiTheme="majorHAnsi" w:eastAsia="Times New Roman" w:hAnsiTheme="majorHAnsi" w:cstheme="majorHAnsi"/>
          <w:kern w:val="0"/>
          <w:sz w:val="24"/>
          <w:szCs w:val="24"/>
          <w:lang w:eastAsia="en-GB"/>
          <w14:ligatures w14:val="none"/>
        </w:rPr>
        <w:t xml:space="preserve"> government policies, availability</w:t>
      </w:r>
      <w:r w:rsidR="606DF025" w:rsidRPr="004331E0">
        <w:rPr>
          <w:rFonts w:asciiTheme="majorHAnsi" w:eastAsia="Times New Roman" w:hAnsiTheme="majorHAnsi" w:cstheme="majorHAnsi"/>
          <w:kern w:val="0"/>
          <w:sz w:val="24"/>
          <w:szCs w:val="24"/>
          <w:lang w:eastAsia="en-GB"/>
          <w14:ligatures w14:val="none"/>
        </w:rPr>
        <w:t xml:space="preserve"> and </w:t>
      </w:r>
      <w:r w:rsidR="00267506" w:rsidRPr="004331E0">
        <w:rPr>
          <w:rFonts w:asciiTheme="majorHAnsi" w:eastAsia="Times New Roman" w:hAnsiTheme="majorHAnsi" w:cstheme="majorHAnsi"/>
          <w:kern w:val="0"/>
          <w:sz w:val="24"/>
          <w:szCs w:val="24"/>
          <w:lang w:eastAsia="en-GB"/>
          <w14:ligatures w14:val="none"/>
        </w:rPr>
        <w:t>accessibility of support services, quality of caregiving practices, and cultural</w:t>
      </w:r>
      <w:r w:rsidR="083A1F76" w:rsidRPr="004331E0">
        <w:rPr>
          <w:rFonts w:asciiTheme="majorHAnsi" w:eastAsia="Times New Roman" w:hAnsiTheme="majorHAnsi" w:cstheme="majorHAnsi"/>
          <w:kern w:val="0"/>
          <w:sz w:val="24"/>
          <w:szCs w:val="24"/>
          <w:lang w:eastAsia="en-GB"/>
          <w14:ligatures w14:val="none"/>
        </w:rPr>
        <w:t xml:space="preserve"> or </w:t>
      </w:r>
      <w:r w:rsidR="00267506" w:rsidRPr="004331E0">
        <w:rPr>
          <w:rFonts w:asciiTheme="majorHAnsi" w:eastAsia="Times New Roman" w:hAnsiTheme="majorHAnsi" w:cstheme="majorHAnsi"/>
          <w:kern w:val="0"/>
          <w:sz w:val="24"/>
          <w:szCs w:val="24"/>
          <w:lang w:eastAsia="en-GB"/>
          <w14:ligatures w14:val="none"/>
        </w:rPr>
        <w:t>societal influences</w:t>
      </w:r>
      <w:r w:rsidR="06BC2569" w:rsidRPr="004331E0">
        <w:rPr>
          <w:rFonts w:asciiTheme="majorHAnsi" w:eastAsia="Times New Roman" w:hAnsiTheme="majorHAnsi" w:cstheme="majorHAnsi"/>
          <w:kern w:val="0"/>
          <w:sz w:val="24"/>
          <w:szCs w:val="24"/>
          <w:lang w:eastAsia="en-GB"/>
          <w14:ligatures w14:val="none"/>
        </w:rPr>
        <w:t xml:space="preserve">, </w:t>
      </w:r>
      <w:r w:rsidR="5EC8516F" w:rsidRPr="004331E0">
        <w:rPr>
          <w:rFonts w:asciiTheme="majorHAnsi" w:eastAsia="Times New Roman" w:hAnsiTheme="majorHAnsi" w:cstheme="majorHAnsi"/>
          <w:kern w:val="0"/>
          <w:sz w:val="24"/>
          <w:szCs w:val="24"/>
          <w:lang w:eastAsia="en-GB"/>
          <w14:ligatures w14:val="none"/>
        </w:rPr>
        <w:t>it is possible to</w:t>
      </w:r>
      <w:r w:rsidR="00267506" w:rsidRPr="004331E0">
        <w:rPr>
          <w:rFonts w:asciiTheme="majorHAnsi" w:eastAsia="Times New Roman" w:hAnsiTheme="majorHAnsi" w:cstheme="majorHAnsi"/>
          <w:kern w:val="0"/>
          <w:sz w:val="24"/>
          <w:szCs w:val="24"/>
          <w:lang w:eastAsia="en-GB"/>
          <w14:ligatures w14:val="none"/>
        </w:rPr>
        <w:t xml:space="preserve"> gain a comprehensive understanding of how Wales compares to both broader national contexts (the UK) and global perspectives in terms of providing services for older people with dementia</w:t>
      </w:r>
      <w:r w:rsidR="008E64A8" w:rsidRPr="004331E0">
        <w:rPr>
          <w:rFonts w:asciiTheme="majorHAnsi" w:hAnsiTheme="majorHAnsi" w:cstheme="majorHAnsi"/>
          <w:sz w:val="24"/>
          <w:szCs w:val="24"/>
        </w:rPr>
        <w:t xml:space="preserve"> (Bayly et al., 2020)</w:t>
      </w:r>
      <w:r w:rsidR="00267506" w:rsidRPr="004331E0">
        <w:rPr>
          <w:rFonts w:asciiTheme="majorHAnsi" w:eastAsia="Times New Roman" w:hAnsiTheme="majorHAnsi" w:cstheme="majorHAnsi"/>
          <w:kern w:val="0"/>
          <w:sz w:val="24"/>
          <w:szCs w:val="24"/>
          <w:lang w:eastAsia="en-GB"/>
          <w14:ligatures w14:val="none"/>
        </w:rPr>
        <w:t>.</w:t>
      </w:r>
    </w:p>
    <w:p w14:paraId="0C761639" w14:textId="490146E2" w:rsidR="00267506" w:rsidRPr="004331E0" w:rsidRDefault="006E3E86" w:rsidP="004331E0">
      <w:pPr>
        <w:spacing w:before="100" w:beforeAutospacing="1" w:after="100" w:afterAutospacing="1" w:line="240" w:lineRule="auto"/>
        <w:rPr>
          <w:rFonts w:asciiTheme="majorHAnsi" w:eastAsia="Times New Roman" w:hAnsiTheme="majorHAnsi" w:cstheme="majorHAnsi"/>
          <w:kern w:val="0"/>
          <w:sz w:val="24"/>
          <w:szCs w:val="24"/>
          <w:lang w:eastAsia="en-GB"/>
          <w14:ligatures w14:val="none"/>
        </w:rPr>
      </w:pPr>
      <w:r w:rsidRPr="004331E0">
        <w:rPr>
          <w:rFonts w:asciiTheme="majorHAnsi" w:hAnsiTheme="majorHAnsi" w:cstheme="majorHAnsi"/>
          <w:sz w:val="24"/>
          <w:szCs w:val="24"/>
        </w:rPr>
        <w:t xml:space="preserve">World Health Organization (2023) explains that </w:t>
      </w:r>
      <w:r w:rsidR="403C5515" w:rsidRPr="004331E0">
        <w:rPr>
          <w:rFonts w:asciiTheme="majorHAnsi" w:eastAsiaTheme="minorEastAsia" w:hAnsiTheme="majorHAnsi" w:cstheme="majorHAnsi"/>
          <w:sz w:val="24"/>
          <w:szCs w:val="24"/>
          <w:lang w:eastAsia="en-GB"/>
        </w:rPr>
        <w:t>g</w:t>
      </w:r>
      <w:r w:rsidR="00267506" w:rsidRPr="004331E0">
        <w:rPr>
          <w:rFonts w:asciiTheme="majorHAnsi" w:eastAsia="Times New Roman" w:hAnsiTheme="majorHAnsi" w:cstheme="majorHAnsi"/>
          <w:kern w:val="0"/>
          <w:sz w:val="24"/>
          <w:szCs w:val="24"/>
          <w:lang w:eastAsia="en-GB"/>
          <w14:ligatures w14:val="none"/>
        </w:rPr>
        <w:t>overnment policies and regulations have a significant impact on the delivery of services for older people with dementia, not only in Wales and the United Kingdom, but also globally. These policies seek to address the unique needs and challenges that people living with dementia face, as well as to ensure that they have access to appropriate care and support. In Wales, the government has implemented a number of initiatives to improve dementia care. For example, the National Dementia Vision for Wales lays out a comprehensive strategy aimed at increasing early diagnosis rates, improving access to support services, and promoting dementia-friendly communities. This comprehensive approach seeks to provide a continuous pathway of care from diagnosis to end-of-life stages.</w:t>
      </w:r>
    </w:p>
    <w:p w14:paraId="6FFE667D" w14:textId="4C25A96B" w:rsidR="000B0477" w:rsidRPr="004331E0" w:rsidRDefault="00267506" w:rsidP="004331E0">
      <w:pPr>
        <w:spacing w:before="100" w:beforeAutospacing="1" w:after="100" w:afterAutospacing="1" w:line="240" w:lineRule="auto"/>
        <w:rPr>
          <w:rFonts w:asciiTheme="majorHAnsi" w:eastAsia="Times New Roman" w:hAnsiTheme="majorHAnsi" w:cstheme="majorHAnsi"/>
          <w:kern w:val="0"/>
          <w:sz w:val="24"/>
          <w:szCs w:val="24"/>
          <w:lang w:eastAsia="en-GB"/>
          <w14:ligatures w14:val="none"/>
        </w:rPr>
      </w:pPr>
      <w:r w:rsidRPr="004331E0">
        <w:rPr>
          <w:rFonts w:asciiTheme="majorHAnsi" w:eastAsia="Times New Roman" w:hAnsiTheme="majorHAnsi" w:cstheme="majorHAnsi"/>
          <w:kern w:val="0"/>
          <w:sz w:val="24"/>
          <w:szCs w:val="24"/>
          <w:lang w:eastAsia="en-GB"/>
          <w14:ligatures w14:val="none"/>
        </w:rPr>
        <w:lastRenderedPageBreak/>
        <w:t>In the United Kingdom, there is a strong emphasis on dementia care. The government has developed a number of national strategies, including ‘Living Well with Dementia’</w:t>
      </w:r>
      <w:r w:rsidR="000831B0" w:rsidRPr="004331E0">
        <w:rPr>
          <w:rFonts w:asciiTheme="majorHAnsi" w:eastAsia="Times New Roman" w:hAnsiTheme="majorHAnsi" w:cstheme="majorHAnsi"/>
          <w:kern w:val="0"/>
          <w:sz w:val="24"/>
          <w:szCs w:val="24"/>
          <w:lang w:eastAsia="en-GB"/>
          <w14:ligatures w14:val="none"/>
        </w:rPr>
        <w:t xml:space="preserve"> </w:t>
      </w:r>
      <w:r w:rsidR="00CF40FE" w:rsidRPr="004331E0">
        <w:rPr>
          <w:rFonts w:asciiTheme="majorHAnsi" w:hAnsiTheme="majorHAnsi" w:cstheme="majorHAnsi"/>
          <w:sz w:val="24"/>
          <w:szCs w:val="24"/>
        </w:rPr>
        <w:t>(Department of Health, 2016</w:t>
      </w:r>
      <w:r w:rsidR="006E3E86" w:rsidRPr="004331E0">
        <w:rPr>
          <w:rFonts w:asciiTheme="majorHAnsi" w:hAnsiTheme="majorHAnsi" w:cstheme="majorHAnsi"/>
          <w:sz w:val="24"/>
          <w:szCs w:val="24"/>
        </w:rPr>
        <w:t>)</w:t>
      </w:r>
      <w:r w:rsidRPr="004331E0">
        <w:rPr>
          <w:rFonts w:asciiTheme="majorHAnsi" w:eastAsia="Times New Roman" w:hAnsiTheme="majorHAnsi" w:cstheme="majorHAnsi"/>
          <w:kern w:val="0"/>
          <w:sz w:val="24"/>
          <w:szCs w:val="24"/>
          <w:lang w:eastAsia="en-GB"/>
          <w14:ligatures w14:val="none"/>
        </w:rPr>
        <w:t xml:space="preserve">. </w:t>
      </w:r>
      <w:r w:rsidR="00F01205" w:rsidRPr="004331E0">
        <w:rPr>
          <w:rFonts w:asciiTheme="majorHAnsi" w:eastAsia="Times New Roman" w:hAnsiTheme="majorHAnsi" w:cstheme="majorHAnsi"/>
          <w:kern w:val="0"/>
          <w:sz w:val="24"/>
          <w:szCs w:val="24"/>
          <w:lang w:eastAsia="en-GB"/>
          <w14:ligatures w14:val="none"/>
        </w:rPr>
        <w:t>Other strategies in place include ‘National Dementia Strategy 2009’ The government's first National Dementia Strategy, ‘Living Well with Dementia’, which was published in 2009, and the ‘2012 Dementia Challenge’ which was launched in March 2012, by the then-Prime Minister, David Cameron. The challenge aimed to deliver significant improvements in dementia care and research by 2015. In February 2015, the government issued the successor to the 2012 dementia challenge;</w:t>
      </w:r>
      <w:r w:rsidR="00F01205" w:rsidRPr="004331E0">
        <w:rPr>
          <w:rFonts w:asciiTheme="majorHAnsi" w:eastAsia="Times New Roman" w:hAnsiTheme="majorHAnsi" w:cstheme="majorHAnsi"/>
          <w:kern w:val="0"/>
          <w:sz w:val="24"/>
          <w:szCs w:val="24"/>
          <w:lang w:eastAsia="en-GB"/>
          <w14:ligatures w14:val="none"/>
        </w:rPr>
        <w:t xml:space="preserve"> </w:t>
      </w:r>
      <w:r w:rsidR="00F01205" w:rsidRPr="004331E0">
        <w:rPr>
          <w:rFonts w:asciiTheme="majorHAnsi" w:eastAsia="Times New Roman" w:hAnsiTheme="majorHAnsi" w:cstheme="majorHAnsi"/>
          <w:kern w:val="0"/>
          <w:sz w:val="24"/>
          <w:szCs w:val="24"/>
          <w:lang w:eastAsia="en-GB"/>
          <w14:ligatures w14:val="none"/>
        </w:rPr>
        <w:t>the Challenge on Dementia 2020, which focuses on increasing research, improving care, and raising public awareness about the condition</w:t>
      </w:r>
      <w:r w:rsidR="006E3E86" w:rsidRPr="004331E0">
        <w:rPr>
          <w:rFonts w:asciiTheme="majorHAnsi" w:eastAsia="Times New Roman" w:hAnsiTheme="majorHAnsi" w:cstheme="majorHAnsi"/>
          <w:kern w:val="0"/>
          <w:sz w:val="24"/>
          <w:szCs w:val="24"/>
          <w:lang w:eastAsia="en-GB"/>
          <w14:ligatures w14:val="none"/>
        </w:rPr>
        <w:t xml:space="preserve"> </w:t>
      </w:r>
      <w:r w:rsidR="009245B3" w:rsidRPr="004331E0">
        <w:rPr>
          <w:rFonts w:asciiTheme="majorHAnsi" w:hAnsiTheme="majorHAnsi" w:cstheme="majorHAnsi"/>
          <w:sz w:val="24"/>
          <w:szCs w:val="24"/>
        </w:rPr>
        <w:t>(parkin and baker, 2021)</w:t>
      </w:r>
      <w:r w:rsidR="00F01205" w:rsidRPr="004331E0">
        <w:rPr>
          <w:rFonts w:asciiTheme="majorHAnsi" w:eastAsia="Times New Roman" w:hAnsiTheme="majorHAnsi" w:cstheme="majorHAnsi"/>
          <w:kern w:val="0"/>
          <w:sz w:val="24"/>
          <w:szCs w:val="24"/>
          <w:lang w:eastAsia="en-GB"/>
          <w14:ligatures w14:val="none"/>
        </w:rPr>
        <w:t>.</w:t>
      </w:r>
      <w:r w:rsidR="006E3E86" w:rsidRPr="004331E0">
        <w:rPr>
          <w:rFonts w:asciiTheme="majorHAnsi" w:hAnsiTheme="majorHAnsi" w:cstheme="majorHAnsi"/>
          <w:sz w:val="24"/>
          <w:szCs w:val="24"/>
        </w:rPr>
        <w:t xml:space="preserve"> Quinn et al. (2021)</w:t>
      </w:r>
      <w:r w:rsidR="006E3E86" w:rsidRPr="004331E0">
        <w:rPr>
          <w:rFonts w:asciiTheme="majorHAnsi" w:eastAsia="Times New Roman" w:hAnsiTheme="majorHAnsi" w:cstheme="majorHAnsi"/>
          <w:kern w:val="0"/>
          <w:sz w:val="24"/>
          <w:szCs w:val="24"/>
          <w:lang w:eastAsia="en-GB"/>
          <w14:ligatures w14:val="none"/>
        </w:rPr>
        <w:t xml:space="preserve"> </w:t>
      </w:r>
      <w:r w:rsidR="006E3E86" w:rsidRPr="004331E0">
        <w:rPr>
          <w:rFonts w:asciiTheme="majorHAnsi" w:eastAsia="Times New Roman" w:hAnsiTheme="majorHAnsi" w:cstheme="majorHAnsi"/>
          <w:kern w:val="0"/>
          <w:sz w:val="24"/>
          <w:szCs w:val="24"/>
          <w:lang w:eastAsia="en-GB"/>
          <w14:ligatures w14:val="none"/>
        </w:rPr>
        <w:t>explain t</w:t>
      </w:r>
      <w:r w:rsidRPr="004331E0">
        <w:rPr>
          <w:rFonts w:asciiTheme="majorHAnsi" w:eastAsia="Times New Roman" w:hAnsiTheme="majorHAnsi" w:cstheme="majorHAnsi"/>
          <w:kern w:val="0"/>
          <w:sz w:val="24"/>
          <w:szCs w:val="24"/>
          <w:lang w:eastAsia="en-GB"/>
          <w14:ligatures w14:val="none"/>
        </w:rPr>
        <w:t>hese strategies have resulted in significant advances in dementia research, as well as the development of novel approaches to service delivery.</w:t>
      </w:r>
    </w:p>
    <w:p w14:paraId="73CDA9F1" w14:textId="1090D2E6" w:rsidR="00267506" w:rsidRPr="004331E0" w:rsidRDefault="007B4E4C" w:rsidP="004331E0">
      <w:pPr>
        <w:spacing w:before="100" w:beforeAutospacing="1" w:after="100" w:afterAutospacing="1" w:line="240" w:lineRule="auto"/>
        <w:rPr>
          <w:rFonts w:asciiTheme="majorHAnsi" w:eastAsia="Times New Roman" w:hAnsiTheme="majorHAnsi" w:cstheme="majorHAnsi"/>
          <w:kern w:val="0"/>
          <w:sz w:val="24"/>
          <w:szCs w:val="24"/>
          <w:lang w:eastAsia="en-GB"/>
          <w14:ligatures w14:val="none"/>
        </w:rPr>
      </w:pPr>
      <w:r w:rsidRPr="004331E0">
        <w:rPr>
          <w:rFonts w:asciiTheme="majorHAnsi" w:hAnsiTheme="majorHAnsi" w:cstheme="majorHAnsi"/>
          <w:sz w:val="24"/>
          <w:szCs w:val="24"/>
        </w:rPr>
        <w:t>Alzheimer’s Research United Kingdom (2021)</w:t>
      </w:r>
      <w:r w:rsidRPr="004331E0">
        <w:rPr>
          <w:rFonts w:asciiTheme="majorHAnsi" w:eastAsia="Times New Roman" w:hAnsiTheme="majorHAnsi" w:cstheme="majorHAnsi"/>
          <w:kern w:val="0"/>
          <w:sz w:val="24"/>
          <w:szCs w:val="24"/>
          <w:lang w:eastAsia="en-GB"/>
          <w14:ligatures w14:val="none"/>
        </w:rPr>
        <w:t xml:space="preserve"> explains on</w:t>
      </w:r>
      <w:r w:rsidR="00267506" w:rsidRPr="004331E0">
        <w:rPr>
          <w:rFonts w:asciiTheme="majorHAnsi" w:eastAsia="Times New Roman" w:hAnsiTheme="majorHAnsi" w:cstheme="majorHAnsi"/>
          <w:kern w:val="0"/>
          <w:sz w:val="24"/>
          <w:szCs w:val="24"/>
          <w:lang w:eastAsia="en-GB"/>
          <w14:ligatures w14:val="none"/>
        </w:rPr>
        <w:t xml:space="preserve"> a global scale, governments are acknowledging the growing impact of dementia on their populations. Many countries have implemented national plans or frameworks specifically addressing this issue. For example, </w:t>
      </w:r>
      <w:r w:rsidRPr="004331E0">
        <w:rPr>
          <w:rFonts w:asciiTheme="majorHAnsi" w:hAnsiTheme="majorHAnsi" w:cstheme="majorHAnsi"/>
          <w:sz w:val="24"/>
          <w:szCs w:val="24"/>
        </w:rPr>
        <w:t>The Australian Government  (2020)</w:t>
      </w:r>
      <w:r w:rsidRPr="004331E0">
        <w:rPr>
          <w:rFonts w:asciiTheme="majorHAnsi" w:eastAsia="Times New Roman" w:hAnsiTheme="majorHAnsi" w:cstheme="majorHAnsi"/>
          <w:kern w:val="0"/>
          <w:sz w:val="24"/>
          <w:szCs w:val="24"/>
          <w:lang w:eastAsia="en-GB"/>
          <w14:ligatures w14:val="none"/>
        </w:rPr>
        <w:t xml:space="preserve"> shares that </w:t>
      </w:r>
      <w:r w:rsidR="00267506" w:rsidRPr="004331E0">
        <w:rPr>
          <w:rFonts w:asciiTheme="majorHAnsi" w:eastAsia="Times New Roman" w:hAnsiTheme="majorHAnsi" w:cstheme="majorHAnsi"/>
          <w:kern w:val="0"/>
          <w:sz w:val="24"/>
          <w:szCs w:val="24"/>
          <w:lang w:eastAsia="en-GB"/>
          <w14:ligatures w14:val="none"/>
        </w:rPr>
        <w:t>Australia's National Framework for Action on Dementia aims to increase awareness of dementia among healthcare professionals and the general public, as well as improve access to high-quality services. Similarly,</w:t>
      </w:r>
      <w:r w:rsidRPr="004331E0">
        <w:rPr>
          <w:rFonts w:asciiTheme="majorHAnsi" w:hAnsiTheme="majorHAnsi" w:cstheme="majorHAnsi"/>
          <w:sz w:val="24"/>
          <w:szCs w:val="24"/>
        </w:rPr>
        <w:t xml:space="preserve"> Public Health Agency of Canada (2024)</w:t>
      </w:r>
      <w:r w:rsidR="00267506" w:rsidRPr="004331E0">
        <w:rPr>
          <w:rFonts w:asciiTheme="majorHAnsi" w:eastAsia="Times New Roman" w:hAnsiTheme="majorHAnsi" w:cstheme="majorHAnsi"/>
          <w:kern w:val="0"/>
          <w:sz w:val="24"/>
          <w:szCs w:val="24"/>
          <w:lang w:eastAsia="en-GB"/>
          <w14:ligatures w14:val="none"/>
        </w:rPr>
        <w:t xml:space="preserve"> </w:t>
      </w:r>
      <w:r w:rsidRPr="004331E0">
        <w:rPr>
          <w:rFonts w:asciiTheme="majorHAnsi" w:eastAsia="Times New Roman" w:hAnsiTheme="majorHAnsi" w:cstheme="majorHAnsi"/>
          <w:kern w:val="0"/>
          <w:sz w:val="24"/>
          <w:szCs w:val="24"/>
          <w:lang w:eastAsia="en-GB"/>
          <w14:ligatures w14:val="none"/>
        </w:rPr>
        <w:t xml:space="preserve">demonstrates that </w:t>
      </w:r>
      <w:r w:rsidR="00267506" w:rsidRPr="004331E0">
        <w:rPr>
          <w:rFonts w:asciiTheme="majorHAnsi" w:eastAsia="Times New Roman" w:hAnsiTheme="majorHAnsi" w:cstheme="majorHAnsi"/>
          <w:kern w:val="0"/>
          <w:sz w:val="24"/>
          <w:szCs w:val="24"/>
          <w:lang w:eastAsia="en-GB"/>
          <w14:ligatures w14:val="none"/>
        </w:rPr>
        <w:t>Canada's National Strategy for Alzheimer's Disease and Other Dementias seeks to improve support for people living with dementia by strengthening community-based programmes and providing carer respite.</w:t>
      </w:r>
    </w:p>
    <w:p w14:paraId="1522E13D" w14:textId="2AC66B8A" w:rsidR="00267506" w:rsidRPr="004331E0" w:rsidRDefault="00267506" w:rsidP="004331E0">
      <w:pPr>
        <w:spacing w:before="100" w:beforeAutospacing="1" w:after="100" w:afterAutospacing="1" w:line="240" w:lineRule="auto"/>
        <w:rPr>
          <w:rFonts w:asciiTheme="majorHAnsi" w:eastAsia="Times New Roman" w:hAnsiTheme="majorHAnsi" w:cstheme="majorHAnsi"/>
          <w:kern w:val="0"/>
          <w:sz w:val="24"/>
          <w:szCs w:val="24"/>
          <w:lang w:eastAsia="en-GB"/>
          <w14:ligatures w14:val="none"/>
        </w:rPr>
      </w:pPr>
      <w:r w:rsidRPr="004331E0">
        <w:rPr>
          <w:rFonts w:asciiTheme="majorHAnsi" w:eastAsia="Times New Roman" w:hAnsiTheme="majorHAnsi" w:cstheme="majorHAnsi"/>
          <w:kern w:val="0"/>
          <w:sz w:val="24"/>
          <w:szCs w:val="24"/>
          <w:lang w:eastAsia="en-GB"/>
          <w14:ligatures w14:val="none"/>
        </w:rPr>
        <w:t>Despite efforts by governments around the world, ensuring consistent standards of care across regions remains a challenge. Variations in funding allocations can result in disparities in service delivery between urban and rural areas, or between countries altogether. Furthermore, different regulatory frameworks can cause variations in eligibility criteria or the availability of specific treatments or interventions</w:t>
      </w:r>
      <w:r w:rsidR="00DA1E06" w:rsidRPr="004331E0">
        <w:rPr>
          <w:rFonts w:asciiTheme="majorHAnsi" w:eastAsia="Times New Roman" w:hAnsiTheme="majorHAnsi" w:cstheme="majorHAnsi"/>
          <w:kern w:val="0"/>
          <w:sz w:val="24"/>
          <w:szCs w:val="24"/>
          <w:lang w:eastAsia="en-GB"/>
          <w14:ligatures w14:val="none"/>
        </w:rPr>
        <w:t xml:space="preserve"> </w:t>
      </w:r>
      <w:r w:rsidR="00DA1E06" w:rsidRPr="004331E0">
        <w:rPr>
          <w:rFonts w:asciiTheme="majorHAnsi" w:hAnsiTheme="majorHAnsi" w:cstheme="majorHAnsi"/>
          <w:sz w:val="24"/>
          <w:szCs w:val="24"/>
        </w:rPr>
        <w:t>(Great Britain: National Audit Office, 2007)</w:t>
      </w:r>
      <w:r w:rsidRPr="004331E0">
        <w:rPr>
          <w:rFonts w:asciiTheme="majorHAnsi" w:eastAsia="Times New Roman" w:hAnsiTheme="majorHAnsi" w:cstheme="majorHAnsi"/>
          <w:kern w:val="0"/>
          <w:sz w:val="24"/>
          <w:szCs w:val="24"/>
          <w:lang w:eastAsia="en-GB"/>
          <w14:ligatures w14:val="none"/>
        </w:rPr>
        <w:t>.</w:t>
      </w:r>
    </w:p>
    <w:p w14:paraId="3EEDFE17" w14:textId="057D7D28" w:rsidR="00000BB4" w:rsidRPr="004331E0" w:rsidRDefault="009C1160" w:rsidP="004331E0">
      <w:pPr>
        <w:spacing w:before="100" w:beforeAutospacing="1" w:after="100" w:afterAutospacing="1" w:line="240" w:lineRule="auto"/>
        <w:rPr>
          <w:rFonts w:asciiTheme="majorHAnsi" w:eastAsia="Times New Roman" w:hAnsiTheme="majorHAnsi" w:cstheme="majorHAnsi"/>
          <w:kern w:val="0"/>
          <w:sz w:val="24"/>
          <w:szCs w:val="24"/>
          <w:lang w:eastAsia="en-GB"/>
          <w14:ligatures w14:val="none"/>
        </w:rPr>
      </w:pPr>
      <w:r w:rsidRPr="004331E0">
        <w:rPr>
          <w:rFonts w:asciiTheme="majorHAnsi" w:hAnsiTheme="majorHAnsi" w:cstheme="majorHAnsi"/>
          <w:sz w:val="24"/>
          <w:szCs w:val="24"/>
        </w:rPr>
        <w:t>Broda et al</w:t>
      </w:r>
      <w:r w:rsidR="00C165B1" w:rsidRPr="004331E0">
        <w:rPr>
          <w:rFonts w:asciiTheme="majorHAnsi" w:hAnsiTheme="majorHAnsi" w:cstheme="majorHAnsi"/>
          <w:sz w:val="24"/>
          <w:szCs w:val="24"/>
        </w:rPr>
        <w:t xml:space="preserve"> (</w:t>
      </w:r>
      <w:r w:rsidRPr="004331E0">
        <w:rPr>
          <w:rFonts w:asciiTheme="majorHAnsi" w:hAnsiTheme="majorHAnsi" w:cstheme="majorHAnsi"/>
          <w:sz w:val="24"/>
          <w:szCs w:val="24"/>
        </w:rPr>
        <w:t>2017)</w:t>
      </w:r>
      <w:r w:rsidRPr="004331E0">
        <w:rPr>
          <w:rFonts w:asciiTheme="majorHAnsi" w:eastAsia="Times New Roman" w:hAnsiTheme="majorHAnsi" w:cstheme="majorHAnsi"/>
          <w:kern w:val="0"/>
          <w:sz w:val="24"/>
          <w:szCs w:val="24"/>
          <w:lang w:eastAsia="en-GB"/>
          <w14:ligatures w14:val="none"/>
        </w:rPr>
        <w:t xml:space="preserve"> </w:t>
      </w:r>
      <w:r w:rsidR="001A26D5" w:rsidRPr="004331E0">
        <w:rPr>
          <w:rFonts w:asciiTheme="majorHAnsi" w:eastAsia="Times New Roman" w:hAnsiTheme="majorHAnsi" w:cstheme="majorHAnsi"/>
          <w:kern w:val="0"/>
          <w:sz w:val="24"/>
          <w:szCs w:val="24"/>
          <w:lang w:eastAsia="en-GB"/>
          <w14:ligatures w14:val="none"/>
        </w:rPr>
        <w:t>imply</w:t>
      </w:r>
      <w:r w:rsidR="00C165B1" w:rsidRPr="004331E0">
        <w:rPr>
          <w:rFonts w:asciiTheme="majorHAnsi" w:eastAsia="Times New Roman" w:hAnsiTheme="majorHAnsi" w:cstheme="majorHAnsi"/>
          <w:kern w:val="0"/>
          <w:sz w:val="24"/>
          <w:szCs w:val="24"/>
          <w:lang w:eastAsia="en-GB"/>
          <w14:ligatures w14:val="none"/>
        </w:rPr>
        <w:t xml:space="preserve"> that </w:t>
      </w:r>
      <w:r w:rsidR="00267506" w:rsidRPr="004331E0">
        <w:rPr>
          <w:rFonts w:asciiTheme="majorHAnsi" w:eastAsia="Times New Roman" w:hAnsiTheme="majorHAnsi" w:cstheme="majorHAnsi"/>
          <w:kern w:val="0"/>
          <w:sz w:val="24"/>
          <w:szCs w:val="24"/>
          <w:lang w:eastAsia="en-GB"/>
          <w14:ligatures w14:val="none"/>
        </w:rPr>
        <w:t>Government policies and regulations governing dementia care are critical in shaping the delivery of services to older people with dementia. While Wales, the United Kingdom, and other countries have implemented various initiatives to improve dementia care, challenges remain in achieving consistent standards of care across regions. Governments must continue to collaborate on a global scale, sharing best practices and striving for a unified approach to meeting the growing needs of people living with dementia</w:t>
      </w:r>
      <w:r w:rsidR="00CA1BAC" w:rsidRPr="004331E0">
        <w:rPr>
          <w:rFonts w:asciiTheme="majorHAnsi" w:hAnsiTheme="majorHAnsi" w:cstheme="majorHAnsi"/>
          <w:sz w:val="24"/>
          <w:szCs w:val="24"/>
        </w:rPr>
        <w:t xml:space="preserve"> </w:t>
      </w:r>
      <w:r w:rsidR="00CA1BAC" w:rsidRPr="004331E0">
        <w:rPr>
          <w:rFonts w:asciiTheme="majorHAnsi" w:eastAsia="Times New Roman" w:hAnsiTheme="majorHAnsi" w:cstheme="majorHAnsi"/>
          <w:kern w:val="0"/>
          <w:sz w:val="24"/>
          <w:szCs w:val="24"/>
          <w:lang w:eastAsia="en-GB"/>
          <w14:ligatures w14:val="none"/>
        </w:rPr>
        <w:t>(Kontos et al., 2011)</w:t>
      </w:r>
      <w:r w:rsidR="00267506" w:rsidRPr="004331E0">
        <w:rPr>
          <w:rFonts w:asciiTheme="majorHAnsi" w:eastAsia="Times New Roman" w:hAnsiTheme="majorHAnsi" w:cstheme="majorHAnsi"/>
          <w:kern w:val="0"/>
          <w:sz w:val="24"/>
          <w:szCs w:val="24"/>
          <w:lang w:eastAsia="en-GB"/>
          <w14:ligatures w14:val="none"/>
        </w:rPr>
        <w:t>.</w:t>
      </w:r>
    </w:p>
    <w:p w14:paraId="411BF214" w14:textId="1E63256D" w:rsidR="00267506" w:rsidRPr="004331E0" w:rsidRDefault="000E1FED" w:rsidP="004331E0">
      <w:pPr>
        <w:spacing w:before="100" w:beforeAutospacing="1" w:after="100" w:afterAutospacing="1" w:line="240" w:lineRule="auto"/>
        <w:rPr>
          <w:rFonts w:asciiTheme="majorHAnsi" w:eastAsia="Times New Roman" w:hAnsiTheme="majorHAnsi" w:cstheme="majorHAnsi"/>
          <w:kern w:val="0"/>
          <w:sz w:val="24"/>
          <w:szCs w:val="24"/>
          <w:lang w:eastAsia="en-GB"/>
          <w14:ligatures w14:val="none"/>
        </w:rPr>
      </w:pPr>
      <w:r w:rsidRPr="004331E0">
        <w:rPr>
          <w:rFonts w:asciiTheme="majorHAnsi" w:hAnsiTheme="majorHAnsi" w:cstheme="majorHAnsi"/>
          <w:sz w:val="24"/>
          <w:szCs w:val="24"/>
        </w:rPr>
        <w:t xml:space="preserve">Lethin et al., (2016) explains </w:t>
      </w:r>
      <w:r w:rsidR="00D51688" w:rsidRPr="004331E0">
        <w:rPr>
          <w:rFonts w:asciiTheme="majorHAnsi" w:eastAsia="Times New Roman" w:hAnsiTheme="majorHAnsi" w:cstheme="majorHAnsi"/>
          <w:kern w:val="0"/>
          <w:sz w:val="24"/>
          <w:szCs w:val="24"/>
          <w:lang w:eastAsia="en-GB"/>
          <w14:ligatures w14:val="none"/>
        </w:rPr>
        <w:t>t</w:t>
      </w:r>
      <w:r w:rsidR="00267506" w:rsidRPr="004331E0">
        <w:rPr>
          <w:rFonts w:asciiTheme="majorHAnsi" w:eastAsia="Times New Roman" w:hAnsiTheme="majorHAnsi" w:cstheme="majorHAnsi"/>
          <w:kern w:val="0"/>
          <w:sz w:val="24"/>
          <w:szCs w:val="24"/>
          <w:lang w:eastAsia="en-GB"/>
          <w14:ligatures w14:val="none"/>
        </w:rPr>
        <w:t xml:space="preserve">he availability and accessibility of support services for older people with dementia is an important factor to consider when assessing and comparing service provision in Wales, the United Kingdom, and around the world. In Wales, there has been a concerted effort to increase the availability of support services for people with dementia. The Welsh Government has implemented a number of initiatives aimed at improving access to care and assistance for older people living with </w:t>
      </w:r>
      <w:r w:rsidR="004D2265" w:rsidRPr="004331E0">
        <w:rPr>
          <w:rFonts w:asciiTheme="majorHAnsi" w:eastAsia="Times New Roman" w:hAnsiTheme="majorHAnsi" w:cstheme="majorHAnsi"/>
          <w:kern w:val="0"/>
          <w:sz w:val="24"/>
          <w:szCs w:val="24"/>
          <w:lang w:eastAsia="en-GB"/>
          <w14:ligatures w14:val="none"/>
        </w:rPr>
        <w:t>dementia</w:t>
      </w:r>
      <w:r w:rsidR="006D73EF" w:rsidRPr="004331E0">
        <w:rPr>
          <w:rFonts w:asciiTheme="majorHAnsi" w:eastAsia="Times New Roman" w:hAnsiTheme="majorHAnsi" w:cstheme="majorHAnsi"/>
          <w:kern w:val="0"/>
          <w:sz w:val="24"/>
          <w:szCs w:val="24"/>
          <w:lang w:eastAsia="en-GB"/>
          <w14:ligatures w14:val="none"/>
        </w:rPr>
        <w:t>, for example,</w:t>
      </w:r>
      <w:r w:rsidR="00267506" w:rsidRPr="004331E0">
        <w:rPr>
          <w:rFonts w:asciiTheme="majorHAnsi" w:eastAsia="Times New Roman" w:hAnsiTheme="majorHAnsi" w:cstheme="majorHAnsi"/>
          <w:kern w:val="0"/>
          <w:sz w:val="24"/>
          <w:szCs w:val="24"/>
          <w:lang w:eastAsia="en-GB"/>
          <w14:ligatures w14:val="none"/>
        </w:rPr>
        <w:t xml:space="preserve"> the establishment of memory clinics across the country, where people can get a diagnosis, </w:t>
      </w:r>
      <w:r w:rsidR="00267506" w:rsidRPr="00143508">
        <w:rPr>
          <w:rFonts w:asciiTheme="majorHAnsi" w:eastAsia="Times New Roman" w:hAnsiTheme="majorHAnsi" w:cstheme="majorHAnsi"/>
          <w:kern w:val="0"/>
          <w:sz w:val="24"/>
          <w:szCs w:val="24"/>
          <w:lang w:eastAsia="en-GB"/>
          <w14:ligatures w14:val="none"/>
        </w:rPr>
        <w:t>treatment, and ongoing support from specialised doctors.</w:t>
      </w:r>
      <w:r w:rsidR="005A2628" w:rsidRPr="00143508">
        <w:rPr>
          <w:rFonts w:asciiTheme="majorHAnsi" w:eastAsia="Times New Roman" w:hAnsiTheme="majorHAnsi" w:cstheme="majorHAnsi"/>
          <w:kern w:val="0"/>
          <w:sz w:val="24"/>
          <w:szCs w:val="24"/>
          <w:lang w:eastAsia="en-GB"/>
          <w14:ligatures w14:val="none"/>
        </w:rPr>
        <w:t xml:space="preserve"> </w:t>
      </w:r>
      <w:r w:rsidR="0081194F" w:rsidRPr="00143508">
        <w:rPr>
          <w:rFonts w:asciiTheme="majorHAnsi" w:eastAsia="Times New Roman" w:hAnsiTheme="majorHAnsi" w:cstheme="majorHAnsi"/>
          <w:kern w:val="0"/>
          <w:sz w:val="24"/>
          <w:szCs w:val="24"/>
          <w:lang w:eastAsia="en-GB"/>
          <w14:ligatures w14:val="none"/>
        </w:rPr>
        <w:t xml:space="preserve">This will be beneficial </w:t>
      </w:r>
      <w:r w:rsidR="00995786" w:rsidRPr="00143508">
        <w:rPr>
          <w:rFonts w:asciiTheme="majorHAnsi" w:eastAsia="Times New Roman" w:hAnsiTheme="majorHAnsi" w:cstheme="majorHAnsi"/>
          <w:kern w:val="0"/>
          <w:sz w:val="24"/>
          <w:szCs w:val="24"/>
          <w:lang w:eastAsia="en-GB"/>
          <w14:ligatures w14:val="none"/>
        </w:rPr>
        <w:t>by</w:t>
      </w:r>
      <w:r w:rsidR="00F80084" w:rsidRPr="00143508">
        <w:rPr>
          <w:rFonts w:asciiTheme="majorHAnsi" w:hAnsiTheme="majorHAnsi" w:cstheme="majorHAnsi"/>
          <w:color w:val="0D0D0D"/>
          <w:sz w:val="24"/>
          <w:szCs w:val="24"/>
          <w:shd w:val="clear" w:color="auto" w:fill="FFFFFF"/>
        </w:rPr>
        <w:t xml:space="preserve"> </w:t>
      </w:r>
      <w:r w:rsidR="00F80084" w:rsidRPr="00143508">
        <w:rPr>
          <w:rFonts w:asciiTheme="majorHAnsi" w:eastAsia="Times New Roman" w:hAnsiTheme="majorHAnsi" w:cstheme="majorHAnsi"/>
          <w:kern w:val="0"/>
          <w:sz w:val="24"/>
          <w:szCs w:val="24"/>
          <w:lang w:eastAsia="en-GB"/>
          <w14:ligatures w14:val="none"/>
        </w:rPr>
        <w:t>promoting early detection, providing specialized care, and improving the quality of life for affected individuals and their families</w:t>
      </w:r>
      <w:r w:rsidR="001731B1" w:rsidRPr="00143508">
        <w:rPr>
          <w:rFonts w:asciiTheme="majorHAnsi" w:eastAsia="Times New Roman" w:hAnsiTheme="majorHAnsi" w:cstheme="majorHAnsi"/>
          <w:kern w:val="0"/>
          <w:sz w:val="24"/>
          <w:szCs w:val="24"/>
          <w:lang w:eastAsia="en-GB"/>
          <w14:ligatures w14:val="none"/>
        </w:rPr>
        <w:t xml:space="preserve">. </w:t>
      </w:r>
      <w:r w:rsidR="00267506" w:rsidRPr="00143508">
        <w:rPr>
          <w:rFonts w:asciiTheme="majorHAnsi" w:eastAsia="Times New Roman" w:hAnsiTheme="majorHAnsi" w:cstheme="majorHAnsi"/>
          <w:kern w:val="0"/>
          <w:sz w:val="24"/>
          <w:szCs w:val="24"/>
          <w:lang w:eastAsia="en-GB"/>
          <w14:ligatures w14:val="none"/>
        </w:rPr>
        <w:t xml:space="preserve">Similarly, in the United Kingdom as a whole, significant </w:t>
      </w:r>
      <w:r w:rsidR="00267506" w:rsidRPr="00143508">
        <w:rPr>
          <w:rFonts w:asciiTheme="majorHAnsi" w:eastAsia="Times New Roman" w:hAnsiTheme="majorHAnsi" w:cstheme="majorHAnsi"/>
          <w:kern w:val="0"/>
          <w:sz w:val="24"/>
          <w:szCs w:val="24"/>
          <w:lang w:eastAsia="en-GB"/>
          <w14:ligatures w14:val="none"/>
        </w:rPr>
        <w:lastRenderedPageBreak/>
        <w:t>progress has been made in terms of providing support services for older people with dementia. The National Health Service (NHS) has made significant investments in expanding memory assessment services across England (</w:t>
      </w:r>
      <w:r w:rsidR="15307A1A" w:rsidRPr="004331E0">
        <w:rPr>
          <w:rFonts w:asciiTheme="majorHAnsi" w:hAnsiTheme="majorHAnsi" w:cstheme="majorHAnsi"/>
          <w:sz w:val="24"/>
          <w:szCs w:val="24"/>
        </w:rPr>
        <w:t>National Health Service, 2021</w:t>
      </w:r>
      <w:r w:rsidR="2D140EE8" w:rsidRPr="004331E0">
        <w:rPr>
          <w:rFonts w:asciiTheme="majorHAnsi" w:hAnsiTheme="majorHAnsi" w:cstheme="majorHAnsi"/>
          <w:sz w:val="24"/>
          <w:szCs w:val="24"/>
        </w:rPr>
        <w:t xml:space="preserve">). </w:t>
      </w:r>
      <w:r w:rsidR="00267506" w:rsidRPr="004331E0">
        <w:rPr>
          <w:rFonts w:asciiTheme="majorHAnsi" w:eastAsia="Times New Roman" w:hAnsiTheme="majorHAnsi" w:cstheme="majorHAnsi"/>
          <w:kern w:val="0"/>
          <w:sz w:val="24"/>
          <w:szCs w:val="24"/>
          <w:lang w:eastAsia="en-GB"/>
          <w14:ligatures w14:val="none"/>
        </w:rPr>
        <w:t xml:space="preserve">These services provide comprehensive assessments to help diagnose dementia early on and provide appropriate interventions. Furthermore, there are numerous voluntary organisations, such as the Alzheimer's Society, that provide practical assistance, advice, and emotional support to both dementia patients and their </w:t>
      </w:r>
      <w:proofErr w:type="spellStart"/>
      <w:r w:rsidR="00267506" w:rsidRPr="004331E0">
        <w:rPr>
          <w:rFonts w:asciiTheme="majorHAnsi" w:eastAsia="Times New Roman" w:hAnsiTheme="majorHAnsi" w:cstheme="majorHAnsi"/>
          <w:kern w:val="0"/>
          <w:sz w:val="24"/>
          <w:szCs w:val="24"/>
          <w:lang w:eastAsia="en-GB"/>
          <w14:ligatures w14:val="none"/>
        </w:rPr>
        <w:t>carers</w:t>
      </w:r>
      <w:proofErr w:type="spellEnd"/>
      <w:r w:rsidR="00267506" w:rsidRPr="004331E0">
        <w:rPr>
          <w:rFonts w:asciiTheme="majorHAnsi" w:eastAsia="Times New Roman" w:hAnsiTheme="majorHAnsi" w:cstheme="majorHAnsi"/>
          <w:kern w:val="0"/>
          <w:sz w:val="24"/>
          <w:szCs w:val="24"/>
          <w:lang w:eastAsia="en-GB"/>
          <w14:ligatures w14:val="none"/>
        </w:rPr>
        <w:t>.</w:t>
      </w:r>
    </w:p>
    <w:p w14:paraId="29B5384E" w14:textId="0C4C53AC" w:rsidR="00267506" w:rsidRPr="004331E0" w:rsidRDefault="00267506" w:rsidP="004331E0">
      <w:pPr>
        <w:spacing w:before="100" w:beforeAutospacing="1" w:after="100" w:afterAutospacing="1" w:line="240" w:lineRule="auto"/>
        <w:rPr>
          <w:rFonts w:asciiTheme="majorHAnsi" w:eastAsia="Times New Roman" w:hAnsiTheme="majorHAnsi" w:cstheme="majorHAnsi"/>
          <w:kern w:val="0"/>
          <w:sz w:val="24"/>
          <w:szCs w:val="24"/>
          <w:lang w:eastAsia="en-GB"/>
          <w14:ligatures w14:val="none"/>
        </w:rPr>
      </w:pPr>
      <w:r w:rsidRPr="004331E0">
        <w:rPr>
          <w:rFonts w:asciiTheme="majorHAnsi" w:eastAsia="Times New Roman" w:hAnsiTheme="majorHAnsi" w:cstheme="majorHAnsi"/>
          <w:kern w:val="0"/>
          <w:sz w:val="24"/>
          <w:szCs w:val="24"/>
          <w:lang w:eastAsia="en-GB"/>
          <w14:ligatures w14:val="none"/>
        </w:rPr>
        <w:t xml:space="preserve">Globally, however, </w:t>
      </w:r>
      <w:r w:rsidR="00242A51" w:rsidRPr="004331E0">
        <w:rPr>
          <w:rFonts w:asciiTheme="majorHAnsi" w:hAnsiTheme="majorHAnsi" w:cstheme="majorHAnsi"/>
          <w:sz w:val="24"/>
          <w:szCs w:val="24"/>
        </w:rPr>
        <w:t xml:space="preserve">Wang, </w:t>
      </w:r>
      <w:proofErr w:type="spellStart"/>
      <w:r w:rsidR="00242A51" w:rsidRPr="004331E0">
        <w:rPr>
          <w:rFonts w:asciiTheme="majorHAnsi" w:hAnsiTheme="majorHAnsi" w:cstheme="majorHAnsi"/>
          <w:sz w:val="24"/>
          <w:szCs w:val="24"/>
        </w:rPr>
        <w:t>Albaroudi</w:t>
      </w:r>
      <w:proofErr w:type="spellEnd"/>
      <w:r w:rsidR="00242A51" w:rsidRPr="004331E0">
        <w:rPr>
          <w:rFonts w:asciiTheme="majorHAnsi" w:hAnsiTheme="majorHAnsi" w:cstheme="majorHAnsi"/>
          <w:sz w:val="24"/>
          <w:szCs w:val="24"/>
        </w:rPr>
        <w:t xml:space="preserve"> and Chen, (2020)</w:t>
      </w:r>
      <w:r w:rsidR="00242A51" w:rsidRPr="004331E0">
        <w:rPr>
          <w:rFonts w:asciiTheme="majorHAnsi" w:eastAsia="Times New Roman" w:hAnsiTheme="majorHAnsi" w:cstheme="majorHAnsi"/>
          <w:kern w:val="0"/>
          <w:sz w:val="24"/>
          <w:szCs w:val="24"/>
          <w:lang w:eastAsia="en-GB"/>
          <w14:ligatures w14:val="none"/>
        </w:rPr>
        <w:t xml:space="preserve"> </w:t>
      </w:r>
      <w:r w:rsidR="00162F8A" w:rsidRPr="004331E0">
        <w:rPr>
          <w:rFonts w:asciiTheme="majorHAnsi" w:eastAsia="Times New Roman" w:hAnsiTheme="majorHAnsi" w:cstheme="majorHAnsi"/>
          <w:kern w:val="0"/>
          <w:sz w:val="24"/>
          <w:szCs w:val="24"/>
          <w:lang w:eastAsia="en-GB"/>
          <w14:ligatures w14:val="none"/>
        </w:rPr>
        <w:t xml:space="preserve">suggest </w:t>
      </w:r>
      <w:r w:rsidRPr="004331E0">
        <w:rPr>
          <w:rFonts w:asciiTheme="majorHAnsi" w:eastAsia="Times New Roman" w:hAnsiTheme="majorHAnsi" w:cstheme="majorHAnsi"/>
          <w:kern w:val="0"/>
          <w:sz w:val="24"/>
          <w:szCs w:val="24"/>
          <w:lang w:eastAsia="en-GB"/>
          <w14:ligatures w14:val="none"/>
        </w:rPr>
        <w:t>there are significant disparities in the availability and accessibility of support services for older people with dementia. Developing countries frequently lack the necessary resources and infrastructure to address this growing public health concern effectively. Limited financial resources for healthcare systems impede efforts to establish specialised dementia care units or memory clinics.</w:t>
      </w:r>
      <w:r w:rsidR="008573AE" w:rsidRPr="004331E0">
        <w:rPr>
          <w:rFonts w:asciiTheme="majorHAnsi" w:eastAsia="Times New Roman" w:hAnsiTheme="majorHAnsi" w:cstheme="majorHAnsi"/>
          <w:kern w:val="0"/>
          <w:sz w:val="24"/>
          <w:szCs w:val="24"/>
          <w:lang w:eastAsia="en-GB"/>
          <w14:ligatures w14:val="none"/>
        </w:rPr>
        <w:t xml:space="preserve"> </w:t>
      </w:r>
      <w:r w:rsidRPr="004331E0">
        <w:rPr>
          <w:rFonts w:asciiTheme="majorHAnsi" w:eastAsia="Times New Roman" w:hAnsiTheme="majorHAnsi" w:cstheme="majorHAnsi"/>
          <w:kern w:val="0"/>
          <w:sz w:val="24"/>
          <w:szCs w:val="24"/>
          <w:lang w:eastAsia="en-GB"/>
          <w14:ligatures w14:val="none"/>
        </w:rPr>
        <w:t>Furthermore, cultural beliefs about ageing and mental health can make it difficult to access support services across borders. Because of the stigma associated with dementia, people may be hesitant to seek help or receive appropriate care</w:t>
      </w:r>
      <w:r w:rsidR="009A4E91" w:rsidRPr="004331E0">
        <w:rPr>
          <w:rFonts w:asciiTheme="majorHAnsi" w:hAnsiTheme="majorHAnsi" w:cstheme="majorHAnsi"/>
          <w:sz w:val="24"/>
          <w:szCs w:val="24"/>
        </w:rPr>
        <w:t xml:space="preserve"> </w:t>
      </w:r>
      <w:r w:rsidR="009A4E91" w:rsidRPr="004331E0">
        <w:rPr>
          <w:rFonts w:asciiTheme="majorHAnsi" w:eastAsia="Times New Roman" w:hAnsiTheme="majorHAnsi" w:cstheme="majorHAnsi"/>
          <w:kern w:val="0"/>
          <w:sz w:val="24"/>
          <w:szCs w:val="24"/>
          <w:lang w:eastAsia="en-GB"/>
          <w14:ligatures w14:val="none"/>
        </w:rPr>
        <w:t xml:space="preserve">(Livingston and </w:t>
      </w:r>
      <w:proofErr w:type="spellStart"/>
      <w:r w:rsidR="009A4E91" w:rsidRPr="004331E0">
        <w:rPr>
          <w:rFonts w:asciiTheme="majorHAnsi" w:eastAsia="Times New Roman" w:hAnsiTheme="majorHAnsi" w:cstheme="majorHAnsi"/>
          <w:kern w:val="0"/>
          <w:sz w:val="24"/>
          <w:szCs w:val="24"/>
          <w:lang w:eastAsia="en-GB"/>
          <w14:ligatures w14:val="none"/>
        </w:rPr>
        <w:t>Sembhi</w:t>
      </w:r>
      <w:proofErr w:type="spellEnd"/>
      <w:r w:rsidR="009A4E91" w:rsidRPr="004331E0">
        <w:rPr>
          <w:rFonts w:asciiTheme="majorHAnsi" w:eastAsia="Times New Roman" w:hAnsiTheme="majorHAnsi" w:cstheme="majorHAnsi"/>
          <w:kern w:val="0"/>
          <w:sz w:val="24"/>
          <w:szCs w:val="24"/>
          <w:lang w:eastAsia="en-GB"/>
          <w14:ligatures w14:val="none"/>
        </w:rPr>
        <w:t>, 2003)</w:t>
      </w:r>
      <w:r w:rsidRPr="004331E0">
        <w:rPr>
          <w:rFonts w:asciiTheme="majorHAnsi" w:eastAsia="Times New Roman" w:hAnsiTheme="majorHAnsi" w:cstheme="majorHAnsi"/>
          <w:kern w:val="0"/>
          <w:sz w:val="24"/>
          <w:szCs w:val="24"/>
          <w:lang w:eastAsia="en-GB"/>
          <w14:ligatures w14:val="none"/>
        </w:rPr>
        <w:t>.</w:t>
      </w:r>
    </w:p>
    <w:p w14:paraId="253CC33D" w14:textId="60D36EC9" w:rsidR="00267506" w:rsidRPr="004331E0" w:rsidRDefault="00267506" w:rsidP="004331E0">
      <w:pPr>
        <w:spacing w:before="100" w:beforeAutospacing="1" w:after="100" w:afterAutospacing="1" w:line="240" w:lineRule="auto"/>
        <w:rPr>
          <w:rFonts w:asciiTheme="majorHAnsi" w:eastAsia="Times New Roman" w:hAnsiTheme="majorHAnsi" w:cstheme="majorHAnsi"/>
          <w:kern w:val="0"/>
          <w:sz w:val="24"/>
          <w:szCs w:val="24"/>
          <w:lang w:eastAsia="en-GB"/>
          <w14:ligatures w14:val="none"/>
        </w:rPr>
      </w:pPr>
      <w:r w:rsidRPr="004331E0">
        <w:rPr>
          <w:rFonts w:asciiTheme="majorHAnsi" w:eastAsia="Times New Roman" w:hAnsiTheme="majorHAnsi" w:cstheme="majorHAnsi"/>
          <w:kern w:val="0"/>
          <w:sz w:val="24"/>
          <w:szCs w:val="24"/>
          <w:lang w:eastAsia="en-GB"/>
          <w14:ligatures w14:val="none"/>
        </w:rPr>
        <w:t>In contrast to Wales and the United Kingdom's comprehensive approach to supporting older people with dementia through well-established healthcare systems</w:t>
      </w:r>
      <w:r w:rsidR="00B26810" w:rsidRPr="004331E0">
        <w:rPr>
          <w:rFonts w:asciiTheme="majorHAnsi" w:hAnsiTheme="majorHAnsi" w:cstheme="majorHAnsi"/>
          <w:sz w:val="24"/>
          <w:szCs w:val="24"/>
        </w:rPr>
        <w:t xml:space="preserve"> </w:t>
      </w:r>
      <w:r w:rsidR="00B26810" w:rsidRPr="004331E0">
        <w:rPr>
          <w:rFonts w:asciiTheme="majorHAnsi" w:eastAsia="Times New Roman" w:hAnsiTheme="majorHAnsi" w:cstheme="majorHAnsi"/>
          <w:kern w:val="0"/>
          <w:sz w:val="24"/>
          <w:szCs w:val="24"/>
          <w:lang w:eastAsia="en-GB"/>
          <w14:ligatures w14:val="none"/>
        </w:rPr>
        <w:t>(Azam, 2020)</w:t>
      </w:r>
      <w:r w:rsidRPr="004331E0">
        <w:rPr>
          <w:rFonts w:asciiTheme="majorHAnsi" w:eastAsia="Times New Roman" w:hAnsiTheme="majorHAnsi" w:cstheme="majorHAnsi"/>
          <w:kern w:val="0"/>
          <w:sz w:val="24"/>
          <w:szCs w:val="24"/>
          <w:lang w:eastAsia="en-GB"/>
          <w14:ligatures w14:val="none"/>
        </w:rPr>
        <w:t xml:space="preserve">, </w:t>
      </w:r>
      <w:proofErr w:type="spellStart"/>
      <w:r w:rsidR="00EC5AC0" w:rsidRPr="004331E0">
        <w:rPr>
          <w:rFonts w:asciiTheme="majorHAnsi" w:eastAsia="Times New Roman" w:hAnsiTheme="majorHAnsi" w:cstheme="majorHAnsi"/>
          <w:kern w:val="0"/>
          <w:sz w:val="24"/>
          <w:szCs w:val="24"/>
          <w:lang w:eastAsia="en-GB"/>
          <w14:ligatures w14:val="none"/>
        </w:rPr>
        <w:t>Suphanchaimat</w:t>
      </w:r>
      <w:proofErr w:type="spellEnd"/>
      <w:r w:rsidR="00EC5AC0" w:rsidRPr="004331E0">
        <w:rPr>
          <w:rFonts w:asciiTheme="majorHAnsi" w:eastAsia="Times New Roman" w:hAnsiTheme="majorHAnsi" w:cstheme="majorHAnsi"/>
          <w:kern w:val="0"/>
          <w:sz w:val="24"/>
          <w:szCs w:val="24"/>
          <w:lang w:eastAsia="en-GB"/>
          <w14:ligatures w14:val="none"/>
        </w:rPr>
        <w:t xml:space="preserve"> et al.</w:t>
      </w:r>
      <w:r w:rsidR="00EC5AC0" w:rsidRPr="004331E0">
        <w:rPr>
          <w:rFonts w:asciiTheme="majorHAnsi" w:eastAsia="Times New Roman" w:hAnsiTheme="majorHAnsi" w:cstheme="majorHAnsi"/>
          <w:kern w:val="0"/>
          <w:sz w:val="24"/>
          <w:szCs w:val="24"/>
          <w:lang w:eastAsia="en-GB"/>
          <w14:ligatures w14:val="none"/>
        </w:rPr>
        <w:t xml:space="preserve"> </w:t>
      </w:r>
      <w:r w:rsidR="00EC5AC0" w:rsidRPr="004331E0">
        <w:rPr>
          <w:rFonts w:asciiTheme="majorHAnsi" w:eastAsia="Times New Roman" w:hAnsiTheme="majorHAnsi" w:cstheme="majorHAnsi"/>
          <w:kern w:val="0"/>
          <w:sz w:val="24"/>
          <w:szCs w:val="24"/>
          <w:lang w:eastAsia="en-GB"/>
          <w14:ligatures w14:val="none"/>
        </w:rPr>
        <w:t xml:space="preserve">(2015) </w:t>
      </w:r>
      <w:r w:rsidR="005A311E" w:rsidRPr="004331E0">
        <w:rPr>
          <w:rFonts w:asciiTheme="majorHAnsi" w:eastAsia="Times New Roman" w:hAnsiTheme="majorHAnsi" w:cstheme="majorHAnsi"/>
          <w:kern w:val="0"/>
          <w:sz w:val="24"/>
          <w:szCs w:val="24"/>
          <w:lang w:eastAsia="en-GB"/>
          <w14:ligatures w14:val="none"/>
        </w:rPr>
        <w:t>propose</w:t>
      </w:r>
      <w:r w:rsidR="005A311E" w:rsidRPr="004331E0">
        <w:rPr>
          <w:rFonts w:asciiTheme="majorHAnsi" w:eastAsia="Times New Roman" w:hAnsiTheme="majorHAnsi" w:cstheme="majorHAnsi"/>
          <w:kern w:val="0"/>
          <w:sz w:val="24"/>
          <w:szCs w:val="24"/>
          <w:lang w:eastAsia="en-GB"/>
          <w14:ligatures w14:val="none"/>
        </w:rPr>
        <w:t xml:space="preserve"> t</w:t>
      </w:r>
      <w:r w:rsidR="005A311E" w:rsidRPr="004331E0">
        <w:rPr>
          <w:rFonts w:asciiTheme="majorHAnsi" w:eastAsia="Times New Roman" w:hAnsiTheme="majorHAnsi" w:cstheme="majorHAnsi"/>
          <w:kern w:val="0"/>
          <w:sz w:val="24"/>
          <w:szCs w:val="24"/>
          <w:lang w:eastAsia="en-GB"/>
          <w14:ligatures w14:val="none"/>
        </w:rPr>
        <w:t xml:space="preserve">hat </w:t>
      </w:r>
      <w:r w:rsidRPr="004331E0">
        <w:rPr>
          <w:rFonts w:asciiTheme="majorHAnsi" w:eastAsia="Times New Roman" w:hAnsiTheme="majorHAnsi" w:cstheme="majorHAnsi"/>
          <w:kern w:val="0"/>
          <w:sz w:val="24"/>
          <w:szCs w:val="24"/>
          <w:lang w:eastAsia="en-GB"/>
          <w14:ligatures w14:val="none"/>
        </w:rPr>
        <w:t>many countries face significant challenges in providing accessible care for this vulnerable population due to resource constraints and societal attitudes.</w:t>
      </w:r>
    </w:p>
    <w:p w14:paraId="10B2C846" w14:textId="74BA69AA" w:rsidR="00267506" w:rsidRPr="004331E0" w:rsidRDefault="00394990" w:rsidP="004331E0">
      <w:pPr>
        <w:spacing w:before="100" w:beforeAutospacing="1" w:after="100" w:afterAutospacing="1" w:line="240" w:lineRule="auto"/>
        <w:rPr>
          <w:rFonts w:asciiTheme="majorHAnsi" w:eastAsia="Times New Roman" w:hAnsiTheme="majorHAnsi" w:cstheme="majorHAnsi"/>
          <w:kern w:val="0"/>
          <w:sz w:val="24"/>
          <w:szCs w:val="24"/>
          <w:lang w:eastAsia="en-GB"/>
          <w14:ligatures w14:val="none"/>
        </w:rPr>
      </w:pPr>
      <w:r w:rsidRPr="004331E0">
        <w:rPr>
          <w:rFonts w:asciiTheme="majorHAnsi" w:hAnsiTheme="majorHAnsi" w:cstheme="majorHAnsi"/>
          <w:sz w:val="24"/>
          <w:szCs w:val="24"/>
        </w:rPr>
        <w:t>Division</w:t>
      </w:r>
      <w:r w:rsidRPr="004331E0">
        <w:rPr>
          <w:rFonts w:asciiTheme="majorHAnsi" w:hAnsiTheme="majorHAnsi" w:cstheme="majorHAnsi"/>
          <w:sz w:val="24"/>
          <w:szCs w:val="24"/>
        </w:rPr>
        <w:t xml:space="preserve"> </w:t>
      </w:r>
      <w:r w:rsidR="00411504" w:rsidRPr="004331E0">
        <w:rPr>
          <w:rFonts w:asciiTheme="majorHAnsi" w:hAnsiTheme="majorHAnsi" w:cstheme="majorHAnsi"/>
          <w:sz w:val="24"/>
          <w:szCs w:val="24"/>
        </w:rPr>
        <w:t>(</w:t>
      </w:r>
      <w:r w:rsidRPr="004331E0">
        <w:rPr>
          <w:rFonts w:asciiTheme="majorHAnsi" w:hAnsiTheme="majorHAnsi" w:cstheme="majorHAnsi"/>
          <w:sz w:val="24"/>
          <w:szCs w:val="24"/>
        </w:rPr>
        <w:t>2015)</w:t>
      </w:r>
      <w:r w:rsidRPr="004331E0">
        <w:rPr>
          <w:rFonts w:asciiTheme="majorHAnsi" w:eastAsia="Times New Roman" w:hAnsiTheme="majorHAnsi" w:cstheme="majorHAnsi"/>
          <w:kern w:val="0"/>
          <w:sz w:val="24"/>
          <w:szCs w:val="24"/>
          <w:lang w:eastAsia="en-GB"/>
          <w14:ligatures w14:val="none"/>
        </w:rPr>
        <w:t xml:space="preserve"> </w:t>
      </w:r>
      <w:r w:rsidR="001F58CC" w:rsidRPr="004331E0">
        <w:rPr>
          <w:rFonts w:asciiTheme="majorHAnsi" w:eastAsia="Times New Roman" w:hAnsiTheme="majorHAnsi" w:cstheme="majorHAnsi"/>
          <w:kern w:val="0"/>
          <w:sz w:val="24"/>
          <w:szCs w:val="24"/>
          <w:lang w:eastAsia="en-GB"/>
          <w14:ligatures w14:val="none"/>
        </w:rPr>
        <w:t xml:space="preserve">implies </w:t>
      </w:r>
      <w:r w:rsidR="00411504" w:rsidRPr="004331E0">
        <w:rPr>
          <w:rFonts w:asciiTheme="majorHAnsi" w:eastAsia="Times New Roman" w:hAnsiTheme="majorHAnsi" w:cstheme="majorHAnsi"/>
          <w:kern w:val="0"/>
          <w:sz w:val="24"/>
          <w:szCs w:val="24"/>
          <w:lang w:eastAsia="en-GB"/>
          <w14:ligatures w14:val="none"/>
        </w:rPr>
        <w:t>that</w:t>
      </w:r>
      <w:r w:rsidR="001F58CC" w:rsidRPr="004331E0">
        <w:rPr>
          <w:rFonts w:asciiTheme="majorHAnsi" w:eastAsia="Times New Roman" w:hAnsiTheme="majorHAnsi" w:cstheme="majorHAnsi"/>
          <w:kern w:val="0"/>
          <w:sz w:val="24"/>
          <w:szCs w:val="24"/>
          <w:lang w:eastAsia="en-GB"/>
          <w14:ligatures w14:val="none"/>
        </w:rPr>
        <w:t xml:space="preserve"> </w:t>
      </w:r>
      <w:r w:rsidR="00411504" w:rsidRPr="004331E0">
        <w:rPr>
          <w:rFonts w:asciiTheme="majorHAnsi" w:eastAsia="Times New Roman" w:hAnsiTheme="majorHAnsi" w:cstheme="majorHAnsi"/>
          <w:kern w:val="0"/>
          <w:sz w:val="24"/>
          <w:szCs w:val="24"/>
          <w:lang w:eastAsia="en-GB"/>
          <w14:ligatures w14:val="none"/>
        </w:rPr>
        <w:t>t</w:t>
      </w:r>
      <w:r w:rsidR="00267506" w:rsidRPr="004331E0">
        <w:rPr>
          <w:rFonts w:asciiTheme="majorHAnsi" w:eastAsia="Times New Roman" w:hAnsiTheme="majorHAnsi" w:cstheme="majorHAnsi"/>
          <w:kern w:val="0"/>
          <w:sz w:val="24"/>
          <w:szCs w:val="24"/>
          <w:lang w:eastAsia="en-GB"/>
          <w14:ligatures w14:val="none"/>
        </w:rPr>
        <w:t>o effectively address these global disparities, governments, non-governmental organisations (NGOs), international bodies such as the World Health Organisation (WHO), geriatric care academic institutions, and private sector entities must work together. Joint efforts can be directed towards developing training programmes for healthcare professionals, raising awareness about dementia in communities, and advocating for policy changes that prioritise the needs of older people with dementia</w:t>
      </w:r>
      <w:r w:rsidR="00F36814" w:rsidRPr="004331E0">
        <w:rPr>
          <w:rFonts w:asciiTheme="majorHAnsi" w:eastAsia="Times New Roman" w:hAnsiTheme="majorHAnsi" w:cstheme="majorHAnsi"/>
          <w:kern w:val="0"/>
          <w:sz w:val="24"/>
          <w:szCs w:val="24"/>
          <w:lang w:eastAsia="en-GB"/>
          <w14:ligatures w14:val="none"/>
        </w:rPr>
        <w:t xml:space="preserve"> (Department of Health, 2009;</w:t>
      </w:r>
      <w:r w:rsidR="00F36814" w:rsidRPr="004331E0">
        <w:rPr>
          <w:rFonts w:asciiTheme="majorHAnsi" w:eastAsia="Times New Roman" w:hAnsiTheme="majorHAnsi" w:cstheme="majorHAnsi"/>
          <w:kern w:val="0"/>
          <w:sz w:val="24"/>
          <w:szCs w:val="24"/>
          <w:lang w:eastAsia="en-GB"/>
          <w14:ligatures w14:val="none"/>
        </w:rPr>
        <w:t xml:space="preserve"> </w:t>
      </w:r>
      <w:r w:rsidR="00667F15" w:rsidRPr="004331E0">
        <w:rPr>
          <w:rFonts w:asciiTheme="majorHAnsi" w:hAnsiTheme="majorHAnsi" w:cstheme="majorHAnsi"/>
          <w:sz w:val="24"/>
          <w:szCs w:val="24"/>
        </w:rPr>
        <w:t>Dep</w:t>
      </w:r>
      <w:r w:rsidR="00667F15" w:rsidRPr="004331E0">
        <w:rPr>
          <w:rFonts w:asciiTheme="majorHAnsi" w:hAnsiTheme="majorHAnsi" w:cstheme="majorHAnsi"/>
          <w:sz w:val="24"/>
          <w:szCs w:val="24"/>
        </w:rPr>
        <w:t>artment of Health, 2016)</w:t>
      </w:r>
      <w:r w:rsidR="00267506" w:rsidRPr="004331E0">
        <w:rPr>
          <w:rFonts w:asciiTheme="majorHAnsi" w:eastAsia="Times New Roman" w:hAnsiTheme="majorHAnsi" w:cstheme="majorHAnsi"/>
          <w:kern w:val="0"/>
          <w:sz w:val="24"/>
          <w:szCs w:val="24"/>
          <w:lang w:eastAsia="en-GB"/>
          <w14:ligatures w14:val="none"/>
        </w:rPr>
        <w:t>.</w:t>
      </w:r>
    </w:p>
    <w:p w14:paraId="7B0AC202" w14:textId="38B0512B" w:rsidR="00267506" w:rsidRPr="004331E0" w:rsidRDefault="005D6CCD" w:rsidP="004331E0">
      <w:pPr>
        <w:spacing w:before="100" w:beforeAutospacing="1" w:after="100" w:afterAutospacing="1" w:line="240" w:lineRule="auto"/>
        <w:rPr>
          <w:rFonts w:asciiTheme="majorHAnsi" w:eastAsia="Times New Roman" w:hAnsiTheme="majorHAnsi" w:cstheme="majorHAnsi"/>
          <w:kern w:val="0"/>
          <w:sz w:val="24"/>
          <w:szCs w:val="24"/>
          <w:lang w:eastAsia="en-GB"/>
          <w14:ligatures w14:val="none"/>
        </w:rPr>
      </w:pPr>
      <w:r w:rsidRPr="004331E0">
        <w:rPr>
          <w:rFonts w:asciiTheme="majorHAnsi" w:eastAsia="Times New Roman" w:hAnsiTheme="majorHAnsi" w:cstheme="majorHAnsi"/>
          <w:kern w:val="0"/>
          <w:sz w:val="24"/>
          <w:szCs w:val="24"/>
          <w:lang w:eastAsia="en-GB"/>
          <w14:ligatures w14:val="none"/>
        </w:rPr>
        <w:t xml:space="preserve">World Health Organization (2023) </w:t>
      </w:r>
      <w:r w:rsidR="009D3BD1" w:rsidRPr="004331E0">
        <w:rPr>
          <w:rFonts w:asciiTheme="majorHAnsi" w:eastAsia="Times New Roman" w:hAnsiTheme="majorHAnsi" w:cstheme="majorHAnsi"/>
          <w:kern w:val="0"/>
          <w:sz w:val="24"/>
          <w:szCs w:val="24"/>
          <w:lang w:eastAsia="en-GB"/>
          <w14:ligatures w14:val="none"/>
        </w:rPr>
        <w:t>indicate w</w:t>
      </w:r>
      <w:r w:rsidR="00267506" w:rsidRPr="004331E0">
        <w:rPr>
          <w:rFonts w:asciiTheme="majorHAnsi" w:eastAsia="Times New Roman" w:hAnsiTheme="majorHAnsi" w:cstheme="majorHAnsi"/>
          <w:kern w:val="0"/>
          <w:sz w:val="24"/>
          <w:szCs w:val="24"/>
          <w:lang w:eastAsia="en-GB"/>
          <w14:ligatures w14:val="none"/>
        </w:rPr>
        <w:t>hile Wales and the United Kingdom have made commendable strides in improving the availability and accessibility of support services for older people with dementia, there are significant differences across the globe. It is essential to critically evaluate these disparities to ensure that people living with dementia receive the care and support they require, regardless of their geographic location or socioeconomic status.</w:t>
      </w:r>
    </w:p>
    <w:p w14:paraId="18439597" w14:textId="4D1C1DE6" w:rsidR="00767DFB" w:rsidRPr="004331E0" w:rsidRDefault="00D036DE" w:rsidP="004331E0">
      <w:pPr>
        <w:spacing w:before="100" w:beforeAutospacing="1" w:after="100" w:afterAutospacing="1" w:line="240" w:lineRule="auto"/>
        <w:rPr>
          <w:rFonts w:asciiTheme="majorHAnsi" w:eastAsia="Times New Roman" w:hAnsiTheme="majorHAnsi" w:cstheme="majorHAnsi"/>
          <w:kern w:val="0"/>
          <w:sz w:val="24"/>
          <w:szCs w:val="24"/>
          <w:lang w:eastAsia="en-GB"/>
          <w14:ligatures w14:val="none"/>
        </w:rPr>
      </w:pPr>
      <w:r w:rsidRPr="004331E0">
        <w:rPr>
          <w:rFonts w:asciiTheme="majorHAnsi" w:hAnsiTheme="majorHAnsi" w:cstheme="majorHAnsi"/>
          <w:sz w:val="24"/>
          <w:szCs w:val="24"/>
        </w:rPr>
        <w:t xml:space="preserve">The Welsh Government, </w:t>
      </w:r>
      <w:r w:rsidR="00EF29A3" w:rsidRPr="004331E0">
        <w:rPr>
          <w:rFonts w:asciiTheme="majorHAnsi" w:hAnsiTheme="majorHAnsi" w:cstheme="majorHAnsi"/>
          <w:sz w:val="24"/>
          <w:szCs w:val="24"/>
        </w:rPr>
        <w:t>(</w:t>
      </w:r>
      <w:r w:rsidRPr="004331E0">
        <w:rPr>
          <w:rFonts w:asciiTheme="majorHAnsi" w:hAnsiTheme="majorHAnsi" w:cstheme="majorHAnsi"/>
          <w:sz w:val="24"/>
          <w:szCs w:val="24"/>
        </w:rPr>
        <w:t>2024</w:t>
      </w:r>
      <w:r w:rsidR="004B5C7F" w:rsidRPr="004331E0">
        <w:rPr>
          <w:rFonts w:asciiTheme="majorHAnsi" w:hAnsiTheme="majorHAnsi" w:cstheme="majorHAnsi"/>
          <w:sz w:val="24"/>
          <w:szCs w:val="24"/>
        </w:rPr>
        <w:t>a</w:t>
      </w:r>
      <w:r w:rsidRPr="004331E0">
        <w:rPr>
          <w:rFonts w:asciiTheme="majorHAnsi" w:hAnsiTheme="majorHAnsi" w:cstheme="majorHAnsi"/>
          <w:sz w:val="24"/>
          <w:szCs w:val="24"/>
        </w:rPr>
        <w:t>)</w:t>
      </w:r>
      <w:r w:rsidR="00C75E42" w:rsidRPr="004331E0">
        <w:rPr>
          <w:rFonts w:asciiTheme="majorHAnsi" w:hAnsiTheme="majorHAnsi" w:cstheme="majorHAnsi"/>
          <w:sz w:val="24"/>
          <w:szCs w:val="24"/>
        </w:rPr>
        <w:t>,</w:t>
      </w:r>
      <w:r w:rsidR="00D94527" w:rsidRPr="004331E0">
        <w:rPr>
          <w:rFonts w:asciiTheme="majorHAnsi" w:hAnsiTheme="majorHAnsi" w:cstheme="majorHAnsi"/>
          <w:sz w:val="24"/>
          <w:szCs w:val="24"/>
        </w:rPr>
        <w:t xml:space="preserve"> Organisation for Economic Co-operation and Development, </w:t>
      </w:r>
      <w:r w:rsidR="00C75E42" w:rsidRPr="004331E0">
        <w:rPr>
          <w:rFonts w:asciiTheme="majorHAnsi" w:hAnsiTheme="majorHAnsi" w:cstheme="majorHAnsi"/>
          <w:sz w:val="24"/>
          <w:szCs w:val="24"/>
        </w:rPr>
        <w:t>(</w:t>
      </w:r>
      <w:r w:rsidR="00D94527" w:rsidRPr="004331E0">
        <w:rPr>
          <w:rFonts w:asciiTheme="majorHAnsi" w:hAnsiTheme="majorHAnsi" w:cstheme="majorHAnsi"/>
          <w:sz w:val="24"/>
          <w:szCs w:val="24"/>
        </w:rPr>
        <w:t>2024)</w:t>
      </w:r>
      <w:r w:rsidR="00F55FF2" w:rsidRPr="004331E0">
        <w:rPr>
          <w:rFonts w:asciiTheme="majorHAnsi" w:hAnsiTheme="majorHAnsi" w:cstheme="majorHAnsi"/>
          <w:sz w:val="24"/>
          <w:szCs w:val="24"/>
        </w:rPr>
        <w:t xml:space="preserve"> and </w:t>
      </w:r>
      <w:r w:rsidR="00EF29A3" w:rsidRPr="004331E0">
        <w:rPr>
          <w:rFonts w:asciiTheme="majorHAnsi" w:hAnsiTheme="majorHAnsi" w:cstheme="majorHAnsi"/>
          <w:sz w:val="24"/>
          <w:szCs w:val="24"/>
        </w:rPr>
        <w:t xml:space="preserve">The United Nations, </w:t>
      </w:r>
      <w:r w:rsidR="00C75E42" w:rsidRPr="004331E0">
        <w:rPr>
          <w:rFonts w:asciiTheme="majorHAnsi" w:hAnsiTheme="majorHAnsi" w:cstheme="majorHAnsi"/>
          <w:sz w:val="24"/>
          <w:szCs w:val="24"/>
        </w:rPr>
        <w:t>(</w:t>
      </w:r>
      <w:r w:rsidR="00EF29A3" w:rsidRPr="004331E0">
        <w:rPr>
          <w:rFonts w:asciiTheme="majorHAnsi" w:hAnsiTheme="majorHAnsi" w:cstheme="majorHAnsi"/>
          <w:sz w:val="24"/>
          <w:szCs w:val="24"/>
        </w:rPr>
        <w:t>2024)</w:t>
      </w:r>
      <w:r w:rsidR="00C75E42" w:rsidRPr="004331E0">
        <w:rPr>
          <w:rFonts w:asciiTheme="majorHAnsi" w:hAnsiTheme="majorHAnsi" w:cstheme="majorHAnsi"/>
          <w:sz w:val="24"/>
          <w:szCs w:val="24"/>
        </w:rPr>
        <w:t xml:space="preserve"> share</w:t>
      </w:r>
      <w:r w:rsidR="00C75E42" w:rsidRPr="004331E0">
        <w:rPr>
          <w:rFonts w:asciiTheme="majorHAnsi" w:eastAsia="Times New Roman" w:hAnsiTheme="majorHAnsi" w:cstheme="majorHAnsi"/>
          <w:kern w:val="0"/>
          <w:sz w:val="24"/>
          <w:szCs w:val="24"/>
          <w:lang w:eastAsia="en-GB"/>
          <w14:ligatures w14:val="none"/>
        </w:rPr>
        <w:t xml:space="preserve"> t</w:t>
      </w:r>
      <w:r w:rsidR="00767DFB" w:rsidRPr="004331E0">
        <w:rPr>
          <w:rFonts w:asciiTheme="majorHAnsi" w:eastAsia="Times New Roman" w:hAnsiTheme="majorHAnsi" w:cstheme="majorHAnsi"/>
          <w:kern w:val="0"/>
          <w:sz w:val="24"/>
          <w:szCs w:val="24"/>
          <w:lang w:eastAsia="en-GB"/>
          <w14:ligatures w14:val="none"/>
        </w:rPr>
        <w:t>he quality of caregiving for older people with dementia varies significantly between Wales, the United Kingdom, and the global context. In Wales, the provision of services for people with dementia is commendable, but there are still some challenges. The Welsh government has launched several initiatives to improve care quality, including National Dementia Strategies and specialist services. These efforts have raised public awareness and understanding of dementia, resulting in better access to services and support for those affected. Despite these encouraging developments, there are concerns about the availability and cost of specialised care facilities in rural areas.</w:t>
      </w:r>
    </w:p>
    <w:p w14:paraId="780E7A94" w14:textId="2E2C2F63" w:rsidR="00767DFB" w:rsidRPr="004331E0" w:rsidRDefault="00767DFB" w:rsidP="004331E0">
      <w:pPr>
        <w:spacing w:before="100" w:beforeAutospacing="1" w:after="100" w:afterAutospacing="1" w:line="240" w:lineRule="auto"/>
        <w:rPr>
          <w:rFonts w:asciiTheme="majorHAnsi" w:eastAsia="Times New Roman" w:hAnsiTheme="majorHAnsi" w:cstheme="majorHAnsi"/>
          <w:kern w:val="0"/>
          <w:sz w:val="24"/>
          <w:szCs w:val="24"/>
          <w:lang w:eastAsia="en-GB"/>
          <w14:ligatures w14:val="none"/>
        </w:rPr>
      </w:pPr>
      <w:r w:rsidRPr="004331E0">
        <w:rPr>
          <w:rFonts w:asciiTheme="majorHAnsi" w:eastAsia="Times New Roman" w:hAnsiTheme="majorHAnsi" w:cstheme="majorHAnsi"/>
          <w:kern w:val="0"/>
          <w:sz w:val="24"/>
          <w:szCs w:val="24"/>
          <w:lang w:eastAsia="en-GB"/>
          <w14:ligatures w14:val="none"/>
        </w:rPr>
        <w:lastRenderedPageBreak/>
        <w:t>In comparison to Wales, other parts of the United Kingdom have a more advanced system for providing services to elderly people with dementia. The UK government has invested heavily in dementia-related research and development. This has resulted in novel approaches such as day centres, which provide comprehensive assessments and interventions tailored to individual needs</w:t>
      </w:r>
      <w:r w:rsidR="007D1057" w:rsidRPr="004331E0">
        <w:rPr>
          <w:rFonts w:asciiTheme="majorHAnsi" w:hAnsiTheme="majorHAnsi" w:cstheme="majorHAnsi"/>
          <w:sz w:val="24"/>
          <w:szCs w:val="24"/>
        </w:rPr>
        <w:t xml:space="preserve"> </w:t>
      </w:r>
      <w:r w:rsidR="007D1057" w:rsidRPr="004331E0">
        <w:rPr>
          <w:rFonts w:asciiTheme="majorHAnsi" w:eastAsia="Times New Roman" w:hAnsiTheme="majorHAnsi" w:cstheme="majorHAnsi"/>
          <w:kern w:val="0"/>
          <w:sz w:val="24"/>
          <w:szCs w:val="24"/>
          <w:lang w:eastAsia="en-GB"/>
          <w14:ligatures w14:val="none"/>
        </w:rPr>
        <w:t>(Lewis et al., 2014)</w:t>
      </w:r>
      <w:r w:rsidRPr="004331E0">
        <w:rPr>
          <w:rFonts w:asciiTheme="majorHAnsi" w:eastAsia="Times New Roman" w:hAnsiTheme="majorHAnsi" w:cstheme="majorHAnsi"/>
          <w:kern w:val="0"/>
          <w:sz w:val="24"/>
          <w:szCs w:val="24"/>
          <w:lang w:eastAsia="en-GB"/>
          <w14:ligatures w14:val="none"/>
        </w:rPr>
        <w:t xml:space="preserve">. Furthermore, </w:t>
      </w:r>
      <w:r w:rsidR="00A617A4" w:rsidRPr="004331E0">
        <w:rPr>
          <w:rFonts w:asciiTheme="majorHAnsi" w:eastAsia="Times New Roman" w:hAnsiTheme="majorHAnsi" w:cstheme="majorHAnsi"/>
          <w:kern w:val="0"/>
          <w:sz w:val="24"/>
          <w:szCs w:val="24"/>
          <w:lang w:eastAsia="en-GB"/>
          <w14:ligatures w14:val="none"/>
        </w:rPr>
        <w:t xml:space="preserve">Ji, (2023) </w:t>
      </w:r>
      <w:r w:rsidR="008273EA" w:rsidRPr="004331E0">
        <w:rPr>
          <w:rFonts w:asciiTheme="majorHAnsi" w:eastAsia="Times New Roman" w:hAnsiTheme="majorHAnsi" w:cstheme="majorHAnsi"/>
          <w:kern w:val="0"/>
          <w:sz w:val="24"/>
          <w:szCs w:val="24"/>
          <w:lang w:eastAsia="en-GB"/>
          <w14:ligatures w14:val="none"/>
        </w:rPr>
        <w:t xml:space="preserve">explains </w:t>
      </w:r>
      <w:r w:rsidRPr="004331E0">
        <w:rPr>
          <w:rFonts w:asciiTheme="majorHAnsi" w:eastAsia="Times New Roman" w:hAnsiTheme="majorHAnsi" w:cstheme="majorHAnsi"/>
          <w:kern w:val="0"/>
          <w:sz w:val="24"/>
          <w:szCs w:val="24"/>
          <w:lang w:eastAsia="en-GB"/>
          <w14:ligatures w14:val="none"/>
        </w:rPr>
        <w:t>there is a strong emphasis on educating healthcare professionals about dementia care through specialised courses and certifications. As a result, caregiving in the United Kingdom is generally of higher quality than in Wales. Despite these encouraging developments, there are concerns about the availability and cost of specialised care facilities in rural areas.</w:t>
      </w:r>
    </w:p>
    <w:p w14:paraId="2FE2DCE8" w14:textId="1BD39A68" w:rsidR="00767DFB" w:rsidRPr="004331E0" w:rsidRDefault="00767DFB" w:rsidP="004331E0">
      <w:pPr>
        <w:spacing w:before="100" w:beforeAutospacing="1" w:after="100" w:afterAutospacing="1" w:line="240" w:lineRule="auto"/>
        <w:rPr>
          <w:rFonts w:asciiTheme="majorHAnsi" w:eastAsia="Times New Roman" w:hAnsiTheme="majorHAnsi" w:cstheme="majorHAnsi"/>
          <w:kern w:val="0"/>
          <w:sz w:val="24"/>
          <w:szCs w:val="24"/>
          <w:lang w:eastAsia="en-GB"/>
          <w14:ligatures w14:val="none"/>
        </w:rPr>
      </w:pPr>
      <w:r w:rsidRPr="004331E0">
        <w:rPr>
          <w:rFonts w:asciiTheme="majorHAnsi" w:eastAsia="Times New Roman" w:hAnsiTheme="majorHAnsi" w:cstheme="majorHAnsi"/>
          <w:kern w:val="0"/>
          <w:sz w:val="24"/>
          <w:szCs w:val="24"/>
          <w:lang w:eastAsia="en-GB"/>
          <w14:ligatures w14:val="none"/>
        </w:rPr>
        <w:t>Globally, differences in socioeconomic status between countries cause variations in the quality of caregiving for older people with dementia. Developed countries frequently have greater resources and infrastructure dedicated to elderly care than developing or underdeveloped countries. For example, Japan has implemented novel models of elderly care that emphasise community support systems as well as residential facilities specifically designed for people with dementia</w:t>
      </w:r>
      <w:r w:rsidR="00C82A8B" w:rsidRPr="004331E0">
        <w:rPr>
          <w:rFonts w:asciiTheme="majorHAnsi" w:hAnsiTheme="majorHAnsi" w:cstheme="majorHAnsi"/>
          <w:sz w:val="24"/>
          <w:szCs w:val="24"/>
        </w:rPr>
        <w:t xml:space="preserve"> (</w:t>
      </w:r>
      <w:proofErr w:type="spellStart"/>
      <w:r w:rsidR="00C82A8B" w:rsidRPr="004331E0">
        <w:rPr>
          <w:rFonts w:asciiTheme="majorHAnsi" w:hAnsiTheme="majorHAnsi" w:cstheme="majorHAnsi"/>
          <w:sz w:val="24"/>
          <w:szCs w:val="24"/>
        </w:rPr>
        <w:t>McMaughan</w:t>
      </w:r>
      <w:proofErr w:type="spellEnd"/>
      <w:r w:rsidR="00C82A8B" w:rsidRPr="004331E0">
        <w:rPr>
          <w:rFonts w:asciiTheme="majorHAnsi" w:hAnsiTheme="majorHAnsi" w:cstheme="majorHAnsi"/>
          <w:sz w:val="24"/>
          <w:szCs w:val="24"/>
        </w:rPr>
        <w:t xml:space="preserve">, </w:t>
      </w:r>
      <w:proofErr w:type="spellStart"/>
      <w:r w:rsidR="00C82A8B" w:rsidRPr="004331E0">
        <w:rPr>
          <w:rFonts w:asciiTheme="majorHAnsi" w:hAnsiTheme="majorHAnsi" w:cstheme="majorHAnsi"/>
          <w:sz w:val="24"/>
          <w:szCs w:val="24"/>
        </w:rPr>
        <w:t>Oloruntoba</w:t>
      </w:r>
      <w:proofErr w:type="spellEnd"/>
      <w:r w:rsidR="00C82A8B" w:rsidRPr="004331E0">
        <w:rPr>
          <w:rFonts w:asciiTheme="majorHAnsi" w:hAnsiTheme="majorHAnsi" w:cstheme="majorHAnsi"/>
          <w:sz w:val="24"/>
          <w:szCs w:val="24"/>
        </w:rPr>
        <w:t xml:space="preserve"> and Smith, 2020)</w:t>
      </w:r>
      <w:r w:rsidRPr="004331E0">
        <w:rPr>
          <w:rFonts w:asciiTheme="majorHAnsi" w:eastAsia="Times New Roman" w:hAnsiTheme="majorHAnsi" w:cstheme="majorHAnsi"/>
          <w:kern w:val="0"/>
          <w:sz w:val="24"/>
          <w:szCs w:val="24"/>
          <w:lang w:eastAsia="en-GB"/>
          <w14:ligatures w14:val="none"/>
        </w:rPr>
        <w:t>.</w:t>
      </w:r>
      <w:r w:rsidR="00165FC9" w:rsidRPr="004331E0">
        <w:rPr>
          <w:rFonts w:asciiTheme="majorHAnsi" w:eastAsia="Times New Roman" w:hAnsiTheme="majorHAnsi" w:cstheme="majorHAnsi"/>
          <w:kern w:val="0"/>
          <w:sz w:val="24"/>
          <w:szCs w:val="24"/>
          <w:lang w:eastAsia="en-GB"/>
          <w14:ligatures w14:val="none"/>
        </w:rPr>
        <w:t xml:space="preserve"> </w:t>
      </w:r>
      <w:r w:rsidRPr="004331E0">
        <w:rPr>
          <w:rFonts w:asciiTheme="majorHAnsi" w:eastAsia="Times New Roman" w:hAnsiTheme="majorHAnsi" w:cstheme="majorHAnsi"/>
          <w:kern w:val="0"/>
          <w:sz w:val="24"/>
          <w:szCs w:val="24"/>
          <w:lang w:eastAsia="en-GB"/>
          <w14:ligatures w14:val="none"/>
        </w:rPr>
        <w:t>However, many low-income countries face significant challenges in providing adequate care for older people with dementia due to limited resources and carers' lack of awareness about the condition. In these situations, families frequently bear the majority of the caregiving responsibilities without receiving adequate support from healthcare systems or social welfare programmes</w:t>
      </w:r>
      <w:r w:rsidR="00D00412" w:rsidRPr="004331E0">
        <w:rPr>
          <w:rFonts w:asciiTheme="majorHAnsi" w:hAnsiTheme="majorHAnsi" w:cstheme="majorHAnsi"/>
          <w:sz w:val="24"/>
          <w:szCs w:val="24"/>
        </w:rPr>
        <w:t xml:space="preserve"> </w:t>
      </w:r>
      <w:r w:rsidR="00D00412" w:rsidRPr="004331E0">
        <w:rPr>
          <w:rFonts w:asciiTheme="majorHAnsi" w:eastAsia="Times New Roman" w:hAnsiTheme="majorHAnsi" w:cstheme="majorHAnsi"/>
          <w:kern w:val="0"/>
          <w:sz w:val="24"/>
          <w:szCs w:val="24"/>
          <w:lang w:eastAsia="en-GB"/>
          <w14:ligatures w14:val="none"/>
        </w:rPr>
        <w:t>(Age International , 2024)</w:t>
      </w:r>
      <w:r w:rsidRPr="004331E0">
        <w:rPr>
          <w:rFonts w:asciiTheme="majorHAnsi" w:eastAsia="Times New Roman" w:hAnsiTheme="majorHAnsi" w:cstheme="majorHAnsi"/>
          <w:kern w:val="0"/>
          <w:sz w:val="24"/>
          <w:szCs w:val="24"/>
          <w:lang w:eastAsia="en-GB"/>
          <w14:ligatures w14:val="none"/>
        </w:rPr>
        <w:t>.</w:t>
      </w:r>
    </w:p>
    <w:p w14:paraId="6678808C" w14:textId="23ED046D" w:rsidR="00767DFB" w:rsidRPr="004331E0" w:rsidRDefault="00767DFB" w:rsidP="004331E0">
      <w:pPr>
        <w:spacing w:before="100" w:beforeAutospacing="1" w:after="100" w:afterAutospacing="1" w:line="240" w:lineRule="auto"/>
        <w:rPr>
          <w:rFonts w:asciiTheme="majorHAnsi" w:eastAsia="Times New Roman" w:hAnsiTheme="majorHAnsi" w:cstheme="majorHAnsi"/>
          <w:kern w:val="0"/>
          <w:sz w:val="24"/>
          <w:szCs w:val="24"/>
          <w:lang w:eastAsia="en-GB"/>
          <w14:ligatures w14:val="none"/>
        </w:rPr>
      </w:pPr>
      <w:r w:rsidRPr="004331E0">
        <w:rPr>
          <w:rFonts w:asciiTheme="majorHAnsi" w:eastAsia="Times New Roman" w:hAnsiTheme="majorHAnsi" w:cstheme="majorHAnsi"/>
          <w:kern w:val="0"/>
          <w:sz w:val="24"/>
          <w:szCs w:val="24"/>
          <w:lang w:eastAsia="en-GB"/>
          <w14:ligatures w14:val="none"/>
        </w:rPr>
        <w:t xml:space="preserve">Furthermore </w:t>
      </w:r>
      <w:r w:rsidR="0049521E" w:rsidRPr="004331E0">
        <w:rPr>
          <w:rFonts w:asciiTheme="majorHAnsi" w:hAnsiTheme="majorHAnsi" w:cstheme="majorHAnsi"/>
          <w:sz w:val="24"/>
          <w:szCs w:val="24"/>
        </w:rPr>
        <w:t>Wiglesworth et al. (2010) share concerns that</w:t>
      </w:r>
      <w:r w:rsidRPr="004331E0">
        <w:rPr>
          <w:rFonts w:asciiTheme="majorHAnsi" w:eastAsia="Times New Roman" w:hAnsiTheme="majorHAnsi" w:cstheme="majorHAnsi"/>
          <w:kern w:val="0"/>
          <w:sz w:val="24"/>
          <w:szCs w:val="24"/>
          <w:lang w:eastAsia="en-GB"/>
          <w14:ligatures w14:val="none"/>
        </w:rPr>
        <w:t xml:space="preserve"> cultural attitudes towards ageing and mental health affect the quality of caregiving around the world. Individuals with dementia may be neglected or mistreated in societies where stigma and discrimination against mental health prevail. On the other hand, cultures that encourage intergenerational living tend to have better support systems for older people with dementia because they can rely on family members for caregiving.</w:t>
      </w:r>
    </w:p>
    <w:p w14:paraId="7BACBFFF" w14:textId="49CA2A35" w:rsidR="00767DFB" w:rsidRPr="004331E0" w:rsidRDefault="00767DFB" w:rsidP="004331E0">
      <w:pPr>
        <w:spacing w:beforeAutospacing="1" w:afterAutospacing="1" w:line="240" w:lineRule="auto"/>
        <w:rPr>
          <w:rFonts w:asciiTheme="majorHAnsi" w:eastAsia="Times New Roman" w:hAnsiTheme="majorHAnsi" w:cstheme="majorHAnsi"/>
          <w:sz w:val="24"/>
          <w:szCs w:val="24"/>
          <w:lang w:eastAsia="en-GB"/>
        </w:rPr>
      </w:pPr>
      <w:r w:rsidRPr="004331E0">
        <w:rPr>
          <w:rFonts w:asciiTheme="majorHAnsi" w:eastAsia="Times New Roman" w:hAnsiTheme="majorHAnsi" w:cstheme="majorHAnsi"/>
          <w:kern w:val="0"/>
          <w:sz w:val="24"/>
          <w:szCs w:val="24"/>
          <w:lang w:eastAsia="en-GB"/>
          <w14:ligatures w14:val="none"/>
        </w:rPr>
        <w:t xml:space="preserve">The quality of caregiving for older people with dementia varies across Wales, the United Kingdom, and the world. While Wales has made significant progress in improving access to services, there are still challenges to ensuring the availability and affordability of specialised care in rural areas. The United Kingdom as a whole has advanced systems and investments in </w:t>
      </w:r>
      <w:r w:rsidR="2911ACA6" w:rsidRPr="004331E0">
        <w:rPr>
          <w:rFonts w:asciiTheme="majorHAnsi" w:eastAsia="Times New Roman" w:hAnsiTheme="majorHAnsi" w:cstheme="majorHAnsi"/>
          <w:sz w:val="24"/>
          <w:szCs w:val="24"/>
          <w:lang w:eastAsia="en-GB"/>
        </w:rPr>
        <w:t>research and development</w:t>
      </w:r>
      <w:r w:rsidRPr="004331E0">
        <w:rPr>
          <w:rFonts w:asciiTheme="majorHAnsi" w:eastAsia="Times New Roman" w:hAnsiTheme="majorHAnsi" w:cstheme="majorHAnsi"/>
          <w:kern w:val="0"/>
          <w:sz w:val="24"/>
          <w:szCs w:val="24"/>
          <w:lang w:eastAsia="en-GB"/>
          <w14:ligatures w14:val="none"/>
        </w:rPr>
        <w:t xml:space="preserve"> that improve the quality of care provide (</w:t>
      </w:r>
      <w:r w:rsidR="00AF5962" w:rsidRPr="004331E0">
        <w:rPr>
          <w:rFonts w:asciiTheme="majorHAnsi" w:eastAsia="Times New Roman" w:hAnsiTheme="majorHAnsi" w:cstheme="majorHAnsi"/>
          <w:kern w:val="0"/>
          <w:sz w:val="24"/>
          <w:szCs w:val="24"/>
          <w:lang w:eastAsia="en-GB"/>
          <w14:ligatures w14:val="none"/>
        </w:rPr>
        <w:t xml:space="preserve"> Lewis et al., 2014)</w:t>
      </w:r>
      <w:r w:rsidRPr="004331E0">
        <w:rPr>
          <w:rFonts w:asciiTheme="majorHAnsi" w:eastAsia="Times New Roman" w:hAnsiTheme="majorHAnsi" w:cstheme="majorHAnsi"/>
          <w:kern w:val="0"/>
          <w:sz w:val="24"/>
          <w:szCs w:val="24"/>
          <w:lang w:eastAsia="en-GB"/>
          <w14:ligatures w14:val="none"/>
        </w:rPr>
        <w:t>.</w:t>
      </w:r>
      <w:r w:rsidR="00415620" w:rsidRPr="004331E0">
        <w:rPr>
          <w:rFonts w:asciiTheme="majorHAnsi" w:hAnsiTheme="majorHAnsi" w:cstheme="majorHAnsi"/>
          <w:sz w:val="24"/>
          <w:szCs w:val="24"/>
        </w:rPr>
        <w:t xml:space="preserve"> </w:t>
      </w:r>
      <w:proofErr w:type="spellStart"/>
      <w:r w:rsidR="00415620" w:rsidRPr="004331E0">
        <w:rPr>
          <w:rFonts w:asciiTheme="majorHAnsi" w:hAnsiTheme="majorHAnsi" w:cstheme="majorHAnsi"/>
          <w:sz w:val="24"/>
          <w:szCs w:val="24"/>
        </w:rPr>
        <w:t>Kerpershoek</w:t>
      </w:r>
      <w:proofErr w:type="spellEnd"/>
      <w:r w:rsidR="00415620" w:rsidRPr="004331E0">
        <w:rPr>
          <w:rFonts w:asciiTheme="majorHAnsi" w:hAnsiTheme="majorHAnsi" w:cstheme="majorHAnsi"/>
          <w:sz w:val="24"/>
          <w:szCs w:val="24"/>
        </w:rPr>
        <w:t xml:space="preserve"> et al. (2019)</w:t>
      </w:r>
      <w:r w:rsidRPr="004331E0">
        <w:rPr>
          <w:rFonts w:asciiTheme="majorHAnsi" w:eastAsia="Times New Roman" w:hAnsiTheme="majorHAnsi" w:cstheme="majorHAnsi"/>
          <w:kern w:val="0"/>
          <w:sz w:val="24"/>
          <w:szCs w:val="24"/>
          <w:lang w:eastAsia="en-GB"/>
          <w14:ligatures w14:val="none"/>
        </w:rPr>
        <w:t xml:space="preserve"> </w:t>
      </w:r>
      <w:r w:rsidR="002C5ED9" w:rsidRPr="004331E0">
        <w:rPr>
          <w:rFonts w:asciiTheme="majorHAnsi" w:eastAsia="Times New Roman" w:hAnsiTheme="majorHAnsi" w:cstheme="majorHAnsi"/>
          <w:kern w:val="0"/>
          <w:sz w:val="24"/>
          <w:szCs w:val="24"/>
          <w:lang w:eastAsia="en-GB"/>
          <w14:ligatures w14:val="none"/>
        </w:rPr>
        <w:t>express that g</w:t>
      </w:r>
      <w:r w:rsidRPr="004331E0">
        <w:rPr>
          <w:rFonts w:asciiTheme="majorHAnsi" w:eastAsia="Times New Roman" w:hAnsiTheme="majorHAnsi" w:cstheme="majorHAnsi"/>
          <w:kern w:val="0"/>
          <w:sz w:val="24"/>
          <w:szCs w:val="24"/>
          <w:lang w:eastAsia="en-GB"/>
          <w14:ligatures w14:val="none"/>
        </w:rPr>
        <w:t>lobal variations arise as a result of socioeconomic disparities between countries and cultural attitudes towards ageing and mental health. These disparities emphasise the importance of addressing these issues on a global scale in order to ensure equitable access to high-quality care for older people with dementia worldwide.</w:t>
      </w:r>
    </w:p>
    <w:p w14:paraId="47368754" w14:textId="0E041CF1" w:rsidR="00767DFB" w:rsidRPr="004331E0" w:rsidRDefault="007E1F17" w:rsidP="004331E0">
      <w:pPr>
        <w:spacing w:before="100" w:beforeAutospacing="1" w:after="100" w:afterAutospacing="1" w:line="240" w:lineRule="auto"/>
        <w:rPr>
          <w:rFonts w:asciiTheme="majorHAnsi" w:eastAsia="Times New Roman" w:hAnsiTheme="majorHAnsi" w:cstheme="majorHAnsi"/>
          <w:kern w:val="0"/>
          <w:sz w:val="24"/>
          <w:szCs w:val="24"/>
          <w:lang w:eastAsia="en-GB"/>
          <w14:ligatures w14:val="none"/>
        </w:rPr>
      </w:pPr>
      <w:r w:rsidRPr="004331E0">
        <w:rPr>
          <w:rFonts w:asciiTheme="majorHAnsi" w:hAnsiTheme="majorHAnsi" w:cstheme="majorHAnsi"/>
          <w:sz w:val="24"/>
          <w:szCs w:val="24"/>
        </w:rPr>
        <w:t>Alzheimer Europe (2024)</w:t>
      </w:r>
      <w:r w:rsidRPr="004331E0">
        <w:rPr>
          <w:rFonts w:asciiTheme="majorHAnsi" w:eastAsia="Times New Roman" w:hAnsiTheme="majorHAnsi" w:cstheme="majorHAnsi"/>
          <w:kern w:val="0"/>
          <w:sz w:val="24"/>
          <w:szCs w:val="24"/>
          <w:lang w:eastAsia="en-GB"/>
          <w14:ligatures w14:val="none"/>
        </w:rPr>
        <w:t xml:space="preserve"> suggests that t</w:t>
      </w:r>
      <w:r w:rsidR="00767DFB" w:rsidRPr="004331E0">
        <w:rPr>
          <w:rFonts w:asciiTheme="majorHAnsi" w:eastAsia="Times New Roman" w:hAnsiTheme="majorHAnsi" w:cstheme="majorHAnsi"/>
          <w:kern w:val="0"/>
          <w:sz w:val="24"/>
          <w:szCs w:val="24"/>
          <w:lang w:eastAsia="en-GB"/>
          <w14:ligatures w14:val="none"/>
        </w:rPr>
        <w:t>he influence of cultural and societal factors on dementia care should not be underestimated. These factors have a significant impact on the provision of services to older people with dementia in Wales, the United Kingdom, and around the world. Wales, for example, places a strong emphasis on person-centred care that considers the individual's cultural background and beliefs. This approach acknowledges that culture has a significant impact on an individual's identity and their experience with dementia</w:t>
      </w:r>
      <w:r w:rsidR="0023506F" w:rsidRPr="004331E0">
        <w:rPr>
          <w:rFonts w:asciiTheme="majorHAnsi" w:hAnsiTheme="majorHAnsi" w:cstheme="majorHAnsi"/>
          <w:sz w:val="24"/>
          <w:szCs w:val="24"/>
        </w:rPr>
        <w:t xml:space="preserve"> </w:t>
      </w:r>
      <w:r w:rsidR="0023506F" w:rsidRPr="004331E0">
        <w:rPr>
          <w:rFonts w:asciiTheme="majorHAnsi" w:eastAsia="Times New Roman" w:hAnsiTheme="majorHAnsi" w:cstheme="majorHAnsi"/>
          <w:kern w:val="0"/>
          <w:sz w:val="24"/>
          <w:szCs w:val="24"/>
          <w:lang w:eastAsia="en-GB"/>
          <w14:ligatures w14:val="none"/>
        </w:rPr>
        <w:t>(Livingston et al., 2020)</w:t>
      </w:r>
      <w:r w:rsidR="00767DFB" w:rsidRPr="004331E0">
        <w:rPr>
          <w:rFonts w:asciiTheme="majorHAnsi" w:eastAsia="Times New Roman" w:hAnsiTheme="majorHAnsi" w:cstheme="majorHAnsi"/>
          <w:kern w:val="0"/>
          <w:sz w:val="24"/>
          <w:szCs w:val="24"/>
          <w:lang w:eastAsia="en-GB"/>
          <w14:ligatures w14:val="none"/>
        </w:rPr>
        <w:t>.</w:t>
      </w:r>
    </w:p>
    <w:p w14:paraId="18AAF285" w14:textId="43994695" w:rsidR="00767DFB" w:rsidRPr="004331E0" w:rsidRDefault="00767DFB" w:rsidP="004331E0">
      <w:pPr>
        <w:spacing w:before="100" w:beforeAutospacing="1" w:after="100" w:afterAutospacing="1" w:line="240" w:lineRule="auto"/>
        <w:rPr>
          <w:rFonts w:asciiTheme="majorHAnsi" w:eastAsia="Times New Roman" w:hAnsiTheme="majorHAnsi" w:cstheme="majorHAnsi"/>
          <w:kern w:val="0"/>
          <w:sz w:val="24"/>
          <w:szCs w:val="24"/>
          <w:lang w:eastAsia="en-GB"/>
          <w14:ligatures w14:val="none"/>
        </w:rPr>
      </w:pPr>
      <w:r w:rsidRPr="004331E0">
        <w:rPr>
          <w:rFonts w:asciiTheme="majorHAnsi" w:eastAsia="Times New Roman" w:hAnsiTheme="majorHAnsi" w:cstheme="majorHAnsi"/>
          <w:kern w:val="0"/>
          <w:sz w:val="24"/>
          <w:szCs w:val="24"/>
          <w:lang w:eastAsia="en-GB"/>
          <w14:ligatures w14:val="none"/>
        </w:rPr>
        <w:lastRenderedPageBreak/>
        <w:t>In contrast, the United Kingdom takes a more standardised approach to dementia care (</w:t>
      </w:r>
      <w:r w:rsidR="00EC41DC" w:rsidRPr="004331E0">
        <w:rPr>
          <w:rFonts w:asciiTheme="majorHAnsi" w:eastAsia="Times New Roman" w:hAnsiTheme="majorHAnsi" w:cstheme="majorHAnsi"/>
          <w:kern w:val="0"/>
          <w:sz w:val="24"/>
          <w:szCs w:val="24"/>
          <w:lang w:eastAsia="en-GB"/>
          <w14:ligatures w14:val="none"/>
        </w:rPr>
        <w:t>Winblad et al., 2016)</w:t>
      </w:r>
      <w:r w:rsidRPr="004331E0">
        <w:rPr>
          <w:rFonts w:asciiTheme="majorHAnsi" w:eastAsia="Times New Roman" w:hAnsiTheme="majorHAnsi" w:cstheme="majorHAnsi"/>
          <w:kern w:val="0"/>
          <w:sz w:val="24"/>
          <w:szCs w:val="24"/>
          <w:lang w:eastAsia="en-GB"/>
          <w14:ligatures w14:val="none"/>
        </w:rPr>
        <w:t xml:space="preserve"> While there are efforts to incorporate cultural sensitivity into care practices, there is less emphasis on tailoring services to meet the unique needs of various cultural groups. This can make it difficult to provide culturally appropriate care to people of different backgrounds.</w:t>
      </w:r>
      <w:r w:rsidR="00165FC9" w:rsidRPr="004331E0">
        <w:rPr>
          <w:rFonts w:asciiTheme="majorHAnsi" w:eastAsia="Times New Roman" w:hAnsiTheme="majorHAnsi" w:cstheme="majorHAnsi"/>
          <w:kern w:val="0"/>
          <w:sz w:val="24"/>
          <w:szCs w:val="24"/>
          <w:lang w:eastAsia="en-GB"/>
          <w14:ligatures w14:val="none"/>
        </w:rPr>
        <w:t xml:space="preserve"> </w:t>
      </w:r>
      <w:r w:rsidRPr="004331E0">
        <w:rPr>
          <w:rFonts w:asciiTheme="majorHAnsi" w:eastAsia="Times New Roman" w:hAnsiTheme="majorHAnsi" w:cstheme="majorHAnsi"/>
          <w:kern w:val="0"/>
          <w:sz w:val="24"/>
          <w:szCs w:val="24"/>
          <w:lang w:eastAsia="en-GB"/>
          <w14:ligatures w14:val="none"/>
        </w:rPr>
        <w:t>Globally,</w:t>
      </w:r>
      <w:r w:rsidR="00F72CB5" w:rsidRPr="004331E0">
        <w:rPr>
          <w:rFonts w:asciiTheme="majorHAnsi" w:hAnsiTheme="majorHAnsi" w:cstheme="majorHAnsi"/>
          <w:sz w:val="24"/>
          <w:szCs w:val="24"/>
        </w:rPr>
        <w:t xml:space="preserve"> Prince et al. (2013)</w:t>
      </w:r>
      <w:r w:rsidRPr="004331E0">
        <w:rPr>
          <w:rFonts w:asciiTheme="majorHAnsi" w:eastAsia="Times New Roman" w:hAnsiTheme="majorHAnsi" w:cstheme="majorHAnsi"/>
          <w:kern w:val="0"/>
          <w:sz w:val="24"/>
          <w:szCs w:val="24"/>
          <w:lang w:eastAsia="en-GB"/>
          <w14:ligatures w14:val="none"/>
        </w:rPr>
        <w:t xml:space="preserve"> </w:t>
      </w:r>
      <w:r w:rsidR="009E1E7E" w:rsidRPr="004331E0">
        <w:rPr>
          <w:rFonts w:asciiTheme="majorHAnsi" w:eastAsia="Times New Roman" w:hAnsiTheme="majorHAnsi" w:cstheme="majorHAnsi"/>
          <w:kern w:val="0"/>
          <w:sz w:val="24"/>
          <w:szCs w:val="24"/>
          <w:lang w:eastAsia="en-GB"/>
          <w14:ligatures w14:val="none"/>
        </w:rPr>
        <w:t>explain</w:t>
      </w:r>
      <w:r w:rsidR="007871D4" w:rsidRPr="004331E0">
        <w:rPr>
          <w:rFonts w:asciiTheme="majorHAnsi" w:eastAsia="Times New Roman" w:hAnsiTheme="majorHAnsi" w:cstheme="majorHAnsi"/>
          <w:kern w:val="0"/>
          <w:sz w:val="24"/>
          <w:szCs w:val="24"/>
          <w:lang w:eastAsia="en-GB"/>
          <w14:ligatures w14:val="none"/>
        </w:rPr>
        <w:t xml:space="preserve"> that</w:t>
      </w:r>
      <w:r w:rsidR="009E1E7E" w:rsidRPr="004331E0">
        <w:rPr>
          <w:rFonts w:asciiTheme="majorHAnsi" w:eastAsia="Times New Roman" w:hAnsiTheme="majorHAnsi" w:cstheme="majorHAnsi"/>
          <w:kern w:val="0"/>
          <w:sz w:val="24"/>
          <w:szCs w:val="24"/>
          <w:lang w:eastAsia="en-GB"/>
          <w14:ligatures w14:val="none"/>
        </w:rPr>
        <w:t xml:space="preserve"> </w:t>
      </w:r>
      <w:r w:rsidRPr="004331E0">
        <w:rPr>
          <w:rFonts w:asciiTheme="majorHAnsi" w:eastAsia="Times New Roman" w:hAnsiTheme="majorHAnsi" w:cstheme="majorHAnsi"/>
          <w:kern w:val="0"/>
          <w:sz w:val="24"/>
          <w:szCs w:val="24"/>
          <w:lang w:eastAsia="en-GB"/>
          <w14:ligatures w14:val="none"/>
        </w:rPr>
        <w:t>the impact of cultural and societal factors on dementia care varies greatly by region or country. In some cultures, dementia may be stigmatised, prompting families to hide or deny the condition. This can lead to a delayed diagnosis and limited access to necessary support services. Furthermore, cultural norms regarding ageing and caregiving may influence how people with dementia are cared for in their communities</w:t>
      </w:r>
      <w:r w:rsidR="00C120CF" w:rsidRPr="004331E0">
        <w:rPr>
          <w:rFonts w:asciiTheme="majorHAnsi" w:eastAsia="Times New Roman" w:hAnsiTheme="majorHAnsi" w:cstheme="majorHAnsi"/>
          <w:kern w:val="0"/>
          <w:sz w:val="24"/>
          <w:szCs w:val="24"/>
          <w:lang w:eastAsia="en-GB"/>
          <w14:ligatures w14:val="none"/>
        </w:rPr>
        <w:t>.</w:t>
      </w:r>
    </w:p>
    <w:p w14:paraId="25B12575" w14:textId="55F234A5" w:rsidR="00767DFB" w:rsidRPr="004331E0" w:rsidRDefault="00767DFB" w:rsidP="004331E0">
      <w:pPr>
        <w:spacing w:before="100" w:beforeAutospacing="1" w:after="100" w:afterAutospacing="1" w:line="240" w:lineRule="auto"/>
        <w:rPr>
          <w:rFonts w:asciiTheme="majorHAnsi" w:eastAsia="Times New Roman" w:hAnsiTheme="majorHAnsi" w:cstheme="majorHAnsi"/>
          <w:kern w:val="0"/>
          <w:sz w:val="24"/>
          <w:szCs w:val="24"/>
          <w:lang w:eastAsia="en-GB"/>
          <w14:ligatures w14:val="none"/>
        </w:rPr>
      </w:pPr>
      <w:r w:rsidRPr="004331E0">
        <w:rPr>
          <w:rFonts w:asciiTheme="majorHAnsi" w:eastAsia="Times New Roman" w:hAnsiTheme="majorHAnsi" w:cstheme="majorHAnsi"/>
          <w:kern w:val="0"/>
          <w:sz w:val="24"/>
          <w:szCs w:val="24"/>
          <w:lang w:eastAsia="en-GB"/>
          <w14:ligatures w14:val="none"/>
        </w:rPr>
        <w:t xml:space="preserve">Furthermore, </w:t>
      </w:r>
      <w:r w:rsidR="005733C3" w:rsidRPr="004331E0">
        <w:rPr>
          <w:rFonts w:asciiTheme="majorHAnsi" w:eastAsia="Times New Roman" w:hAnsiTheme="majorHAnsi" w:cstheme="majorHAnsi"/>
          <w:kern w:val="0"/>
          <w:sz w:val="24"/>
          <w:szCs w:val="24"/>
          <w:lang w:eastAsia="en-GB"/>
          <w14:ligatures w14:val="none"/>
        </w:rPr>
        <w:t xml:space="preserve">Birch and Draper, (2008) add that </w:t>
      </w:r>
      <w:r w:rsidRPr="004331E0">
        <w:rPr>
          <w:rFonts w:asciiTheme="majorHAnsi" w:eastAsia="Times New Roman" w:hAnsiTheme="majorHAnsi" w:cstheme="majorHAnsi"/>
          <w:kern w:val="0"/>
          <w:sz w:val="24"/>
          <w:szCs w:val="24"/>
          <w:lang w:eastAsia="en-GB"/>
          <w14:ligatures w14:val="none"/>
        </w:rPr>
        <w:t>language barriers can present significant challenges in providing effective dementia care across cultures. Language barriers may be less pronounced in Wales and the United Kingdom, where English is the dominant language, than in other parts of the world where multiple languages are spoken. However, even in English-speaking countries such as Wales or England, accents or dialects can make communication difficult between healthcare providers and dementia patients.</w:t>
      </w:r>
    </w:p>
    <w:p w14:paraId="486FE800" w14:textId="4D7F2A40" w:rsidR="00F01205" w:rsidRPr="004331E0" w:rsidRDefault="00C15E91" w:rsidP="004331E0">
      <w:pPr>
        <w:spacing w:before="100" w:beforeAutospacing="1" w:after="100" w:afterAutospacing="1" w:line="240" w:lineRule="auto"/>
        <w:rPr>
          <w:rFonts w:asciiTheme="majorHAnsi" w:eastAsia="Times New Roman" w:hAnsiTheme="majorHAnsi" w:cstheme="majorHAnsi"/>
          <w:kern w:val="0"/>
          <w:sz w:val="24"/>
          <w:szCs w:val="24"/>
          <w:lang w:eastAsia="en-GB"/>
          <w14:ligatures w14:val="none"/>
        </w:rPr>
      </w:pPr>
      <w:r w:rsidRPr="004331E0">
        <w:rPr>
          <w:rFonts w:asciiTheme="majorHAnsi" w:eastAsia="Times New Roman" w:hAnsiTheme="majorHAnsi" w:cstheme="majorHAnsi"/>
          <w:kern w:val="0"/>
          <w:sz w:val="24"/>
          <w:szCs w:val="24"/>
          <w:lang w:eastAsia="en-GB"/>
          <w14:ligatures w14:val="none"/>
        </w:rPr>
        <w:t>World Health Organisation, (2016) suggest that s</w:t>
      </w:r>
      <w:r w:rsidR="00F01205" w:rsidRPr="004331E0">
        <w:rPr>
          <w:rFonts w:asciiTheme="majorHAnsi" w:eastAsia="Times New Roman" w:hAnsiTheme="majorHAnsi" w:cstheme="majorHAnsi"/>
          <w:kern w:val="0"/>
          <w:sz w:val="24"/>
          <w:szCs w:val="24"/>
          <w:lang w:eastAsia="en-GB"/>
          <w14:ligatures w14:val="none"/>
        </w:rPr>
        <w:t>ocietal attitudes towards ageing play an important role in shaping dementia care practices. Some societies where older people are highly respected and valued as sources of wisdom and experience, such as certain Asian cultures, may have stronger support systems in place for those suffering from dementia. In contrast, societies that value youth or regard ageing as a burden may devote fewer resources to supporting older people with dementia.</w:t>
      </w:r>
    </w:p>
    <w:p w14:paraId="408D12F3" w14:textId="122293AF" w:rsidR="0071660F" w:rsidRPr="004331E0" w:rsidRDefault="00F01205" w:rsidP="004331E0">
      <w:pPr>
        <w:spacing w:before="100" w:beforeAutospacing="1" w:after="100" w:afterAutospacing="1" w:line="240" w:lineRule="auto"/>
        <w:rPr>
          <w:rFonts w:asciiTheme="majorHAnsi" w:eastAsia="Times New Roman" w:hAnsiTheme="majorHAnsi" w:cstheme="majorHAnsi"/>
          <w:kern w:val="0"/>
          <w:sz w:val="24"/>
          <w:szCs w:val="24"/>
          <w:lang w:eastAsia="en-GB"/>
          <w14:ligatures w14:val="none"/>
        </w:rPr>
      </w:pPr>
      <w:r w:rsidRPr="004331E0">
        <w:rPr>
          <w:rFonts w:asciiTheme="majorHAnsi" w:eastAsia="Times New Roman" w:hAnsiTheme="majorHAnsi" w:cstheme="majorHAnsi"/>
          <w:kern w:val="0"/>
          <w:sz w:val="24"/>
          <w:szCs w:val="24"/>
          <w:lang w:eastAsia="en-GB"/>
          <w14:ligatures w14:val="none"/>
        </w:rPr>
        <w:t>Cultural and societal factors have a significant impact on dementia care. Understanding and addressing these factors is critical for providing effective, person-</w:t>
      </w:r>
      <w:proofErr w:type="spellStart"/>
      <w:r w:rsidRPr="004331E0">
        <w:rPr>
          <w:rFonts w:asciiTheme="majorHAnsi" w:eastAsia="Times New Roman" w:hAnsiTheme="majorHAnsi" w:cstheme="majorHAnsi"/>
          <w:kern w:val="0"/>
          <w:sz w:val="24"/>
          <w:szCs w:val="24"/>
          <w:lang w:eastAsia="en-GB"/>
          <w14:ligatures w14:val="none"/>
        </w:rPr>
        <w:t>centered</w:t>
      </w:r>
      <w:proofErr w:type="spellEnd"/>
      <w:r w:rsidRPr="004331E0">
        <w:rPr>
          <w:rFonts w:asciiTheme="majorHAnsi" w:eastAsia="Times New Roman" w:hAnsiTheme="majorHAnsi" w:cstheme="majorHAnsi"/>
          <w:kern w:val="0"/>
          <w:sz w:val="24"/>
          <w:szCs w:val="24"/>
          <w:lang w:eastAsia="en-GB"/>
          <w14:ligatures w14:val="none"/>
        </w:rPr>
        <w:t xml:space="preserve"> services to older people with dementia</w:t>
      </w:r>
      <w:r w:rsidR="009E0469" w:rsidRPr="004331E0">
        <w:rPr>
          <w:rFonts w:asciiTheme="majorHAnsi" w:hAnsiTheme="majorHAnsi" w:cstheme="majorHAnsi"/>
          <w:sz w:val="24"/>
          <w:szCs w:val="24"/>
        </w:rPr>
        <w:t xml:space="preserve"> (Galiana</w:t>
      </w:r>
      <w:r w:rsidR="00C82F06" w:rsidRPr="004331E0">
        <w:rPr>
          <w:rFonts w:asciiTheme="majorHAnsi" w:hAnsiTheme="majorHAnsi" w:cstheme="majorHAnsi"/>
          <w:sz w:val="24"/>
          <w:szCs w:val="24"/>
        </w:rPr>
        <w:t xml:space="preserve"> and </w:t>
      </w:r>
      <w:r w:rsidR="009E0469" w:rsidRPr="004331E0">
        <w:rPr>
          <w:rFonts w:asciiTheme="majorHAnsi" w:hAnsiTheme="majorHAnsi" w:cstheme="majorHAnsi"/>
          <w:sz w:val="24"/>
          <w:szCs w:val="24"/>
        </w:rPr>
        <w:t>Haseltine, 2019)</w:t>
      </w:r>
      <w:r w:rsidRPr="004331E0">
        <w:rPr>
          <w:rFonts w:asciiTheme="majorHAnsi" w:eastAsia="Times New Roman" w:hAnsiTheme="majorHAnsi" w:cstheme="majorHAnsi"/>
          <w:kern w:val="0"/>
          <w:sz w:val="24"/>
          <w:szCs w:val="24"/>
          <w:lang w:eastAsia="en-GB"/>
          <w14:ligatures w14:val="none"/>
        </w:rPr>
        <w:t xml:space="preserve">. </w:t>
      </w:r>
      <w:r w:rsidR="008F373C" w:rsidRPr="004331E0">
        <w:rPr>
          <w:rFonts w:asciiTheme="majorHAnsi" w:hAnsiTheme="majorHAnsi" w:cstheme="majorHAnsi"/>
          <w:sz w:val="24"/>
          <w:szCs w:val="24"/>
        </w:rPr>
        <w:t>The Welsh Government (2024b)</w:t>
      </w:r>
      <w:r w:rsidR="008F373C" w:rsidRPr="004331E0">
        <w:rPr>
          <w:rFonts w:asciiTheme="majorHAnsi" w:eastAsia="Times New Roman" w:hAnsiTheme="majorHAnsi" w:cstheme="majorHAnsi"/>
          <w:kern w:val="0"/>
          <w:sz w:val="24"/>
          <w:szCs w:val="24"/>
          <w:lang w:eastAsia="en-GB"/>
          <w14:ligatures w14:val="none"/>
        </w:rPr>
        <w:t xml:space="preserve"> claim that w</w:t>
      </w:r>
      <w:r w:rsidRPr="004331E0">
        <w:rPr>
          <w:rFonts w:asciiTheme="majorHAnsi" w:eastAsia="Times New Roman" w:hAnsiTheme="majorHAnsi" w:cstheme="majorHAnsi"/>
          <w:kern w:val="0"/>
          <w:sz w:val="24"/>
          <w:szCs w:val="24"/>
          <w:lang w:eastAsia="en-GB"/>
          <w14:ligatures w14:val="none"/>
        </w:rPr>
        <w:t>hile Wales has made progress in incorporating cultural sensitivity into care practices, there is still room for improvement in the United Kingdom and globally. We can ensure that all individuals receive the support they require, regardless of their cultural background or societal context by recognising the influence of culture on their dementia experiences and tailoring care appropriately.</w:t>
      </w:r>
    </w:p>
    <w:p w14:paraId="3DB62996" w14:textId="68C8E700" w:rsidR="00F01205" w:rsidRPr="004331E0" w:rsidRDefault="00F01205" w:rsidP="004331E0">
      <w:pPr>
        <w:spacing w:before="100" w:beforeAutospacing="1" w:after="100" w:afterAutospacing="1" w:line="240" w:lineRule="auto"/>
        <w:rPr>
          <w:rFonts w:asciiTheme="majorHAnsi" w:eastAsia="Times New Roman" w:hAnsiTheme="majorHAnsi" w:cstheme="majorHAnsi"/>
          <w:kern w:val="0"/>
          <w:sz w:val="24"/>
          <w:szCs w:val="24"/>
          <w:lang w:eastAsia="en-GB"/>
          <w14:ligatures w14:val="none"/>
        </w:rPr>
      </w:pPr>
      <w:r w:rsidRPr="004331E0">
        <w:rPr>
          <w:rFonts w:asciiTheme="majorHAnsi" w:eastAsia="Times New Roman" w:hAnsiTheme="majorHAnsi" w:cstheme="majorHAnsi"/>
          <w:kern w:val="0"/>
          <w:sz w:val="24"/>
          <w:szCs w:val="24"/>
          <w:lang w:eastAsia="en-GB"/>
          <w14:ligatures w14:val="none"/>
        </w:rPr>
        <w:t>In conclusion, dementia care has changed dramatically over the last 50 years. Providing services for older people with dementia in Wales, the United Kingdom, and around the world is a complex issue that must be carefully evaluated and compared. Analysing government policies and regulations regarding dementia care reveals that approaches vary between countries. While Wales and the United Kingdom have made significant progress towards comprehensive guidelines and frameworks, there is still room for improvement on a global scale.</w:t>
      </w:r>
      <w:r w:rsidR="00165FC9" w:rsidRPr="004331E0">
        <w:rPr>
          <w:rFonts w:asciiTheme="majorHAnsi" w:eastAsia="Times New Roman" w:hAnsiTheme="majorHAnsi" w:cstheme="majorHAnsi"/>
          <w:kern w:val="0"/>
          <w:sz w:val="24"/>
          <w:szCs w:val="24"/>
          <w:lang w:eastAsia="en-GB"/>
          <w14:ligatures w14:val="none"/>
        </w:rPr>
        <w:t xml:space="preserve"> </w:t>
      </w:r>
      <w:r w:rsidRPr="004331E0">
        <w:rPr>
          <w:rFonts w:asciiTheme="majorHAnsi" w:eastAsia="Times New Roman" w:hAnsiTheme="majorHAnsi" w:cstheme="majorHAnsi"/>
          <w:kern w:val="0"/>
          <w:sz w:val="24"/>
          <w:szCs w:val="24"/>
          <w:lang w:eastAsia="en-GB"/>
          <w14:ligatures w14:val="none"/>
        </w:rPr>
        <w:t xml:space="preserve">The availability and accessibility of support services for older people with dementia vary by region. While developed countries, such as the United Kingdom, have a </w:t>
      </w:r>
      <w:r w:rsidR="00C120CF" w:rsidRPr="004331E0">
        <w:rPr>
          <w:rFonts w:asciiTheme="majorHAnsi" w:eastAsia="Times New Roman" w:hAnsiTheme="majorHAnsi" w:cstheme="majorHAnsi"/>
          <w:kern w:val="0"/>
          <w:sz w:val="24"/>
          <w:szCs w:val="24"/>
          <w:lang w:eastAsia="en-GB"/>
          <w14:ligatures w14:val="none"/>
        </w:rPr>
        <w:t>significant</w:t>
      </w:r>
      <w:r w:rsidRPr="004331E0">
        <w:rPr>
          <w:rFonts w:asciiTheme="majorHAnsi" w:eastAsia="Times New Roman" w:hAnsiTheme="majorHAnsi" w:cstheme="majorHAnsi"/>
          <w:kern w:val="0"/>
          <w:sz w:val="24"/>
          <w:szCs w:val="24"/>
          <w:lang w:eastAsia="en-GB"/>
          <w14:ligatures w14:val="none"/>
        </w:rPr>
        <w:t xml:space="preserve"> number of specialised facilities and resources for dementia care, developing countries may face significant challenges due to limited resources and infrastructure. This highlights the importance of international collaboration in addressing disparities in access to care.</w:t>
      </w:r>
    </w:p>
    <w:p w14:paraId="1BA89A82" w14:textId="05D37179" w:rsidR="0071660F" w:rsidRPr="004331E0" w:rsidRDefault="00F01205" w:rsidP="004331E0">
      <w:pPr>
        <w:spacing w:before="100" w:beforeAutospacing="1" w:after="100" w:afterAutospacing="1" w:line="240" w:lineRule="auto"/>
        <w:rPr>
          <w:rFonts w:asciiTheme="majorHAnsi" w:eastAsia="Times New Roman" w:hAnsiTheme="majorHAnsi" w:cstheme="majorHAnsi"/>
          <w:kern w:val="0"/>
          <w:sz w:val="24"/>
          <w:szCs w:val="24"/>
          <w:lang w:eastAsia="en-GB"/>
          <w14:ligatures w14:val="none"/>
        </w:rPr>
      </w:pPr>
      <w:r w:rsidRPr="004331E0">
        <w:rPr>
          <w:rFonts w:asciiTheme="majorHAnsi" w:eastAsia="Times New Roman" w:hAnsiTheme="majorHAnsi" w:cstheme="majorHAnsi"/>
          <w:kern w:val="0"/>
          <w:sz w:val="24"/>
          <w:szCs w:val="24"/>
          <w:lang w:eastAsia="en-GB"/>
          <w14:ligatures w14:val="none"/>
        </w:rPr>
        <w:lastRenderedPageBreak/>
        <w:t>The quality of caregiving is critical to ensuring that people with dementia have the best possible outcomes. Carers' knowledge and skills are being enhanced through improved training programmes in Wales, the United Kingdom, and around the world. However, ongoing evaluation is required to maintain high levels of care.</w:t>
      </w:r>
      <w:r w:rsidR="00165FC9" w:rsidRPr="004331E0">
        <w:rPr>
          <w:rFonts w:asciiTheme="majorHAnsi" w:eastAsia="Times New Roman" w:hAnsiTheme="majorHAnsi" w:cstheme="majorHAnsi"/>
          <w:kern w:val="0"/>
          <w:sz w:val="24"/>
          <w:szCs w:val="24"/>
          <w:lang w:eastAsia="en-GB"/>
          <w14:ligatures w14:val="none"/>
        </w:rPr>
        <w:t xml:space="preserve"> </w:t>
      </w:r>
      <w:r w:rsidRPr="004331E0">
        <w:rPr>
          <w:rFonts w:asciiTheme="majorHAnsi" w:hAnsiTheme="majorHAnsi" w:cstheme="majorHAnsi"/>
          <w:sz w:val="24"/>
          <w:szCs w:val="24"/>
        </w:rPr>
        <w:t>Furthermore, cultural and societal factors have a significant impact on dementia care practices. Different cultures may have varying levels of awareness about dementia or stigmatise those suffering from it. It is critical to promote educational campaigns that challenge misconceptions about dementia while respecting cultural diversity.</w:t>
      </w:r>
      <w:r w:rsidR="00165FC9" w:rsidRPr="004331E0">
        <w:rPr>
          <w:rFonts w:asciiTheme="majorHAnsi" w:eastAsia="Times New Roman" w:hAnsiTheme="majorHAnsi" w:cstheme="majorHAnsi"/>
          <w:kern w:val="0"/>
          <w:sz w:val="24"/>
          <w:szCs w:val="24"/>
          <w:lang w:eastAsia="en-GB"/>
          <w14:ligatures w14:val="none"/>
        </w:rPr>
        <w:t xml:space="preserve"> </w:t>
      </w:r>
      <w:r w:rsidRPr="004331E0">
        <w:rPr>
          <w:rFonts w:asciiTheme="majorHAnsi" w:hAnsiTheme="majorHAnsi" w:cstheme="majorHAnsi"/>
          <w:sz w:val="24"/>
          <w:szCs w:val="24"/>
        </w:rPr>
        <w:t xml:space="preserve">Overall, addressing the provision of services for older people with dementia necessitates ongoing evaluation and comparison at both the national and global levels. We can work towards providing equitable access to quality care for all people living with dementia around the world by learning from best practices in different regions and </w:t>
      </w:r>
      <w:r w:rsidR="00165FC9" w:rsidRPr="004331E0">
        <w:rPr>
          <w:rFonts w:asciiTheme="majorHAnsi" w:hAnsiTheme="majorHAnsi" w:cstheme="majorHAnsi"/>
          <w:sz w:val="24"/>
          <w:szCs w:val="24"/>
        </w:rPr>
        <w:t>considering</w:t>
      </w:r>
      <w:r w:rsidRPr="004331E0">
        <w:rPr>
          <w:rFonts w:asciiTheme="majorHAnsi" w:hAnsiTheme="majorHAnsi" w:cstheme="majorHAnsi"/>
          <w:sz w:val="24"/>
          <w:szCs w:val="24"/>
        </w:rPr>
        <w:t xml:space="preserve"> unique cultural contexts.</w:t>
      </w:r>
    </w:p>
    <w:p w14:paraId="36A2F5A5" w14:textId="77777777" w:rsidR="00B05944" w:rsidRPr="004331E0" w:rsidRDefault="00B05944" w:rsidP="004331E0">
      <w:pPr>
        <w:rPr>
          <w:rFonts w:asciiTheme="majorHAnsi" w:hAnsiTheme="majorHAnsi" w:cstheme="majorHAnsi"/>
          <w:sz w:val="24"/>
          <w:szCs w:val="24"/>
        </w:rPr>
      </w:pPr>
    </w:p>
    <w:p w14:paraId="79770534" w14:textId="77777777" w:rsidR="00C92868" w:rsidRPr="004331E0" w:rsidRDefault="00C92868" w:rsidP="004331E0">
      <w:pPr>
        <w:rPr>
          <w:rFonts w:asciiTheme="majorHAnsi" w:hAnsiTheme="majorHAnsi" w:cstheme="majorHAnsi"/>
          <w:sz w:val="24"/>
          <w:szCs w:val="24"/>
        </w:rPr>
      </w:pPr>
    </w:p>
    <w:p w14:paraId="7FB61888" w14:textId="77777777" w:rsidR="00C92868" w:rsidRPr="004331E0" w:rsidRDefault="00C92868" w:rsidP="004331E0">
      <w:pPr>
        <w:rPr>
          <w:rFonts w:asciiTheme="majorHAnsi" w:hAnsiTheme="majorHAnsi" w:cstheme="majorHAnsi"/>
          <w:sz w:val="24"/>
          <w:szCs w:val="24"/>
        </w:rPr>
      </w:pPr>
    </w:p>
    <w:p w14:paraId="07B76EDE" w14:textId="77777777" w:rsidR="00C92868" w:rsidRPr="004331E0" w:rsidRDefault="00C92868" w:rsidP="004331E0">
      <w:pPr>
        <w:rPr>
          <w:rFonts w:asciiTheme="majorHAnsi" w:hAnsiTheme="majorHAnsi" w:cstheme="majorHAnsi"/>
          <w:sz w:val="24"/>
          <w:szCs w:val="24"/>
        </w:rPr>
      </w:pPr>
    </w:p>
    <w:p w14:paraId="5D8A93DF" w14:textId="77777777" w:rsidR="00C92868" w:rsidRPr="004331E0" w:rsidRDefault="00C92868" w:rsidP="004331E0">
      <w:pPr>
        <w:rPr>
          <w:rFonts w:asciiTheme="majorHAnsi" w:hAnsiTheme="majorHAnsi" w:cstheme="majorHAnsi"/>
          <w:sz w:val="24"/>
          <w:szCs w:val="24"/>
        </w:rPr>
      </w:pPr>
    </w:p>
    <w:p w14:paraId="45BF037F" w14:textId="77777777" w:rsidR="00C92868" w:rsidRPr="004331E0" w:rsidRDefault="00C92868" w:rsidP="004331E0">
      <w:pPr>
        <w:rPr>
          <w:rFonts w:asciiTheme="majorHAnsi" w:hAnsiTheme="majorHAnsi" w:cstheme="majorHAnsi"/>
          <w:sz w:val="24"/>
          <w:szCs w:val="24"/>
        </w:rPr>
      </w:pPr>
    </w:p>
    <w:p w14:paraId="383D6AE5" w14:textId="77777777" w:rsidR="00C92868" w:rsidRPr="004331E0" w:rsidRDefault="00C92868" w:rsidP="004331E0">
      <w:pPr>
        <w:rPr>
          <w:rFonts w:asciiTheme="majorHAnsi" w:hAnsiTheme="majorHAnsi" w:cstheme="majorHAnsi"/>
          <w:sz w:val="24"/>
          <w:szCs w:val="24"/>
        </w:rPr>
      </w:pPr>
    </w:p>
    <w:p w14:paraId="1154BA59" w14:textId="77777777" w:rsidR="00C92868" w:rsidRPr="004331E0" w:rsidRDefault="00C92868" w:rsidP="004331E0">
      <w:pPr>
        <w:rPr>
          <w:rFonts w:asciiTheme="majorHAnsi" w:hAnsiTheme="majorHAnsi" w:cstheme="majorHAnsi"/>
          <w:sz w:val="24"/>
          <w:szCs w:val="24"/>
        </w:rPr>
      </w:pPr>
    </w:p>
    <w:p w14:paraId="418CB1D3" w14:textId="77777777" w:rsidR="00C92868" w:rsidRPr="004331E0" w:rsidRDefault="00C92868" w:rsidP="004331E0">
      <w:pPr>
        <w:rPr>
          <w:rFonts w:asciiTheme="majorHAnsi" w:hAnsiTheme="majorHAnsi" w:cstheme="majorHAnsi"/>
          <w:sz w:val="24"/>
          <w:szCs w:val="24"/>
        </w:rPr>
      </w:pPr>
    </w:p>
    <w:p w14:paraId="7B2F6DF0" w14:textId="77777777" w:rsidR="00C92868" w:rsidRPr="004331E0" w:rsidRDefault="00C92868" w:rsidP="004331E0">
      <w:pPr>
        <w:rPr>
          <w:rFonts w:asciiTheme="majorHAnsi" w:hAnsiTheme="majorHAnsi" w:cstheme="majorHAnsi"/>
          <w:sz w:val="24"/>
          <w:szCs w:val="24"/>
        </w:rPr>
      </w:pPr>
    </w:p>
    <w:p w14:paraId="50FA0A6B" w14:textId="77777777" w:rsidR="00C92868" w:rsidRPr="004331E0" w:rsidRDefault="00C92868" w:rsidP="004331E0">
      <w:pPr>
        <w:rPr>
          <w:rFonts w:asciiTheme="majorHAnsi" w:hAnsiTheme="majorHAnsi" w:cstheme="majorHAnsi"/>
          <w:sz w:val="24"/>
          <w:szCs w:val="24"/>
        </w:rPr>
      </w:pPr>
    </w:p>
    <w:p w14:paraId="60FD3643" w14:textId="77777777" w:rsidR="00C92868" w:rsidRDefault="00C92868" w:rsidP="004331E0">
      <w:pPr>
        <w:rPr>
          <w:rFonts w:asciiTheme="majorHAnsi" w:hAnsiTheme="majorHAnsi" w:cstheme="majorHAnsi"/>
          <w:sz w:val="24"/>
          <w:szCs w:val="24"/>
        </w:rPr>
      </w:pPr>
    </w:p>
    <w:p w14:paraId="0079AA25" w14:textId="77777777" w:rsidR="00172FB3" w:rsidRDefault="00172FB3" w:rsidP="004331E0">
      <w:pPr>
        <w:rPr>
          <w:rFonts w:asciiTheme="majorHAnsi" w:hAnsiTheme="majorHAnsi" w:cstheme="majorHAnsi"/>
          <w:sz w:val="24"/>
          <w:szCs w:val="24"/>
        </w:rPr>
      </w:pPr>
    </w:p>
    <w:p w14:paraId="2EF5DE92" w14:textId="77777777" w:rsidR="00172FB3" w:rsidRDefault="00172FB3" w:rsidP="004331E0">
      <w:pPr>
        <w:rPr>
          <w:rFonts w:asciiTheme="majorHAnsi" w:hAnsiTheme="majorHAnsi" w:cstheme="majorHAnsi"/>
          <w:sz w:val="24"/>
          <w:szCs w:val="24"/>
        </w:rPr>
      </w:pPr>
    </w:p>
    <w:p w14:paraId="21F804D4" w14:textId="77777777" w:rsidR="00172FB3" w:rsidRDefault="00172FB3" w:rsidP="004331E0">
      <w:pPr>
        <w:rPr>
          <w:rFonts w:asciiTheme="majorHAnsi" w:hAnsiTheme="majorHAnsi" w:cstheme="majorHAnsi"/>
          <w:sz w:val="24"/>
          <w:szCs w:val="24"/>
        </w:rPr>
      </w:pPr>
    </w:p>
    <w:p w14:paraId="5B277D02" w14:textId="77777777" w:rsidR="00172FB3" w:rsidRPr="004331E0" w:rsidRDefault="00172FB3" w:rsidP="004331E0">
      <w:pPr>
        <w:rPr>
          <w:rFonts w:asciiTheme="majorHAnsi" w:hAnsiTheme="majorHAnsi" w:cstheme="majorHAnsi"/>
          <w:sz w:val="24"/>
          <w:szCs w:val="24"/>
        </w:rPr>
      </w:pPr>
    </w:p>
    <w:p w14:paraId="3DE0A2BB" w14:textId="77777777" w:rsidR="00C92868" w:rsidRPr="004331E0" w:rsidRDefault="00C92868" w:rsidP="004331E0">
      <w:pPr>
        <w:rPr>
          <w:rFonts w:asciiTheme="majorHAnsi" w:hAnsiTheme="majorHAnsi" w:cstheme="majorHAnsi"/>
          <w:sz w:val="24"/>
          <w:szCs w:val="24"/>
        </w:rPr>
      </w:pPr>
    </w:p>
    <w:p w14:paraId="557E2DF2" w14:textId="77777777" w:rsidR="00C92868" w:rsidRPr="004331E0" w:rsidRDefault="00C92868" w:rsidP="004331E0">
      <w:pPr>
        <w:rPr>
          <w:rFonts w:asciiTheme="majorHAnsi" w:hAnsiTheme="majorHAnsi" w:cstheme="majorHAnsi"/>
          <w:sz w:val="24"/>
          <w:szCs w:val="24"/>
        </w:rPr>
      </w:pPr>
    </w:p>
    <w:p w14:paraId="21519383" w14:textId="77777777" w:rsidR="00C92868" w:rsidRPr="004331E0" w:rsidRDefault="00C92868" w:rsidP="004331E0">
      <w:pPr>
        <w:rPr>
          <w:rFonts w:asciiTheme="majorHAnsi" w:hAnsiTheme="majorHAnsi" w:cstheme="majorHAnsi"/>
          <w:sz w:val="24"/>
          <w:szCs w:val="24"/>
        </w:rPr>
      </w:pPr>
    </w:p>
    <w:p w14:paraId="03376713" w14:textId="368226ED" w:rsidR="00705448" w:rsidRPr="00705448" w:rsidRDefault="00C92868" w:rsidP="004331E0">
      <w:pPr>
        <w:pStyle w:val="Heading1"/>
        <w:spacing w:before="0" w:after="240" w:line="360" w:lineRule="auto"/>
        <w:rPr>
          <w:rFonts w:cstheme="majorHAnsi"/>
          <w:color w:val="auto"/>
          <w:sz w:val="24"/>
          <w:szCs w:val="24"/>
          <w:u w:val="single"/>
        </w:rPr>
      </w:pPr>
      <w:r w:rsidRPr="004331E0">
        <w:rPr>
          <w:rFonts w:cstheme="majorHAnsi"/>
          <w:color w:val="auto"/>
          <w:sz w:val="24"/>
          <w:szCs w:val="24"/>
          <w:u w:val="single"/>
        </w:rPr>
        <w:lastRenderedPageBreak/>
        <w:t>Reference list</w:t>
      </w:r>
    </w:p>
    <w:p w14:paraId="7F79F1C1" w14:textId="38ADD20F"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Age International (2024). </w:t>
      </w:r>
      <w:r w:rsidRPr="00705448">
        <w:rPr>
          <w:rFonts w:asciiTheme="majorHAnsi" w:hAnsiTheme="majorHAnsi" w:cstheme="majorHAnsi"/>
          <w:i/>
          <w:iCs/>
          <w:sz w:val="24"/>
          <w:szCs w:val="24"/>
        </w:rPr>
        <w:t>Dementia in developing countries | Age International</w:t>
      </w:r>
      <w:r w:rsidRPr="00705448">
        <w:rPr>
          <w:rFonts w:asciiTheme="majorHAnsi" w:hAnsiTheme="majorHAnsi" w:cstheme="majorHAnsi"/>
          <w:sz w:val="24"/>
          <w:szCs w:val="24"/>
        </w:rPr>
        <w:t xml:space="preserve">. [online] www.ageinternational.org.uk. Available at: https://www.ageinternational.org.uk/policy-research/statistics/dementia-in-developing-countries/#:~:text=Caring%20for%20people%20with%20dementia&amp;text=In%20many%20developing%20countries%2C%20health </w:t>
      </w:r>
      <w:r w:rsidR="00975C03" w:rsidRPr="004331E0">
        <w:rPr>
          <w:rFonts w:asciiTheme="majorHAnsi" w:hAnsiTheme="majorHAnsi" w:cstheme="majorHAnsi"/>
          <w:sz w:val="24"/>
          <w:szCs w:val="24"/>
        </w:rPr>
        <w:t>(</w:t>
      </w:r>
      <w:r w:rsidRPr="00705448">
        <w:rPr>
          <w:rFonts w:asciiTheme="majorHAnsi" w:hAnsiTheme="majorHAnsi" w:cstheme="majorHAnsi"/>
          <w:sz w:val="24"/>
          <w:szCs w:val="24"/>
        </w:rPr>
        <w:t>Accessed 3 Feb. 2024</w:t>
      </w:r>
      <w:r w:rsidR="00975C03" w:rsidRPr="004331E0">
        <w:rPr>
          <w:rFonts w:asciiTheme="majorHAnsi" w:hAnsiTheme="majorHAnsi" w:cstheme="majorHAnsi"/>
          <w:sz w:val="24"/>
          <w:szCs w:val="24"/>
        </w:rPr>
        <w:t>)</w:t>
      </w:r>
      <w:r w:rsidRPr="00705448">
        <w:rPr>
          <w:rFonts w:asciiTheme="majorHAnsi" w:hAnsiTheme="majorHAnsi" w:cstheme="majorHAnsi"/>
          <w:sz w:val="24"/>
          <w:szCs w:val="24"/>
        </w:rPr>
        <w:t>.</w:t>
      </w:r>
    </w:p>
    <w:p w14:paraId="043C7F9E" w14:textId="77777777"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Alzheimer Europe (2024). </w:t>
      </w:r>
      <w:r w:rsidRPr="00705448">
        <w:rPr>
          <w:rFonts w:asciiTheme="majorHAnsi" w:hAnsiTheme="majorHAnsi" w:cstheme="majorHAnsi"/>
          <w:i/>
          <w:iCs/>
          <w:sz w:val="24"/>
          <w:szCs w:val="24"/>
        </w:rPr>
        <w:t>Intercultural dementia care A guide for health and care workers</w:t>
      </w:r>
      <w:r w:rsidRPr="00705448">
        <w:rPr>
          <w:rFonts w:asciiTheme="majorHAnsi" w:hAnsiTheme="majorHAnsi" w:cstheme="majorHAnsi"/>
          <w:sz w:val="24"/>
          <w:szCs w:val="24"/>
        </w:rPr>
        <w:t>.</w:t>
      </w:r>
    </w:p>
    <w:p w14:paraId="1FF8763D" w14:textId="5C71BBB6"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Alzheimer’s Research UK (2021). </w:t>
      </w:r>
      <w:r w:rsidRPr="00705448">
        <w:rPr>
          <w:rFonts w:asciiTheme="majorHAnsi" w:hAnsiTheme="majorHAnsi" w:cstheme="majorHAnsi"/>
          <w:i/>
          <w:iCs/>
          <w:sz w:val="24"/>
          <w:szCs w:val="24"/>
        </w:rPr>
        <w:t>Worldwide dementia cases to triple by 2050</w:t>
      </w:r>
      <w:r w:rsidRPr="00705448">
        <w:rPr>
          <w:rFonts w:asciiTheme="majorHAnsi" w:hAnsiTheme="majorHAnsi" w:cstheme="majorHAnsi"/>
          <w:sz w:val="24"/>
          <w:szCs w:val="24"/>
        </w:rPr>
        <w:t xml:space="preserve">. [online] Alzheimer’s Research UK. Available at: https://www.alzheimersresearchuk.org/worldwide-dementia-cases-to-triple-by-2050/ </w:t>
      </w:r>
      <w:r w:rsidR="00975C03" w:rsidRPr="004331E0">
        <w:rPr>
          <w:rFonts w:asciiTheme="majorHAnsi" w:hAnsiTheme="majorHAnsi" w:cstheme="majorHAnsi"/>
          <w:sz w:val="24"/>
          <w:szCs w:val="24"/>
        </w:rPr>
        <w:t>(</w:t>
      </w:r>
      <w:r w:rsidRPr="00705448">
        <w:rPr>
          <w:rFonts w:asciiTheme="majorHAnsi" w:hAnsiTheme="majorHAnsi" w:cstheme="majorHAnsi"/>
          <w:sz w:val="24"/>
          <w:szCs w:val="24"/>
        </w:rPr>
        <w:t>Accessed 30 Jan. 2024</w:t>
      </w:r>
      <w:r w:rsidR="00975C03" w:rsidRPr="004331E0">
        <w:rPr>
          <w:rFonts w:asciiTheme="majorHAnsi" w:hAnsiTheme="majorHAnsi" w:cstheme="majorHAnsi"/>
          <w:sz w:val="24"/>
          <w:szCs w:val="24"/>
        </w:rPr>
        <w:t>)</w:t>
      </w:r>
      <w:r w:rsidRPr="00705448">
        <w:rPr>
          <w:rFonts w:asciiTheme="majorHAnsi" w:hAnsiTheme="majorHAnsi" w:cstheme="majorHAnsi"/>
          <w:sz w:val="24"/>
          <w:szCs w:val="24"/>
        </w:rPr>
        <w:t>.</w:t>
      </w:r>
    </w:p>
    <w:p w14:paraId="19DCD196" w14:textId="1E06B645"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Alzheimer's Research (2024). </w:t>
      </w:r>
      <w:r w:rsidRPr="00705448">
        <w:rPr>
          <w:rFonts w:asciiTheme="majorHAnsi" w:hAnsiTheme="majorHAnsi" w:cstheme="majorHAnsi"/>
          <w:i/>
          <w:iCs/>
          <w:sz w:val="24"/>
          <w:szCs w:val="24"/>
        </w:rPr>
        <w:t>Support for people affected by dementia</w:t>
      </w:r>
      <w:r w:rsidRPr="00705448">
        <w:rPr>
          <w:rFonts w:asciiTheme="majorHAnsi" w:hAnsiTheme="majorHAnsi" w:cstheme="majorHAnsi"/>
          <w:sz w:val="24"/>
          <w:szCs w:val="24"/>
        </w:rPr>
        <w:t xml:space="preserve">. </w:t>
      </w:r>
      <w:r w:rsidR="00EC791D" w:rsidRPr="004331E0">
        <w:rPr>
          <w:rFonts w:asciiTheme="majorHAnsi" w:hAnsiTheme="majorHAnsi" w:cstheme="majorHAnsi"/>
          <w:sz w:val="24"/>
          <w:szCs w:val="24"/>
        </w:rPr>
        <w:t>(</w:t>
      </w:r>
      <w:r w:rsidRPr="00705448">
        <w:rPr>
          <w:rFonts w:asciiTheme="majorHAnsi" w:hAnsiTheme="majorHAnsi" w:cstheme="majorHAnsi"/>
          <w:sz w:val="24"/>
          <w:szCs w:val="24"/>
        </w:rPr>
        <w:t>online</w:t>
      </w:r>
      <w:r w:rsidR="00EC791D" w:rsidRPr="004331E0">
        <w:rPr>
          <w:rFonts w:asciiTheme="majorHAnsi" w:hAnsiTheme="majorHAnsi" w:cstheme="majorHAnsi"/>
          <w:sz w:val="24"/>
          <w:szCs w:val="24"/>
        </w:rPr>
        <w:t>)</w:t>
      </w:r>
      <w:r w:rsidRPr="00705448">
        <w:rPr>
          <w:rFonts w:asciiTheme="majorHAnsi" w:hAnsiTheme="majorHAnsi" w:cstheme="majorHAnsi"/>
          <w:sz w:val="24"/>
          <w:szCs w:val="24"/>
        </w:rPr>
        <w:t xml:space="preserve"> Alzheimer’s Research UK. Available at: https://www.alzheimersresearchuk.org/dementia-information/need-to-know-more/support-for-carers/ </w:t>
      </w:r>
      <w:r w:rsidR="00975C03" w:rsidRPr="004331E0">
        <w:rPr>
          <w:rFonts w:asciiTheme="majorHAnsi" w:hAnsiTheme="majorHAnsi" w:cstheme="majorHAnsi"/>
          <w:sz w:val="24"/>
          <w:szCs w:val="24"/>
        </w:rPr>
        <w:t>(</w:t>
      </w:r>
      <w:r w:rsidRPr="00705448">
        <w:rPr>
          <w:rFonts w:asciiTheme="majorHAnsi" w:hAnsiTheme="majorHAnsi" w:cstheme="majorHAnsi"/>
          <w:sz w:val="24"/>
          <w:szCs w:val="24"/>
        </w:rPr>
        <w:t>Accessed 26 Feb. 2024</w:t>
      </w:r>
      <w:r w:rsidR="00975C03" w:rsidRPr="004331E0">
        <w:rPr>
          <w:rFonts w:asciiTheme="majorHAnsi" w:hAnsiTheme="majorHAnsi" w:cstheme="majorHAnsi"/>
          <w:sz w:val="24"/>
          <w:szCs w:val="24"/>
        </w:rPr>
        <w:t>)</w:t>
      </w:r>
      <w:r w:rsidRPr="00705448">
        <w:rPr>
          <w:rFonts w:asciiTheme="majorHAnsi" w:hAnsiTheme="majorHAnsi" w:cstheme="majorHAnsi"/>
          <w:sz w:val="24"/>
          <w:szCs w:val="24"/>
        </w:rPr>
        <w:t>.</w:t>
      </w:r>
    </w:p>
    <w:p w14:paraId="47612FA6" w14:textId="6C890301"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Alzheimer's Society (2022). </w:t>
      </w:r>
      <w:r w:rsidRPr="00705448">
        <w:rPr>
          <w:rFonts w:asciiTheme="majorHAnsi" w:hAnsiTheme="majorHAnsi" w:cstheme="majorHAnsi"/>
          <w:i/>
          <w:iCs/>
          <w:sz w:val="24"/>
          <w:szCs w:val="24"/>
        </w:rPr>
        <w:t>What is dementia? | Alzheimer’s Society</w:t>
      </w:r>
      <w:r w:rsidRPr="00705448">
        <w:rPr>
          <w:rFonts w:asciiTheme="majorHAnsi" w:hAnsiTheme="majorHAnsi" w:cstheme="majorHAnsi"/>
          <w:sz w:val="24"/>
          <w:szCs w:val="24"/>
        </w:rPr>
        <w:t xml:space="preserve">. [online] www.alzheimers.org.uk. Available at: https://www.alzheimers.org.uk/about-dementia/types-dementia/what-is-dementia#:~:text=Dementia%20is%20a%20condition%20where </w:t>
      </w:r>
      <w:r w:rsidR="000E1650" w:rsidRPr="004331E0">
        <w:rPr>
          <w:rFonts w:asciiTheme="majorHAnsi" w:hAnsiTheme="majorHAnsi" w:cstheme="majorHAnsi"/>
          <w:sz w:val="24"/>
          <w:szCs w:val="24"/>
        </w:rPr>
        <w:t>(</w:t>
      </w:r>
      <w:r w:rsidRPr="00705448">
        <w:rPr>
          <w:rFonts w:asciiTheme="majorHAnsi" w:hAnsiTheme="majorHAnsi" w:cstheme="majorHAnsi"/>
          <w:sz w:val="24"/>
          <w:szCs w:val="24"/>
        </w:rPr>
        <w:t>Accessed 30 Jan. 2024</w:t>
      </w:r>
      <w:r w:rsidR="000E1650" w:rsidRPr="004331E0">
        <w:rPr>
          <w:rFonts w:asciiTheme="majorHAnsi" w:hAnsiTheme="majorHAnsi" w:cstheme="majorHAnsi"/>
          <w:sz w:val="24"/>
          <w:szCs w:val="24"/>
        </w:rPr>
        <w:t>)</w:t>
      </w:r>
      <w:r w:rsidRPr="00705448">
        <w:rPr>
          <w:rFonts w:asciiTheme="majorHAnsi" w:hAnsiTheme="majorHAnsi" w:cstheme="majorHAnsi"/>
          <w:sz w:val="24"/>
          <w:szCs w:val="24"/>
        </w:rPr>
        <w:t>.</w:t>
      </w:r>
    </w:p>
    <w:p w14:paraId="766DCA12" w14:textId="7DAE1CF9"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Assal, F. (2019). History of Dementia. </w:t>
      </w:r>
      <w:r w:rsidRPr="00705448">
        <w:rPr>
          <w:rFonts w:asciiTheme="majorHAnsi" w:hAnsiTheme="majorHAnsi" w:cstheme="majorHAnsi"/>
          <w:i/>
          <w:iCs/>
          <w:sz w:val="24"/>
          <w:szCs w:val="24"/>
        </w:rPr>
        <w:t>Frontiers of Neurology and Neuroscience</w:t>
      </w:r>
      <w:r w:rsidRPr="00705448">
        <w:rPr>
          <w:rFonts w:asciiTheme="majorHAnsi" w:hAnsiTheme="majorHAnsi" w:cstheme="majorHAnsi"/>
          <w:sz w:val="24"/>
          <w:szCs w:val="24"/>
        </w:rPr>
        <w:t>, 44(44), pp.118–126</w:t>
      </w:r>
      <w:r w:rsidR="000E1650" w:rsidRPr="004331E0">
        <w:rPr>
          <w:rFonts w:asciiTheme="majorHAnsi" w:hAnsiTheme="majorHAnsi" w:cstheme="majorHAnsi"/>
          <w:sz w:val="24"/>
          <w:szCs w:val="24"/>
        </w:rPr>
        <w:t>.</w:t>
      </w:r>
    </w:p>
    <w:p w14:paraId="6CEDFB6A" w14:textId="4F35060C"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Azam, S. (2020). A ‘futures’ approach towards the wellbeing of future generations in Wales and beyond. </w:t>
      </w:r>
      <w:r w:rsidRPr="00705448">
        <w:rPr>
          <w:rFonts w:asciiTheme="majorHAnsi" w:hAnsiTheme="majorHAnsi" w:cstheme="majorHAnsi"/>
          <w:i/>
          <w:iCs/>
          <w:sz w:val="24"/>
          <w:szCs w:val="24"/>
        </w:rPr>
        <w:t>European Journal of Public Health</w:t>
      </w:r>
      <w:r w:rsidRPr="00705448">
        <w:rPr>
          <w:rFonts w:asciiTheme="majorHAnsi" w:hAnsiTheme="majorHAnsi" w:cstheme="majorHAnsi"/>
          <w:sz w:val="24"/>
          <w:szCs w:val="24"/>
        </w:rPr>
        <w:t>, 30(Supplement_5</w:t>
      </w:r>
      <w:r w:rsidR="000E1650" w:rsidRPr="004331E0">
        <w:rPr>
          <w:rFonts w:asciiTheme="majorHAnsi" w:hAnsiTheme="majorHAnsi" w:cstheme="majorHAnsi"/>
          <w:sz w:val="24"/>
          <w:szCs w:val="24"/>
        </w:rPr>
        <w:t>).</w:t>
      </w:r>
    </w:p>
    <w:p w14:paraId="00D2FA7D" w14:textId="4035D88B"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Bayly, M., Morgan, D., Froehlich Chow, A., </w:t>
      </w:r>
      <w:proofErr w:type="spellStart"/>
      <w:r w:rsidRPr="00705448">
        <w:rPr>
          <w:rFonts w:asciiTheme="majorHAnsi" w:hAnsiTheme="majorHAnsi" w:cstheme="majorHAnsi"/>
          <w:sz w:val="24"/>
          <w:szCs w:val="24"/>
        </w:rPr>
        <w:t>Kosteniuk</w:t>
      </w:r>
      <w:proofErr w:type="spellEnd"/>
      <w:r w:rsidRPr="00705448">
        <w:rPr>
          <w:rFonts w:asciiTheme="majorHAnsi" w:hAnsiTheme="majorHAnsi" w:cstheme="majorHAnsi"/>
          <w:sz w:val="24"/>
          <w:szCs w:val="24"/>
        </w:rPr>
        <w:t xml:space="preserve">, J. and Elliot, V. (2020). Dementia-Related Education and Support Service Availability, Accessibility, and Use in Rural Areas: Barriers and Solutions. </w:t>
      </w:r>
      <w:r w:rsidRPr="00705448">
        <w:rPr>
          <w:rFonts w:asciiTheme="majorHAnsi" w:hAnsiTheme="majorHAnsi" w:cstheme="majorHAnsi"/>
          <w:i/>
          <w:iCs/>
          <w:sz w:val="24"/>
          <w:szCs w:val="24"/>
        </w:rPr>
        <w:t xml:space="preserve">Canadian Journal on Aging / La Revue </w:t>
      </w:r>
      <w:proofErr w:type="spellStart"/>
      <w:r w:rsidRPr="00705448">
        <w:rPr>
          <w:rFonts w:asciiTheme="majorHAnsi" w:hAnsiTheme="majorHAnsi" w:cstheme="majorHAnsi"/>
          <w:i/>
          <w:iCs/>
          <w:sz w:val="24"/>
          <w:szCs w:val="24"/>
        </w:rPr>
        <w:t>canadienne</w:t>
      </w:r>
      <w:proofErr w:type="spellEnd"/>
      <w:r w:rsidRPr="00705448">
        <w:rPr>
          <w:rFonts w:asciiTheme="majorHAnsi" w:hAnsiTheme="majorHAnsi" w:cstheme="majorHAnsi"/>
          <w:i/>
          <w:iCs/>
          <w:sz w:val="24"/>
          <w:szCs w:val="24"/>
        </w:rPr>
        <w:t xml:space="preserve"> du </w:t>
      </w:r>
      <w:proofErr w:type="spellStart"/>
      <w:r w:rsidRPr="00705448">
        <w:rPr>
          <w:rFonts w:asciiTheme="majorHAnsi" w:hAnsiTheme="majorHAnsi" w:cstheme="majorHAnsi"/>
          <w:i/>
          <w:iCs/>
          <w:sz w:val="24"/>
          <w:szCs w:val="24"/>
        </w:rPr>
        <w:t>vieillissement</w:t>
      </w:r>
      <w:proofErr w:type="spellEnd"/>
      <w:r w:rsidRPr="00705448">
        <w:rPr>
          <w:rFonts w:asciiTheme="majorHAnsi" w:hAnsiTheme="majorHAnsi" w:cstheme="majorHAnsi"/>
          <w:sz w:val="24"/>
          <w:szCs w:val="24"/>
        </w:rPr>
        <w:t xml:space="preserve">, 39(4), pp.545–585. </w:t>
      </w:r>
    </w:p>
    <w:p w14:paraId="38E02CF5" w14:textId="028B37D5"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Birch, D. and Draper, J. (2008). A critical literature review exploring the challenges of delivering effective palliative care to older people with dementia. </w:t>
      </w:r>
      <w:r w:rsidRPr="00705448">
        <w:rPr>
          <w:rFonts w:asciiTheme="majorHAnsi" w:hAnsiTheme="majorHAnsi" w:cstheme="majorHAnsi"/>
          <w:i/>
          <w:iCs/>
          <w:sz w:val="24"/>
          <w:szCs w:val="24"/>
        </w:rPr>
        <w:t>Journal of Clinical Nursing</w:t>
      </w:r>
      <w:r w:rsidRPr="00705448">
        <w:rPr>
          <w:rFonts w:asciiTheme="majorHAnsi" w:hAnsiTheme="majorHAnsi" w:cstheme="majorHAnsi"/>
          <w:sz w:val="24"/>
          <w:szCs w:val="24"/>
        </w:rPr>
        <w:t xml:space="preserve">, 17(9), pp.1144–1163. </w:t>
      </w:r>
    </w:p>
    <w:p w14:paraId="0B29788B" w14:textId="3B2CC2EB"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Broda, A., Bieber, A., Meyer, G., Hopper, L., Joyce, R., Irving, K., Zanetti, O., </w:t>
      </w:r>
      <w:proofErr w:type="spellStart"/>
      <w:r w:rsidRPr="00705448">
        <w:rPr>
          <w:rFonts w:asciiTheme="majorHAnsi" w:hAnsiTheme="majorHAnsi" w:cstheme="majorHAnsi"/>
          <w:sz w:val="24"/>
          <w:szCs w:val="24"/>
        </w:rPr>
        <w:t>Portolani</w:t>
      </w:r>
      <w:proofErr w:type="spellEnd"/>
      <w:r w:rsidRPr="00705448">
        <w:rPr>
          <w:rFonts w:asciiTheme="majorHAnsi" w:hAnsiTheme="majorHAnsi" w:cstheme="majorHAnsi"/>
          <w:sz w:val="24"/>
          <w:szCs w:val="24"/>
        </w:rPr>
        <w:t xml:space="preserve">, E., </w:t>
      </w:r>
      <w:proofErr w:type="spellStart"/>
      <w:r w:rsidRPr="00705448">
        <w:rPr>
          <w:rFonts w:asciiTheme="majorHAnsi" w:hAnsiTheme="majorHAnsi" w:cstheme="majorHAnsi"/>
          <w:sz w:val="24"/>
          <w:szCs w:val="24"/>
        </w:rPr>
        <w:t>Kerpershoek</w:t>
      </w:r>
      <w:proofErr w:type="spellEnd"/>
      <w:r w:rsidRPr="00705448">
        <w:rPr>
          <w:rFonts w:asciiTheme="majorHAnsi" w:hAnsiTheme="majorHAnsi" w:cstheme="majorHAnsi"/>
          <w:sz w:val="24"/>
          <w:szCs w:val="24"/>
        </w:rPr>
        <w:t xml:space="preserve">, L., Verhey, F., </w:t>
      </w:r>
      <w:proofErr w:type="spellStart"/>
      <w:r w:rsidRPr="00705448">
        <w:rPr>
          <w:rFonts w:asciiTheme="majorHAnsi" w:hAnsiTheme="majorHAnsi" w:cstheme="majorHAnsi"/>
          <w:sz w:val="24"/>
          <w:szCs w:val="24"/>
        </w:rPr>
        <w:t>Vugt</w:t>
      </w:r>
      <w:proofErr w:type="spellEnd"/>
      <w:r w:rsidRPr="00705448">
        <w:rPr>
          <w:rFonts w:asciiTheme="majorHAnsi" w:hAnsiTheme="majorHAnsi" w:cstheme="majorHAnsi"/>
          <w:sz w:val="24"/>
          <w:szCs w:val="24"/>
        </w:rPr>
        <w:t xml:space="preserve">, M. de, Wolfs, C., Eriksen, S., Røsvik, J., Marques, M.J., Gonçalves-Pereira, M., </w:t>
      </w:r>
      <w:proofErr w:type="spellStart"/>
      <w:r w:rsidRPr="00705448">
        <w:rPr>
          <w:rFonts w:asciiTheme="majorHAnsi" w:hAnsiTheme="majorHAnsi" w:cstheme="majorHAnsi"/>
          <w:sz w:val="24"/>
          <w:szCs w:val="24"/>
        </w:rPr>
        <w:t>Sjölund</w:t>
      </w:r>
      <w:proofErr w:type="spellEnd"/>
      <w:r w:rsidRPr="00705448">
        <w:rPr>
          <w:rFonts w:asciiTheme="majorHAnsi" w:hAnsiTheme="majorHAnsi" w:cstheme="majorHAnsi"/>
          <w:sz w:val="24"/>
          <w:szCs w:val="24"/>
        </w:rPr>
        <w:t xml:space="preserve">, B.-M., Woods, B., Jelley, H. and Orrell, M. (2017). Perspectives of policy and political decision makers on access to formal dementia care: expert interviews in eight European countries. </w:t>
      </w:r>
      <w:r w:rsidRPr="00705448">
        <w:rPr>
          <w:rFonts w:asciiTheme="majorHAnsi" w:hAnsiTheme="majorHAnsi" w:cstheme="majorHAnsi"/>
          <w:i/>
          <w:iCs/>
          <w:sz w:val="24"/>
          <w:szCs w:val="24"/>
        </w:rPr>
        <w:t>BMC Health Services Research</w:t>
      </w:r>
      <w:r w:rsidRPr="00705448">
        <w:rPr>
          <w:rFonts w:asciiTheme="majorHAnsi" w:hAnsiTheme="majorHAnsi" w:cstheme="majorHAnsi"/>
          <w:sz w:val="24"/>
          <w:szCs w:val="24"/>
        </w:rPr>
        <w:t xml:space="preserve">, 17(1). </w:t>
      </w:r>
    </w:p>
    <w:p w14:paraId="51021AA7" w14:textId="77777777"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Department of Health (2009). </w:t>
      </w:r>
      <w:r w:rsidRPr="00705448">
        <w:rPr>
          <w:rFonts w:asciiTheme="majorHAnsi" w:hAnsiTheme="majorHAnsi" w:cstheme="majorHAnsi"/>
          <w:i/>
          <w:iCs/>
          <w:sz w:val="24"/>
          <w:szCs w:val="24"/>
        </w:rPr>
        <w:t>National Dementia Strategy Living well with dementia: A National Dementia Strategy Putting People First</w:t>
      </w:r>
      <w:r w:rsidRPr="00705448">
        <w:rPr>
          <w:rFonts w:asciiTheme="majorHAnsi" w:hAnsiTheme="majorHAnsi" w:cstheme="majorHAnsi"/>
          <w:sz w:val="24"/>
          <w:szCs w:val="24"/>
        </w:rPr>
        <w:t>.</w:t>
      </w:r>
    </w:p>
    <w:p w14:paraId="58C54E4F" w14:textId="77777777"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Department of Health (2016). </w:t>
      </w:r>
      <w:r w:rsidRPr="00705448">
        <w:rPr>
          <w:rFonts w:asciiTheme="majorHAnsi" w:hAnsiTheme="majorHAnsi" w:cstheme="majorHAnsi"/>
          <w:i/>
          <w:iCs/>
          <w:sz w:val="24"/>
          <w:szCs w:val="24"/>
        </w:rPr>
        <w:t>Prime Minister’s Challenge on Dementia 2020 Implementation Plan</w:t>
      </w:r>
      <w:r w:rsidRPr="00705448">
        <w:rPr>
          <w:rFonts w:asciiTheme="majorHAnsi" w:hAnsiTheme="majorHAnsi" w:cstheme="majorHAnsi"/>
          <w:sz w:val="24"/>
          <w:szCs w:val="24"/>
        </w:rPr>
        <w:t xml:space="preserve">. [online] Available at: </w:t>
      </w:r>
      <w:r w:rsidRPr="00705448">
        <w:rPr>
          <w:rFonts w:asciiTheme="majorHAnsi" w:hAnsiTheme="majorHAnsi" w:cstheme="majorHAnsi"/>
          <w:sz w:val="24"/>
          <w:szCs w:val="24"/>
        </w:rPr>
        <w:lastRenderedPageBreak/>
        <w:t>https://assets.publishing.service.gov.uk/media/5a816d6040f0b62305b8ee55/PM_Dementia-main_acc.pdf [Accessed 3 Feb. 2024].</w:t>
      </w:r>
    </w:p>
    <w:p w14:paraId="245A1E25" w14:textId="77777777"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Division, G.B.D. of H.E. and F. (2015). </w:t>
      </w:r>
      <w:r w:rsidRPr="00705448">
        <w:rPr>
          <w:rFonts w:asciiTheme="majorHAnsi" w:hAnsiTheme="majorHAnsi" w:cstheme="majorHAnsi"/>
          <w:i/>
          <w:iCs/>
          <w:sz w:val="24"/>
          <w:szCs w:val="24"/>
        </w:rPr>
        <w:t>Dementia-friendly Health and Social Care Environments</w:t>
      </w:r>
      <w:r w:rsidRPr="00705448">
        <w:rPr>
          <w:rFonts w:asciiTheme="majorHAnsi" w:hAnsiTheme="majorHAnsi" w:cstheme="majorHAnsi"/>
          <w:sz w:val="24"/>
          <w:szCs w:val="24"/>
        </w:rPr>
        <w:t xml:space="preserve">. </w:t>
      </w:r>
      <w:r w:rsidRPr="00705448">
        <w:rPr>
          <w:rFonts w:asciiTheme="majorHAnsi" w:hAnsiTheme="majorHAnsi" w:cstheme="majorHAnsi"/>
          <w:i/>
          <w:iCs/>
          <w:sz w:val="24"/>
          <w:szCs w:val="24"/>
        </w:rPr>
        <w:t>Google Books</w:t>
      </w:r>
      <w:r w:rsidRPr="00705448">
        <w:rPr>
          <w:rFonts w:asciiTheme="majorHAnsi" w:hAnsiTheme="majorHAnsi" w:cstheme="majorHAnsi"/>
          <w:sz w:val="24"/>
          <w:szCs w:val="24"/>
        </w:rPr>
        <w:t>. Stationery Office.</w:t>
      </w:r>
    </w:p>
    <w:p w14:paraId="30432511" w14:textId="5A9DE8C0"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Downs, M. (2013). Embodiment: The implications for living well with dementia. </w:t>
      </w:r>
      <w:r w:rsidRPr="00705448">
        <w:rPr>
          <w:rFonts w:asciiTheme="majorHAnsi" w:hAnsiTheme="majorHAnsi" w:cstheme="majorHAnsi"/>
          <w:i/>
          <w:iCs/>
          <w:sz w:val="24"/>
          <w:szCs w:val="24"/>
        </w:rPr>
        <w:t>Dementia</w:t>
      </w:r>
      <w:r w:rsidRPr="00705448">
        <w:rPr>
          <w:rFonts w:asciiTheme="majorHAnsi" w:hAnsiTheme="majorHAnsi" w:cstheme="majorHAnsi"/>
          <w:sz w:val="24"/>
          <w:szCs w:val="24"/>
        </w:rPr>
        <w:t>, 12(3), pp.368–374</w:t>
      </w:r>
      <w:r w:rsidR="00212010" w:rsidRPr="004331E0">
        <w:rPr>
          <w:rFonts w:asciiTheme="majorHAnsi" w:hAnsiTheme="majorHAnsi" w:cstheme="majorHAnsi"/>
          <w:sz w:val="24"/>
          <w:szCs w:val="24"/>
        </w:rPr>
        <w:t>.</w:t>
      </w:r>
    </w:p>
    <w:p w14:paraId="1AF1DCC9" w14:textId="76F6E5B6"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Dresser, R. (2003). At Law: Research Oversight and Adults with Cognitive Impairment. </w:t>
      </w:r>
      <w:r w:rsidRPr="00705448">
        <w:rPr>
          <w:rFonts w:asciiTheme="majorHAnsi" w:hAnsiTheme="majorHAnsi" w:cstheme="majorHAnsi"/>
          <w:i/>
          <w:iCs/>
          <w:sz w:val="24"/>
          <w:szCs w:val="24"/>
        </w:rPr>
        <w:t xml:space="preserve">The Hastings </w:t>
      </w:r>
      <w:proofErr w:type="spellStart"/>
      <w:r w:rsidRPr="00705448">
        <w:rPr>
          <w:rFonts w:asciiTheme="majorHAnsi" w:hAnsiTheme="majorHAnsi" w:cstheme="majorHAnsi"/>
          <w:i/>
          <w:iCs/>
          <w:sz w:val="24"/>
          <w:szCs w:val="24"/>
        </w:rPr>
        <w:t>Center</w:t>
      </w:r>
      <w:proofErr w:type="spellEnd"/>
      <w:r w:rsidRPr="00705448">
        <w:rPr>
          <w:rFonts w:asciiTheme="majorHAnsi" w:hAnsiTheme="majorHAnsi" w:cstheme="majorHAnsi"/>
          <w:i/>
          <w:iCs/>
          <w:sz w:val="24"/>
          <w:szCs w:val="24"/>
        </w:rPr>
        <w:t xml:space="preserve"> Report</w:t>
      </w:r>
      <w:r w:rsidRPr="00705448">
        <w:rPr>
          <w:rFonts w:asciiTheme="majorHAnsi" w:hAnsiTheme="majorHAnsi" w:cstheme="majorHAnsi"/>
          <w:sz w:val="24"/>
          <w:szCs w:val="24"/>
        </w:rPr>
        <w:t xml:space="preserve">, 33(6), p.9. </w:t>
      </w:r>
    </w:p>
    <w:p w14:paraId="4BAFDC2B" w14:textId="77777777"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Galiana, J., Haseltine, W.A. and </w:t>
      </w:r>
      <w:proofErr w:type="spellStart"/>
      <w:r w:rsidRPr="00705448">
        <w:rPr>
          <w:rFonts w:asciiTheme="majorHAnsi" w:hAnsiTheme="majorHAnsi" w:cstheme="majorHAnsi"/>
          <w:sz w:val="24"/>
          <w:szCs w:val="24"/>
        </w:rPr>
        <w:t>Springerlink</w:t>
      </w:r>
      <w:proofErr w:type="spellEnd"/>
      <w:r w:rsidRPr="00705448">
        <w:rPr>
          <w:rFonts w:asciiTheme="majorHAnsi" w:hAnsiTheme="majorHAnsi" w:cstheme="majorHAnsi"/>
          <w:sz w:val="24"/>
          <w:szCs w:val="24"/>
        </w:rPr>
        <w:t xml:space="preserve"> (Online Service (2019). </w:t>
      </w:r>
      <w:r w:rsidRPr="00705448">
        <w:rPr>
          <w:rFonts w:asciiTheme="majorHAnsi" w:hAnsiTheme="majorHAnsi" w:cstheme="majorHAnsi"/>
          <w:i/>
          <w:iCs/>
          <w:sz w:val="24"/>
          <w:szCs w:val="24"/>
        </w:rPr>
        <w:t>Aging Well : Solutions to the Most Pressing Global Challenges of Aging</w:t>
      </w:r>
      <w:r w:rsidRPr="00705448">
        <w:rPr>
          <w:rFonts w:asciiTheme="majorHAnsi" w:hAnsiTheme="majorHAnsi" w:cstheme="majorHAnsi"/>
          <w:sz w:val="24"/>
          <w:szCs w:val="24"/>
        </w:rPr>
        <w:t>. Singapore: Springer Singapore.</w:t>
      </w:r>
    </w:p>
    <w:p w14:paraId="349E2C99" w14:textId="77777777"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Great Britain: National Audit Office (2007). </w:t>
      </w:r>
      <w:r w:rsidRPr="00705448">
        <w:rPr>
          <w:rFonts w:asciiTheme="majorHAnsi" w:hAnsiTheme="majorHAnsi" w:cstheme="majorHAnsi"/>
          <w:i/>
          <w:iCs/>
          <w:sz w:val="24"/>
          <w:szCs w:val="24"/>
        </w:rPr>
        <w:t>Improving services and support for people with dementia</w:t>
      </w:r>
      <w:r w:rsidRPr="00705448">
        <w:rPr>
          <w:rFonts w:asciiTheme="majorHAnsi" w:hAnsiTheme="majorHAnsi" w:cstheme="majorHAnsi"/>
          <w:sz w:val="24"/>
          <w:szCs w:val="24"/>
        </w:rPr>
        <w:t xml:space="preserve">. </w:t>
      </w:r>
      <w:r w:rsidRPr="00705448">
        <w:rPr>
          <w:rFonts w:asciiTheme="majorHAnsi" w:hAnsiTheme="majorHAnsi" w:cstheme="majorHAnsi"/>
          <w:i/>
          <w:iCs/>
          <w:sz w:val="24"/>
          <w:szCs w:val="24"/>
        </w:rPr>
        <w:t>Google Books</w:t>
      </w:r>
      <w:r w:rsidRPr="00705448">
        <w:rPr>
          <w:rFonts w:asciiTheme="majorHAnsi" w:hAnsiTheme="majorHAnsi" w:cstheme="majorHAnsi"/>
          <w:sz w:val="24"/>
          <w:szCs w:val="24"/>
        </w:rPr>
        <w:t>. The Stationery Office.</w:t>
      </w:r>
    </w:p>
    <w:p w14:paraId="3321AE4B" w14:textId="2AE86EDB"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Ji, </w:t>
      </w:r>
      <w:proofErr w:type="spellStart"/>
      <w:r w:rsidRPr="00705448">
        <w:rPr>
          <w:rFonts w:asciiTheme="majorHAnsi" w:hAnsiTheme="majorHAnsi" w:cstheme="majorHAnsi"/>
          <w:sz w:val="24"/>
          <w:szCs w:val="24"/>
        </w:rPr>
        <w:t>shree</w:t>
      </w:r>
      <w:proofErr w:type="spellEnd"/>
      <w:r w:rsidRPr="00705448">
        <w:rPr>
          <w:rFonts w:asciiTheme="majorHAnsi" w:hAnsiTheme="majorHAnsi" w:cstheme="majorHAnsi"/>
          <w:sz w:val="24"/>
          <w:szCs w:val="24"/>
        </w:rPr>
        <w:t xml:space="preserve"> (2023). </w:t>
      </w:r>
      <w:r w:rsidRPr="00705448">
        <w:rPr>
          <w:rFonts w:asciiTheme="majorHAnsi" w:hAnsiTheme="majorHAnsi" w:cstheme="majorHAnsi"/>
          <w:i/>
          <w:iCs/>
          <w:sz w:val="24"/>
          <w:szCs w:val="24"/>
        </w:rPr>
        <w:t>Top Benefits of Pursuing a Certificate in Dementia Care</w:t>
      </w:r>
      <w:r w:rsidRPr="00705448">
        <w:rPr>
          <w:rFonts w:asciiTheme="majorHAnsi" w:hAnsiTheme="majorHAnsi" w:cstheme="majorHAnsi"/>
          <w:sz w:val="24"/>
          <w:szCs w:val="24"/>
        </w:rPr>
        <w:t xml:space="preserve">. [online] </w:t>
      </w:r>
      <w:proofErr w:type="spellStart"/>
      <w:r w:rsidRPr="00705448">
        <w:rPr>
          <w:rFonts w:asciiTheme="majorHAnsi" w:hAnsiTheme="majorHAnsi" w:cstheme="majorHAnsi"/>
          <w:sz w:val="24"/>
          <w:szCs w:val="24"/>
        </w:rPr>
        <w:t>Shreeji</w:t>
      </w:r>
      <w:proofErr w:type="spellEnd"/>
      <w:r w:rsidRPr="00705448">
        <w:rPr>
          <w:rFonts w:asciiTheme="majorHAnsi" w:hAnsiTheme="majorHAnsi" w:cstheme="majorHAnsi"/>
          <w:sz w:val="24"/>
          <w:szCs w:val="24"/>
        </w:rPr>
        <w:t xml:space="preserve"> Training. Available at: https://shreejitraining.com/top-benefits-of-pursuing-a-certificate-in-dementia-care-for-healthcare-professionals/#:~:text=A%20certificate%20in%20dementia%20care%20equips%20healthcare%20professionals%20with%20the </w:t>
      </w:r>
      <w:r w:rsidR="00B55FA7" w:rsidRPr="004331E0">
        <w:rPr>
          <w:rFonts w:asciiTheme="majorHAnsi" w:hAnsiTheme="majorHAnsi" w:cstheme="majorHAnsi"/>
          <w:sz w:val="24"/>
          <w:szCs w:val="24"/>
        </w:rPr>
        <w:t>(</w:t>
      </w:r>
      <w:r w:rsidRPr="00705448">
        <w:rPr>
          <w:rFonts w:asciiTheme="majorHAnsi" w:hAnsiTheme="majorHAnsi" w:cstheme="majorHAnsi"/>
          <w:sz w:val="24"/>
          <w:szCs w:val="24"/>
        </w:rPr>
        <w:t>Accessed 3 Feb. 2024</w:t>
      </w:r>
      <w:r w:rsidR="00B55FA7" w:rsidRPr="004331E0">
        <w:rPr>
          <w:rFonts w:asciiTheme="majorHAnsi" w:hAnsiTheme="majorHAnsi" w:cstheme="majorHAnsi"/>
          <w:sz w:val="24"/>
          <w:szCs w:val="24"/>
        </w:rPr>
        <w:t>)</w:t>
      </w:r>
      <w:r w:rsidRPr="00705448">
        <w:rPr>
          <w:rFonts w:asciiTheme="majorHAnsi" w:hAnsiTheme="majorHAnsi" w:cstheme="majorHAnsi"/>
          <w:sz w:val="24"/>
          <w:szCs w:val="24"/>
        </w:rPr>
        <w:t>.</w:t>
      </w:r>
    </w:p>
    <w:p w14:paraId="2E283C61" w14:textId="6CC132B2"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Kendler, K.S. (2020). Philippe Pinel and the foundations of modern psychiatric nosology. </w:t>
      </w:r>
      <w:r w:rsidRPr="00705448">
        <w:rPr>
          <w:rFonts w:asciiTheme="majorHAnsi" w:hAnsiTheme="majorHAnsi" w:cstheme="majorHAnsi"/>
          <w:i/>
          <w:iCs/>
          <w:sz w:val="24"/>
          <w:szCs w:val="24"/>
        </w:rPr>
        <w:t>Psychological Medicine</w:t>
      </w:r>
      <w:r w:rsidRPr="00705448">
        <w:rPr>
          <w:rFonts w:asciiTheme="majorHAnsi" w:hAnsiTheme="majorHAnsi" w:cstheme="majorHAnsi"/>
          <w:sz w:val="24"/>
          <w:szCs w:val="24"/>
        </w:rPr>
        <w:t xml:space="preserve">, 50(16), pp.2667–2672. </w:t>
      </w:r>
    </w:p>
    <w:p w14:paraId="58A11381" w14:textId="4AC2CD93" w:rsidR="00705448" w:rsidRPr="00705448" w:rsidRDefault="00705448" w:rsidP="004331E0">
      <w:pPr>
        <w:rPr>
          <w:rFonts w:asciiTheme="majorHAnsi" w:hAnsiTheme="majorHAnsi" w:cstheme="majorHAnsi"/>
          <w:sz w:val="24"/>
          <w:szCs w:val="24"/>
        </w:rPr>
      </w:pPr>
      <w:proofErr w:type="spellStart"/>
      <w:r w:rsidRPr="00705448">
        <w:rPr>
          <w:rFonts w:asciiTheme="majorHAnsi" w:hAnsiTheme="majorHAnsi" w:cstheme="majorHAnsi"/>
          <w:sz w:val="24"/>
          <w:szCs w:val="24"/>
        </w:rPr>
        <w:t>Kerpershoek</w:t>
      </w:r>
      <w:proofErr w:type="spellEnd"/>
      <w:r w:rsidRPr="00705448">
        <w:rPr>
          <w:rFonts w:asciiTheme="majorHAnsi" w:hAnsiTheme="majorHAnsi" w:cstheme="majorHAnsi"/>
          <w:sz w:val="24"/>
          <w:szCs w:val="24"/>
        </w:rPr>
        <w:t xml:space="preserve">, L., </w:t>
      </w:r>
      <w:proofErr w:type="spellStart"/>
      <w:r w:rsidRPr="00705448">
        <w:rPr>
          <w:rFonts w:asciiTheme="majorHAnsi" w:hAnsiTheme="majorHAnsi" w:cstheme="majorHAnsi"/>
          <w:sz w:val="24"/>
          <w:szCs w:val="24"/>
        </w:rPr>
        <w:t>Vugt</w:t>
      </w:r>
      <w:proofErr w:type="spellEnd"/>
      <w:r w:rsidRPr="00705448">
        <w:rPr>
          <w:rFonts w:asciiTheme="majorHAnsi" w:hAnsiTheme="majorHAnsi" w:cstheme="majorHAnsi"/>
          <w:sz w:val="24"/>
          <w:szCs w:val="24"/>
        </w:rPr>
        <w:t xml:space="preserve">, M., Wolfs, C., Orrell, M., Woods, B., Jelley, H., Meyer, G., Bieber, A., Stephan, A., </w:t>
      </w:r>
      <w:proofErr w:type="spellStart"/>
      <w:r w:rsidRPr="00705448">
        <w:rPr>
          <w:rFonts w:asciiTheme="majorHAnsi" w:hAnsiTheme="majorHAnsi" w:cstheme="majorHAnsi"/>
          <w:sz w:val="24"/>
          <w:szCs w:val="24"/>
        </w:rPr>
        <w:t>Selbæk</w:t>
      </w:r>
      <w:proofErr w:type="spellEnd"/>
      <w:r w:rsidRPr="00705448">
        <w:rPr>
          <w:rFonts w:asciiTheme="majorHAnsi" w:hAnsiTheme="majorHAnsi" w:cstheme="majorHAnsi"/>
          <w:sz w:val="24"/>
          <w:szCs w:val="24"/>
        </w:rPr>
        <w:t xml:space="preserve">, G., Michelet, M., Wimo, A., </w:t>
      </w:r>
      <w:proofErr w:type="spellStart"/>
      <w:r w:rsidRPr="00705448">
        <w:rPr>
          <w:rFonts w:asciiTheme="majorHAnsi" w:hAnsiTheme="majorHAnsi" w:cstheme="majorHAnsi"/>
          <w:sz w:val="24"/>
          <w:szCs w:val="24"/>
        </w:rPr>
        <w:t>Handels</w:t>
      </w:r>
      <w:proofErr w:type="spellEnd"/>
      <w:r w:rsidRPr="00705448">
        <w:rPr>
          <w:rFonts w:asciiTheme="majorHAnsi" w:hAnsiTheme="majorHAnsi" w:cstheme="majorHAnsi"/>
          <w:sz w:val="24"/>
          <w:szCs w:val="24"/>
        </w:rPr>
        <w:t xml:space="preserve">, R., Irving, K., Hopper, L., Gonçalves‐Pereira, M., </w:t>
      </w:r>
      <w:proofErr w:type="spellStart"/>
      <w:r w:rsidRPr="00705448">
        <w:rPr>
          <w:rFonts w:asciiTheme="majorHAnsi" w:hAnsiTheme="majorHAnsi" w:cstheme="majorHAnsi"/>
          <w:sz w:val="24"/>
          <w:szCs w:val="24"/>
        </w:rPr>
        <w:t>Balsinha</w:t>
      </w:r>
      <w:proofErr w:type="spellEnd"/>
      <w:r w:rsidRPr="00705448">
        <w:rPr>
          <w:rFonts w:asciiTheme="majorHAnsi" w:hAnsiTheme="majorHAnsi" w:cstheme="majorHAnsi"/>
          <w:sz w:val="24"/>
          <w:szCs w:val="24"/>
        </w:rPr>
        <w:t xml:space="preserve">, C., Zanetti, O., </w:t>
      </w:r>
      <w:proofErr w:type="spellStart"/>
      <w:r w:rsidRPr="00705448">
        <w:rPr>
          <w:rFonts w:asciiTheme="majorHAnsi" w:hAnsiTheme="majorHAnsi" w:cstheme="majorHAnsi"/>
          <w:sz w:val="24"/>
          <w:szCs w:val="24"/>
        </w:rPr>
        <w:t>Portolani</w:t>
      </w:r>
      <w:proofErr w:type="spellEnd"/>
      <w:r w:rsidRPr="00705448">
        <w:rPr>
          <w:rFonts w:asciiTheme="majorHAnsi" w:hAnsiTheme="majorHAnsi" w:cstheme="majorHAnsi"/>
          <w:sz w:val="24"/>
          <w:szCs w:val="24"/>
        </w:rPr>
        <w:t xml:space="preserve">, D. and Verhey, F. (2019). Is there equity in initial access to formal dementia care in Europe? The Andersen Model applied to the </w:t>
      </w:r>
      <w:proofErr w:type="spellStart"/>
      <w:r w:rsidRPr="00705448">
        <w:rPr>
          <w:rFonts w:asciiTheme="majorHAnsi" w:hAnsiTheme="majorHAnsi" w:cstheme="majorHAnsi"/>
          <w:sz w:val="24"/>
          <w:szCs w:val="24"/>
        </w:rPr>
        <w:t>Actifcare</w:t>
      </w:r>
      <w:proofErr w:type="spellEnd"/>
      <w:r w:rsidRPr="00705448">
        <w:rPr>
          <w:rFonts w:asciiTheme="majorHAnsi" w:hAnsiTheme="majorHAnsi" w:cstheme="majorHAnsi"/>
          <w:sz w:val="24"/>
          <w:szCs w:val="24"/>
        </w:rPr>
        <w:t xml:space="preserve"> cohort. </w:t>
      </w:r>
      <w:r w:rsidRPr="00705448">
        <w:rPr>
          <w:rFonts w:asciiTheme="majorHAnsi" w:hAnsiTheme="majorHAnsi" w:cstheme="majorHAnsi"/>
          <w:i/>
          <w:iCs/>
          <w:sz w:val="24"/>
          <w:szCs w:val="24"/>
        </w:rPr>
        <w:t>International Journal of Geriatric Psychiatry</w:t>
      </w:r>
      <w:r w:rsidRPr="00705448">
        <w:rPr>
          <w:rFonts w:asciiTheme="majorHAnsi" w:hAnsiTheme="majorHAnsi" w:cstheme="majorHAnsi"/>
          <w:sz w:val="24"/>
          <w:szCs w:val="24"/>
        </w:rPr>
        <w:t xml:space="preserve">, 35(1), pp.45–52. </w:t>
      </w:r>
    </w:p>
    <w:p w14:paraId="36761388" w14:textId="1CFABC9C"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Kontos, P.C., Miller, K.-L., Mitchell, G.J. and Cott, C.A. (2011). Dementia Care at the Intersection of Regulation and Reflexivity: A Critical Realist Perspective. </w:t>
      </w:r>
      <w:r w:rsidRPr="00705448">
        <w:rPr>
          <w:rFonts w:asciiTheme="majorHAnsi" w:hAnsiTheme="majorHAnsi" w:cstheme="majorHAnsi"/>
          <w:i/>
          <w:iCs/>
          <w:sz w:val="24"/>
          <w:szCs w:val="24"/>
        </w:rPr>
        <w:t>The journals of gerontology. Series B, Psychological sciences and social sciences</w:t>
      </w:r>
      <w:r w:rsidRPr="00705448">
        <w:rPr>
          <w:rFonts w:asciiTheme="majorHAnsi" w:hAnsiTheme="majorHAnsi" w:cstheme="majorHAnsi"/>
          <w:sz w:val="24"/>
          <w:szCs w:val="24"/>
        </w:rPr>
        <w:t>, 66(1), pp.119–128</w:t>
      </w:r>
      <w:r w:rsidR="000E1650" w:rsidRPr="004331E0">
        <w:rPr>
          <w:rFonts w:asciiTheme="majorHAnsi" w:hAnsiTheme="majorHAnsi" w:cstheme="majorHAnsi"/>
          <w:sz w:val="24"/>
          <w:szCs w:val="24"/>
        </w:rPr>
        <w:t>.</w:t>
      </w:r>
    </w:p>
    <w:p w14:paraId="6AD80FD0" w14:textId="5A226EAF"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Lethin, C., Leino-</w:t>
      </w:r>
      <w:proofErr w:type="spellStart"/>
      <w:r w:rsidRPr="00705448">
        <w:rPr>
          <w:rFonts w:asciiTheme="majorHAnsi" w:hAnsiTheme="majorHAnsi" w:cstheme="majorHAnsi"/>
          <w:sz w:val="24"/>
          <w:szCs w:val="24"/>
        </w:rPr>
        <w:t>Kilpi</w:t>
      </w:r>
      <w:proofErr w:type="spellEnd"/>
      <w:r w:rsidRPr="00705448">
        <w:rPr>
          <w:rFonts w:asciiTheme="majorHAnsi" w:hAnsiTheme="majorHAnsi" w:cstheme="majorHAnsi"/>
          <w:sz w:val="24"/>
          <w:szCs w:val="24"/>
        </w:rPr>
        <w:t xml:space="preserve">, H., Roe, B., Soto, M.M., Saks, K., Stephan, A., </w:t>
      </w:r>
      <w:proofErr w:type="spellStart"/>
      <w:r w:rsidRPr="00705448">
        <w:rPr>
          <w:rFonts w:asciiTheme="majorHAnsi" w:hAnsiTheme="majorHAnsi" w:cstheme="majorHAnsi"/>
          <w:sz w:val="24"/>
          <w:szCs w:val="24"/>
        </w:rPr>
        <w:t>Zwakhalen</w:t>
      </w:r>
      <w:proofErr w:type="spellEnd"/>
      <w:r w:rsidRPr="00705448">
        <w:rPr>
          <w:rFonts w:asciiTheme="majorHAnsi" w:hAnsiTheme="majorHAnsi" w:cstheme="majorHAnsi"/>
          <w:sz w:val="24"/>
          <w:szCs w:val="24"/>
        </w:rPr>
        <w:t xml:space="preserve">, S., </w:t>
      </w:r>
      <w:proofErr w:type="spellStart"/>
      <w:r w:rsidRPr="00705448">
        <w:rPr>
          <w:rFonts w:asciiTheme="majorHAnsi" w:hAnsiTheme="majorHAnsi" w:cstheme="majorHAnsi"/>
          <w:sz w:val="24"/>
          <w:szCs w:val="24"/>
        </w:rPr>
        <w:t>Zabalegui</w:t>
      </w:r>
      <w:proofErr w:type="spellEnd"/>
      <w:r w:rsidRPr="00705448">
        <w:rPr>
          <w:rFonts w:asciiTheme="majorHAnsi" w:hAnsiTheme="majorHAnsi" w:cstheme="majorHAnsi"/>
          <w:sz w:val="24"/>
          <w:szCs w:val="24"/>
        </w:rPr>
        <w:t xml:space="preserve">, A. and Karlsson, S. (2016). Formal support for informal caregivers to older persons with dementia through the course of the disease: an exploratory, cross-sectional study. </w:t>
      </w:r>
      <w:r w:rsidRPr="00705448">
        <w:rPr>
          <w:rFonts w:asciiTheme="majorHAnsi" w:hAnsiTheme="majorHAnsi" w:cstheme="majorHAnsi"/>
          <w:i/>
          <w:iCs/>
          <w:sz w:val="24"/>
          <w:szCs w:val="24"/>
        </w:rPr>
        <w:t>BMC Geriatrics</w:t>
      </w:r>
      <w:r w:rsidRPr="00705448">
        <w:rPr>
          <w:rFonts w:asciiTheme="majorHAnsi" w:hAnsiTheme="majorHAnsi" w:cstheme="majorHAnsi"/>
          <w:sz w:val="24"/>
          <w:szCs w:val="24"/>
        </w:rPr>
        <w:t xml:space="preserve">, 16(1). </w:t>
      </w:r>
    </w:p>
    <w:p w14:paraId="7DE37C5F" w14:textId="77777777"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Lewis, F., Schaffer, S., Sussex, J., </w:t>
      </w:r>
      <w:proofErr w:type="spellStart"/>
      <w:r w:rsidRPr="00705448">
        <w:rPr>
          <w:rFonts w:asciiTheme="majorHAnsi" w:hAnsiTheme="majorHAnsi" w:cstheme="majorHAnsi"/>
          <w:sz w:val="24"/>
          <w:szCs w:val="24"/>
        </w:rPr>
        <w:t>O'neill</w:t>
      </w:r>
      <w:proofErr w:type="spellEnd"/>
      <w:r w:rsidRPr="00705448">
        <w:rPr>
          <w:rFonts w:asciiTheme="majorHAnsi" w:hAnsiTheme="majorHAnsi" w:cstheme="majorHAnsi"/>
          <w:sz w:val="24"/>
          <w:szCs w:val="24"/>
        </w:rPr>
        <w:t xml:space="preserve">, P. and Cockcroft, L. (2014). </w:t>
      </w:r>
      <w:r w:rsidRPr="00705448">
        <w:rPr>
          <w:rFonts w:asciiTheme="majorHAnsi" w:hAnsiTheme="majorHAnsi" w:cstheme="majorHAnsi"/>
          <w:i/>
          <w:iCs/>
          <w:sz w:val="24"/>
          <w:szCs w:val="24"/>
        </w:rPr>
        <w:t xml:space="preserve">The Trajectory of Dementia in the UK -Making a Difference 9 </w:t>
      </w:r>
      <w:proofErr w:type="spellStart"/>
      <w:r w:rsidRPr="00705448">
        <w:rPr>
          <w:rFonts w:asciiTheme="majorHAnsi" w:hAnsiTheme="majorHAnsi" w:cstheme="majorHAnsi"/>
          <w:i/>
          <w:iCs/>
          <w:sz w:val="24"/>
          <w:szCs w:val="24"/>
        </w:rPr>
        <w:t>th</w:t>
      </w:r>
      <w:r w:rsidRPr="00705448">
        <w:rPr>
          <w:rFonts w:asciiTheme="majorHAnsi" w:hAnsiTheme="majorHAnsi" w:cstheme="majorHAnsi"/>
          <w:sz w:val="24"/>
          <w:szCs w:val="24"/>
        </w:rPr>
        <w:t>.</w:t>
      </w:r>
      <w:proofErr w:type="spellEnd"/>
    </w:p>
    <w:p w14:paraId="1B27323D" w14:textId="77777777"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Livingston, G., Huntley, J., </w:t>
      </w:r>
      <w:proofErr w:type="spellStart"/>
      <w:r w:rsidRPr="00705448">
        <w:rPr>
          <w:rFonts w:asciiTheme="majorHAnsi" w:hAnsiTheme="majorHAnsi" w:cstheme="majorHAnsi"/>
          <w:sz w:val="24"/>
          <w:szCs w:val="24"/>
        </w:rPr>
        <w:t>Sommerlad</w:t>
      </w:r>
      <w:proofErr w:type="spellEnd"/>
      <w:r w:rsidRPr="00705448">
        <w:rPr>
          <w:rFonts w:asciiTheme="majorHAnsi" w:hAnsiTheme="majorHAnsi" w:cstheme="majorHAnsi"/>
          <w:sz w:val="24"/>
          <w:szCs w:val="24"/>
        </w:rPr>
        <w:t xml:space="preserve">, A., Ames, D., Ballard, C., Banerjee, S., Brayne, C., Burns, A., Cohen-Mansfield, J., Cooper, C., </w:t>
      </w:r>
      <w:proofErr w:type="spellStart"/>
      <w:r w:rsidRPr="00705448">
        <w:rPr>
          <w:rFonts w:asciiTheme="majorHAnsi" w:hAnsiTheme="majorHAnsi" w:cstheme="majorHAnsi"/>
          <w:sz w:val="24"/>
          <w:szCs w:val="24"/>
        </w:rPr>
        <w:t>Costafreda</w:t>
      </w:r>
      <w:proofErr w:type="spellEnd"/>
      <w:r w:rsidRPr="00705448">
        <w:rPr>
          <w:rFonts w:asciiTheme="majorHAnsi" w:hAnsiTheme="majorHAnsi" w:cstheme="majorHAnsi"/>
          <w:sz w:val="24"/>
          <w:szCs w:val="24"/>
        </w:rPr>
        <w:t xml:space="preserve">, S.G., Dias, A., Fox, N., Gitlin, L.N., Howard, R., Kales, H.C., Kivimäki, M., Larson, E.B., Ogunniyi, A. and Orgeta, V. (2020). Dementia prevention, intervention, and care: 2020 report of the Lancet Commission. </w:t>
      </w:r>
      <w:r w:rsidRPr="00705448">
        <w:rPr>
          <w:rFonts w:asciiTheme="majorHAnsi" w:hAnsiTheme="majorHAnsi" w:cstheme="majorHAnsi"/>
          <w:i/>
          <w:iCs/>
          <w:sz w:val="24"/>
          <w:szCs w:val="24"/>
        </w:rPr>
        <w:t>The Lancet</w:t>
      </w:r>
      <w:r w:rsidRPr="00705448">
        <w:rPr>
          <w:rFonts w:asciiTheme="majorHAnsi" w:hAnsiTheme="majorHAnsi" w:cstheme="majorHAnsi"/>
          <w:sz w:val="24"/>
          <w:szCs w:val="24"/>
        </w:rPr>
        <w:t>, 396(10248), pp.413–446.</w:t>
      </w:r>
    </w:p>
    <w:p w14:paraId="49BF0D06" w14:textId="1D65646F"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lastRenderedPageBreak/>
        <w:t xml:space="preserve">Livingston, G. and </w:t>
      </w:r>
      <w:proofErr w:type="spellStart"/>
      <w:r w:rsidRPr="00705448">
        <w:rPr>
          <w:rFonts w:asciiTheme="majorHAnsi" w:hAnsiTheme="majorHAnsi" w:cstheme="majorHAnsi"/>
          <w:sz w:val="24"/>
          <w:szCs w:val="24"/>
        </w:rPr>
        <w:t>Sembhi</w:t>
      </w:r>
      <w:proofErr w:type="spellEnd"/>
      <w:r w:rsidRPr="00705448">
        <w:rPr>
          <w:rFonts w:asciiTheme="majorHAnsi" w:hAnsiTheme="majorHAnsi" w:cstheme="majorHAnsi"/>
          <w:sz w:val="24"/>
          <w:szCs w:val="24"/>
        </w:rPr>
        <w:t xml:space="preserve">, S. (2003). Mental health of the ageing immigrant population. </w:t>
      </w:r>
      <w:r w:rsidRPr="00705448">
        <w:rPr>
          <w:rFonts w:asciiTheme="majorHAnsi" w:hAnsiTheme="majorHAnsi" w:cstheme="majorHAnsi"/>
          <w:i/>
          <w:iCs/>
          <w:sz w:val="24"/>
          <w:szCs w:val="24"/>
        </w:rPr>
        <w:t>Advances in Psychiatric Treatment</w:t>
      </w:r>
      <w:r w:rsidRPr="00705448">
        <w:rPr>
          <w:rFonts w:asciiTheme="majorHAnsi" w:hAnsiTheme="majorHAnsi" w:cstheme="majorHAnsi"/>
          <w:sz w:val="24"/>
          <w:szCs w:val="24"/>
        </w:rPr>
        <w:t xml:space="preserve">, 9(1), pp.31–37. </w:t>
      </w:r>
    </w:p>
    <w:p w14:paraId="4163883B" w14:textId="77777777"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Mace, N.L., Coons, D.H. and </w:t>
      </w:r>
      <w:proofErr w:type="spellStart"/>
      <w:r w:rsidRPr="00705448">
        <w:rPr>
          <w:rFonts w:asciiTheme="majorHAnsi" w:hAnsiTheme="majorHAnsi" w:cstheme="majorHAnsi"/>
          <w:sz w:val="24"/>
          <w:szCs w:val="24"/>
        </w:rPr>
        <w:t>Weaverdyck</w:t>
      </w:r>
      <w:proofErr w:type="spellEnd"/>
      <w:r w:rsidRPr="00705448">
        <w:rPr>
          <w:rFonts w:asciiTheme="majorHAnsi" w:hAnsiTheme="majorHAnsi" w:cstheme="majorHAnsi"/>
          <w:sz w:val="24"/>
          <w:szCs w:val="24"/>
        </w:rPr>
        <w:t xml:space="preserve">, S. (2005). </w:t>
      </w:r>
      <w:r w:rsidRPr="00705448">
        <w:rPr>
          <w:rFonts w:asciiTheme="majorHAnsi" w:hAnsiTheme="majorHAnsi" w:cstheme="majorHAnsi"/>
          <w:i/>
          <w:iCs/>
          <w:sz w:val="24"/>
          <w:szCs w:val="24"/>
        </w:rPr>
        <w:t>Teaching Dementia Care: Skill and Understanding</w:t>
      </w:r>
      <w:r w:rsidRPr="00705448">
        <w:rPr>
          <w:rFonts w:asciiTheme="majorHAnsi" w:hAnsiTheme="majorHAnsi" w:cstheme="majorHAnsi"/>
          <w:sz w:val="24"/>
          <w:szCs w:val="24"/>
        </w:rPr>
        <w:t xml:space="preserve">. </w:t>
      </w:r>
      <w:r w:rsidRPr="00705448">
        <w:rPr>
          <w:rFonts w:asciiTheme="majorHAnsi" w:hAnsiTheme="majorHAnsi" w:cstheme="majorHAnsi"/>
          <w:i/>
          <w:iCs/>
          <w:sz w:val="24"/>
          <w:szCs w:val="24"/>
        </w:rPr>
        <w:t>Google Books</w:t>
      </w:r>
      <w:r w:rsidRPr="00705448">
        <w:rPr>
          <w:rFonts w:asciiTheme="majorHAnsi" w:hAnsiTheme="majorHAnsi" w:cstheme="majorHAnsi"/>
          <w:sz w:val="24"/>
          <w:szCs w:val="24"/>
        </w:rPr>
        <w:t>. JHU Press.</w:t>
      </w:r>
    </w:p>
    <w:p w14:paraId="226E0C3D" w14:textId="77777777"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Martin, G. and Sabbagh, M. (2010). </w:t>
      </w:r>
      <w:r w:rsidRPr="00705448">
        <w:rPr>
          <w:rFonts w:asciiTheme="majorHAnsi" w:hAnsiTheme="majorHAnsi" w:cstheme="majorHAnsi"/>
          <w:i/>
          <w:iCs/>
          <w:sz w:val="24"/>
          <w:szCs w:val="24"/>
        </w:rPr>
        <w:t>Palliative Care for Advanced Alzheimer’s and Dementia: Guidelines and Standards for Evidence-Based Care</w:t>
      </w:r>
      <w:r w:rsidRPr="00705448">
        <w:rPr>
          <w:rFonts w:asciiTheme="majorHAnsi" w:hAnsiTheme="majorHAnsi" w:cstheme="majorHAnsi"/>
          <w:sz w:val="24"/>
          <w:szCs w:val="24"/>
        </w:rPr>
        <w:t xml:space="preserve">. </w:t>
      </w:r>
      <w:r w:rsidRPr="00705448">
        <w:rPr>
          <w:rFonts w:asciiTheme="majorHAnsi" w:hAnsiTheme="majorHAnsi" w:cstheme="majorHAnsi"/>
          <w:i/>
          <w:iCs/>
          <w:sz w:val="24"/>
          <w:szCs w:val="24"/>
        </w:rPr>
        <w:t>Google Books</w:t>
      </w:r>
      <w:r w:rsidRPr="00705448">
        <w:rPr>
          <w:rFonts w:asciiTheme="majorHAnsi" w:hAnsiTheme="majorHAnsi" w:cstheme="majorHAnsi"/>
          <w:sz w:val="24"/>
          <w:szCs w:val="24"/>
        </w:rPr>
        <w:t>. Springer Publishing Company.</w:t>
      </w:r>
    </w:p>
    <w:p w14:paraId="72D83A9A" w14:textId="55CAA6CD" w:rsidR="00705448" w:rsidRPr="00705448" w:rsidRDefault="00705448" w:rsidP="004331E0">
      <w:pPr>
        <w:rPr>
          <w:rFonts w:asciiTheme="majorHAnsi" w:hAnsiTheme="majorHAnsi" w:cstheme="majorHAnsi"/>
          <w:sz w:val="24"/>
          <w:szCs w:val="24"/>
        </w:rPr>
      </w:pPr>
      <w:proofErr w:type="spellStart"/>
      <w:r w:rsidRPr="00705448">
        <w:rPr>
          <w:rFonts w:asciiTheme="majorHAnsi" w:hAnsiTheme="majorHAnsi" w:cstheme="majorHAnsi"/>
          <w:sz w:val="24"/>
          <w:szCs w:val="24"/>
        </w:rPr>
        <w:t>McMaughan</w:t>
      </w:r>
      <w:proofErr w:type="spellEnd"/>
      <w:r w:rsidRPr="00705448">
        <w:rPr>
          <w:rFonts w:asciiTheme="majorHAnsi" w:hAnsiTheme="majorHAnsi" w:cstheme="majorHAnsi"/>
          <w:sz w:val="24"/>
          <w:szCs w:val="24"/>
        </w:rPr>
        <w:t xml:space="preserve">, D.J., </w:t>
      </w:r>
      <w:proofErr w:type="spellStart"/>
      <w:r w:rsidRPr="00705448">
        <w:rPr>
          <w:rFonts w:asciiTheme="majorHAnsi" w:hAnsiTheme="majorHAnsi" w:cstheme="majorHAnsi"/>
          <w:sz w:val="24"/>
          <w:szCs w:val="24"/>
        </w:rPr>
        <w:t>Oloruntoba</w:t>
      </w:r>
      <w:proofErr w:type="spellEnd"/>
      <w:r w:rsidRPr="00705448">
        <w:rPr>
          <w:rFonts w:asciiTheme="majorHAnsi" w:hAnsiTheme="majorHAnsi" w:cstheme="majorHAnsi"/>
          <w:sz w:val="24"/>
          <w:szCs w:val="24"/>
        </w:rPr>
        <w:t xml:space="preserve">, O. and Smith, M.L. (2020). Socioeconomic Status and Access to Healthcare: Interrelated Drivers for Healthy Aging. </w:t>
      </w:r>
      <w:r w:rsidRPr="00705448">
        <w:rPr>
          <w:rFonts w:asciiTheme="majorHAnsi" w:hAnsiTheme="majorHAnsi" w:cstheme="majorHAnsi"/>
          <w:i/>
          <w:iCs/>
          <w:sz w:val="24"/>
          <w:szCs w:val="24"/>
        </w:rPr>
        <w:t>Frontiers in Public Health</w:t>
      </w:r>
      <w:r w:rsidRPr="00705448">
        <w:rPr>
          <w:rFonts w:asciiTheme="majorHAnsi" w:hAnsiTheme="majorHAnsi" w:cstheme="majorHAnsi"/>
          <w:sz w:val="24"/>
          <w:szCs w:val="24"/>
        </w:rPr>
        <w:t xml:space="preserve">, 8(231). </w:t>
      </w:r>
    </w:p>
    <w:p w14:paraId="6C4D19DB" w14:textId="523BDA9C"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National Health Service (2023a). </w:t>
      </w:r>
      <w:r w:rsidRPr="00705448">
        <w:rPr>
          <w:rFonts w:asciiTheme="majorHAnsi" w:hAnsiTheme="majorHAnsi" w:cstheme="majorHAnsi"/>
          <w:i/>
          <w:iCs/>
          <w:sz w:val="24"/>
          <w:szCs w:val="24"/>
        </w:rPr>
        <w:t>Help and support for people with dementia</w:t>
      </w:r>
      <w:r w:rsidRPr="00705448">
        <w:rPr>
          <w:rFonts w:asciiTheme="majorHAnsi" w:hAnsiTheme="majorHAnsi" w:cstheme="majorHAnsi"/>
          <w:sz w:val="24"/>
          <w:szCs w:val="24"/>
        </w:rPr>
        <w:t xml:space="preserve">. [online] nhs.uk. Available at: https://www.nhs.uk/conditions/dementia/care-and-support/help-and-support/ </w:t>
      </w:r>
      <w:r w:rsidR="00B55FA7" w:rsidRPr="004331E0">
        <w:rPr>
          <w:rFonts w:asciiTheme="majorHAnsi" w:hAnsiTheme="majorHAnsi" w:cstheme="majorHAnsi"/>
          <w:sz w:val="24"/>
          <w:szCs w:val="24"/>
        </w:rPr>
        <w:t>(</w:t>
      </w:r>
      <w:r w:rsidRPr="00705448">
        <w:rPr>
          <w:rFonts w:asciiTheme="majorHAnsi" w:hAnsiTheme="majorHAnsi" w:cstheme="majorHAnsi"/>
          <w:sz w:val="24"/>
          <w:szCs w:val="24"/>
        </w:rPr>
        <w:t>Accessed 3 Feb. 2024</w:t>
      </w:r>
      <w:r w:rsidR="00B55FA7" w:rsidRPr="004331E0">
        <w:rPr>
          <w:rFonts w:asciiTheme="majorHAnsi" w:hAnsiTheme="majorHAnsi" w:cstheme="majorHAnsi"/>
          <w:sz w:val="24"/>
          <w:szCs w:val="24"/>
        </w:rPr>
        <w:t>)</w:t>
      </w:r>
      <w:r w:rsidRPr="00705448">
        <w:rPr>
          <w:rFonts w:asciiTheme="majorHAnsi" w:hAnsiTheme="majorHAnsi" w:cstheme="majorHAnsi"/>
          <w:sz w:val="24"/>
          <w:szCs w:val="24"/>
        </w:rPr>
        <w:t>.</w:t>
      </w:r>
    </w:p>
    <w:p w14:paraId="64E5E6C2" w14:textId="46ADEC1A"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National Health Service (2023b). </w:t>
      </w:r>
      <w:r w:rsidRPr="00705448">
        <w:rPr>
          <w:rFonts w:asciiTheme="majorHAnsi" w:hAnsiTheme="majorHAnsi" w:cstheme="majorHAnsi"/>
          <w:i/>
          <w:iCs/>
          <w:sz w:val="24"/>
          <w:szCs w:val="24"/>
        </w:rPr>
        <w:t>What is dementia</w:t>
      </w:r>
      <w:r w:rsidRPr="00705448">
        <w:rPr>
          <w:rFonts w:asciiTheme="majorHAnsi" w:hAnsiTheme="majorHAnsi" w:cstheme="majorHAnsi"/>
          <w:sz w:val="24"/>
          <w:szCs w:val="24"/>
        </w:rPr>
        <w:t xml:space="preserve">. [online] nhs.uk. Available at: https://www.nhs.uk/conditions/dementia/about-dementia/what-is-dementia/ </w:t>
      </w:r>
      <w:r w:rsidR="00FA1AAF" w:rsidRPr="004331E0">
        <w:rPr>
          <w:rFonts w:asciiTheme="majorHAnsi" w:hAnsiTheme="majorHAnsi" w:cstheme="majorHAnsi"/>
          <w:sz w:val="24"/>
          <w:szCs w:val="24"/>
        </w:rPr>
        <w:t>(</w:t>
      </w:r>
      <w:r w:rsidRPr="00705448">
        <w:rPr>
          <w:rFonts w:asciiTheme="majorHAnsi" w:hAnsiTheme="majorHAnsi" w:cstheme="majorHAnsi"/>
          <w:sz w:val="24"/>
          <w:szCs w:val="24"/>
        </w:rPr>
        <w:t>Accessed 30 Jan. 2024</w:t>
      </w:r>
      <w:r w:rsidR="00FA1AAF" w:rsidRPr="004331E0">
        <w:rPr>
          <w:rFonts w:asciiTheme="majorHAnsi" w:hAnsiTheme="majorHAnsi" w:cstheme="majorHAnsi"/>
          <w:sz w:val="24"/>
          <w:szCs w:val="24"/>
        </w:rPr>
        <w:t>)</w:t>
      </w:r>
      <w:r w:rsidRPr="00705448">
        <w:rPr>
          <w:rFonts w:asciiTheme="majorHAnsi" w:hAnsiTheme="majorHAnsi" w:cstheme="majorHAnsi"/>
          <w:sz w:val="24"/>
          <w:szCs w:val="24"/>
        </w:rPr>
        <w:t>.</w:t>
      </w:r>
    </w:p>
    <w:p w14:paraId="62D29896" w14:textId="783028BE"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Organisation for Economic Co-operation and Development (2024). </w:t>
      </w:r>
      <w:r w:rsidRPr="00705448">
        <w:rPr>
          <w:rFonts w:asciiTheme="majorHAnsi" w:hAnsiTheme="majorHAnsi" w:cstheme="majorHAnsi"/>
          <w:i/>
          <w:iCs/>
          <w:sz w:val="24"/>
          <w:szCs w:val="24"/>
        </w:rPr>
        <w:t xml:space="preserve">OECD Reviews of Health Care Quality: United Kingdom 2016: Raising Standards | </w:t>
      </w:r>
      <w:proofErr w:type="spellStart"/>
      <w:r w:rsidRPr="00705448">
        <w:rPr>
          <w:rFonts w:asciiTheme="majorHAnsi" w:hAnsiTheme="majorHAnsi" w:cstheme="majorHAnsi"/>
          <w:i/>
          <w:iCs/>
          <w:sz w:val="24"/>
          <w:szCs w:val="24"/>
        </w:rPr>
        <w:t>en</w:t>
      </w:r>
      <w:proofErr w:type="spellEnd"/>
      <w:r w:rsidRPr="00705448">
        <w:rPr>
          <w:rFonts w:asciiTheme="majorHAnsi" w:hAnsiTheme="majorHAnsi" w:cstheme="majorHAnsi"/>
          <w:i/>
          <w:iCs/>
          <w:sz w:val="24"/>
          <w:szCs w:val="24"/>
        </w:rPr>
        <w:t xml:space="preserve"> | OECD</w:t>
      </w:r>
      <w:r w:rsidRPr="00705448">
        <w:rPr>
          <w:rFonts w:asciiTheme="majorHAnsi" w:hAnsiTheme="majorHAnsi" w:cstheme="majorHAnsi"/>
          <w:sz w:val="24"/>
          <w:szCs w:val="24"/>
        </w:rPr>
        <w:t xml:space="preserve">. [online] www.oecd.org. Available at: https://www.oecd.org/unitedkingdom/oecd-reviews-of-health-care-quality-united-kingdom-2016-9789264239487-en.htm </w:t>
      </w:r>
      <w:r w:rsidR="00FA1AAF" w:rsidRPr="004331E0">
        <w:rPr>
          <w:rFonts w:asciiTheme="majorHAnsi" w:hAnsiTheme="majorHAnsi" w:cstheme="majorHAnsi"/>
          <w:sz w:val="24"/>
          <w:szCs w:val="24"/>
        </w:rPr>
        <w:t>(</w:t>
      </w:r>
      <w:r w:rsidRPr="00705448">
        <w:rPr>
          <w:rFonts w:asciiTheme="majorHAnsi" w:hAnsiTheme="majorHAnsi" w:cstheme="majorHAnsi"/>
          <w:sz w:val="24"/>
          <w:szCs w:val="24"/>
        </w:rPr>
        <w:t>Accessed 3 Feb. 2024</w:t>
      </w:r>
      <w:r w:rsidR="00FA1AAF" w:rsidRPr="004331E0">
        <w:rPr>
          <w:rFonts w:asciiTheme="majorHAnsi" w:hAnsiTheme="majorHAnsi" w:cstheme="majorHAnsi"/>
          <w:sz w:val="24"/>
          <w:szCs w:val="24"/>
        </w:rPr>
        <w:t>)</w:t>
      </w:r>
      <w:r w:rsidRPr="00705448">
        <w:rPr>
          <w:rFonts w:asciiTheme="majorHAnsi" w:hAnsiTheme="majorHAnsi" w:cstheme="majorHAnsi"/>
          <w:sz w:val="24"/>
          <w:szCs w:val="24"/>
        </w:rPr>
        <w:t>.</w:t>
      </w:r>
    </w:p>
    <w:p w14:paraId="443492DA" w14:textId="079350D9"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parkin, E. and baker, C. (2021). </w:t>
      </w:r>
      <w:r w:rsidRPr="00705448">
        <w:rPr>
          <w:rFonts w:asciiTheme="majorHAnsi" w:hAnsiTheme="majorHAnsi" w:cstheme="majorHAnsi"/>
          <w:i/>
          <w:iCs/>
          <w:sz w:val="24"/>
          <w:szCs w:val="24"/>
        </w:rPr>
        <w:t>Dementia: policy, services and statistics</w:t>
      </w:r>
      <w:r w:rsidRPr="00705448">
        <w:rPr>
          <w:rFonts w:asciiTheme="majorHAnsi" w:hAnsiTheme="majorHAnsi" w:cstheme="majorHAnsi"/>
          <w:sz w:val="24"/>
          <w:szCs w:val="24"/>
        </w:rPr>
        <w:t xml:space="preserve">. </w:t>
      </w:r>
      <w:r w:rsidR="00CC0913" w:rsidRPr="004331E0">
        <w:rPr>
          <w:rFonts w:asciiTheme="majorHAnsi" w:hAnsiTheme="majorHAnsi" w:cstheme="majorHAnsi"/>
          <w:sz w:val="24"/>
          <w:szCs w:val="24"/>
        </w:rPr>
        <w:t>(</w:t>
      </w:r>
      <w:r w:rsidRPr="00705448">
        <w:rPr>
          <w:rFonts w:asciiTheme="majorHAnsi" w:hAnsiTheme="majorHAnsi" w:cstheme="majorHAnsi"/>
          <w:sz w:val="24"/>
          <w:szCs w:val="24"/>
        </w:rPr>
        <w:t>online</w:t>
      </w:r>
      <w:r w:rsidR="00CC0913" w:rsidRPr="004331E0">
        <w:rPr>
          <w:rFonts w:asciiTheme="majorHAnsi" w:hAnsiTheme="majorHAnsi" w:cstheme="majorHAnsi"/>
          <w:sz w:val="24"/>
          <w:szCs w:val="24"/>
        </w:rPr>
        <w:t>)</w:t>
      </w:r>
      <w:r w:rsidRPr="00705448">
        <w:rPr>
          <w:rFonts w:asciiTheme="majorHAnsi" w:hAnsiTheme="majorHAnsi" w:cstheme="majorHAnsi"/>
          <w:sz w:val="24"/>
          <w:szCs w:val="24"/>
        </w:rPr>
        <w:t xml:space="preserve"> Parliament.uk. Available at: https://researchbriefings.files.parliament.uk/documents/SN07007/SN07007.pdf </w:t>
      </w:r>
      <w:r w:rsidR="00CC0913" w:rsidRPr="004331E0">
        <w:rPr>
          <w:rFonts w:asciiTheme="majorHAnsi" w:hAnsiTheme="majorHAnsi" w:cstheme="majorHAnsi"/>
          <w:sz w:val="24"/>
          <w:szCs w:val="24"/>
        </w:rPr>
        <w:t>(</w:t>
      </w:r>
      <w:r w:rsidRPr="00705448">
        <w:rPr>
          <w:rFonts w:asciiTheme="majorHAnsi" w:hAnsiTheme="majorHAnsi" w:cstheme="majorHAnsi"/>
          <w:sz w:val="24"/>
          <w:szCs w:val="24"/>
        </w:rPr>
        <w:t>Accessed 30 Jan. 2024</w:t>
      </w:r>
      <w:r w:rsidR="00CC0913" w:rsidRPr="004331E0">
        <w:rPr>
          <w:rFonts w:asciiTheme="majorHAnsi" w:hAnsiTheme="majorHAnsi" w:cstheme="majorHAnsi"/>
          <w:sz w:val="24"/>
          <w:szCs w:val="24"/>
        </w:rPr>
        <w:t>)</w:t>
      </w:r>
      <w:r w:rsidRPr="00705448">
        <w:rPr>
          <w:rFonts w:asciiTheme="majorHAnsi" w:hAnsiTheme="majorHAnsi" w:cstheme="majorHAnsi"/>
          <w:sz w:val="24"/>
          <w:szCs w:val="24"/>
        </w:rPr>
        <w:t>.</w:t>
      </w:r>
    </w:p>
    <w:p w14:paraId="2FF27F4D" w14:textId="77777777"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Prince, M., Bryce, R., Albanese, E., Wimo, A., Ribeiro, W. and Ferri, C.P. (2013). The Global Prevalence of dementia: a Systematic Review and </w:t>
      </w:r>
      <w:proofErr w:type="spellStart"/>
      <w:r w:rsidRPr="00705448">
        <w:rPr>
          <w:rFonts w:asciiTheme="majorHAnsi" w:hAnsiTheme="majorHAnsi" w:cstheme="majorHAnsi"/>
          <w:sz w:val="24"/>
          <w:szCs w:val="24"/>
        </w:rPr>
        <w:t>Metaanalysis</w:t>
      </w:r>
      <w:proofErr w:type="spellEnd"/>
      <w:r w:rsidRPr="00705448">
        <w:rPr>
          <w:rFonts w:asciiTheme="majorHAnsi" w:hAnsiTheme="majorHAnsi" w:cstheme="majorHAnsi"/>
          <w:sz w:val="24"/>
          <w:szCs w:val="24"/>
        </w:rPr>
        <w:t xml:space="preserve">. </w:t>
      </w:r>
      <w:r w:rsidRPr="00705448">
        <w:rPr>
          <w:rFonts w:asciiTheme="majorHAnsi" w:hAnsiTheme="majorHAnsi" w:cstheme="majorHAnsi"/>
          <w:i/>
          <w:iCs/>
          <w:sz w:val="24"/>
          <w:szCs w:val="24"/>
        </w:rPr>
        <w:t>Alzheimer’s &amp; Dementia</w:t>
      </w:r>
      <w:r w:rsidRPr="00705448">
        <w:rPr>
          <w:rFonts w:asciiTheme="majorHAnsi" w:hAnsiTheme="majorHAnsi" w:cstheme="majorHAnsi"/>
          <w:sz w:val="24"/>
          <w:szCs w:val="24"/>
        </w:rPr>
        <w:t>, 9(1), pp.63-75.e2.</w:t>
      </w:r>
    </w:p>
    <w:p w14:paraId="050A791B" w14:textId="45692017"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Public Health Agency of Canada (2024). </w:t>
      </w:r>
      <w:r w:rsidRPr="00705448">
        <w:rPr>
          <w:rFonts w:asciiTheme="majorHAnsi" w:hAnsiTheme="majorHAnsi" w:cstheme="majorHAnsi"/>
          <w:i/>
          <w:iCs/>
          <w:sz w:val="24"/>
          <w:szCs w:val="24"/>
        </w:rPr>
        <w:t>A Dementia Strategy for Canada: Together We Aspire - Canada.ca</w:t>
      </w:r>
      <w:r w:rsidRPr="00705448">
        <w:rPr>
          <w:rFonts w:asciiTheme="majorHAnsi" w:hAnsiTheme="majorHAnsi" w:cstheme="majorHAnsi"/>
          <w:sz w:val="24"/>
          <w:szCs w:val="24"/>
        </w:rPr>
        <w:t xml:space="preserve">. [online] Canada.ca. Available at: </w:t>
      </w:r>
      <w:r w:rsidR="00CC0913" w:rsidRPr="00705448">
        <w:rPr>
          <w:rFonts w:asciiTheme="majorHAnsi" w:hAnsiTheme="majorHAnsi" w:cstheme="majorHAnsi"/>
          <w:sz w:val="24"/>
          <w:szCs w:val="24"/>
        </w:rPr>
        <w:t>https://www.canada.ca/en/public-health/services/publications/diseases-conditions/dementia-strategy.html</w:t>
      </w:r>
      <w:r w:rsidRPr="00705448">
        <w:rPr>
          <w:rFonts w:asciiTheme="majorHAnsi" w:hAnsiTheme="majorHAnsi" w:cstheme="majorHAnsi"/>
          <w:sz w:val="24"/>
          <w:szCs w:val="24"/>
        </w:rPr>
        <w:t>.</w:t>
      </w:r>
      <w:r w:rsidR="00CC0913" w:rsidRPr="004331E0">
        <w:rPr>
          <w:rFonts w:asciiTheme="majorHAnsi" w:hAnsiTheme="majorHAnsi" w:cstheme="majorHAnsi"/>
          <w:sz w:val="24"/>
          <w:szCs w:val="24"/>
        </w:rPr>
        <w:t xml:space="preserve"> (Accessed 30 Jan. 2024).</w:t>
      </w:r>
    </w:p>
    <w:p w14:paraId="7DD4A2E6" w14:textId="6D00E91F"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Quinn, C., Pickett, J.A., Litherland, R., Morris, R.G., Martyr, A. and Clare, L. (2021). Living well with dementia: What is possible and how to promote it. </w:t>
      </w:r>
      <w:r w:rsidRPr="00705448">
        <w:rPr>
          <w:rFonts w:asciiTheme="majorHAnsi" w:hAnsiTheme="majorHAnsi" w:cstheme="majorHAnsi"/>
          <w:i/>
          <w:iCs/>
          <w:sz w:val="24"/>
          <w:szCs w:val="24"/>
        </w:rPr>
        <w:t>International Journal of Geriatric Psychiatry</w:t>
      </w:r>
      <w:r w:rsidRPr="00705448">
        <w:rPr>
          <w:rFonts w:asciiTheme="majorHAnsi" w:hAnsiTheme="majorHAnsi" w:cstheme="majorHAnsi"/>
          <w:sz w:val="24"/>
          <w:szCs w:val="24"/>
        </w:rPr>
        <w:t xml:space="preserve">, 37(1). </w:t>
      </w:r>
    </w:p>
    <w:p w14:paraId="617A4431" w14:textId="56FC3123"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Ryan, N.S., </w:t>
      </w:r>
      <w:proofErr w:type="spellStart"/>
      <w:r w:rsidRPr="00705448">
        <w:rPr>
          <w:rFonts w:asciiTheme="majorHAnsi" w:hAnsiTheme="majorHAnsi" w:cstheme="majorHAnsi"/>
          <w:sz w:val="24"/>
          <w:szCs w:val="24"/>
        </w:rPr>
        <w:t>Rossor</w:t>
      </w:r>
      <w:proofErr w:type="spellEnd"/>
      <w:r w:rsidRPr="00705448">
        <w:rPr>
          <w:rFonts w:asciiTheme="majorHAnsi" w:hAnsiTheme="majorHAnsi" w:cstheme="majorHAnsi"/>
          <w:sz w:val="24"/>
          <w:szCs w:val="24"/>
        </w:rPr>
        <w:t xml:space="preserve">, M.N. and Fox, N.C. (2015). Alzheimer’s disease in the 100 years since Alzheimer’s death. </w:t>
      </w:r>
      <w:r w:rsidRPr="00705448">
        <w:rPr>
          <w:rFonts w:asciiTheme="majorHAnsi" w:hAnsiTheme="majorHAnsi" w:cstheme="majorHAnsi"/>
          <w:i/>
          <w:iCs/>
          <w:sz w:val="24"/>
          <w:szCs w:val="24"/>
        </w:rPr>
        <w:t>Brain</w:t>
      </w:r>
      <w:r w:rsidRPr="00705448">
        <w:rPr>
          <w:rFonts w:asciiTheme="majorHAnsi" w:hAnsiTheme="majorHAnsi" w:cstheme="majorHAnsi"/>
          <w:sz w:val="24"/>
          <w:szCs w:val="24"/>
        </w:rPr>
        <w:t xml:space="preserve">, 138(12), pp.3816–3821. </w:t>
      </w:r>
    </w:p>
    <w:p w14:paraId="2A9708B5" w14:textId="23F5F4B1" w:rsidR="00705448" w:rsidRPr="00705448" w:rsidRDefault="00705448" w:rsidP="004331E0">
      <w:pPr>
        <w:rPr>
          <w:rFonts w:asciiTheme="majorHAnsi" w:hAnsiTheme="majorHAnsi" w:cstheme="majorHAnsi"/>
          <w:sz w:val="24"/>
          <w:szCs w:val="24"/>
        </w:rPr>
      </w:pPr>
      <w:proofErr w:type="spellStart"/>
      <w:r w:rsidRPr="00705448">
        <w:rPr>
          <w:rFonts w:asciiTheme="majorHAnsi" w:hAnsiTheme="majorHAnsi" w:cstheme="majorHAnsi"/>
          <w:sz w:val="24"/>
          <w:szCs w:val="24"/>
        </w:rPr>
        <w:t>Suphanchaimat</w:t>
      </w:r>
      <w:proofErr w:type="spellEnd"/>
      <w:r w:rsidRPr="00705448">
        <w:rPr>
          <w:rFonts w:asciiTheme="majorHAnsi" w:hAnsiTheme="majorHAnsi" w:cstheme="majorHAnsi"/>
          <w:sz w:val="24"/>
          <w:szCs w:val="24"/>
        </w:rPr>
        <w:t xml:space="preserve">, R., </w:t>
      </w:r>
      <w:proofErr w:type="spellStart"/>
      <w:r w:rsidRPr="00705448">
        <w:rPr>
          <w:rFonts w:asciiTheme="majorHAnsi" w:hAnsiTheme="majorHAnsi" w:cstheme="majorHAnsi"/>
          <w:sz w:val="24"/>
          <w:szCs w:val="24"/>
        </w:rPr>
        <w:t>Kantamaturapoj</w:t>
      </w:r>
      <w:proofErr w:type="spellEnd"/>
      <w:r w:rsidRPr="00705448">
        <w:rPr>
          <w:rFonts w:asciiTheme="majorHAnsi" w:hAnsiTheme="majorHAnsi" w:cstheme="majorHAnsi"/>
          <w:sz w:val="24"/>
          <w:szCs w:val="24"/>
        </w:rPr>
        <w:t xml:space="preserve">, K., </w:t>
      </w:r>
      <w:proofErr w:type="spellStart"/>
      <w:r w:rsidRPr="00705448">
        <w:rPr>
          <w:rFonts w:asciiTheme="majorHAnsi" w:hAnsiTheme="majorHAnsi" w:cstheme="majorHAnsi"/>
          <w:sz w:val="24"/>
          <w:szCs w:val="24"/>
        </w:rPr>
        <w:t>Putthasri</w:t>
      </w:r>
      <w:proofErr w:type="spellEnd"/>
      <w:r w:rsidRPr="00705448">
        <w:rPr>
          <w:rFonts w:asciiTheme="majorHAnsi" w:hAnsiTheme="majorHAnsi" w:cstheme="majorHAnsi"/>
          <w:sz w:val="24"/>
          <w:szCs w:val="24"/>
        </w:rPr>
        <w:t xml:space="preserve">, W. and </w:t>
      </w:r>
      <w:proofErr w:type="spellStart"/>
      <w:r w:rsidRPr="00705448">
        <w:rPr>
          <w:rFonts w:asciiTheme="majorHAnsi" w:hAnsiTheme="majorHAnsi" w:cstheme="majorHAnsi"/>
          <w:sz w:val="24"/>
          <w:szCs w:val="24"/>
        </w:rPr>
        <w:t>Prakongsai</w:t>
      </w:r>
      <w:proofErr w:type="spellEnd"/>
      <w:r w:rsidRPr="00705448">
        <w:rPr>
          <w:rFonts w:asciiTheme="majorHAnsi" w:hAnsiTheme="majorHAnsi" w:cstheme="majorHAnsi"/>
          <w:sz w:val="24"/>
          <w:szCs w:val="24"/>
        </w:rPr>
        <w:t xml:space="preserve">, P. (2015). Challenges in the provision of healthcare services for migrants: a systematic review through providers’ lens. </w:t>
      </w:r>
      <w:r w:rsidRPr="00705448">
        <w:rPr>
          <w:rFonts w:asciiTheme="majorHAnsi" w:hAnsiTheme="majorHAnsi" w:cstheme="majorHAnsi"/>
          <w:i/>
          <w:iCs/>
          <w:sz w:val="24"/>
          <w:szCs w:val="24"/>
        </w:rPr>
        <w:t>BMC Health Services Research</w:t>
      </w:r>
      <w:r w:rsidRPr="00705448">
        <w:rPr>
          <w:rFonts w:asciiTheme="majorHAnsi" w:hAnsiTheme="majorHAnsi" w:cstheme="majorHAnsi"/>
          <w:sz w:val="24"/>
          <w:szCs w:val="24"/>
        </w:rPr>
        <w:t xml:space="preserve">, 15(1). </w:t>
      </w:r>
    </w:p>
    <w:p w14:paraId="7F35D9B9" w14:textId="0418C34E"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lastRenderedPageBreak/>
        <w:t xml:space="preserve">The Australian Government (2020). </w:t>
      </w:r>
      <w:r w:rsidRPr="00705448">
        <w:rPr>
          <w:rFonts w:asciiTheme="majorHAnsi" w:hAnsiTheme="majorHAnsi" w:cstheme="majorHAnsi"/>
          <w:i/>
          <w:iCs/>
          <w:sz w:val="24"/>
          <w:szCs w:val="24"/>
        </w:rPr>
        <w:t>National Framework for Action on Dementia 2015–2019</w:t>
      </w:r>
      <w:r w:rsidRPr="00705448">
        <w:rPr>
          <w:rFonts w:asciiTheme="majorHAnsi" w:hAnsiTheme="majorHAnsi" w:cstheme="majorHAnsi"/>
          <w:sz w:val="24"/>
          <w:szCs w:val="24"/>
        </w:rPr>
        <w:t xml:space="preserve">. [online] Australian Government Department of Health and Aged Care. Available at: https://www.health.gov.au/resources/publications/national-framework-for-action-on-dementia-2015-2019?language=en </w:t>
      </w:r>
      <w:r w:rsidR="00516C65" w:rsidRPr="004331E0">
        <w:rPr>
          <w:rFonts w:asciiTheme="majorHAnsi" w:hAnsiTheme="majorHAnsi" w:cstheme="majorHAnsi"/>
          <w:sz w:val="24"/>
          <w:szCs w:val="24"/>
        </w:rPr>
        <w:t>(</w:t>
      </w:r>
      <w:r w:rsidRPr="00705448">
        <w:rPr>
          <w:rFonts w:asciiTheme="majorHAnsi" w:hAnsiTheme="majorHAnsi" w:cstheme="majorHAnsi"/>
          <w:sz w:val="24"/>
          <w:szCs w:val="24"/>
        </w:rPr>
        <w:t>Accessed 30 Jan. 2024</w:t>
      </w:r>
      <w:r w:rsidR="00516C65" w:rsidRPr="004331E0">
        <w:rPr>
          <w:rFonts w:asciiTheme="majorHAnsi" w:hAnsiTheme="majorHAnsi" w:cstheme="majorHAnsi"/>
          <w:sz w:val="24"/>
          <w:szCs w:val="24"/>
        </w:rPr>
        <w:t>)</w:t>
      </w:r>
      <w:r w:rsidRPr="00705448">
        <w:rPr>
          <w:rFonts w:asciiTheme="majorHAnsi" w:hAnsiTheme="majorHAnsi" w:cstheme="majorHAnsi"/>
          <w:sz w:val="24"/>
          <w:szCs w:val="24"/>
        </w:rPr>
        <w:t>.</w:t>
      </w:r>
    </w:p>
    <w:p w14:paraId="4FEE8378" w14:textId="45093F88"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The Lancet (2014). Addressing global dementia. </w:t>
      </w:r>
      <w:r w:rsidRPr="00705448">
        <w:rPr>
          <w:rFonts w:asciiTheme="majorHAnsi" w:hAnsiTheme="majorHAnsi" w:cstheme="majorHAnsi"/>
          <w:i/>
          <w:iCs/>
          <w:sz w:val="24"/>
          <w:szCs w:val="24"/>
        </w:rPr>
        <w:t>The Lancet</w:t>
      </w:r>
      <w:r w:rsidRPr="00705448">
        <w:rPr>
          <w:rFonts w:asciiTheme="majorHAnsi" w:hAnsiTheme="majorHAnsi" w:cstheme="majorHAnsi"/>
          <w:sz w:val="24"/>
          <w:szCs w:val="24"/>
        </w:rPr>
        <w:t xml:space="preserve">, 383(9936), p.2185. </w:t>
      </w:r>
    </w:p>
    <w:p w14:paraId="0C3676C7" w14:textId="63270E5B"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The United Nations (2024). </w:t>
      </w:r>
      <w:r w:rsidRPr="00705448">
        <w:rPr>
          <w:rFonts w:asciiTheme="majorHAnsi" w:hAnsiTheme="majorHAnsi" w:cstheme="majorHAnsi"/>
          <w:i/>
          <w:iCs/>
          <w:sz w:val="24"/>
          <w:szCs w:val="24"/>
        </w:rPr>
        <w:t>Caregiving in an ageing world | DISD</w:t>
      </w:r>
      <w:r w:rsidRPr="00705448">
        <w:rPr>
          <w:rFonts w:asciiTheme="majorHAnsi" w:hAnsiTheme="majorHAnsi" w:cstheme="majorHAnsi"/>
          <w:sz w:val="24"/>
          <w:szCs w:val="24"/>
        </w:rPr>
        <w:t xml:space="preserve">. </w:t>
      </w:r>
      <w:r w:rsidR="00516C65" w:rsidRPr="004331E0">
        <w:rPr>
          <w:rFonts w:asciiTheme="majorHAnsi" w:hAnsiTheme="majorHAnsi" w:cstheme="majorHAnsi"/>
          <w:sz w:val="24"/>
          <w:szCs w:val="24"/>
        </w:rPr>
        <w:t>(</w:t>
      </w:r>
      <w:r w:rsidRPr="00705448">
        <w:rPr>
          <w:rFonts w:asciiTheme="majorHAnsi" w:hAnsiTheme="majorHAnsi" w:cstheme="majorHAnsi"/>
          <w:sz w:val="24"/>
          <w:szCs w:val="24"/>
        </w:rPr>
        <w:t>online</w:t>
      </w:r>
      <w:r w:rsidR="00516C65" w:rsidRPr="004331E0">
        <w:rPr>
          <w:rFonts w:asciiTheme="majorHAnsi" w:hAnsiTheme="majorHAnsi" w:cstheme="majorHAnsi"/>
          <w:sz w:val="24"/>
          <w:szCs w:val="24"/>
        </w:rPr>
        <w:t xml:space="preserve">) </w:t>
      </w:r>
      <w:r w:rsidRPr="00705448">
        <w:rPr>
          <w:rFonts w:asciiTheme="majorHAnsi" w:hAnsiTheme="majorHAnsi" w:cstheme="majorHAnsi"/>
          <w:sz w:val="24"/>
          <w:szCs w:val="24"/>
        </w:rPr>
        <w:t xml:space="preserve">www.un.org. Available at: https://www.un.org/development/desa/dspd/2022/11/caregiving-ageing-world/ </w:t>
      </w:r>
      <w:r w:rsidR="00516C65" w:rsidRPr="004331E0">
        <w:rPr>
          <w:rFonts w:asciiTheme="majorHAnsi" w:hAnsiTheme="majorHAnsi" w:cstheme="majorHAnsi"/>
          <w:sz w:val="24"/>
          <w:szCs w:val="24"/>
        </w:rPr>
        <w:t>(</w:t>
      </w:r>
      <w:r w:rsidRPr="00705448">
        <w:rPr>
          <w:rFonts w:asciiTheme="majorHAnsi" w:hAnsiTheme="majorHAnsi" w:cstheme="majorHAnsi"/>
          <w:sz w:val="24"/>
          <w:szCs w:val="24"/>
        </w:rPr>
        <w:t>Accessed 3 Feb. 2024</w:t>
      </w:r>
      <w:r w:rsidR="00516C65" w:rsidRPr="004331E0">
        <w:rPr>
          <w:rFonts w:asciiTheme="majorHAnsi" w:hAnsiTheme="majorHAnsi" w:cstheme="majorHAnsi"/>
          <w:sz w:val="24"/>
          <w:szCs w:val="24"/>
        </w:rPr>
        <w:t>)</w:t>
      </w:r>
      <w:r w:rsidRPr="00705448">
        <w:rPr>
          <w:rFonts w:asciiTheme="majorHAnsi" w:hAnsiTheme="majorHAnsi" w:cstheme="majorHAnsi"/>
          <w:sz w:val="24"/>
          <w:szCs w:val="24"/>
        </w:rPr>
        <w:t>.</w:t>
      </w:r>
    </w:p>
    <w:p w14:paraId="20775E27" w14:textId="3C623748"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The Welsh Government (2024a). </w:t>
      </w:r>
      <w:r w:rsidRPr="00705448">
        <w:rPr>
          <w:rFonts w:asciiTheme="majorHAnsi" w:hAnsiTheme="majorHAnsi" w:cstheme="majorHAnsi"/>
          <w:i/>
          <w:iCs/>
          <w:sz w:val="24"/>
          <w:szCs w:val="24"/>
        </w:rPr>
        <w:t>Health, disability and provision of unpaid care in Wales (Census 2021)</w:t>
      </w:r>
      <w:r w:rsidRPr="00705448">
        <w:rPr>
          <w:rFonts w:asciiTheme="majorHAnsi" w:hAnsiTheme="majorHAnsi" w:cstheme="majorHAnsi"/>
          <w:sz w:val="24"/>
          <w:szCs w:val="24"/>
        </w:rPr>
        <w:t xml:space="preserve">. </w:t>
      </w:r>
      <w:r w:rsidR="00516C65" w:rsidRPr="004331E0">
        <w:rPr>
          <w:rFonts w:asciiTheme="majorHAnsi" w:hAnsiTheme="majorHAnsi" w:cstheme="majorHAnsi"/>
          <w:sz w:val="24"/>
          <w:szCs w:val="24"/>
        </w:rPr>
        <w:t>(</w:t>
      </w:r>
      <w:r w:rsidRPr="00705448">
        <w:rPr>
          <w:rFonts w:asciiTheme="majorHAnsi" w:hAnsiTheme="majorHAnsi" w:cstheme="majorHAnsi"/>
          <w:sz w:val="24"/>
          <w:szCs w:val="24"/>
        </w:rPr>
        <w:t>online</w:t>
      </w:r>
      <w:r w:rsidR="00516C65" w:rsidRPr="004331E0">
        <w:rPr>
          <w:rFonts w:asciiTheme="majorHAnsi" w:hAnsiTheme="majorHAnsi" w:cstheme="majorHAnsi"/>
          <w:sz w:val="24"/>
          <w:szCs w:val="24"/>
        </w:rPr>
        <w:t xml:space="preserve">) </w:t>
      </w:r>
      <w:r w:rsidRPr="00705448">
        <w:rPr>
          <w:rFonts w:asciiTheme="majorHAnsi" w:hAnsiTheme="majorHAnsi" w:cstheme="majorHAnsi"/>
          <w:sz w:val="24"/>
          <w:szCs w:val="24"/>
        </w:rPr>
        <w:t xml:space="preserve">GOV.WALES. Available at: https://www.gov.wales/health-disability-and-provision-unpaid-care-wales-census-2021-html </w:t>
      </w:r>
      <w:r w:rsidR="00EC791D" w:rsidRPr="004331E0">
        <w:rPr>
          <w:rFonts w:asciiTheme="majorHAnsi" w:hAnsiTheme="majorHAnsi" w:cstheme="majorHAnsi"/>
          <w:sz w:val="24"/>
          <w:szCs w:val="24"/>
        </w:rPr>
        <w:t>(</w:t>
      </w:r>
      <w:r w:rsidRPr="00705448">
        <w:rPr>
          <w:rFonts w:asciiTheme="majorHAnsi" w:hAnsiTheme="majorHAnsi" w:cstheme="majorHAnsi"/>
          <w:sz w:val="24"/>
          <w:szCs w:val="24"/>
        </w:rPr>
        <w:t>Accessed 3 Feb. 2024</w:t>
      </w:r>
      <w:r w:rsidR="00EC791D" w:rsidRPr="004331E0">
        <w:rPr>
          <w:rFonts w:asciiTheme="majorHAnsi" w:hAnsiTheme="majorHAnsi" w:cstheme="majorHAnsi"/>
          <w:sz w:val="24"/>
          <w:szCs w:val="24"/>
        </w:rPr>
        <w:t>)</w:t>
      </w:r>
      <w:r w:rsidRPr="00705448">
        <w:rPr>
          <w:rFonts w:asciiTheme="majorHAnsi" w:hAnsiTheme="majorHAnsi" w:cstheme="majorHAnsi"/>
          <w:sz w:val="24"/>
          <w:szCs w:val="24"/>
        </w:rPr>
        <w:t>.</w:t>
      </w:r>
    </w:p>
    <w:p w14:paraId="1E63B7F1" w14:textId="2D935D3D"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The Welsh Government (2024b). </w:t>
      </w:r>
      <w:proofErr w:type="spellStart"/>
      <w:r w:rsidRPr="00705448">
        <w:rPr>
          <w:rFonts w:asciiTheme="majorHAnsi" w:hAnsiTheme="majorHAnsi" w:cstheme="majorHAnsi"/>
          <w:i/>
          <w:iCs/>
          <w:sz w:val="24"/>
          <w:szCs w:val="24"/>
        </w:rPr>
        <w:t>Yr</w:t>
      </w:r>
      <w:proofErr w:type="spellEnd"/>
      <w:r w:rsidRPr="00705448">
        <w:rPr>
          <w:rFonts w:asciiTheme="majorHAnsi" w:hAnsiTheme="majorHAnsi" w:cstheme="majorHAnsi"/>
          <w:i/>
          <w:iCs/>
          <w:sz w:val="24"/>
          <w:szCs w:val="24"/>
        </w:rPr>
        <w:t xml:space="preserve"> Adran Plant, </w:t>
      </w:r>
      <w:proofErr w:type="spellStart"/>
      <w:r w:rsidRPr="00705448">
        <w:rPr>
          <w:rFonts w:asciiTheme="majorHAnsi" w:hAnsiTheme="majorHAnsi" w:cstheme="majorHAnsi"/>
          <w:i/>
          <w:iCs/>
          <w:sz w:val="24"/>
          <w:szCs w:val="24"/>
        </w:rPr>
        <w:t>Addysg</w:t>
      </w:r>
      <w:proofErr w:type="spellEnd"/>
      <w:r w:rsidRPr="00705448">
        <w:rPr>
          <w:rFonts w:asciiTheme="majorHAnsi" w:hAnsiTheme="majorHAnsi" w:cstheme="majorHAnsi"/>
          <w:i/>
          <w:iCs/>
          <w:sz w:val="24"/>
          <w:szCs w:val="24"/>
        </w:rPr>
        <w:t xml:space="preserve">, </w:t>
      </w:r>
      <w:proofErr w:type="spellStart"/>
      <w:r w:rsidRPr="00705448">
        <w:rPr>
          <w:rFonts w:asciiTheme="majorHAnsi" w:hAnsiTheme="majorHAnsi" w:cstheme="majorHAnsi"/>
          <w:i/>
          <w:iCs/>
          <w:sz w:val="24"/>
          <w:szCs w:val="24"/>
        </w:rPr>
        <w:t>Dysgu</w:t>
      </w:r>
      <w:proofErr w:type="spellEnd"/>
      <w:r w:rsidRPr="00705448">
        <w:rPr>
          <w:rFonts w:asciiTheme="majorHAnsi" w:hAnsiTheme="majorHAnsi" w:cstheme="majorHAnsi"/>
          <w:i/>
          <w:iCs/>
          <w:sz w:val="24"/>
          <w:szCs w:val="24"/>
        </w:rPr>
        <w:t xml:space="preserve"> </w:t>
      </w:r>
      <w:proofErr w:type="spellStart"/>
      <w:r w:rsidRPr="00705448">
        <w:rPr>
          <w:rFonts w:asciiTheme="majorHAnsi" w:hAnsiTheme="majorHAnsi" w:cstheme="majorHAnsi"/>
          <w:i/>
          <w:iCs/>
          <w:sz w:val="24"/>
          <w:szCs w:val="24"/>
        </w:rPr>
        <w:t>Gydol</w:t>
      </w:r>
      <w:proofErr w:type="spellEnd"/>
      <w:r w:rsidRPr="00705448">
        <w:rPr>
          <w:rFonts w:asciiTheme="majorHAnsi" w:hAnsiTheme="majorHAnsi" w:cstheme="majorHAnsi"/>
          <w:i/>
          <w:iCs/>
          <w:sz w:val="24"/>
          <w:szCs w:val="24"/>
        </w:rPr>
        <w:t xml:space="preserve"> Oes a </w:t>
      </w:r>
      <w:proofErr w:type="spellStart"/>
      <w:r w:rsidRPr="00705448">
        <w:rPr>
          <w:rFonts w:asciiTheme="majorHAnsi" w:hAnsiTheme="majorHAnsi" w:cstheme="majorHAnsi"/>
          <w:i/>
          <w:iCs/>
          <w:sz w:val="24"/>
          <w:szCs w:val="24"/>
        </w:rPr>
        <w:t>Sgiliau</w:t>
      </w:r>
      <w:proofErr w:type="spellEnd"/>
      <w:r w:rsidRPr="00705448">
        <w:rPr>
          <w:rFonts w:asciiTheme="majorHAnsi" w:hAnsiTheme="majorHAnsi" w:cstheme="majorHAnsi"/>
          <w:i/>
          <w:iCs/>
          <w:sz w:val="24"/>
          <w:szCs w:val="24"/>
        </w:rPr>
        <w:t xml:space="preserve"> Department for Children, Education, Lifelong Learning and Skills Personal and Social Development, Well-Being and Cultural Diversity</w:t>
      </w:r>
      <w:r w:rsidRPr="00705448">
        <w:rPr>
          <w:rFonts w:asciiTheme="majorHAnsi" w:hAnsiTheme="majorHAnsi" w:cstheme="majorHAnsi"/>
          <w:sz w:val="24"/>
          <w:szCs w:val="24"/>
        </w:rPr>
        <w:t>.</w:t>
      </w:r>
      <w:r w:rsidR="001909CE" w:rsidRPr="004331E0">
        <w:rPr>
          <w:rFonts w:asciiTheme="majorHAnsi" w:hAnsiTheme="majorHAnsi" w:cstheme="majorHAnsi"/>
          <w:sz w:val="24"/>
          <w:szCs w:val="24"/>
        </w:rPr>
        <w:t xml:space="preserve"> (</w:t>
      </w:r>
      <w:r w:rsidR="00A41B83" w:rsidRPr="004331E0">
        <w:rPr>
          <w:rFonts w:asciiTheme="majorHAnsi" w:hAnsiTheme="majorHAnsi" w:cstheme="majorHAnsi"/>
          <w:sz w:val="24"/>
          <w:szCs w:val="24"/>
        </w:rPr>
        <w:t xml:space="preserve">Accessed </w:t>
      </w:r>
      <w:r w:rsidR="006705BD" w:rsidRPr="004331E0">
        <w:rPr>
          <w:rFonts w:asciiTheme="majorHAnsi" w:hAnsiTheme="majorHAnsi" w:cstheme="majorHAnsi"/>
          <w:sz w:val="24"/>
          <w:szCs w:val="24"/>
        </w:rPr>
        <w:t>18 Jan. 2024).</w:t>
      </w:r>
    </w:p>
    <w:p w14:paraId="72944DBF" w14:textId="5CA39776"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Wang, N., </w:t>
      </w:r>
      <w:proofErr w:type="spellStart"/>
      <w:r w:rsidRPr="00705448">
        <w:rPr>
          <w:rFonts w:asciiTheme="majorHAnsi" w:hAnsiTheme="majorHAnsi" w:cstheme="majorHAnsi"/>
          <w:sz w:val="24"/>
          <w:szCs w:val="24"/>
        </w:rPr>
        <w:t>Albaroudi</w:t>
      </w:r>
      <w:proofErr w:type="spellEnd"/>
      <w:r w:rsidRPr="00705448">
        <w:rPr>
          <w:rFonts w:asciiTheme="majorHAnsi" w:hAnsiTheme="majorHAnsi" w:cstheme="majorHAnsi"/>
          <w:sz w:val="24"/>
          <w:szCs w:val="24"/>
        </w:rPr>
        <w:t xml:space="preserve">, A. and Chen, J. (2020). Decomposing Urban and Rural Disparities of Preventable ED Visits Among Patients With Alzheimer’s Disease and Related Dementias: Evidence of the Availability of Health Care Resources. </w:t>
      </w:r>
      <w:r w:rsidRPr="00705448">
        <w:rPr>
          <w:rFonts w:asciiTheme="majorHAnsi" w:hAnsiTheme="majorHAnsi" w:cstheme="majorHAnsi"/>
          <w:i/>
          <w:iCs/>
          <w:sz w:val="24"/>
          <w:szCs w:val="24"/>
        </w:rPr>
        <w:t>The Journal of Rural Health</w:t>
      </w:r>
      <w:r w:rsidRPr="00705448">
        <w:rPr>
          <w:rFonts w:asciiTheme="majorHAnsi" w:hAnsiTheme="majorHAnsi" w:cstheme="majorHAnsi"/>
          <w:sz w:val="24"/>
          <w:szCs w:val="24"/>
        </w:rPr>
        <w:t xml:space="preserve">, 37(3). </w:t>
      </w:r>
    </w:p>
    <w:p w14:paraId="3E77973E" w14:textId="69923779"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Wiglesworth, A., Mosqueda, L., </w:t>
      </w:r>
      <w:proofErr w:type="spellStart"/>
      <w:r w:rsidRPr="00705448">
        <w:rPr>
          <w:rFonts w:asciiTheme="majorHAnsi" w:hAnsiTheme="majorHAnsi" w:cstheme="majorHAnsi"/>
          <w:sz w:val="24"/>
          <w:szCs w:val="24"/>
        </w:rPr>
        <w:t>Mulnard</w:t>
      </w:r>
      <w:proofErr w:type="spellEnd"/>
      <w:r w:rsidRPr="00705448">
        <w:rPr>
          <w:rFonts w:asciiTheme="majorHAnsi" w:hAnsiTheme="majorHAnsi" w:cstheme="majorHAnsi"/>
          <w:sz w:val="24"/>
          <w:szCs w:val="24"/>
        </w:rPr>
        <w:t xml:space="preserve">, R., Liao, S., Gibbs, L. and Fitzgerald, W. (2010). Screening for Abuse and Neglect of People with Dementia. </w:t>
      </w:r>
      <w:r w:rsidRPr="00705448">
        <w:rPr>
          <w:rFonts w:asciiTheme="majorHAnsi" w:hAnsiTheme="majorHAnsi" w:cstheme="majorHAnsi"/>
          <w:i/>
          <w:iCs/>
          <w:sz w:val="24"/>
          <w:szCs w:val="24"/>
        </w:rPr>
        <w:t>Journal of the American Geriatrics Society</w:t>
      </w:r>
      <w:r w:rsidRPr="00705448">
        <w:rPr>
          <w:rFonts w:asciiTheme="majorHAnsi" w:hAnsiTheme="majorHAnsi" w:cstheme="majorHAnsi"/>
          <w:sz w:val="24"/>
          <w:szCs w:val="24"/>
        </w:rPr>
        <w:t xml:space="preserve">, 58(3), pp.493–500. </w:t>
      </w:r>
    </w:p>
    <w:p w14:paraId="0CF1ECEF" w14:textId="6F2AB55D"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Winblad, B., </w:t>
      </w:r>
      <w:proofErr w:type="spellStart"/>
      <w:r w:rsidRPr="00705448">
        <w:rPr>
          <w:rFonts w:asciiTheme="majorHAnsi" w:hAnsiTheme="majorHAnsi" w:cstheme="majorHAnsi"/>
          <w:sz w:val="24"/>
          <w:szCs w:val="24"/>
        </w:rPr>
        <w:t>Amouyel</w:t>
      </w:r>
      <w:proofErr w:type="spellEnd"/>
      <w:r w:rsidRPr="00705448">
        <w:rPr>
          <w:rFonts w:asciiTheme="majorHAnsi" w:hAnsiTheme="majorHAnsi" w:cstheme="majorHAnsi"/>
          <w:sz w:val="24"/>
          <w:szCs w:val="24"/>
        </w:rPr>
        <w:t xml:space="preserve">, P., Andrieu, S., Ballard, C., Brayne, C., </w:t>
      </w:r>
      <w:proofErr w:type="spellStart"/>
      <w:r w:rsidRPr="00705448">
        <w:rPr>
          <w:rFonts w:asciiTheme="majorHAnsi" w:hAnsiTheme="majorHAnsi" w:cstheme="majorHAnsi"/>
          <w:sz w:val="24"/>
          <w:szCs w:val="24"/>
        </w:rPr>
        <w:t>Brodaty</w:t>
      </w:r>
      <w:proofErr w:type="spellEnd"/>
      <w:r w:rsidRPr="00705448">
        <w:rPr>
          <w:rFonts w:asciiTheme="majorHAnsi" w:hAnsiTheme="majorHAnsi" w:cstheme="majorHAnsi"/>
          <w:sz w:val="24"/>
          <w:szCs w:val="24"/>
        </w:rPr>
        <w:t xml:space="preserve">, H., Cedazo-Minguez, A., Dubois, B., Edvardsson, D., Feldman, H., </w:t>
      </w:r>
      <w:proofErr w:type="spellStart"/>
      <w:r w:rsidRPr="00705448">
        <w:rPr>
          <w:rFonts w:asciiTheme="majorHAnsi" w:hAnsiTheme="majorHAnsi" w:cstheme="majorHAnsi"/>
          <w:sz w:val="24"/>
          <w:szCs w:val="24"/>
        </w:rPr>
        <w:t>Fratiglioni</w:t>
      </w:r>
      <w:proofErr w:type="spellEnd"/>
      <w:r w:rsidRPr="00705448">
        <w:rPr>
          <w:rFonts w:asciiTheme="majorHAnsi" w:hAnsiTheme="majorHAnsi" w:cstheme="majorHAnsi"/>
          <w:sz w:val="24"/>
          <w:szCs w:val="24"/>
        </w:rPr>
        <w:t xml:space="preserve">, L., </w:t>
      </w:r>
      <w:proofErr w:type="spellStart"/>
      <w:r w:rsidRPr="00705448">
        <w:rPr>
          <w:rFonts w:asciiTheme="majorHAnsi" w:hAnsiTheme="majorHAnsi" w:cstheme="majorHAnsi"/>
          <w:sz w:val="24"/>
          <w:szCs w:val="24"/>
        </w:rPr>
        <w:t>Frisoni</w:t>
      </w:r>
      <w:proofErr w:type="spellEnd"/>
      <w:r w:rsidRPr="00705448">
        <w:rPr>
          <w:rFonts w:asciiTheme="majorHAnsi" w:hAnsiTheme="majorHAnsi" w:cstheme="majorHAnsi"/>
          <w:sz w:val="24"/>
          <w:szCs w:val="24"/>
        </w:rPr>
        <w:t xml:space="preserve">, G.B., Gauthier, S., Georges, J., Graff, C., Iqbal, K., Jessen, F., Johansson, G., Jönsson, L. and </w:t>
      </w:r>
      <w:proofErr w:type="spellStart"/>
      <w:r w:rsidRPr="00705448">
        <w:rPr>
          <w:rFonts w:asciiTheme="majorHAnsi" w:hAnsiTheme="majorHAnsi" w:cstheme="majorHAnsi"/>
          <w:sz w:val="24"/>
          <w:szCs w:val="24"/>
        </w:rPr>
        <w:t>Kivipelto</w:t>
      </w:r>
      <w:proofErr w:type="spellEnd"/>
      <w:r w:rsidRPr="00705448">
        <w:rPr>
          <w:rFonts w:asciiTheme="majorHAnsi" w:hAnsiTheme="majorHAnsi" w:cstheme="majorHAnsi"/>
          <w:sz w:val="24"/>
          <w:szCs w:val="24"/>
        </w:rPr>
        <w:t xml:space="preserve">, M. (2016). Defeating Alzheimer’s disease and other dementias: a priority for European science and society. </w:t>
      </w:r>
      <w:r w:rsidRPr="00705448">
        <w:rPr>
          <w:rFonts w:asciiTheme="majorHAnsi" w:hAnsiTheme="majorHAnsi" w:cstheme="majorHAnsi"/>
          <w:i/>
          <w:iCs/>
          <w:sz w:val="24"/>
          <w:szCs w:val="24"/>
        </w:rPr>
        <w:t>The Lancet. Neurology</w:t>
      </w:r>
      <w:r w:rsidRPr="00705448">
        <w:rPr>
          <w:rFonts w:asciiTheme="majorHAnsi" w:hAnsiTheme="majorHAnsi" w:cstheme="majorHAnsi"/>
          <w:sz w:val="24"/>
          <w:szCs w:val="24"/>
        </w:rPr>
        <w:t>, [online] 15(5), pp.455–532</w:t>
      </w:r>
      <w:r w:rsidR="004A72F8" w:rsidRPr="004331E0">
        <w:rPr>
          <w:rFonts w:asciiTheme="majorHAnsi" w:hAnsiTheme="majorHAnsi" w:cstheme="majorHAnsi"/>
          <w:sz w:val="24"/>
          <w:szCs w:val="24"/>
        </w:rPr>
        <w:t>.</w:t>
      </w:r>
    </w:p>
    <w:p w14:paraId="381B4446" w14:textId="6E33C0C5"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World Health Organisation (2016). </w:t>
      </w:r>
      <w:r w:rsidRPr="00705448">
        <w:rPr>
          <w:rFonts w:asciiTheme="majorHAnsi" w:hAnsiTheme="majorHAnsi" w:cstheme="majorHAnsi"/>
          <w:i/>
          <w:iCs/>
          <w:sz w:val="24"/>
          <w:szCs w:val="24"/>
        </w:rPr>
        <w:t>Discrimination and negative attitudes about ageing are bad for your health</w:t>
      </w:r>
      <w:r w:rsidRPr="00705448">
        <w:rPr>
          <w:rFonts w:asciiTheme="majorHAnsi" w:hAnsiTheme="majorHAnsi" w:cstheme="majorHAnsi"/>
          <w:sz w:val="24"/>
          <w:szCs w:val="24"/>
        </w:rPr>
        <w:t xml:space="preserve">. [online] www.who.int. Available at: https://www.who.int/news/item/29-09-2016-discrimination-and-negative-attitudes-about-ageing-are-bad-for-your-health </w:t>
      </w:r>
      <w:r w:rsidR="004A72F8" w:rsidRPr="004331E0">
        <w:rPr>
          <w:rFonts w:asciiTheme="majorHAnsi" w:hAnsiTheme="majorHAnsi" w:cstheme="majorHAnsi"/>
          <w:sz w:val="24"/>
          <w:szCs w:val="24"/>
        </w:rPr>
        <w:t>(</w:t>
      </w:r>
      <w:r w:rsidRPr="00705448">
        <w:rPr>
          <w:rFonts w:asciiTheme="majorHAnsi" w:hAnsiTheme="majorHAnsi" w:cstheme="majorHAnsi"/>
          <w:sz w:val="24"/>
          <w:szCs w:val="24"/>
        </w:rPr>
        <w:t>Accessed 4 Feb. 2024</w:t>
      </w:r>
      <w:r w:rsidR="004A72F8" w:rsidRPr="004331E0">
        <w:rPr>
          <w:rFonts w:asciiTheme="majorHAnsi" w:hAnsiTheme="majorHAnsi" w:cstheme="majorHAnsi"/>
          <w:sz w:val="24"/>
          <w:szCs w:val="24"/>
        </w:rPr>
        <w:t>)</w:t>
      </w:r>
      <w:r w:rsidRPr="00705448">
        <w:rPr>
          <w:rFonts w:asciiTheme="majorHAnsi" w:hAnsiTheme="majorHAnsi" w:cstheme="majorHAnsi"/>
          <w:sz w:val="24"/>
          <w:szCs w:val="24"/>
        </w:rPr>
        <w:t>.</w:t>
      </w:r>
    </w:p>
    <w:p w14:paraId="0916F4CB" w14:textId="77777777"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World Health Organization (2012). </w:t>
      </w:r>
      <w:r w:rsidRPr="00705448">
        <w:rPr>
          <w:rFonts w:asciiTheme="majorHAnsi" w:hAnsiTheme="majorHAnsi" w:cstheme="majorHAnsi"/>
          <w:i/>
          <w:iCs/>
          <w:sz w:val="24"/>
          <w:szCs w:val="24"/>
        </w:rPr>
        <w:t>Dementia: A Public Health Priority</w:t>
      </w:r>
      <w:r w:rsidRPr="00705448">
        <w:rPr>
          <w:rFonts w:asciiTheme="majorHAnsi" w:hAnsiTheme="majorHAnsi" w:cstheme="majorHAnsi"/>
          <w:sz w:val="24"/>
          <w:szCs w:val="24"/>
        </w:rPr>
        <w:t xml:space="preserve">. </w:t>
      </w:r>
      <w:r w:rsidRPr="00705448">
        <w:rPr>
          <w:rFonts w:asciiTheme="majorHAnsi" w:hAnsiTheme="majorHAnsi" w:cstheme="majorHAnsi"/>
          <w:i/>
          <w:iCs/>
          <w:sz w:val="24"/>
          <w:szCs w:val="24"/>
        </w:rPr>
        <w:t>Google Books</w:t>
      </w:r>
      <w:r w:rsidRPr="00705448">
        <w:rPr>
          <w:rFonts w:asciiTheme="majorHAnsi" w:hAnsiTheme="majorHAnsi" w:cstheme="majorHAnsi"/>
          <w:sz w:val="24"/>
          <w:szCs w:val="24"/>
        </w:rPr>
        <w:t>. World Health Organization.</w:t>
      </w:r>
    </w:p>
    <w:p w14:paraId="50B9CE89" w14:textId="0C5223FF"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World Health Organization (2023). </w:t>
      </w:r>
      <w:r w:rsidRPr="00705448">
        <w:rPr>
          <w:rFonts w:asciiTheme="majorHAnsi" w:hAnsiTheme="majorHAnsi" w:cstheme="majorHAnsi"/>
          <w:i/>
          <w:iCs/>
          <w:sz w:val="24"/>
          <w:szCs w:val="24"/>
        </w:rPr>
        <w:t>Dementia</w:t>
      </w:r>
      <w:r w:rsidRPr="00705448">
        <w:rPr>
          <w:rFonts w:asciiTheme="majorHAnsi" w:hAnsiTheme="majorHAnsi" w:cstheme="majorHAnsi"/>
          <w:sz w:val="24"/>
          <w:szCs w:val="24"/>
        </w:rPr>
        <w:t xml:space="preserve">. </w:t>
      </w:r>
      <w:r w:rsidR="00A446F3" w:rsidRPr="004331E0">
        <w:rPr>
          <w:rFonts w:asciiTheme="majorHAnsi" w:hAnsiTheme="majorHAnsi" w:cstheme="majorHAnsi"/>
          <w:sz w:val="24"/>
          <w:szCs w:val="24"/>
        </w:rPr>
        <w:t>(</w:t>
      </w:r>
      <w:r w:rsidRPr="00705448">
        <w:rPr>
          <w:rFonts w:asciiTheme="majorHAnsi" w:hAnsiTheme="majorHAnsi" w:cstheme="majorHAnsi"/>
          <w:sz w:val="24"/>
          <w:szCs w:val="24"/>
        </w:rPr>
        <w:t>online</w:t>
      </w:r>
      <w:r w:rsidR="00A446F3" w:rsidRPr="004331E0">
        <w:rPr>
          <w:rFonts w:asciiTheme="majorHAnsi" w:hAnsiTheme="majorHAnsi" w:cstheme="majorHAnsi"/>
          <w:sz w:val="24"/>
          <w:szCs w:val="24"/>
        </w:rPr>
        <w:t>)</w:t>
      </w:r>
      <w:r w:rsidRPr="00705448">
        <w:rPr>
          <w:rFonts w:asciiTheme="majorHAnsi" w:hAnsiTheme="majorHAnsi" w:cstheme="majorHAnsi"/>
          <w:sz w:val="24"/>
          <w:szCs w:val="24"/>
        </w:rPr>
        <w:t xml:space="preserve"> World Health Organization. Available at: https://www.who.int/news-room/fact-sheets/detail/dementia </w:t>
      </w:r>
      <w:r w:rsidR="00626941" w:rsidRPr="004331E0">
        <w:rPr>
          <w:rFonts w:asciiTheme="majorHAnsi" w:hAnsiTheme="majorHAnsi" w:cstheme="majorHAnsi"/>
          <w:sz w:val="24"/>
          <w:szCs w:val="24"/>
        </w:rPr>
        <w:t>(</w:t>
      </w:r>
      <w:r w:rsidRPr="00705448">
        <w:rPr>
          <w:rFonts w:asciiTheme="majorHAnsi" w:hAnsiTheme="majorHAnsi" w:cstheme="majorHAnsi"/>
          <w:sz w:val="24"/>
          <w:szCs w:val="24"/>
        </w:rPr>
        <w:t>Accessed 30 Jan. 2024</w:t>
      </w:r>
      <w:r w:rsidR="00626941" w:rsidRPr="004331E0">
        <w:rPr>
          <w:rFonts w:asciiTheme="majorHAnsi" w:hAnsiTheme="majorHAnsi" w:cstheme="majorHAnsi"/>
          <w:sz w:val="24"/>
          <w:szCs w:val="24"/>
        </w:rPr>
        <w:t>)</w:t>
      </w:r>
      <w:r w:rsidRPr="00705448">
        <w:rPr>
          <w:rFonts w:asciiTheme="majorHAnsi" w:hAnsiTheme="majorHAnsi" w:cstheme="majorHAnsi"/>
          <w:sz w:val="24"/>
          <w:szCs w:val="24"/>
        </w:rPr>
        <w:t>.</w:t>
      </w:r>
    </w:p>
    <w:p w14:paraId="03353FDB" w14:textId="70C3A6D4"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Wortmann, M. (2013). Overcoming the stigma of dementia. </w:t>
      </w:r>
      <w:r w:rsidRPr="00705448">
        <w:rPr>
          <w:rFonts w:asciiTheme="majorHAnsi" w:hAnsiTheme="majorHAnsi" w:cstheme="majorHAnsi"/>
          <w:i/>
          <w:iCs/>
          <w:sz w:val="24"/>
          <w:szCs w:val="24"/>
        </w:rPr>
        <w:t>Alzheimer’s &amp; Dementia</w:t>
      </w:r>
      <w:r w:rsidRPr="00705448">
        <w:rPr>
          <w:rFonts w:asciiTheme="majorHAnsi" w:hAnsiTheme="majorHAnsi" w:cstheme="majorHAnsi"/>
          <w:sz w:val="24"/>
          <w:szCs w:val="24"/>
        </w:rPr>
        <w:t>, 9(4), p.P547</w:t>
      </w:r>
      <w:r w:rsidR="004331E0" w:rsidRPr="004331E0">
        <w:rPr>
          <w:rFonts w:asciiTheme="majorHAnsi" w:hAnsiTheme="majorHAnsi" w:cstheme="majorHAnsi"/>
          <w:sz w:val="24"/>
          <w:szCs w:val="24"/>
        </w:rPr>
        <w:t>.</w:t>
      </w:r>
    </w:p>
    <w:p w14:paraId="2CDF5F1F" w14:textId="1CE4135F" w:rsidR="00705448" w:rsidRPr="00705448" w:rsidRDefault="00705448" w:rsidP="004331E0">
      <w:pPr>
        <w:rPr>
          <w:rFonts w:asciiTheme="majorHAnsi" w:hAnsiTheme="majorHAnsi" w:cstheme="majorHAnsi"/>
          <w:sz w:val="24"/>
          <w:szCs w:val="24"/>
        </w:rPr>
      </w:pPr>
      <w:r w:rsidRPr="00705448">
        <w:rPr>
          <w:rFonts w:asciiTheme="majorHAnsi" w:hAnsiTheme="majorHAnsi" w:cstheme="majorHAnsi"/>
          <w:sz w:val="24"/>
          <w:szCs w:val="24"/>
        </w:rPr>
        <w:t xml:space="preserve">Yates, L., Csipke, E., Moniz-Cook, E., Leung, P., Walton, H., Charlesworth, G., Spector, A., </w:t>
      </w:r>
      <w:proofErr w:type="spellStart"/>
      <w:r w:rsidRPr="00705448">
        <w:rPr>
          <w:rFonts w:asciiTheme="majorHAnsi" w:hAnsiTheme="majorHAnsi" w:cstheme="majorHAnsi"/>
          <w:sz w:val="24"/>
          <w:szCs w:val="24"/>
        </w:rPr>
        <w:t>Hogervorst</w:t>
      </w:r>
      <w:proofErr w:type="spellEnd"/>
      <w:r w:rsidRPr="00705448">
        <w:rPr>
          <w:rFonts w:asciiTheme="majorHAnsi" w:hAnsiTheme="majorHAnsi" w:cstheme="majorHAnsi"/>
          <w:sz w:val="24"/>
          <w:szCs w:val="24"/>
        </w:rPr>
        <w:t xml:space="preserve">, E., Mountain, G. and Orrell, M. (2019). The Development of the Promoting </w:t>
      </w:r>
      <w:r w:rsidRPr="00705448">
        <w:rPr>
          <w:rFonts w:asciiTheme="majorHAnsi" w:hAnsiTheme="majorHAnsi" w:cstheme="majorHAnsi"/>
          <w:sz w:val="24"/>
          <w:szCs w:val="24"/>
        </w:rPr>
        <w:lastRenderedPageBreak/>
        <w:t xml:space="preserve">Independence in Dementia (PRIDE) Intervention to Enhance Independence in Dementia. </w:t>
      </w:r>
      <w:r w:rsidRPr="00705448">
        <w:rPr>
          <w:rFonts w:asciiTheme="majorHAnsi" w:hAnsiTheme="majorHAnsi" w:cstheme="majorHAnsi"/>
          <w:i/>
          <w:iCs/>
          <w:sz w:val="24"/>
          <w:szCs w:val="24"/>
        </w:rPr>
        <w:t>Clinical Interventions in Aging</w:t>
      </w:r>
      <w:r w:rsidRPr="00705448">
        <w:rPr>
          <w:rFonts w:asciiTheme="majorHAnsi" w:hAnsiTheme="majorHAnsi" w:cstheme="majorHAnsi"/>
          <w:sz w:val="24"/>
          <w:szCs w:val="24"/>
        </w:rPr>
        <w:t xml:space="preserve">, 14(14), pp.1615–1630. </w:t>
      </w:r>
    </w:p>
    <w:p w14:paraId="1C332136" w14:textId="77777777" w:rsidR="00C92868" w:rsidRPr="0071660F" w:rsidRDefault="00C92868">
      <w:pPr>
        <w:rPr>
          <w:rFonts w:asciiTheme="majorHAnsi" w:hAnsiTheme="majorHAnsi" w:cstheme="majorHAnsi"/>
          <w:sz w:val="28"/>
          <w:szCs w:val="28"/>
        </w:rPr>
      </w:pPr>
    </w:p>
    <w:sectPr w:rsidR="00C92868" w:rsidRPr="0071660F" w:rsidSect="005A06D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AECBB" w14:textId="77777777" w:rsidR="005A06DF" w:rsidRDefault="005A06DF" w:rsidP="00F01205">
      <w:pPr>
        <w:spacing w:after="0" w:line="240" w:lineRule="auto"/>
      </w:pPr>
      <w:r>
        <w:separator/>
      </w:r>
    </w:p>
  </w:endnote>
  <w:endnote w:type="continuationSeparator" w:id="0">
    <w:p w14:paraId="3BD22AEC" w14:textId="77777777" w:rsidR="005A06DF" w:rsidRDefault="005A06DF" w:rsidP="00F01205">
      <w:pPr>
        <w:spacing w:after="0" w:line="240" w:lineRule="auto"/>
      </w:pPr>
      <w:r>
        <w:continuationSeparator/>
      </w:r>
    </w:p>
  </w:endnote>
  <w:endnote w:type="continuationNotice" w:id="1">
    <w:p w14:paraId="187D091B" w14:textId="77777777" w:rsidR="005A06DF" w:rsidRDefault="005A06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DE6DB" w14:textId="77777777" w:rsidR="005A06DF" w:rsidRDefault="005A06DF" w:rsidP="00F01205">
      <w:pPr>
        <w:spacing w:after="0" w:line="240" w:lineRule="auto"/>
      </w:pPr>
      <w:r>
        <w:separator/>
      </w:r>
    </w:p>
  </w:footnote>
  <w:footnote w:type="continuationSeparator" w:id="0">
    <w:p w14:paraId="2A310FEE" w14:textId="77777777" w:rsidR="005A06DF" w:rsidRDefault="005A06DF" w:rsidP="00F01205">
      <w:pPr>
        <w:spacing w:after="0" w:line="240" w:lineRule="auto"/>
      </w:pPr>
      <w:r>
        <w:continuationSeparator/>
      </w:r>
    </w:p>
  </w:footnote>
  <w:footnote w:type="continuationNotice" w:id="1">
    <w:p w14:paraId="3764081B" w14:textId="77777777" w:rsidR="005A06DF" w:rsidRDefault="005A06DF">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Js1IG2fH" int2:invalidationBookmarkName="" int2:hashCode="W9zTwNTSSuPnGz" int2:id="QKcvMkyZ">
      <int2:state int2:value="Rejected" int2:type="AugLoop_Text_Critique"/>
    </int2:bookmark>
    <int2:bookmark int2:bookmarkName="_Int_8dqTO3ZO" int2:invalidationBookmarkName="" int2:hashCode="Wq+JBfMqQ+jdGi" int2:id="mimDOrea">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60F"/>
    <w:rsid w:val="00000BB4"/>
    <w:rsid w:val="000040C7"/>
    <w:rsid w:val="0000449D"/>
    <w:rsid w:val="000127AF"/>
    <w:rsid w:val="00026284"/>
    <w:rsid w:val="00036342"/>
    <w:rsid w:val="00037E0A"/>
    <w:rsid w:val="00042F14"/>
    <w:rsid w:val="00047321"/>
    <w:rsid w:val="00050743"/>
    <w:rsid w:val="000556ED"/>
    <w:rsid w:val="0006178A"/>
    <w:rsid w:val="00080801"/>
    <w:rsid w:val="000831B0"/>
    <w:rsid w:val="000913D7"/>
    <w:rsid w:val="000B0477"/>
    <w:rsid w:val="000B4CAC"/>
    <w:rsid w:val="000B57FD"/>
    <w:rsid w:val="000B661D"/>
    <w:rsid w:val="000B7AC0"/>
    <w:rsid w:val="000B7E3D"/>
    <w:rsid w:val="000C4171"/>
    <w:rsid w:val="000D2D67"/>
    <w:rsid w:val="000D67CC"/>
    <w:rsid w:val="000D6F75"/>
    <w:rsid w:val="000E1650"/>
    <w:rsid w:val="000E1FED"/>
    <w:rsid w:val="000E23A9"/>
    <w:rsid w:val="000E2C5A"/>
    <w:rsid w:val="000E4929"/>
    <w:rsid w:val="000E5D1F"/>
    <w:rsid w:val="000F4556"/>
    <w:rsid w:val="0010145F"/>
    <w:rsid w:val="0010509F"/>
    <w:rsid w:val="00105A62"/>
    <w:rsid w:val="00121374"/>
    <w:rsid w:val="00130134"/>
    <w:rsid w:val="001317AC"/>
    <w:rsid w:val="00135A7B"/>
    <w:rsid w:val="00136537"/>
    <w:rsid w:val="00143508"/>
    <w:rsid w:val="001451B3"/>
    <w:rsid w:val="001466FC"/>
    <w:rsid w:val="0015607A"/>
    <w:rsid w:val="00156542"/>
    <w:rsid w:val="00162F8A"/>
    <w:rsid w:val="00164DA3"/>
    <w:rsid w:val="00165FC9"/>
    <w:rsid w:val="00172FB3"/>
    <w:rsid w:val="001731B1"/>
    <w:rsid w:val="00181042"/>
    <w:rsid w:val="00183EEA"/>
    <w:rsid w:val="00186E32"/>
    <w:rsid w:val="001909CE"/>
    <w:rsid w:val="00193ACE"/>
    <w:rsid w:val="001970D1"/>
    <w:rsid w:val="001A0C87"/>
    <w:rsid w:val="001A26D5"/>
    <w:rsid w:val="001A33DC"/>
    <w:rsid w:val="001A4AFA"/>
    <w:rsid w:val="001A5B4C"/>
    <w:rsid w:val="001A77CB"/>
    <w:rsid w:val="001C2798"/>
    <w:rsid w:val="001C4EE5"/>
    <w:rsid w:val="001D1165"/>
    <w:rsid w:val="001D2282"/>
    <w:rsid w:val="001D32D7"/>
    <w:rsid w:val="001F4E32"/>
    <w:rsid w:val="001F58CC"/>
    <w:rsid w:val="00200F39"/>
    <w:rsid w:val="00207D00"/>
    <w:rsid w:val="00212010"/>
    <w:rsid w:val="00212E7A"/>
    <w:rsid w:val="00217739"/>
    <w:rsid w:val="00217939"/>
    <w:rsid w:val="00225C19"/>
    <w:rsid w:val="00231DC8"/>
    <w:rsid w:val="0023506F"/>
    <w:rsid w:val="00242A51"/>
    <w:rsid w:val="00255949"/>
    <w:rsid w:val="00267506"/>
    <w:rsid w:val="002752D6"/>
    <w:rsid w:val="00277D24"/>
    <w:rsid w:val="002922D9"/>
    <w:rsid w:val="002A4A38"/>
    <w:rsid w:val="002B0475"/>
    <w:rsid w:val="002C4AF2"/>
    <w:rsid w:val="002C5ED9"/>
    <w:rsid w:val="002D071B"/>
    <w:rsid w:val="002D32F9"/>
    <w:rsid w:val="002D50BA"/>
    <w:rsid w:val="002D5760"/>
    <w:rsid w:val="002E23C4"/>
    <w:rsid w:val="002E4527"/>
    <w:rsid w:val="002E6141"/>
    <w:rsid w:val="002F05F0"/>
    <w:rsid w:val="002F336E"/>
    <w:rsid w:val="002F5549"/>
    <w:rsid w:val="003056DC"/>
    <w:rsid w:val="003103C5"/>
    <w:rsid w:val="0031718C"/>
    <w:rsid w:val="003215A6"/>
    <w:rsid w:val="00322C63"/>
    <w:rsid w:val="00341D1C"/>
    <w:rsid w:val="00344174"/>
    <w:rsid w:val="00350572"/>
    <w:rsid w:val="00355C7F"/>
    <w:rsid w:val="003601A7"/>
    <w:rsid w:val="00365B2D"/>
    <w:rsid w:val="003671EF"/>
    <w:rsid w:val="0037440A"/>
    <w:rsid w:val="00394990"/>
    <w:rsid w:val="003A2A82"/>
    <w:rsid w:val="003A4D74"/>
    <w:rsid w:val="003B272A"/>
    <w:rsid w:val="003B3A53"/>
    <w:rsid w:val="003B5300"/>
    <w:rsid w:val="003B5765"/>
    <w:rsid w:val="003D131C"/>
    <w:rsid w:val="003D2F93"/>
    <w:rsid w:val="003D3AFB"/>
    <w:rsid w:val="00411504"/>
    <w:rsid w:val="004121F0"/>
    <w:rsid w:val="00415620"/>
    <w:rsid w:val="004331E0"/>
    <w:rsid w:val="004364F3"/>
    <w:rsid w:val="00436A06"/>
    <w:rsid w:val="00440782"/>
    <w:rsid w:val="00451214"/>
    <w:rsid w:val="00451BF9"/>
    <w:rsid w:val="004539B0"/>
    <w:rsid w:val="0047293A"/>
    <w:rsid w:val="0048002D"/>
    <w:rsid w:val="0049521E"/>
    <w:rsid w:val="004A5A55"/>
    <w:rsid w:val="004A72F8"/>
    <w:rsid w:val="004B5C7F"/>
    <w:rsid w:val="004C01CA"/>
    <w:rsid w:val="004C569D"/>
    <w:rsid w:val="004C6247"/>
    <w:rsid w:val="004D0752"/>
    <w:rsid w:val="004D2265"/>
    <w:rsid w:val="004E57D4"/>
    <w:rsid w:val="004E65F5"/>
    <w:rsid w:val="004F1BEE"/>
    <w:rsid w:val="005000A6"/>
    <w:rsid w:val="00505D2D"/>
    <w:rsid w:val="005162AC"/>
    <w:rsid w:val="00516C65"/>
    <w:rsid w:val="00521C85"/>
    <w:rsid w:val="00531D03"/>
    <w:rsid w:val="005335BF"/>
    <w:rsid w:val="00541D0A"/>
    <w:rsid w:val="00542529"/>
    <w:rsid w:val="005615D3"/>
    <w:rsid w:val="00564E25"/>
    <w:rsid w:val="005733C3"/>
    <w:rsid w:val="00575AF1"/>
    <w:rsid w:val="00576F75"/>
    <w:rsid w:val="00577D5D"/>
    <w:rsid w:val="0058308F"/>
    <w:rsid w:val="00585340"/>
    <w:rsid w:val="005872A2"/>
    <w:rsid w:val="005A06DF"/>
    <w:rsid w:val="005A2628"/>
    <w:rsid w:val="005A311E"/>
    <w:rsid w:val="005A51FB"/>
    <w:rsid w:val="005A5A81"/>
    <w:rsid w:val="005B0906"/>
    <w:rsid w:val="005B1FD6"/>
    <w:rsid w:val="005B3F1A"/>
    <w:rsid w:val="005C0DAF"/>
    <w:rsid w:val="005C5632"/>
    <w:rsid w:val="005C66C7"/>
    <w:rsid w:val="005D1C99"/>
    <w:rsid w:val="005D3A66"/>
    <w:rsid w:val="005D42C6"/>
    <w:rsid w:val="005D6CCD"/>
    <w:rsid w:val="005E0266"/>
    <w:rsid w:val="005E280E"/>
    <w:rsid w:val="005E35AB"/>
    <w:rsid w:val="005F2158"/>
    <w:rsid w:val="0060178A"/>
    <w:rsid w:val="00606353"/>
    <w:rsid w:val="006235FA"/>
    <w:rsid w:val="0062478F"/>
    <w:rsid w:val="00626941"/>
    <w:rsid w:val="00635AA8"/>
    <w:rsid w:val="006536FF"/>
    <w:rsid w:val="0065694C"/>
    <w:rsid w:val="00656B4B"/>
    <w:rsid w:val="00666136"/>
    <w:rsid w:val="00666E0E"/>
    <w:rsid w:val="00667F15"/>
    <w:rsid w:val="006705BD"/>
    <w:rsid w:val="0067069A"/>
    <w:rsid w:val="00670F49"/>
    <w:rsid w:val="00676829"/>
    <w:rsid w:val="00681086"/>
    <w:rsid w:val="00690386"/>
    <w:rsid w:val="006904EB"/>
    <w:rsid w:val="00692B87"/>
    <w:rsid w:val="006A1AD1"/>
    <w:rsid w:val="006A46C2"/>
    <w:rsid w:val="006A6AB9"/>
    <w:rsid w:val="006A6B97"/>
    <w:rsid w:val="006B1649"/>
    <w:rsid w:val="006B1FFC"/>
    <w:rsid w:val="006B47C8"/>
    <w:rsid w:val="006B4ABA"/>
    <w:rsid w:val="006B7A7D"/>
    <w:rsid w:val="006C6663"/>
    <w:rsid w:val="006D2A8A"/>
    <w:rsid w:val="006D73EF"/>
    <w:rsid w:val="006E3E86"/>
    <w:rsid w:val="006F317C"/>
    <w:rsid w:val="006F6143"/>
    <w:rsid w:val="00700ABE"/>
    <w:rsid w:val="00705448"/>
    <w:rsid w:val="00705EEC"/>
    <w:rsid w:val="00706A9B"/>
    <w:rsid w:val="00714A3A"/>
    <w:rsid w:val="00714B85"/>
    <w:rsid w:val="0071660F"/>
    <w:rsid w:val="00720780"/>
    <w:rsid w:val="007216CF"/>
    <w:rsid w:val="00743DFA"/>
    <w:rsid w:val="007476A9"/>
    <w:rsid w:val="0075129E"/>
    <w:rsid w:val="007525B0"/>
    <w:rsid w:val="00757841"/>
    <w:rsid w:val="00760185"/>
    <w:rsid w:val="0076196B"/>
    <w:rsid w:val="007622D2"/>
    <w:rsid w:val="00767DFB"/>
    <w:rsid w:val="007717E0"/>
    <w:rsid w:val="007824C3"/>
    <w:rsid w:val="00782927"/>
    <w:rsid w:val="007871D4"/>
    <w:rsid w:val="0079324B"/>
    <w:rsid w:val="00794B08"/>
    <w:rsid w:val="007969EF"/>
    <w:rsid w:val="00797198"/>
    <w:rsid w:val="007A5798"/>
    <w:rsid w:val="007A61BD"/>
    <w:rsid w:val="007B4E4C"/>
    <w:rsid w:val="007C21B4"/>
    <w:rsid w:val="007C61C1"/>
    <w:rsid w:val="007C7E45"/>
    <w:rsid w:val="007D1057"/>
    <w:rsid w:val="007E1F17"/>
    <w:rsid w:val="007E28D2"/>
    <w:rsid w:val="0081194F"/>
    <w:rsid w:val="00814958"/>
    <w:rsid w:val="008205D8"/>
    <w:rsid w:val="008273EA"/>
    <w:rsid w:val="00834024"/>
    <w:rsid w:val="00836F9D"/>
    <w:rsid w:val="008427F5"/>
    <w:rsid w:val="008573AE"/>
    <w:rsid w:val="008646B3"/>
    <w:rsid w:val="008750BD"/>
    <w:rsid w:val="00877B70"/>
    <w:rsid w:val="00881E46"/>
    <w:rsid w:val="008869CD"/>
    <w:rsid w:val="008B3434"/>
    <w:rsid w:val="008C689B"/>
    <w:rsid w:val="008E26AE"/>
    <w:rsid w:val="008E58C7"/>
    <w:rsid w:val="008E64A8"/>
    <w:rsid w:val="008E6C4D"/>
    <w:rsid w:val="008E6C80"/>
    <w:rsid w:val="008F110B"/>
    <w:rsid w:val="008F19D6"/>
    <w:rsid w:val="008F373C"/>
    <w:rsid w:val="008F6F46"/>
    <w:rsid w:val="00905D27"/>
    <w:rsid w:val="00912E37"/>
    <w:rsid w:val="00920541"/>
    <w:rsid w:val="009245B3"/>
    <w:rsid w:val="00930C9B"/>
    <w:rsid w:val="00933997"/>
    <w:rsid w:val="009454EB"/>
    <w:rsid w:val="00952443"/>
    <w:rsid w:val="00952807"/>
    <w:rsid w:val="009574DB"/>
    <w:rsid w:val="00962FED"/>
    <w:rsid w:val="00967B92"/>
    <w:rsid w:val="00967E24"/>
    <w:rsid w:val="00975084"/>
    <w:rsid w:val="00975C03"/>
    <w:rsid w:val="0097775F"/>
    <w:rsid w:val="00993B3E"/>
    <w:rsid w:val="00993D8B"/>
    <w:rsid w:val="00995786"/>
    <w:rsid w:val="009A1B09"/>
    <w:rsid w:val="009A3D56"/>
    <w:rsid w:val="009A4E91"/>
    <w:rsid w:val="009B39A4"/>
    <w:rsid w:val="009C1160"/>
    <w:rsid w:val="009D0863"/>
    <w:rsid w:val="009D3BD1"/>
    <w:rsid w:val="009D48B5"/>
    <w:rsid w:val="009E0469"/>
    <w:rsid w:val="009E1E7E"/>
    <w:rsid w:val="009F67A3"/>
    <w:rsid w:val="00A027E6"/>
    <w:rsid w:val="00A02E34"/>
    <w:rsid w:val="00A0503F"/>
    <w:rsid w:val="00A112C5"/>
    <w:rsid w:val="00A27FD1"/>
    <w:rsid w:val="00A3142E"/>
    <w:rsid w:val="00A33734"/>
    <w:rsid w:val="00A35A46"/>
    <w:rsid w:val="00A41B83"/>
    <w:rsid w:val="00A43852"/>
    <w:rsid w:val="00A446F3"/>
    <w:rsid w:val="00A53BB0"/>
    <w:rsid w:val="00A5410E"/>
    <w:rsid w:val="00A565D4"/>
    <w:rsid w:val="00A617A4"/>
    <w:rsid w:val="00A61CD6"/>
    <w:rsid w:val="00A70331"/>
    <w:rsid w:val="00A72328"/>
    <w:rsid w:val="00A738AE"/>
    <w:rsid w:val="00A77855"/>
    <w:rsid w:val="00A80988"/>
    <w:rsid w:val="00A86063"/>
    <w:rsid w:val="00AA4010"/>
    <w:rsid w:val="00AA76DC"/>
    <w:rsid w:val="00AB5149"/>
    <w:rsid w:val="00AC1D37"/>
    <w:rsid w:val="00AC2DFA"/>
    <w:rsid w:val="00AD2BBE"/>
    <w:rsid w:val="00AD44F8"/>
    <w:rsid w:val="00AD523F"/>
    <w:rsid w:val="00AD7E74"/>
    <w:rsid w:val="00AE0545"/>
    <w:rsid w:val="00AE6730"/>
    <w:rsid w:val="00AF5962"/>
    <w:rsid w:val="00B044BE"/>
    <w:rsid w:val="00B05944"/>
    <w:rsid w:val="00B10117"/>
    <w:rsid w:val="00B16C7D"/>
    <w:rsid w:val="00B20525"/>
    <w:rsid w:val="00B2188A"/>
    <w:rsid w:val="00B26810"/>
    <w:rsid w:val="00B26F3F"/>
    <w:rsid w:val="00B276C4"/>
    <w:rsid w:val="00B338FD"/>
    <w:rsid w:val="00B43290"/>
    <w:rsid w:val="00B43838"/>
    <w:rsid w:val="00B449AE"/>
    <w:rsid w:val="00B47433"/>
    <w:rsid w:val="00B47A2C"/>
    <w:rsid w:val="00B55FA7"/>
    <w:rsid w:val="00B6013F"/>
    <w:rsid w:val="00B6360F"/>
    <w:rsid w:val="00B66D5E"/>
    <w:rsid w:val="00B70C7B"/>
    <w:rsid w:val="00B71A02"/>
    <w:rsid w:val="00B9377E"/>
    <w:rsid w:val="00B95559"/>
    <w:rsid w:val="00B9618D"/>
    <w:rsid w:val="00BA2F93"/>
    <w:rsid w:val="00BA7A7C"/>
    <w:rsid w:val="00BD0BBE"/>
    <w:rsid w:val="00BD46AA"/>
    <w:rsid w:val="00BD5F40"/>
    <w:rsid w:val="00BE28D0"/>
    <w:rsid w:val="00BE52CD"/>
    <w:rsid w:val="00BE692D"/>
    <w:rsid w:val="00BF073D"/>
    <w:rsid w:val="00BF2EC4"/>
    <w:rsid w:val="00C04EDE"/>
    <w:rsid w:val="00C120CF"/>
    <w:rsid w:val="00C1342B"/>
    <w:rsid w:val="00C15756"/>
    <w:rsid w:val="00C15E91"/>
    <w:rsid w:val="00C165B1"/>
    <w:rsid w:val="00C177A1"/>
    <w:rsid w:val="00C203ED"/>
    <w:rsid w:val="00C213F9"/>
    <w:rsid w:val="00C2250F"/>
    <w:rsid w:val="00C2519B"/>
    <w:rsid w:val="00C278AC"/>
    <w:rsid w:val="00C32962"/>
    <w:rsid w:val="00C3330B"/>
    <w:rsid w:val="00C45760"/>
    <w:rsid w:val="00C47D03"/>
    <w:rsid w:val="00C50BDF"/>
    <w:rsid w:val="00C545AA"/>
    <w:rsid w:val="00C6106A"/>
    <w:rsid w:val="00C63FD8"/>
    <w:rsid w:val="00C740CB"/>
    <w:rsid w:val="00C759A4"/>
    <w:rsid w:val="00C75E42"/>
    <w:rsid w:val="00C82A8B"/>
    <w:rsid w:val="00C82F06"/>
    <w:rsid w:val="00C8391A"/>
    <w:rsid w:val="00C92868"/>
    <w:rsid w:val="00C92D22"/>
    <w:rsid w:val="00CA1BAC"/>
    <w:rsid w:val="00CA56FB"/>
    <w:rsid w:val="00CB02CE"/>
    <w:rsid w:val="00CB2BC4"/>
    <w:rsid w:val="00CC0913"/>
    <w:rsid w:val="00CC55C6"/>
    <w:rsid w:val="00CD2E94"/>
    <w:rsid w:val="00CD3DFE"/>
    <w:rsid w:val="00CF13EF"/>
    <w:rsid w:val="00CF40FE"/>
    <w:rsid w:val="00CF48F4"/>
    <w:rsid w:val="00D00412"/>
    <w:rsid w:val="00D036DE"/>
    <w:rsid w:val="00D046A5"/>
    <w:rsid w:val="00D07AB4"/>
    <w:rsid w:val="00D158D7"/>
    <w:rsid w:val="00D26D11"/>
    <w:rsid w:val="00D317B7"/>
    <w:rsid w:val="00D43106"/>
    <w:rsid w:val="00D51688"/>
    <w:rsid w:val="00D52B74"/>
    <w:rsid w:val="00D55859"/>
    <w:rsid w:val="00D560F0"/>
    <w:rsid w:val="00D7128D"/>
    <w:rsid w:val="00D72A02"/>
    <w:rsid w:val="00D94527"/>
    <w:rsid w:val="00DA1E06"/>
    <w:rsid w:val="00DA2600"/>
    <w:rsid w:val="00DA5515"/>
    <w:rsid w:val="00DB24CB"/>
    <w:rsid w:val="00DB7E7F"/>
    <w:rsid w:val="00DC759C"/>
    <w:rsid w:val="00DD07E5"/>
    <w:rsid w:val="00DD58C0"/>
    <w:rsid w:val="00DD734F"/>
    <w:rsid w:val="00DE3489"/>
    <w:rsid w:val="00DF23CD"/>
    <w:rsid w:val="00DF442A"/>
    <w:rsid w:val="00E1344F"/>
    <w:rsid w:val="00E34142"/>
    <w:rsid w:val="00E47606"/>
    <w:rsid w:val="00E531DD"/>
    <w:rsid w:val="00E62168"/>
    <w:rsid w:val="00E6373C"/>
    <w:rsid w:val="00E76B3C"/>
    <w:rsid w:val="00E8661F"/>
    <w:rsid w:val="00E870B4"/>
    <w:rsid w:val="00E878E8"/>
    <w:rsid w:val="00E96BDF"/>
    <w:rsid w:val="00EA4244"/>
    <w:rsid w:val="00EB51E6"/>
    <w:rsid w:val="00EC0735"/>
    <w:rsid w:val="00EC41DC"/>
    <w:rsid w:val="00EC58EA"/>
    <w:rsid w:val="00EC5971"/>
    <w:rsid w:val="00EC5AC0"/>
    <w:rsid w:val="00EC791D"/>
    <w:rsid w:val="00ED4E46"/>
    <w:rsid w:val="00EE3515"/>
    <w:rsid w:val="00EE4968"/>
    <w:rsid w:val="00EF29A3"/>
    <w:rsid w:val="00EF41A0"/>
    <w:rsid w:val="00EF6C1C"/>
    <w:rsid w:val="00F01205"/>
    <w:rsid w:val="00F01B59"/>
    <w:rsid w:val="00F0259E"/>
    <w:rsid w:val="00F11DB1"/>
    <w:rsid w:val="00F20A75"/>
    <w:rsid w:val="00F21A6A"/>
    <w:rsid w:val="00F238A8"/>
    <w:rsid w:val="00F24856"/>
    <w:rsid w:val="00F2492E"/>
    <w:rsid w:val="00F25802"/>
    <w:rsid w:val="00F3274A"/>
    <w:rsid w:val="00F36814"/>
    <w:rsid w:val="00F42C3B"/>
    <w:rsid w:val="00F46156"/>
    <w:rsid w:val="00F52AE2"/>
    <w:rsid w:val="00F55FF2"/>
    <w:rsid w:val="00F56413"/>
    <w:rsid w:val="00F57118"/>
    <w:rsid w:val="00F57276"/>
    <w:rsid w:val="00F651DC"/>
    <w:rsid w:val="00F72CB5"/>
    <w:rsid w:val="00F80084"/>
    <w:rsid w:val="00F93927"/>
    <w:rsid w:val="00FA1422"/>
    <w:rsid w:val="00FA161C"/>
    <w:rsid w:val="00FA1AAF"/>
    <w:rsid w:val="00FA4437"/>
    <w:rsid w:val="00FA64BD"/>
    <w:rsid w:val="00FB6D69"/>
    <w:rsid w:val="00FC440A"/>
    <w:rsid w:val="00FD13B5"/>
    <w:rsid w:val="00FD5E90"/>
    <w:rsid w:val="00FF5F22"/>
    <w:rsid w:val="01FFA729"/>
    <w:rsid w:val="026A458C"/>
    <w:rsid w:val="02B7C179"/>
    <w:rsid w:val="04BC9CA6"/>
    <w:rsid w:val="0617CC36"/>
    <w:rsid w:val="0670CB1B"/>
    <w:rsid w:val="06BC2569"/>
    <w:rsid w:val="0817E206"/>
    <w:rsid w:val="083A1F76"/>
    <w:rsid w:val="08F8A3BA"/>
    <w:rsid w:val="0A637A8A"/>
    <w:rsid w:val="0B9B199D"/>
    <w:rsid w:val="0C8D997F"/>
    <w:rsid w:val="0D63E780"/>
    <w:rsid w:val="0DAC2EE5"/>
    <w:rsid w:val="0E319D5D"/>
    <w:rsid w:val="0F1ED48B"/>
    <w:rsid w:val="100C1E9F"/>
    <w:rsid w:val="1150FEBB"/>
    <w:rsid w:val="11DF4C54"/>
    <w:rsid w:val="11F1CA3C"/>
    <w:rsid w:val="12CDE543"/>
    <w:rsid w:val="13EE72E7"/>
    <w:rsid w:val="15307A1A"/>
    <w:rsid w:val="15A23CB5"/>
    <w:rsid w:val="163B9F02"/>
    <w:rsid w:val="169AF6DB"/>
    <w:rsid w:val="16B61776"/>
    <w:rsid w:val="1871E1F0"/>
    <w:rsid w:val="18BE2EED"/>
    <w:rsid w:val="191A40DF"/>
    <w:rsid w:val="1AE15C7B"/>
    <w:rsid w:val="1AFD6FAC"/>
    <w:rsid w:val="1EBEFE4C"/>
    <w:rsid w:val="1EFD04CF"/>
    <w:rsid w:val="1FBB7813"/>
    <w:rsid w:val="20427099"/>
    <w:rsid w:val="208F69E0"/>
    <w:rsid w:val="210B2E48"/>
    <w:rsid w:val="231B651B"/>
    <w:rsid w:val="26057A69"/>
    <w:rsid w:val="2850935C"/>
    <w:rsid w:val="2911ACA6"/>
    <w:rsid w:val="2BD349CB"/>
    <w:rsid w:val="2D140EE8"/>
    <w:rsid w:val="30C03E69"/>
    <w:rsid w:val="30F9E436"/>
    <w:rsid w:val="31E8C31C"/>
    <w:rsid w:val="33A7FBC1"/>
    <w:rsid w:val="33BE42E7"/>
    <w:rsid w:val="33DC8222"/>
    <w:rsid w:val="34374674"/>
    <w:rsid w:val="3447852C"/>
    <w:rsid w:val="359F8D8E"/>
    <w:rsid w:val="37B93AFA"/>
    <w:rsid w:val="3827058D"/>
    <w:rsid w:val="39CC98FB"/>
    <w:rsid w:val="39FF1202"/>
    <w:rsid w:val="3A082D7D"/>
    <w:rsid w:val="3A5CFE7D"/>
    <w:rsid w:val="3B5BF889"/>
    <w:rsid w:val="3B74D54D"/>
    <w:rsid w:val="3BE7F8AE"/>
    <w:rsid w:val="3C6C56E6"/>
    <w:rsid w:val="3CF2349D"/>
    <w:rsid w:val="3D898A8B"/>
    <w:rsid w:val="3DFBB1CD"/>
    <w:rsid w:val="3E87AC0A"/>
    <w:rsid w:val="3EC5B28D"/>
    <w:rsid w:val="403C5515"/>
    <w:rsid w:val="412A9BBB"/>
    <w:rsid w:val="42111453"/>
    <w:rsid w:val="42BFC1A7"/>
    <w:rsid w:val="430D8E1A"/>
    <w:rsid w:val="43685367"/>
    <w:rsid w:val="46634E6C"/>
    <w:rsid w:val="485B8BD2"/>
    <w:rsid w:val="49C9E5E9"/>
    <w:rsid w:val="4C240ADE"/>
    <w:rsid w:val="4D26DD99"/>
    <w:rsid w:val="4D43261A"/>
    <w:rsid w:val="4E8788AE"/>
    <w:rsid w:val="4EA24F3A"/>
    <w:rsid w:val="4EDEC12B"/>
    <w:rsid w:val="502AE0F3"/>
    <w:rsid w:val="517E6066"/>
    <w:rsid w:val="52852498"/>
    <w:rsid w:val="55C18AB7"/>
    <w:rsid w:val="5614E67D"/>
    <w:rsid w:val="56964521"/>
    <w:rsid w:val="56FA11C8"/>
    <w:rsid w:val="572F42C7"/>
    <w:rsid w:val="59AD8723"/>
    <w:rsid w:val="59E43798"/>
    <w:rsid w:val="59FC1255"/>
    <w:rsid w:val="5AEBC55C"/>
    <w:rsid w:val="5DAF1484"/>
    <w:rsid w:val="5EC8516F"/>
    <w:rsid w:val="5EEB97A4"/>
    <w:rsid w:val="5FE920B0"/>
    <w:rsid w:val="60251AD4"/>
    <w:rsid w:val="60521856"/>
    <w:rsid w:val="606DF025"/>
    <w:rsid w:val="61D3364C"/>
    <w:rsid w:val="67116482"/>
    <w:rsid w:val="68490395"/>
    <w:rsid w:val="687F4F63"/>
    <w:rsid w:val="69B6100C"/>
    <w:rsid w:val="69E5E41B"/>
    <w:rsid w:val="6A11D178"/>
    <w:rsid w:val="6B02BDC3"/>
    <w:rsid w:val="6BDF8368"/>
    <w:rsid w:val="6DF75FD4"/>
    <w:rsid w:val="6E182436"/>
    <w:rsid w:val="6EB2ABEA"/>
    <w:rsid w:val="6EEAF0F1"/>
    <w:rsid w:val="70C23724"/>
    <w:rsid w:val="72493546"/>
    <w:rsid w:val="72E988FA"/>
    <w:rsid w:val="737CF6FA"/>
    <w:rsid w:val="74D0766D"/>
    <w:rsid w:val="75750A79"/>
    <w:rsid w:val="75D73A9F"/>
    <w:rsid w:val="77A46938"/>
    <w:rsid w:val="77FB7968"/>
    <w:rsid w:val="78DD87C1"/>
    <w:rsid w:val="790E43E9"/>
    <w:rsid w:val="7A08A6C2"/>
    <w:rsid w:val="7D4E285C"/>
    <w:rsid w:val="7D7421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EFE0B6"/>
  <w15:chartTrackingRefBased/>
  <w15:docId w15:val="{9A735A01-5661-4F7A-A1FD-621E88C19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28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6">
    <w:name w:val="heading 6"/>
    <w:basedOn w:val="Normal"/>
    <w:link w:val="Heading6Char"/>
    <w:uiPriority w:val="9"/>
    <w:qFormat/>
    <w:rsid w:val="0071660F"/>
    <w:pPr>
      <w:spacing w:before="100" w:beforeAutospacing="1" w:after="100" w:afterAutospacing="1" w:line="240" w:lineRule="auto"/>
      <w:outlineLvl w:val="5"/>
    </w:pPr>
    <w:rPr>
      <w:rFonts w:ascii="Times New Roman" w:eastAsia="Times New Roman" w:hAnsi="Times New Roman" w:cs="Times New Roman"/>
      <w:b/>
      <w:bCs/>
      <w:kern w:val="0"/>
      <w:sz w:val="15"/>
      <w:szCs w:val="15"/>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660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6Char">
    <w:name w:val="Heading 6 Char"/>
    <w:basedOn w:val="DefaultParagraphFont"/>
    <w:link w:val="Heading6"/>
    <w:uiPriority w:val="9"/>
    <w:rsid w:val="0071660F"/>
    <w:rPr>
      <w:rFonts w:ascii="Times New Roman" w:eastAsia="Times New Roman" w:hAnsi="Times New Roman" w:cs="Times New Roman"/>
      <w:b/>
      <w:bCs/>
      <w:kern w:val="0"/>
      <w:sz w:val="15"/>
      <w:szCs w:val="15"/>
      <w:lang w:eastAsia="en-GB"/>
      <w14:ligatures w14:val="none"/>
    </w:rPr>
  </w:style>
  <w:style w:type="paragraph" w:styleId="Header">
    <w:name w:val="header"/>
    <w:basedOn w:val="Normal"/>
    <w:link w:val="HeaderChar"/>
    <w:uiPriority w:val="99"/>
    <w:unhideWhenUsed/>
    <w:rsid w:val="00F012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1205"/>
  </w:style>
  <w:style w:type="paragraph" w:styleId="Footer">
    <w:name w:val="footer"/>
    <w:basedOn w:val="Normal"/>
    <w:link w:val="FooterChar"/>
    <w:uiPriority w:val="99"/>
    <w:unhideWhenUsed/>
    <w:rsid w:val="00F012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1205"/>
  </w:style>
  <w:style w:type="character" w:customStyle="1" w:styleId="Heading1Char">
    <w:name w:val="Heading 1 Char"/>
    <w:basedOn w:val="DefaultParagraphFont"/>
    <w:link w:val="Heading1"/>
    <w:uiPriority w:val="9"/>
    <w:rsid w:val="00C92868"/>
    <w:rPr>
      <w:rFonts w:asciiTheme="majorHAnsi" w:eastAsiaTheme="majorEastAsia" w:hAnsiTheme="majorHAnsi" w:cstheme="majorBidi"/>
      <w:color w:val="2F5496" w:themeColor="accent1" w:themeShade="BF"/>
      <w:sz w:val="32"/>
      <w:szCs w:val="32"/>
    </w:rPr>
  </w:style>
  <w:style w:type="paragraph" w:styleId="CommentText">
    <w:name w:val="annotation text"/>
    <w:basedOn w:val="Normal"/>
    <w:link w:val="CommentTextChar"/>
    <w:uiPriority w:val="99"/>
    <w:semiHidden/>
    <w:unhideWhenUsed/>
    <w:rsid w:val="00231DC8"/>
    <w:pPr>
      <w:spacing w:line="240" w:lineRule="auto"/>
    </w:pPr>
    <w:rPr>
      <w:sz w:val="20"/>
      <w:szCs w:val="20"/>
    </w:rPr>
  </w:style>
  <w:style w:type="character" w:customStyle="1" w:styleId="CommentTextChar">
    <w:name w:val="Comment Text Char"/>
    <w:basedOn w:val="DefaultParagraphFont"/>
    <w:link w:val="CommentText"/>
    <w:uiPriority w:val="99"/>
    <w:semiHidden/>
    <w:rsid w:val="00231DC8"/>
    <w:rPr>
      <w:sz w:val="20"/>
      <w:szCs w:val="20"/>
    </w:rPr>
  </w:style>
  <w:style w:type="character" w:styleId="CommentReference">
    <w:name w:val="annotation reference"/>
    <w:basedOn w:val="DefaultParagraphFont"/>
    <w:uiPriority w:val="99"/>
    <w:semiHidden/>
    <w:unhideWhenUsed/>
    <w:rsid w:val="00231DC8"/>
    <w:rPr>
      <w:sz w:val="16"/>
      <w:szCs w:val="16"/>
    </w:rPr>
  </w:style>
  <w:style w:type="paragraph" w:styleId="NoSpacing">
    <w:name w:val="No Spacing"/>
    <w:link w:val="NoSpacingChar"/>
    <w:uiPriority w:val="1"/>
    <w:qFormat/>
    <w:rsid w:val="00F4615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46156"/>
    <w:rPr>
      <w:rFonts w:eastAsiaTheme="minorEastAsia"/>
      <w:kern w:val="0"/>
      <w:lang w:val="en-US"/>
      <w14:ligatures w14:val="none"/>
    </w:rPr>
  </w:style>
  <w:style w:type="character" w:styleId="Hyperlink">
    <w:name w:val="Hyperlink"/>
    <w:basedOn w:val="DefaultParagraphFont"/>
    <w:uiPriority w:val="99"/>
    <w:unhideWhenUsed/>
    <w:rsid w:val="00CC0913"/>
    <w:rPr>
      <w:color w:val="0563C1" w:themeColor="hyperlink"/>
      <w:u w:val="single"/>
    </w:rPr>
  </w:style>
  <w:style w:type="character" w:styleId="UnresolvedMention">
    <w:name w:val="Unresolved Mention"/>
    <w:basedOn w:val="DefaultParagraphFont"/>
    <w:uiPriority w:val="99"/>
    <w:semiHidden/>
    <w:unhideWhenUsed/>
    <w:rsid w:val="00CC09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645638">
      <w:bodyDiv w:val="1"/>
      <w:marLeft w:val="0"/>
      <w:marRight w:val="0"/>
      <w:marTop w:val="0"/>
      <w:marBottom w:val="0"/>
      <w:divBdr>
        <w:top w:val="none" w:sz="0" w:space="0" w:color="auto"/>
        <w:left w:val="none" w:sz="0" w:space="0" w:color="auto"/>
        <w:bottom w:val="none" w:sz="0" w:space="0" w:color="auto"/>
        <w:right w:val="none" w:sz="0" w:space="0" w:color="auto"/>
      </w:divBdr>
    </w:div>
    <w:div w:id="772171492">
      <w:bodyDiv w:val="1"/>
      <w:marLeft w:val="0"/>
      <w:marRight w:val="0"/>
      <w:marTop w:val="0"/>
      <w:marBottom w:val="0"/>
      <w:divBdr>
        <w:top w:val="none" w:sz="0" w:space="0" w:color="auto"/>
        <w:left w:val="none" w:sz="0" w:space="0" w:color="auto"/>
        <w:bottom w:val="none" w:sz="0" w:space="0" w:color="auto"/>
        <w:right w:val="none" w:sz="0" w:space="0" w:color="auto"/>
      </w:divBdr>
    </w:div>
    <w:div w:id="827020955">
      <w:bodyDiv w:val="1"/>
      <w:marLeft w:val="0"/>
      <w:marRight w:val="0"/>
      <w:marTop w:val="0"/>
      <w:marBottom w:val="0"/>
      <w:divBdr>
        <w:top w:val="none" w:sz="0" w:space="0" w:color="auto"/>
        <w:left w:val="none" w:sz="0" w:space="0" w:color="auto"/>
        <w:bottom w:val="none" w:sz="0" w:space="0" w:color="auto"/>
        <w:right w:val="none" w:sz="0" w:space="0" w:color="auto"/>
      </w:divBdr>
    </w:div>
    <w:div w:id="996806699">
      <w:bodyDiv w:val="1"/>
      <w:marLeft w:val="0"/>
      <w:marRight w:val="0"/>
      <w:marTop w:val="0"/>
      <w:marBottom w:val="0"/>
      <w:divBdr>
        <w:top w:val="none" w:sz="0" w:space="0" w:color="auto"/>
        <w:left w:val="none" w:sz="0" w:space="0" w:color="auto"/>
        <w:bottom w:val="none" w:sz="0" w:space="0" w:color="auto"/>
        <w:right w:val="none" w:sz="0" w:space="0" w:color="auto"/>
      </w:divBdr>
    </w:div>
    <w:div w:id="1127553782">
      <w:bodyDiv w:val="1"/>
      <w:marLeft w:val="0"/>
      <w:marRight w:val="0"/>
      <w:marTop w:val="0"/>
      <w:marBottom w:val="0"/>
      <w:divBdr>
        <w:top w:val="none" w:sz="0" w:space="0" w:color="auto"/>
        <w:left w:val="none" w:sz="0" w:space="0" w:color="auto"/>
        <w:bottom w:val="none" w:sz="0" w:space="0" w:color="auto"/>
        <w:right w:val="none" w:sz="0" w:space="0" w:color="auto"/>
      </w:divBdr>
      <w:divsChild>
        <w:div w:id="263005121">
          <w:marLeft w:val="0"/>
          <w:marRight w:val="0"/>
          <w:marTop w:val="0"/>
          <w:marBottom w:val="0"/>
          <w:divBdr>
            <w:top w:val="none" w:sz="0" w:space="0" w:color="auto"/>
            <w:left w:val="none" w:sz="0" w:space="0" w:color="auto"/>
            <w:bottom w:val="none" w:sz="0" w:space="0" w:color="auto"/>
            <w:right w:val="none" w:sz="0" w:space="0" w:color="auto"/>
          </w:divBdr>
        </w:div>
      </w:divsChild>
    </w:div>
    <w:div w:id="1211646574">
      <w:bodyDiv w:val="1"/>
      <w:marLeft w:val="0"/>
      <w:marRight w:val="0"/>
      <w:marTop w:val="0"/>
      <w:marBottom w:val="0"/>
      <w:divBdr>
        <w:top w:val="none" w:sz="0" w:space="0" w:color="auto"/>
        <w:left w:val="none" w:sz="0" w:space="0" w:color="auto"/>
        <w:bottom w:val="none" w:sz="0" w:space="0" w:color="auto"/>
        <w:right w:val="none" w:sz="0" w:space="0" w:color="auto"/>
      </w:divBdr>
    </w:div>
    <w:div w:id="1491825448">
      <w:bodyDiv w:val="1"/>
      <w:marLeft w:val="0"/>
      <w:marRight w:val="0"/>
      <w:marTop w:val="0"/>
      <w:marBottom w:val="0"/>
      <w:divBdr>
        <w:top w:val="none" w:sz="0" w:space="0" w:color="auto"/>
        <w:left w:val="none" w:sz="0" w:space="0" w:color="auto"/>
        <w:bottom w:val="none" w:sz="0" w:space="0" w:color="auto"/>
        <w:right w:val="none" w:sz="0" w:space="0" w:color="auto"/>
      </w:divBdr>
    </w:div>
    <w:div w:id="1552185942">
      <w:bodyDiv w:val="1"/>
      <w:marLeft w:val="0"/>
      <w:marRight w:val="0"/>
      <w:marTop w:val="0"/>
      <w:marBottom w:val="0"/>
      <w:divBdr>
        <w:top w:val="none" w:sz="0" w:space="0" w:color="auto"/>
        <w:left w:val="none" w:sz="0" w:space="0" w:color="auto"/>
        <w:bottom w:val="none" w:sz="0" w:space="0" w:color="auto"/>
        <w:right w:val="none" w:sz="0" w:space="0" w:color="auto"/>
      </w:divBdr>
    </w:div>
    <w:div w:id="1954290739">
      <w:bodyDiv w:val="1"/>
      <w:marLeft w:val="0"/>
      <w:marRight w:val="0"/>
      <w:marTop w:val="0"/>
      <w:marBottom w:val="0"/>
      <w:divBdr>
        <w:top w:val="none" w:sz="0" w:space="0" w:color="auto"/>
        <w:left w:val="none" w:sz="0" w:space="0" w:color="auto"/>
        <w:bottom w:val="none" w:sz="0" w:space="0" w:color="auto"/>
        <w:right w:val="none" w:sz="0" w:space="0" w:color="auto"/>
      </w:divBdr>
    </w:div>
    <w:div w:id="2068606288">
      <w:bodyDiv w:val="1"/>
      <w:marLeft w:val="0"/>
      <w:marRight w:val="0"/>
      <w:marTop w:val="0"/>
      <w:marBottom w:val="0"/>
      <w:divBdr>
        <w:top w:val="none" w:sz="0" w:space="0" w:color="auto"/>
        <w:left w:val="none" w:sz="0" w:space="0" w:color="auto"/>
        <w:bottom w:val="none" w:sz="0" w:space="0" w:color="auto"/>
        <w:right w:val="none" w:sz="0" w:space="0" w:color="auto"/>
      </w:divBdr>
      <w:divsChild>
        <w:div w:id="1218781873">
          <w:marLeft w:val="0"/>
          <w:marRight w:val="0"/>
          <w:marTop w:val="0"/>
          <w:marBottom w:val="0"/>
          <w:divBdr>
            <w:top w:val="none" w:sz="0" w:space="0" w:color="auto"/>
            <w:left w:val="none" w:sz="0" w:space="0" w:color="auto"/>
            <w:bottom w:val="none" w:sz="0" w:space="0" w:color="auto"/>
            <w:right w:val="none" w:sz="0" w:space="0" w:color="auto"/>
          </w:divBdr>
        </w:div>
      </w:divsChild>
    </w:div>
    <w:div w:id="2133286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3" ma:contentTypeDescription="Create a new document." ma:contentTypeScope="" ma:versionID="bb7b1e736c07f055bc53312c821c8b9d">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60ec559c7ae16e6d765900e2ae509ab6"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129b9fd-52ee-4735-801a-8d39556133ce" xsi:nil="true"/>
  </documentManagement>
</p:properties>
</file>

<file path=customXml/itemProps1.xml><?xml version="1.0" encoding="utf-8"?>
<ds:datastoreItem xmlns:ds="http://schemas.openxmlformats.org/officeDocument/2006/customXml" ds:itemID="{7AFDF6C6-E41C-4262-A8A8-B8A9F0F874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68A51C-F6E9-4600-9AA4-A55F3A0B6523}">
  <ds:schemaRefs>
    <ds:schemaRef ds:uri="http://schemas.microsoft.com/sharepoint/v3/contenttype/forms"/>
  </ds:schemaRefs>
</ds:datastoreItem>
</file>

<file path=customXml/itemProps3.xml><?xml version="1.0" encoding="utf-8"?>
<ds:datastoreItem xmlns:ds="http://schemas.openxmlformats.org/officeDocument/2006/customXml" ds:itemID="{F9F5F82E-B237-4AA6-8ED9-8E91AEC4A26A}">
  <ds:schemaRefs>
    <ds:schemaRef ds:uri="http://schemas.microsoft.com/office/2006/metadata/properties"/>
    <ds:schemaRef ds:uri="http://schemas.microsoft.com/office/infopath/2007/PartnerControls"/>
    <ds:schemaRef ds:uri="0129b9fd-52ee-4735-801a-8d39556133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4558</Words>
  <Characters>28825</Characters>
  <Application>Microsoft Office Word</Application>
  <DocSecurity>0</DocSecurity>
  <Lines>437</Lines>
  <Paragraphs>81</Paragraphs>
  <ScaleCrop>false</ScaleCrop>
  <HeadingPairs>
    <vt:vector size="2" baseType="variant">
      <vt:variant>
        <vt:lpstr>Title</vt:lpstr>
      </vt:variant>
      <vt:variant>
        <vt:i4>1</vt:i4>
      </vt:variant>
    </vt:vector>
  </HeadingPairs>
  <TitlesOfParts>
    <vt:vector size="1" baseType="lpstr">
      <vt:lpstr>Critically evaluate and compare the provision of services for the older people with dementia in Wales, the United Kingdom and Worldwide</vt:lpstr>
    </vt:vector>
  </TitlesOfParts>
  <Company/>
  <LinksUpToDate>false</LinksUpToDate>
  <CharactersWithSpaces>33307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and compare the provision of services for the older people with dementia in Wales, the United Kingdom and Worldwide</dc:title>
  <dc:subject>2105842 Chloe Rees</dc:subject>
  <dc:creator>Chloe Rees (2105842)</dc:creator>
  <cp:keywords/>
  <dc:description/>
  <cp:lastModifiedBy>Chloe Rees (2105842)</cp:lastModifiedBy>
  <cp:revision>2</cp:revision>
  <dcterms:created xsi:type="dcterms:W3CDTF">2024-03-04T14:16:00Z</dcterms:created>
  <dcterms:modified xsi:type="dcterms:W3CDTF">2024-03-04T14:16:00Z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43b3492d-5bed-4db7-a101-8bfaf4a6bdcf</vt:lpwstr>
  </property>
  <property fmtid="{D5CDD505-2E9C-101B-9397-08002B2CF9AE}" pid="3" name="ContentTypeId">
    <vt:lpwstr>0x010100B834F8B426A30F4D89225E7C19967DB8</vt:lpwstr>
  </property>
</Properties>
</file>