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C5BBD9" w14:textId="77777777" w:rsidR="00295591" w:rsidRDefault="00295591" w:rsidP="00105CA8">
      <w:pPr>
        <w:spacing w:line="360" w:lineRule="auto"/>
        <w:rPr>
          <w:rFonts w:ascii="Arial" w:hAnsi="Arial" w:cs="Arial"/>
          <w:b/>
        </w:rPr>
      </w:pPr>
    </w:p>
    <w:p w14:paraId="39C4347F" w14:textId="77777777" w:rsidR="00295591" w:rsidRDefault="00295591" w:rsidP="00105CA8">
      <w:pPr>
        <w:spacing w:line="360" w:lineRule="auto"/>
        <w:rPr>
          <w:rFonts w:ascii="Arial" w:hAnsi="Arial" w:cs="Arial"/>
          <w:b/>
        </w:rPr>
      </w:pPr>
    </w:p>
    <w:p w14:paraId="371EBC9C" w14:textId="77777777" w:rsidR="00E252E4" w:rsidRPr="00E252E4" w:rsidRDefault="00E252E4" w:rsidP="00E252E4">
      <w:pPr>
        <w:spacing w:line="360" w:lineRule="auto"/>
        <w:jc w:val="center"/>
        <w:rPr>
          <w:rFonts w:ascii="Arial" w:hAnsi="Arial" w:cs="Arial"/>
          <w:b/>
          <w:bCs/>
        </w:rPr>
      </w:pPr>
      <w:r w:rsidRPr="00E252E4">
        <w:rPr>
          <w:rFonts w:ascii="Arial" w:hAnsi="Arial" w:cs="Arial"/>
          <w:b/>
          <w:bCs/>
        </w:rPr>
        <w:t>UNIVERSITY OF WALES TRINITY SAINT DAVID</w:t>
      </w:r>
    </w:p>
    <w:p w14:paraId="313689A9" w14:textId="77777777" w:rsidR="00E252E4" w:rsidRPr="00E252E4" w:rsidRDefault="00E252E4" w:rsidP="00E252E4">
      <w:pPr>
        <w:spacing w:line="360" w:lineRule="auto"/>
        <w:jc w:val="center"/>
        <w:rPr>
          <w:rFonts w:ascii="Arial" w:hAnsi="Arial" w:cs="Arial"/>
          <w:bCs/>
        </w:rPr>
      </w:pPr>
      <w:r w:rsidRPr="00E252E4">
        <w:rPr>
          <w:rFonts w:ascii="Arial" w:hAnsi="Arial" w:cs="Arial"/>
          <w:bCs/>
        </w:rPr>
        <w:t>BA Leadership and Management</w:t>
      </w:r>
    </w:p>
    <w:p w14:paraId="144BDBD5" w14:textId="77777777" w:rsidR="00E252E4" w:rsidRPr="00E252E4" w:rsidRDefault="00E252E4" w:rsidP="00E252E4">
      <w:pPr>
        <w:spacing w:line="360" w:lineRule="auto"/>
        <w:jc w:val="center"/>
        <w:rPr>
          <w:rFonts w:ascii="Arial" w:hAnsi="Arial" w:cs="Arial"/>
          <w:bCs/>
        </w:rPr>
      </w:pPr>
      <w:r w:rsidRPr="00E252E4">
        <w:rPr>
          <w:rFonts w:ascii="Arial" w:hAnsi="Arial" w:cs="Arial"/>
          <w:bCs/>
        </w:rPr>
        <w:t>LCLM 6002: Design Thinking and Innovation</w:t>
      </w:r>
    </w:p>
    <w:p w14:paraId="3D3D4023" w14:textId="77777777" w:rsidR="00E252E4" w:rsidRPr="00E252E4" w:rsidRDefault="00E252E4" w:rsidP="00E252E4">
      <w:pPr>
        <w:spacing w:line="360" w:lineRule="auto"/>
        <w:jc w:val="center"/>
        <w:rPr>
          <w:rFonts w:ascii="Arial" w:hAnsi="Arial" w:cs="Arial"/>
          <w:b/>
          <w:bCs/>
        </w:rPr>
      </w:pPr>
      <w:r w:rsidRPr="00E252E4">
        <w:rPr>
          <w:rFonts w:ascii="Arial" w:hAnsi="Arial" w:cs="Arial"/>
          <w:b/>
          <w:bCs/>
        </w:rPr>
        <w:t>DIGITAL TRANSFORMATION AT BARCLAYS BANK PLC</w:t>
      </w:r>
    </w:p>
    <w:p w14:paraId="71D25CAC" w14:textId="04A0D447" w:rsidR="00E252E4" w:rsidRPr="00E252E4" w:rsidRDefault="00E252E4" w:rsidP="00E252E4">
      <w:pPr>
        <w:spacing w:line="360" w:lineRule="auto"/>
        <w:jc w:val="center"/>
        <w:rPr>
          <w:rFonts w:ascii="Arial" w:hAnsi="Arial" w:cs="Arial"/>
        </w:rPr>
      </w:pPr>
      <w:r w:rsidRPr="00E252E4">
        <w:rPr>
          <w:rFonts w:ascii="Arial" w:hAnsi="Arial" w:cs="Arial"/>
          <w:b/>
          <w:bCs/>
        </w:rPr>
        <w:t>Student Name:</w:t>
      </w:r>
      <w:r w:rsidR="001D34F3">
        <w:rPr>
          <w:rFonts w:ascii="Arial" w:hAnsi="Arial" w:cs="Arial"/>
          <w:b/>
          <w:bCs/>
        </w:rPr>
        <w:t xml:space="preserve"> Henna Nazir</w:t>
      </w:r>
    </w:p>
    <w:p w14:paraId="2E3A2A25" w14:textId="6FB54A1F" w:rsidR="00E252E4" w:rsidRPr="00E252E4" w:rsidRDefault="00E252E4" w:rsidP="00E252E4">
      <w:pPr>
        <w:spacing w:line="360" w:lineRule="auto"/>
        <w:jc w:val="center"/>
        <w:rPr>
          <w:rFonts w:ascii="Arial" w:hAnsi="Arial" w:cs="Arial"/>
        </w:rPr>
      </w:pPr>
      <w:r w:rsidRPr="00E252E4">
        <w:rPr>
          <w:rFonts w:ascii="Arial" w:hAnsi="Arial" w:cs="Arial"/>
          <w:b/>
          <w:bCs/>
        </w:rPr>
        <w:t>Student ID:</w:t>
      </w:r>
      <w:r w:rsidR="001D34F3">
        <w:rPr>
          <w:rFonts w:ascii="Arial" w:hAnsi="Arial" w:cs="Arial"/>
          <w:b/>
          <w:bCs/>
        </w:rPr>
        <w:t xml:space="preserve"> 2325973</w:t>
      </w:r>
    </w:p>
    <w:p w14:paraId="086FAA6E" w14:textId="77777777" w:rsidR="00E252E4" w:rsidRPr="00E252E4" w:rsidRDefault="00E252E4" w:rsidP="00E252E4">
      <w:pPr>
        <w:spacing w:line="360" w:lineRule="auto"/>
        <w:jc w:val="center"/>
        <w:rPr>
          <w:rFonts w:ascii="Arial" w:hAnsi="Arial" w:cs="Arial"/>
        </w:rPr>
      </w:pPr>
      <w:r w:rsidRPr="00E252E4">
        <w:rPr>
          <w:rFonts w:ascii="Arial" w:hAnsi="Arial" w:cs="Arial"/>
          <w:b/>
          <w:bCs/>
        </w:rPr>
        <w:t>Module Code:</w:t>
      </w:r>
      <w:r w:rsidRPr="00E252E4">
        <w:rPr>
          <w:rFonts w:ascii="Arial" w:hAnsi="Arial" w:cs="Arial"/>
        </w:rPr>
        <w:t xml:space="preserve"> LCLM 6002</w:t>
      </w:r>
    </w:p>
    <w:p w14:paraId="3EEA0166" w14:textId="77777777" w:rsidR="00E252E4" w:rsidRPr="00E252E4" w:rsidRDefault="00E252E4" w:rsidP="00E252E4">
      <w:pPr>
        <w:spacing w:line="360" w:lineRule="auto"/>
        <w:jc w:val="center"/>
        <w:rPr>
          <w:rFonts w:ascii="Arial" w:hAnsi="Arial" w:cs="Arial"/>
        </w:rPr>
      </w:pPr>
      <w:r w:rsidRPr="00E252E4">
        <w:rPr>
          <w:rFonts w:ascii="Arial" w:hAnsi="Arial" w:cs="Arial"/>
          <w:b/>
          <w:bCs/>
        </w:rPr>
        <w:t>Module Title:</w:t>
      </w:r>
      <w:r w:rsidRPr="00E252E4">
        <w:rPr>
          <w:rFonts w:ascii="Arial" w:hAnsi="Arial" w:cs="Arial"/>
        </w:rPr>
        <w:t xml:space="preserve"> Design Thinking and Innovation</w:t>
      </w:r>
    </w:p>
    <w:p w14:paraId="32446BD0" w14:textId="77777777" w:rsidR="00E252E4" w:rsidRPr="00E252E4" w:rsidRDefault="00E252E4" w:rsidP="00E252E4">
      <w:pPr>
        <w:spacing w:line="360" w:lineRule="auto"/>
        <w:jc w:val="center"/>
        <w:rPr>
          <w:rFonts w:ascii="Arial" w:hAnsi="Arial" w:cs="Arial"/>
        </w:rPr>
      </w:pPr>
      <w:r w:rsidRPr="00E252E4">
        <w:rPr>
          <w:rFonts w:ascii="Arial" w:hAnsi="Arial" w:cs="Arial"/>
          <w:b/>
          <w:bCs/>
        </w:rPr>
        <w:t>Assessment Title:</w:t>
      </w:r>
      <w:r w:rsidRPr="00E252E4">
        <w:rPr>
          <w:rFonts w:ascii="Arial" w:hAnsi="Arial" w:cs="Arial"/>
        </w:rPr>
        <w:t xml:space="preserve"> Innovation &amp; Customer Journey Portfolio</w:t>
      </w:r>
    </w:p>
    <w:p w14:paraId="05E8E887" w14:textId="17BE3F30" w:rsidR="00295591" w:rsidRPr="00E252E4" w:rsidRDefault="00295591" w:rsidP="00E252E4">
      <w:pPr>
        <w:spacing w:line="360" w:lineRule="auto"/>
        <w:jc w:val="center"/>
        <w:rPr>
          <w:rFonts w:ascii="Arial" w:hAnsi="Arial" w:cs="Arial"/>
        </w:rPr>
      </w:pPr>
    </w:p>
    <w:p w14:paraId="532D2DFA" w14:textId="77777777" w:rsidR="00E252E4" w:rsidRDefault="00E252E4" w:rsidP="00105CA8">
      <w:pPr>
        <w:spacing w:line="360" w:lineRule="auto"/>
        <w:rPr>
          <w:rFonts w:ascii="Arial" w:hAnsi="Arial" w:cs="Arial"/>
          <w:b/>
        </w:rPr>
      </w:pPr>
    </w:p>
    <w:p w14:paraId="0749ACBC" w14:textId="77777777" w:rsidR="00E252E4" w:rsidRDefault="00E252E4" w:rsidP="00105CA8">
      <w:pPr>
        <w:spacing w:line="360" w:lineRule="auto"/>
        <w:rPr>
          <w:rFonts w:ascii="Arial" w:hAnsi="Arial" w:cs="Arial"/>
          <w:b/>
        </w:rPr>
      </w:pPr>
    </w:p>
    <w:p w14:paraId="307464C4" w14:textId="77777777" w:rsidR="00E252E4" w:rsidRDefault="00E252E4" w:rsidP="00105CA8">
      <w:pPr>
        <w:spacing w:line="360" w:lineRule="auto"/>
        <w:rPr>
          <w:rFonts w:ascii="Arial" w:hAnsi="Arial" w:cs="Arial"/>
          <w:b/>
        </w:rPr>
      </w:pPr>
    </w:p>
    <w:p w14:paraId="7C4A7D14" w14:textId="77777777" w:rsidR="00E252E4" w:rsidRDefault="00E252E4" w:rsidP="00105CA8">
      <w:pPr>
        <w:spacing w:line="360" w:lineRule="auto"/>
        <w:rPr>
          <w:rFonts w:ascii="Arial" w:hAnsi="Arial" w:cs="Arial"/>
          <w:b/>
        </w:rPr>
      </w:pPr>
    </w:p>
    <w:p w14:paraId="50AD6C37" w14:textId="77777777" w:rsidR="00E252E4" w:rsidRDefault="00E252E4" w:rsidP="00105CA8">
      <w:pPr>
        <w:spacing w:line="360" w:lineRule="auto"/>
        <w:rPr>
          <w:rFonts w:ascii="Arial" w:hAnsi="Arial" w:cs="Arial"/>
          <w:b/>
        </w:rPr>
      </w:pPr>
    </w:p>
    <w:p w14:paraId="281D4EE0" w14:textId="77777777" w:rsidR="00E252E4" w:rsidRDefault="00E252E4" w:rsidP="00105CA8">
      <w:pPr>
        <w:spacing w:line="360" w:lineRule="auto"/>
        <w:rPr>
          <w:rFonts w:ascii="Arial" w:hAnsi="Arial" w:cs="Arial"/>
          <w:b/>
        </w:rPr>
      </w:pPr>
    </w:p>
    <w:p w14:paraId="0767B980" w14:textId="77777777" w:rsidR="00E252E4" w:rsidRDefault="00E252E4" w:rsidP="00105CA8">
      <w:pPr>
        <w:spacing w:line="360" w:lineRule="auto"/>
        <w:rPr>
          <w:rFonts w:ascii="Arial" w:hAnsi="Arial" w:cs="Arial"/>
          <w:b/>
        </w:rPr>
      </w:pPr>
    </w:p>
    <w:p w14:paraId="314419F9" w14:textId="77777777" w:rsidR="00E252E4" w:rsidRDefault="00E252E4" w:rsidP="00105CA8">
      <w:pPr>
        <w:spacing w:line="360" w:lineRule="auto"/>
        <w:rPr>
          <w:rFonts w:ascii="Arial" w:hAnsi="Arial" w:cs="Arial"/>
          <w:b/>
        </w:rPr>
      </w:pPr>
    </w:p>
    <w:p w14:paraId="1CA54152" w14:textId="77777777" w:rsidR="00E252E4" w:rsidRDefault="00E252E4" w:rsidP="00105CA8">
      <w:pPr>
        <w:spacing w:line="360" w:lineRule="auto"/>
        <w:rPr>
          <w:rFonts w:ascii="Arial" w:hAnsi="Arial" w:cs="Arial"/>
          <w:b/>
        </w:rPr>
      </w:pPr>
    </w:p>
    <w:p w14:paraId="0AC7B4CB" w14:textId="77777777" w:rsidR="00E252E4" w:rsidRDefault="00E252E4" w:rsidP="00105CA8">
      <w:pPr>
        <w:spacing w:line="360" w:lineRule="auto"/>
        <w:rPr>
          <w:rFonts w:ascii="Arial" w:hAnsi="Arial" w:cs="Arial"/>
          <w:b/>
        </w:rPr>
      </w:pPr>
    </w:p>
    <w:p w14:paraId="2A6F8698" w14:textId="77777777" w:rsidR="00E252E4" w:rsidRDefault="00E252E4" w:rsidP="00105CA8">
      <w:pPr>
        <w:spacing w:line="360" w:lineRule="auto"/>
        <w:rPr>
          <w:rFonts w:ascii="Arial" w:hAnsi="Arial" w:cs="Arial"/>
          <w:b/>
        </w:rPr>
      </w:pPr>
    </w:p>
    <w:p w14:paraId="138B4D90" w14:textId="77777777" w:rsidR="00E252E4" w:rsidRDefault="00E252E4" w:rsidP="00105CA8">
      <w:pPr>
        <w:spacing w:line="360" w:lineRule="auto"/>
        <w:rPr>
          <w:rFonts w:ascii="Arial" w:hAnsi="Arial" w:cs="Arial"/>
          <w:b/>
        </w:rPr>
      </w:pPr>
    </w:p>
    <w:p w14:paraId="622B46B5" w14:textId="77777777" w:rsidR="00D76A04" w:rsidRPr="000716DF" w:rsidRDefault="00105CA8" w:rsidP="00105CA8">
      <w:pPr>
        <w:spacing w:line="360" w:lineRule="auto"/>
        <w:rPr>
          <w:rFonts w:ascii="Arial" w:hAnsi="Arial" w:cs="Arial"/>
          <w:b/>
        </w:rPr>
      </w:pPr>
      <w:r w:rsidRPr="000716DF">
        <w:rPr>
          <w:rFonts w:ascii="Arial" w:hAnsi="Arial" w:cs="Arial"/>
          <w:b/>
        </w:rPr>
        <w:lastRenderedPageBreak/>
        <w:t>INTRODUCTION TO BARCLAYS BANK PLC</w:t>
      </w:r>
    </w:p>
    <w:p w14:paraId="31446CD7" w14:textId="77777777" w:rsidR="00105CA8" w:rsidRPr="00105CA8" w:rsidRDefault="00105CA8" w:rsidP="00105CA8">
      <w:pPr>
        <w:spacing w:line="360" w:lineRule="auto"/>
        <w:ind w:firstLine="720"/>
        <w:rPr>
          <w:rFonts w:ascii="Arial" w:hAnsi="Arial" w:cs="Arial"/>
        </w:rPr>
      </w:pPr>
      <w:r w:rsidRPr="00105CA8">
        <w:rPr>
          <w:rFonts w:ascii="Arial" w:hAnsi="Arial" w:cs="Arial"/>
        </w:rPr>
        <w:t xml:space="preserve">Barclays Bank PLC, which was established in 1690, is among the oldest financial institutions in the United Kingdom with a client base of more than 48 million customers in the personal banking, corporate banking, investment banking, and wealth management units (Barclays PLC, 2024). Barclays is a large British multinational universal bank that has its headquarters in London and operates in over 40 countries across the globe with a workforce of around 83,500 people (Barclays Annual Report, 2023). The bank has come out strong despite the economic </w:t>
      </w:r>
      <w:proofErr w:type="gramStart"/>
      <w:r w:rsidRPr="00105CA8">
        <w:rPr>
          <w:rFonts w:ascii="Arial" w:hAnsi="Arial" w:cs="Arial"/>
        </w:rPr>
        <w:t>cycles</w:t>
      </w:r>
      <w:proofErr w:type="gramEnd"/>
      <w:r w:rsidRPr="00105CA8">
        <w:rPr>
          <w:rFonts w:ascii="Arial" w:hAnsi="Arial" w:cs="Arial"/>
        </w:rPr>
        <w:t xml:space="preserve"> and it has remained a systemically important financial institution in the UK banking industry.</w:t>
      </w:r>
    </w:p>
    <w:p w14:paraId="29103AD7" w14:textId="77777777" w:rsidR="00105CA8" w:rsidRPr="00105CA8" w:rsidRDefault="00105CA8" w:rsidP="00105CA8">
      <w:pPr>
        <w:spacing w:line="360" w:lineRule="auto"/>
        <w:ind w:firstLine="720"/>
        <w:rPr>
          <w:rFonts w:ascii="Arial" w:hAnsi="Arial" w:cs="Arial"/>
        </w:rPr>
      </w:pPr>
      <w:r w:rsidRPr="00105CA8">
        <w:rPr>
          <w:rFonts w:ascii="Arial" w:hAnsi="Arial" w:cs="Arial"/>
        </w:rPr>
        <w:t>In the modern digital age, Barclays is not only challenged by digital-native players, shifting customer demands, and accelerating technological changes but also like never before (</w:t>
      </w:r>
      <w:proofErr w:type="spellStart"/>
      <w:r w:rsidRPr="00105CA8">
        <w:rPr>
          <w:rFonts w:ascii="Arial" w:hAnsi="Arial" w:cs="Arial"/>
        </w:rPr>
        <w:t>Mbama</w:t>
      </w:r>
      <w:proofErr w:type="spellEnd"/>
      <w:r w:rsidRPr="00105CA8">
        <w:rPr>
          <w:rFonts w:ascii="Arial" w:hAnsi="Arial" w:cs="Arial"/>
        </w:rPr>
        <w:t xml:space="preserve"> and </w:t>
      </w:r>
      <w:proofErr w:type="spellStart"/>
      <w:r w:rsidRPr="00105CA8">
        <w:rPr>
          <w:rFonts w:ascii="Arial" w:hAnsi="Arial" w:cs="Arial"/>
        </w:rPr>
        <w:t>Ezepue</w:t>
      </w:r>
      <w:proofErr w:type="spellEnd"/>
      <w:r w:rsidRPr="00105CA8">
        <w:rPr>
          <w:rFonts w:ascii="Arial" w:hAnsi="Arial" w:cs="Arial"/>
        </w:rPr>
        <w:t>, 2018). The emergence of challenger banks, including Monzo, Revolut, and Starling Bank, has radically changed the traditional banking paradigm and compelled the existing ones to increase the pace of their digital transformation efforts (Mention, 2020). Moreover, the COVID-19 pandemic accelerated an irreversible transition to digital banking channels, and Barclays announced that 74 percent of customer communication currently happens via digital channels (Barclays PLC, 2024).</w:t>
      </w:r>
    </w:p>
    <w:p w14:paraId="6EAE0F90" w14:textId="77777777" w:rsidR="00105CA8" w:rsidRPr="00E252E4" w:rsidRDefault="00105CA8" w:rsidP="00E252E4">
      <w:pPr>
        <w:spacing w:line="360" w:lineRule="auto"/>
        <w:rPr>
          <w:rFonts w:ascii="Arial" w:hAnsi="Arial" w:cs="Arial"/>
        </w:rPr>
      </w:pPr>
      <w:r w:rsidRPr="000716DF">
        <w:rPr>
          <w:rFonts w:ascii="Arial" w:hAnsi="Arial" w:cs="Arial"/>
          <w:b/>
        </w:rPr>
        <w:t>KEY CONSUMER AND INDUSTRY TRENDS AFFECTING BARCLAYS</w:t>
      </w:r>
    </w:p>
    <w:p w14:paraId="2697EFC4" w14:textId="77777777" w:rsidR="00105CA8" w:rsidRDefault="00105CA8" w:rsidP="00E252E4">
      <w:pPr>
        <w:spacing w:line="360" w:lineRule="auto"/>
        <w:ind w:firstLine="720"/>
        <w:rPr>
          <w:rFonts w:ascii="Arial" w:hAnsi="Arial" w:cs="Arial"/>
        </w:rPr>
      </w:pPr>
      <w:r w:rsidRPr="00105CA8">
        <w:rPr>
          <w:rFonts w:ascii="Arial" w:hAnsi="Arial" w:cs="Arial"/>
        </w:rPr>
        <w:t xml:space="preserve">The banking sector in the UK is working in a dynamic environment, which is being marked by the rapidly changing </w:t>
      </w:r>
      <w:proofErr w:type="spellStart"/>
      <w:r w:rsidRPr="00105CA8">
        <w:rPr>
          <w:rFonts w:ascii="Arial" w:hAnsi="Arial" w:cs="Arial"/>
        </w:rPr>
        <w:t>digitalisation</w:t>
      </w:r>
      <w:proofErr w:type="spellEnd"/>
      <w:r w:rsidRPr="00105CA8">
        <w:rPr>
          <w:rFonts w:ascii="Arial" w:hAnsi="Arial" w:cs="Arial"/>
        </w:rPr>
        <w:t xml:space="preserve">, regulatory changes and changing consumer </w:t>
      </w:r>
      <w:r w:rsidR="0043038A" w:rsidRPr="00105CA8">
        <w:rPr>
          <w:rFonts w:ascii="Arial" w:hAnsi="Arial" w:cs="Arial"/>
        </w:rPr>
        <w:t>behaviors</w:t>
      </w:r>
      <w:r w:rsidRPr="00105CA8">
        <w:rPr>
          <w:rFonts w:ascii="Arial" w:hAnsi="Arial" w:cs="Arial"/>
        </w:rPr>
        <w:t>. These macro-environmental forces are quite important in understanding the context in which Barclays strategic positioning and innovation imperatives are placed.</w:t>
      </w:r>
    </w:p>
    <w:p w14:paraId="2DD5ED9F" w14:textId="77777777" w:rsidR="00105CA8" w:rsidRPr="00105CA8" w:rsidRDefault="00105CA8" w:rsidP="00105CA8">
      <w:pPr>
        <w:spacing w:line="360" w:lineRule="auto"/>
        <w:rPr>
          <w:rFonts w:ascii="Arial" w:hAnsi="Arial" w:cs="Arial"/>
          <w:b/>
          <w:bCs/>
        </w:rPr>
      </w:pPr>
      <w:r w:rsidRPr="00105CA8">
        <w:rPr>
          <w:rFonts w:ascii="Arial" w:hAnsi="Arial" w:cs="Arial"/>
          <w:b/>
          <w:bCs/>
        </w:rPr>
        <w:t>Key UK Banking Industry Trends (2020-2026)</w:t>
      </w:r>
    </w:p>
    <w:tbl>
      <w:tblPr>
        <w:tblStyle w:val="TableGrid"/>
        <w:tblW w:w="0" w:type="auto"/>
        <w:tblLook w:val="04A0" w:firstRow="1" w:lastRow="0" w:firstColumn="1" w:lastColumn="0" w:noHBand="0" w:noVBand="1"/>
      </w:tblPr>
      <w:tblGrid>
        <w:gridCol w:w="2187"/>
        <w:gridCol w:w="2862"/>
        <w:gridCol w:w="2430"/>
        <w:gridCol w:w="1871"/>
      </w:tblGrid>
      <w:tr w:rsidR="00105CA8" w:rsidRPr="00105CA8" w14:paraId="291B8B79" w14:textId="77777777" w:rsidTr="00105CA8">
        <w:tc>
          <w:tcPr>
            <w:tcW w:w="0" w:type="auto"/>
            <w:hideMark/>
          </w:tcPr>
          <w:p w14:paraId="0309C82E" w14:textId="77777777" w:rsidR="00105CA8" w:rsidRPr="00105CA8" w:rsidRDefault="00105CA8" w:rsidP="00105CA8">
            <w:pPr>
              <w:spacing w:after="160" w:line="360" w:lineRule="auto"/>
              <w:rPr>
                <w:rFonts w:ascii="Arial" w:hAnsi="Arial" w:cs="Arial"/>
                <w:b/>
                <w:bCs/>
              </w:rPr>
            </w:pPr>
            <w:r w:rsidRPr="00105CA8">
              <w:rPr>
                <w:rFonts w:ascii="Arial" w:hAnsi="Arial" w:cs="Arial"/>
                <w:b/>
                <w:bCs/>
              </w:rPr>
              <w:t>Trend Category</w:t>
            </w:r>
          </w:p>
        </w:tc>
        <w:tc>
          <w:tcPr>
            <w:tcW w:w="0" w:type="auto"/>
            <w:hideMark/>
          </w:tcPr>
          <w:p w14:paraId="295130E7" w14:textId="77777777" w:rsidR="00105CA8" w:rsidRPr="00105CA8" w:rsidRDefault="00105CA8" w:rsidP="00105CA8">
            <w:pPr>
              <w:spacing w:after="160" w:line="360" w:lineRule="auto"/>
              <w:rPr>
                <w:rFonts w:ascii="Arial" w:hAnsi="Arial" w:cs="Arial"/>
                <w:b/>
                <w:bCs/>
              </w:rPr>
            </w:pPr>
            <w:r w:rsidRPr="00105CA8">
              <w:rPr>
                <w:rFonts w:ascii="Arial" w:hAnsi="Arial" w:cs="Arial"/>
                <w:b/>
                <w:bCs/>
              </w:rPr>
              <w:t>Key Metrics</w:t>
            </w:r>
          </w:p>
        </w:tc>
        <w:tc>
          <w:tcPr>
            <w:tcW w:w="0" w:type="auto"/>
            <w:hideMark/>
          </w:tcPr>
          <w:p w14:paraId="2ACDDD7F" w14:textId="77777777" w:rsidR="00105CA8" w:rsidRPr="00105CA8" w:rsidRDefault="00105CA8" w:rsidP="00105CA8">
            <w:pPr>
              <w:spacing w:after="160" w:line="360" w:lineRule="auto"/>
              <w:rPr>
                <w:rFonts w:ascii="Arial" w:hAnsi="Arial" w:cs="Arial"/>
                <w:b/>
                <w:bCs/>
              </w:rPr>
            </w:pPr>
            <w:r w:rsidRPr="00105CA8">
              <w:rPr>
                <w:rFonts w:ascii="Arial" w:hAnsi="Arial" w:cs="Arial"/>
                <w:b/>
                <w:bCs/>
              </w:rPr>
              <w:t>Impact on Barclays</w:t>
            </w:r>
          </w:p>
        </w:tc>
        <w:tc>
          <w:tcPr>
            <w:tcW w:w="0" w:type="auto"/>
            <w:hideMark/>
          </w:tcPr>
          <w:p w14:paraId="36B717DF" w14:textId="77777777" w:rsidR="00105CA8" w:rsidRPr="00105CA8" w:rsidRDefault="00105CA8" w:rsidP="00105CA8">
            <w:pPr>
              <w:spacing w:after="160" w:line="360" w:lineRule="auto"/>
              <w:rPr>
                <w:rFonts w:ascii="Arial" w:hAnsi="Arial" w:cs="Arial"/>
                <w:b/>
                <w:bCs/>
              </w:rPr>
            </w:pPr>
            <w:r w:rsidRPr="00105CA8">
              <w:rPr>
                <w:rFonts w:ascii="Arial" w:hAnsi="Arial" w:cs="Arial"/>
                <w:b/>
                <w:bCs/>
              </w:rPr>
              <w:t>Source</w:t>
            </w:r>
          </w:p>
        </w:tc>
      </w:tr>
      <w:tr w:rsidR="00105CA8" w:rsidRPr="00105CA8" w14:paraId="48D7F346" w14:textId="77777777" w:rsidTr="00105CA8">
        <w:tc>
          <w:tcPr>
            <w:tcW w:w="0" w:type="auto"/>
            <w:hideMark/>
          </w:tcPr>
          <w:p w14:paraId="20C2630C" w14:textId="77777777" w:rsidR="00105CA8" w:rsidRPr="00105CA8" w:rsidRDefault="00105CA8" w:rsidP="00105CA8">
            <w:pPr>
              <w:spacing w:after="160" w:line="360" w:lineRule="auto"/>
              <w:rPr>
                <w:rFonts w:ascii="Arial" w:hAnsi="Arial" w:cs="Arial"/>
              </w:rPr>
            </w:pPr>
            <w:r w:rsidRPr="00105CA8">
              <w:rPr>
                <w:rFonts w:ascii="Arial" w:hAnsi="Arial" w:cs="Arial"/>
                <w:b/>
                <w:bCs/>
              </w:rPr>
              <w:t>Digital Banking Adoption</w:t>
            </w:r>
          </w:p>
        </w:tc>
        <w:tc>
          <w:tcPr>
            <w:tcW w:w="0" w:type="auto"/>
            <w:hideMark/>
          </w:tcPr>
          <w:p w14:paraId="5C5E7EC7" w14:textId="77777777" w:rsidR="00105CA8" w:rsidRPr="00105CA8" w:rsidRDefault="00105CA8" w:rsidP="00105CA8">
            <w:pPr>
              <w:spacing w:after="160" w:line="360" w:lineRule="auto"/>
              <w:rPr>
                <w:rFonts w:ascii="Arial" w:hAnsi="Arial" w:cs="Arial"/>
              </w:rPr>
            </w:pPr>
            <w:r w:rsidRPr="00105CA8">
              <w:rPr>
                <w:rFonts w:ascii="Arial" w:hAnsi="Arial" w:cs="Arial"/>
              </w:rPr>
              <w:t>29.4 billion mobile payments in 2022 (+16% YoY)</w:t>
            </w:r>
          </w:p>
        </w:tc>
        <w:tc>
          <w:tcPr>
            <w:tcW w:w="0" w:type="auto"/>
            <w:hideMark/>
          </w:tcPr>
          <w:p w14:paraId="303273B5" w14:textId="77777777" w:rsidR="00105CA8" w:rsidRPr="00105CA8" w:rsidRDefault="00105CA8" w:rsidP="00105CA8">
            <w:pPr>
              <w:spacing w:after="160" w:line="360" w:lineRule="auto"/>
              <w:rPr>
                <w:rFonts w:ascii="Arial" w:hAnsi="Arial" w:cs="Arial"/>
              </w:rPr>
            </w:pPr>
            <w:r w:rsidRPr="00105CA8">
              <w:rPr>
                <w:rFonts w:ascii="Arial" w:hAnsi="Arial" w:cs="Arial"/>
              </w:rPr>
              <w:t>Must prioritize mobile-first experiences</w:t>
            </w:r>
          </w:p>
        </w:tc>
        <w:tc>
          <w:tcPr>
            <w:tcW w:w="0" w:type="auto"/>
            <w:hideMark/>
          </w:tcPr>
          <w:p w14:paraId="1A8DB14F" w14:textId="77777777" w:rsidR="00105CA8" w:rsidRPr="00105CA8" w:rsidRDefault="00105CA8" w:rsidP="00105CA8">
            <w:pPr>
              <w:spacing w:after="160" w:line="360" w:lineRule="auto"/>
              <w:rPr>
                <w:rFonts w:ascii="Arial" w:hAnsi="Arial" w:cs="Arial"/>
              </w:rPr>
            </w:pPr>
            <w:r w:rsidRPr="00105CA8">
              <w:rPr>
                <w:rFonts w:ascii="Arial" w:hAnsi="Arial" w:cs="Arial"/>
              </w:rPr>
              <w:t>UK Finance, 2023</w:t>
            </w:r>
          </w:p>
        </w:tc>
      </w:tr>
      <w:tr w:rsidR="00105CA8" w:rsidRPr="00105CA8" w14:paraId="0A953795" w14:textId="77777777" w:rsidTr="00105CA8">
        <w:tc>
          <w:tcPr>
            <w:tcW w:w="0" w:type="auto"/>
            <w:hideMark/>
          </w:tcPr>
          <w:p w14:paraId="1F9C9A86" w14:textId="77777777" w:rsidR="00105CA8" w:rsidRPr="00105CA8" w:rsidRDefault="00105CA8" w:rsidP="00105CA8">
            <w:pPr>
              <w:spacing w:after="160" w:line="360" w:lineRule="auto"/>
              <w:rPr>
                <w:rFonts w:ascii="Arial" w:hAnsi="Arial" w:cs="Arial"/>
              </w:rPr>
            </w:pPr>
            <w:r w:rsidRPr="00105CA8">
              <w:rPr>
                <w:rFonts w:ascii="Arial" w:hAnsi="Arial" w:cs="Arial"/>
                <w:b/>
                <w:bCs/>
              </w:rPr>
              <w:t>Mobile Banking Penetration</w:t>
            </w:r>
          </w:p>
        </w:tc>
        <w:tc>
          <w:tcPr>
            <w:tcW w:w="0" w:type="auto"/>
            <w:hideMark/>
          </w:tcPr>
          <w:p w14:paraId="55E0D534" w14:textId="77777777" w:rsidR="00105CA8" w:rsidRPr="00105CA8" w:rsidRDefault="00105CA8" w:rsidP="00105CA8">
            <w:pPr>
              <w:spacing w:after="160" w:line="360" w:lineRule="auto"/>
              <w:rPr>
                <w:rFonts w:ascii="Arial" w:hAnsi="Arial" w:cs="Arial"/>
              </w:rPr>
            </w:pPr>
            <w:r w:rsidRPr="00105CA8">
              <w:rPr>
                <w:rFonts w:ascii="Arial" w:hAnsi="Arial" w:cs="Arial"/>
              </w:rPr>
              <w:t xml:space="preserve">94% of </w:t>
            </w:r>
            <w:proofErr w:type="gramStart"/>
            <w:r w:rsidRPr="00105CA8">
              <w:rPr>
                <w:rFonts w:ascii="Arial" w:hAnsi="Arial" w:cs="Arial"/>
              </w:rPr>
              <w:t>25-34 year-olds</w:t>
            </w:r>
            <w:proofErr w:type="gramEnd"/>
            <w:r w:rsidRPr="00105CA8">
              <w:rPr>
                <w:rFonts w:ascii="Arial" w:hAnsi="Arial" w:cs="Arial"/>
              </w:rPr>
              <w:t xml:space="preserve"> use mobile banking</w:t>
            </w:r>
          </w:p>
        </w:tc>
        <w:tc>
          <w:tcPr>
            <w:tcW w:w="0" w:type="auto"/>
            <w:hideMark/>
          </w:tcPr>
          <w:p w14:paraId="2D601385" w14:textId="77777777" w:rsidR="00105CA8" w:rsidRPr="00105CA8" w:rsidRDefault="00105CA8" w:rsidP="00105CA8">
            <w:pPr>
              <w:spacing w:after="160" w:line="360" w:lineRule="auto"/>
              <w:rPr>
                <w:rFonts w:ascii="Arial" w:hAnsi="Arial" w:cs="Arial"/>
              </w:rPr>
            </w:pPr>
            <w:r w:rsidRPr="00105CA8">
              <w:rPr>
                <w:rFonts w:ascii="Arial" w:hAnsi="Arial" w:cs="Arial"/>
              </w:rPr>
              <w:t>Critical for younger customer retention</w:t>
            </w:r>
          </w:p>
        </w:tc>
        <w:tc>
          <w:tcPr>
            <w:tcW w:w="0" w:type="auto"/>
            <w:hideMark/>
          </w:tcPr>
          <w:p w14:paraId="59D990CF" w14:textId="77777777" w:rsidR="00105CA8" w:rsidRPr="00105CA8" w:rsidRDefault="00105CA8" w:rsidP="00105CA8">
            <w:pPr>
              <w:spacing w:after="160" w:line="360" w:lineRule="auto"/>
              <w:rPr>
                <w:rFonts w:ascii="Arial" w:hAnsi="Arial" w:cs="Arial"/>
              </w:rPr>
            </w:pPr>
            <w:r w:rsidRPr="00105CA8">
              <w:rPr>
                <w:rFonts w:ascii="Arial" w:hAnsi="Arial" w:cs="Arial"/>
              </w:rPr>
              <w:t>FCA, 2024</w:t>
            </w:r>
          </w:p>
        </w:tc>
      </w:tr>
      <w:tr w:rsidR="00105CA8" w:rsidRPr="00105CA8" w14:paraId="7859A498" w14:textId="77777777" w:rsidTr="00105CA8">
        <w:tc>
          <w:tcPr>
            <w:tcW w:w="0" w:type="auto"/>
            <w:hideMark/>
          </w:tcPr>
          <w:p w14:paraId="19821590" w14:textId="77777777" w:rsidR="00105CA8" w:rsidRPr="00105CA8" w:rsidRDefault="00105CA8" w:rsidP="00105CA8">
            <w:pPr>
              <w:spacing w:after="160" w:line="360" w:lineRule="auto"/>
              <w:rPr>
                <w:rFonts w:ascii="Arial" w:hAnsi="Arial" w:cs="Arial"/>
              </w:rPr>
            </w:pPr>
            <w:r w:rsidRPr="00105CA8">
              <w:rPr>
                <w:rFonts w:ascii="Arial" w:hAnsi="Arial" w:cs="Arial"/>
                <w:b/>
                <w:bCs/>
              </w:rPr>
              <w:lastRenderedPageBreak/>
              <w:t>Challenger Bank Growth</w:t>
            </w:r>
          </w:p>
        </w:tc>
        <w:tc>
          <w:tcPr>
            <w:tcW w:w="0" w:type="auto"/>
            <w:hideMark/>
          </w:tcPr>
          <w:p w14:paraId="2E820543" w14:textId="77777777" w:rsidR="00105CA8" w:rsidRPr="00105CA8" w:rsidRDefault="00105CA8" w:rsidP="00105CA8">
            <w:pPr>
              <w:spacing w:after="160" w:line="360" w:lineRule="auto"/>
              <w:rPr>
                <w:rFonts w:ascii="Arial" w:hAnsi="Arial" w:cs="Arial"/>
              </w:rPr>
            </w:pPr>
            <w:r w:rsidRPr="00105CA8">
              <w:rPr>
                <w:rFonts w:ascii="Arial" w:hAnsi="Arial" w:cs="Arial"/>
              </w:rPr>
              <w:t>17M+ customers across Revolut, Monzo, Starling</w:t>
            </w:r>
          </w:p>
        </w:tc>
        <w:tc>
          <w:tcPr>
            <w:tcW w:w="0" w:type="auto"/>
            <w:hideMark/>
          </w:tcPr>
          <w:p w14:paraId="4D10ADE9" w14:textId="77777777" w:rsidR="00105CA8" w:rsidRPr="00105CA8" w:rsidRDefault="00105CA8" w:rsidP="00105CA8">
            <w:pPr>
              <w:spacing w:after="160" w:line="360" w:lineRule="auto"/>
              <w:rPr>
                <w:rFonts w:ascii="Arial" w:hAnsi="Arial" w:cs="Arial"/>
              </w:rPr>
            </w:pPr>
            <w:r w:rsidRPr="00105CA8">
              <w:rPr>
                <w:rFonts w:ascii="Arial" w:hAnsi="Arial" w:cs="Arial"/>
              </w:rPr>
              <w:t>Competitive pressure on market share</w:t>
            </w:r>
          </w:p>
        </w:tc>
        <w:tc>
          <w:tcPr>
            <w:tcW w:w="0" w:type="auto"/>
            <w:hideMark/>
          </w:tcPr>
          <w:p w14:paraId="13ECA3EE" w14:textId="77777777" w:rsidR="00105CA8" w:rsidRPr="00105CA8" w:rsidRDefault="00105CA8" w:rsidP="00105CA8">
            <w:pPr>
              <w:spacing w:after="160" w:line="360" w:lineRule="auto"/>
              <w:rPr>
                <w:rFonts w:ascii="Arial" w:hAnsi="Arial" w:cs="Arial"/>
              </w:rPr>
            </w:pPr>
            <w:r w:rsidRPr="00105CA8">
              <w:rPr>
                <w:rFonts w:ascii="Arial" w:hAnsi="Arial" w:cs="Arial"/>
              </w:rPr>
              <w:t>UK Finance, 2024</w:t>
            </w:r>
          </w:p>
        </w:tc>
      </w:tr>
      <w:tr w:rsidR="00105CA8" w:rsidRPr="00105CA8" w14:paraId="5B9406D7" w14:textId="77777777" w:rsidTr="00105CA8">
        <w:tc>
          <w:tcPr>
            <w:tcW w:w="0" w:type="auto"/>
            <w:hideMark/>
          </w:tcPr>
          <w:p w14:paraId="220C51D5" w14:textId="77777777" w:rsidR="00105CA8" w:rsidRPr="00105CA8" w:rsidRDefault="00105CA8" w:rsidP="00105CA8">
            <w:pPr>
              <w:spacing w:after="160" w:line="360" w:lineRule="auto"/>
              <w:rPr>
                <w:rFonts w:ascii="Arial" w:hAnsi="Arial" w:cs="Arial"/>
              </w:rPr>
            </w:pPr>
            <w:r w:rsidRPr="00105CA8">
              <w:rPr>
                <w:rFonts w:ascii="Arial" w:hAnsi="Arial" w:cs="Arial"/>
                <w:b/>
                <w:bCs/>
              </w:rPr>
              <w:t>Sustainability Concerns</w:t>
            </w:r>
          </w:p>
        </w:tc>
        <w:tc>
          <w:tcPr>
            <w:tcW w:w="0" w:type="auto"/>
            <w:hideMark/>
          </w:tcPr>
          <w:p w14:paraId="4DAC2089" w14:textId="77777777" w:rsidR="00105CA8" w:rsidRPr="00105CA8" w:rsidRDefault="00105CA8" w:rsidP="00105CA8">
            <w:pPr>
              <w:spacing w:after="160" w:line="360" w:lineRule="auto"/>
              <w:rPr>
                <w:rFonts w:ascii="Arial" w:hAnsi="Arial" w:cs="Arial"/>
              </w:rPr>
            </w:pPr>
            <w:r w:rsidRPr="00105CA8">
              <w:rPr>
                <w:rFonts w:ascii="Arial" w:hAnsi="Arial" w:cs="Arial"/>
              </w:rPr>
              <w:t>54% of 18-35s consider environmental impact</w:t>
            </w:r>
          </w:p>
        </w:tc>
        <w:tc>
          <w:tcPr>
            <w:tcW w:w="0" w:type="auto"/>
            <w:hideMark/>
          </w:tcPr>
          <w:p w14:paraId="5F68FE89" w14:textId="77777777" w:rsidR="00105CA8" w:rsidRPr="00105CA8" w:rsidRDefault="00105CA8" w:rsidP="00105CA8">
            <w:pPr>
              <w:spacing w:after="160" w:line="360" w:lineRule="auto"/>
              <w:rPr>
                <w:rFonts w:ascii="Arial" w:hAnsi="Arial" w:cs="Arial"/>
              </w:rPr>
            </w:pPr>
            <w:r w:rsidRPr="00105CA8">
              <w:rPr>
                <w:rFonts w:ascii="Arial" w:hAnsi="Arial" w:cs="Arial"/>
              </w:rPr>
              <w:t>Opportunity for green banking initiatives</w:t>
            </w:r>
          </w:p>
        </w:tc>
        <w:tc>
          <w:tcPr>
            <w:tcW w:w="0" w:type="auto"/>
            <w:hideMark/>
          </w:tcPr>
          <w:p w14:paraId="59F9B4A5" w14:textId="77777777" w:rsidR="00105CA8" w:rsidRPr="00105CA8" w:rsidRDefault="00105CA8" w:rsidP="00105CA8">
            <w:pPr>
              <w:spacing w:after="160" w:line="360" w:lineRule="auto"/>
              <w:rPr>
                <w:rFonts w:ascii="Arial" w:hAnsi="Arial" w:cs="Arial"/>
              </w:rPr>
            </w:pPr>
            <w:r w:rsidRPr="00105CA8">
              <w:rPr>
                <w:rFonts w:ascii="Arial" w:hAnsi="Arial" w:cs="Arial"/>
              </w:rPr>
              <w:t>Deloitte, 2023</w:t>
            </w:r>
          </w:p>
        </w:tc>
      </w:tr>
      <w:tr w:rsidR="00105CA8" w:rsidRPr="00105CA8" w14:paraId="5989C15B" w14:textId="77777777" w:rsidTr="00105CA8">
        <w:tc>
          <w:tcPr>
            <w:tcW w:w="0" w:type="auto"/>
            <w:hideMark/>
          </w:tcPr>
          <w:p w14:paraId="58D74B55" w14:textId="77777777" w:rsidR="00105CA8" w:rsidRPr="00105CA8" w:rsidRDefault="00105CA8" w:rsidP="00105CA8">
            <w:pPr>
              <w:spacing w:after="160" w:line="360" w:lineRule="auto"/>
              <w:rPr>
                <w:rFonts w:ascii="Arial" w:hAnsi="Arial" w:cs="Arial"/>
              </w:rPr>
            </w:pPr>
            <w:r w:rsidRPr="00105CA8">
              <w:rPr>
                <w:rFonts w:ascii="Arial" w:hAnsi="Arial" w:cs="Arial"/>
                <w:b/>
                <w:bCs/>
              </w:rPr>
              <w:t>Branch Network Reduction</w:t>
            </w:r>
          </w:p>
        </w:tc>
        <w:tc>
          <w:tcPr>
            <w:tcW w:w="0" w:type="auto"/>
            <w:hideMark/>
          </w:tcPr>
          <w:p w14:paraId="5671E4ED" w14:textId="77777777" w:rsidR="00105CA8" w:rsidRPr="00105CA8" w:rsidRDefault="00105CA8" w:rsidP="00105CA8">
            <w:pPr>
              <w:spacing w:after="160" w:line="360" w:lineRule="auto"/>
              <w:rPr>
                <w:rFonts w:ascii="Arial" w:hAnsi="Arial" w:cs="Arial"/>
              </w:rPr>
            </w:pPr>
            <w:r w:rsidRPr="00105CA8">
              <w:rPr>
                <w:rFonts w:ascii="Arial" w:hAnsi="Arial" w:cs="Arial"/>
              </w:rPr>
              <w:t>35% decrease in Barclays branches (2020-2024)</w:t>
            </w:r>
          </w:p>
        </w:tc>
        <w:tc>
          <w:tcPr>
            <w:tcW w:w="0" w:type="auto"/>
            <w:hideMark/>
          </w:tcPr>
          <w:p w14:paraId="6A684B43" w14:textId="77777777" w:rsidR="00105CA8" w:rsidRPr="00105CA8" w:rsidRDefault="00105CA8" w:rsidP="00105CA8">
            <w:pPr>
              <w:spacing w:after="160" w:line="360" w:lineRule="auto"/>
              <w:rPr>
                <w:rFonts w:ascii="Arial" w:hAnsi="Arial" w:cs="Arial"/>
              </w:rPr>
            </w:pPr>
            <w:r w:rsidRPr="00105CA8">
              <w:rPr>
                <w:rFonts w:ascii="Arial" w:hAnsi="Arial" w:cs="Arial"/>
              </w:rPr>
              <w:t>Need for hybrid digital-physical model</w:t>
            </w:r>
          </w:p>
        </w:tc>
        <w:tc>
          <w:tcPr>
            <w:tcW w:w="0" w:type="auto"/>
            <w:hideMark/>
          </w:tcPr>
          <w:p w14:paraId="3E1C2A26" w14:textId="77777777" w:rsidR="00105CA8" w:rsidRPr="00105CA8" w:rsidRDefault="00105CA8" w:rsidP="00105CA8">
            <w:pPr>
              <w:spacing w:after="160" w:line="360" w:lineRule="auto"/>
              <w:rPr>
                <w:rFonts w:ascii="Arial" w:hAnsi="Arial" w:cs="Arial"/>
              </w:rPr>
            </w:pPr>
            <w:r w:rsidRPr="00105CA8">
              <w:rPr>
                <w:rFonts w:ascii="Arial" w:hAnsi="Arial" w:cs="Arial"/>
              </w:rPr>
              <w:t>Barclays Network Report, 2024</w:t>
            </w:r>
          </w:p>
        </w:tc>
      </w:tr>
      <w:tr w:rsidR="00105CA8" w:rsidRPr="00105CA8" w14:paraId="3E97A61A" w14:textId="77777777" w:rsidTr="00105CA8">
        <w:tc>
          <w:tcPr>
            <w:tcW w:w="0" w:type="auto"/>
            <w:hideMark/>
          </w:tcPr>
          <w:p w14:paraId="14CB99D3" w14:textId="77777777" w:rsidR="00105CA8" w:rsidRPr="00105CA8" w:rsidRDefault="00105CA8" w:rsidP="00105CA8">
            <w:pPr>
              <w:spacing w:after="160" w:line="360" w:lineRule="auto"/>
              <w:rPr>
                <w:rFonts w:ascii="Arial" w:hAnsi="Arial" w:cs="Arial"/>
              </w:rPr>
            </w:pPr>
            <w:r w:rsidRPr="00105CA8">
              <w:rPr>
                <w:rFonts w:ascii="Arial" w:hAnsi="Arial" w:cs="Arial"/>
                <w:b/>
                <w:bCs/>
              </w:rPr>
              <w:t>Open Banking APIs</w:t>
            </w:r>
          </w:p>
        </w:tc>
        <w:tc>
          <w:tcPr>
            <w:tcW w:w="0" w:type="auto"/>
            <w:hideMark/>
          </w:tcPr>
          <w:p w14:paraId="61D8FE5B" w14:textId="77777777" w:rsidR="00105CA8" w:rsidRPr="00105CA8" w:rsidRDefault="00105CA8" w:rsidP="00105CA8">
            <w:pPr>
              <w:spacing w:after="160" w:line="360" w:lineRule="auto"/>
              <w:rPr>
                <w:rFonts w:ascii="Arial" w:hAnsi="Arial" w:cs="Arial"/>
              </w:rPr>
            </w:pPr>
            <w:r w:rsidRPr="00105CA8">
              <w:rPr>
                <w:rFonts w:ascii="Arial" w:hAnsi="Arial" w:cs="Arial"/>
              </w:rPr>
              <w:t>Regulatory mandate for data sharing</w:t>
            </w:r>
          </w:p>
        </w:tc>
        <w:tc>
          <w:tcPr>
            <w:tcW w:w="0" w:type="auto"/>
            <w:hideMark/>
          </w:tcPr>
          <w:p w14:paraId="5CA2C691" w14:textId="77777777" w:rsidR="00105CA8" w:rsidRPr="00105CA8" w:rsidRDefault="00105CA8" w:rsidP="00105CA8">
            <w:pPr>
              <w:spacing w:after="160" w:line="360" w:lineRule="auto"/>
              <w:rPr>
                <w:rFonts w:ascii="Arial" w:hAnsi="Arial" w:cs="Arial"/>
              </w:rPr>
            </w:pPr>
            <w:r w:rsidRPr="00105CA8">
              <w:rPr>
                <w:rFonts w:ascii="Arial" w:hAnsi="Arial" w:cs="Arial"/>
              </w:rPr>
              <w:t>Enables innovation &amp; competitive threats</w:t>
            </w:r>
          </w:p>
        </w:tc>
        <w:tc>
          <w:tcPr>
            <w:tcW w:w="0" w:type="auto"/>
            <w:hideMark/>
          </w:tcPr>
          <w:p w14:paraId="6BA89CE3" w14:textId="77777777" w:rsidR="00105CA8" w:rsidRPr="00105CA8" w:rsidRDefault="00105CA8" w:rsidP="00105CA8">
            <w:pPr>
              <w:spacing w:after="160" w:line="360" w:lineRule="auto"/>
              <w:rPr>
                <w:rFonts w:ascii="Arial" w:hAnsi="Arial" w:cs="Arial"/>
              </w:rPr>
            </w:pPr>
            <w:r w:rsidRPr="00105CA8">
              <w:rPr>
                <w:rFonts w:ascii="Arial" w:hAnsi="Arial" w:cs="Arial"/>
              </w:rPr>
              <w:t>CMA, 2021</w:t>
            </w:r>
          </w:p>
        </w:tc>
      </w:tr>
    </w:tbl>
    <w:p w14:paraId="5ACC1407" w14:textId="77777777" w:rsidR="00105CA8" w:rsidRDefault="00105CA8" w:rsidP="00105CA8">
      <w:pPr>
        <w:spacing w:line="360" w:lineRule="auto"/>
        <w:rPr>
          <w:rFonts w:ascii="Arial" w:hAnsi="Arial" w:cs="Arial"/>
        </w:rPr>
      </w:pPr>
    </w:p>
    <w:p w14:paraId="62292F8D" w14:textId="77777777" w:rsidR="00105CA8" w:rsidRPr="000716DF" w:rsidRDefault="00105CA8" w:rsidP="00105CA8">
      <w:pPr>
        <w:spacing w:line="360" w:lineRule="auto"/>
        <w:rPr>
          <w:rFonts w:ascii="Arial" w:hAnsi="Arial" w:cs="Arial"/>
          <w:b/>
        </w:rPr>
      </w:pPr>
      <w:r w:rsidRPr="000716DF">
        <w:rPr>
          <w:rFonts w:ascii="Arial" w:hAnsi="Arial" w:cs="Arial"/>
          <w:b/>
        </w:rPr>
        <w:t>Digital Banking Adoption and Mobile-First Preferences</w:t>
      </w:r>
    </w:p>
    <w:p w14:paraId="61121A59" w14:textId="77777777" w:rsidR="00105CA8" w:rsidRDefault="00105CA8" w:rsidP="00847506">
      <w:pPr>
        <w:spacing w:line="360" w:lineRule="auto"/>
        <w:ind w:firstLine="720"/>
        <w:rPr>
          <w:rFonts w:ascii="Arial" w:hAnsi="Arial" w:cs="Arial"/>
        </w:rPr>
      </w:pPr>
      <w:r w:rsidRPr="00105CA8">
        <w:rPr>
          <w:rFonts w:ascii="Arial" w:hAnsi="Arial" w:cs="Arial"/>
        </w:rPr>
        <w:t>The overwhelming popularity of digital banking channels by the consumers of the UK is indicated by the UK Finance (2023), which added that mobile banking applications supported 29.4 billion payments in 2022, which is 16% higher compared to the year before. There is an escalation of this tendency in younger age groups, with 94 percent of people 25-34 years old as the major consumers of mobile banking (Financial Conduct Autho</w:t>
      </w:r>
      <w:r w:rsidR="00847506">
        <w:rPr>
          <w:rFonts w:ascii="Arial" w:hAnsi="Arial" w:cs="Arial"/>
        </w:rPr>
        <w:t>rity, 2024).</w:t>
      </w:r>
      <w:r w:rsidRPr="00105CA8">
        <w:rPr>
          <w:rFonts w:ascii="Arial" w:hAnsi="Arial" w:cs="Arial"/>
        </w:rPr>
        <w:t xml:space="preserve"> The move to digital channels does not only concern </w:t>
      </w:r>
      <w:proofErr w:type="gramStart"/>
      <w:r w:rsidRPr="00105CA8">
        <w:rPr>
          <w:rFonts w:ascii="Arial" w:hAnsi="Arial" w:cs="Arial"/>
        </w:rPr>
        <w:t>the transactional</w:t>
      </w:r>
      <w:proofErr w:type="gramEnd"/>
      <w:r w:rsidRPr="00105CA8">
        <w:rPr>
          <w:rFonts w:ascii="Arial" w:hAnsi="Arial" w:cs="Arial"/>
        </w:rPr>
        <w:t xml:space="preserve"> banking to advisory services, wealth management, and purchase of complex products. Accenture (2023) research shows that two out of three banking customers in the UK would now rather seek financial advice online and this offers opportunities as well as challenges to those institutions who traditionally relied on a branch-based relationship management model. </w:t>
      </w:r>
    </w:p>
    <w:p w14:paraId="0E89B847" w14:textId="77777777" w:rsidR="00105CA8" w:rsidRDefault="00105CA8" w:rsidP="00105CA8">
      <w:pPr>
        <w:spacing w:line="360" w:lineRule="auto"/>
        <w:rPr>
          <w:rFonts w:ascii="Arial" w:hAnsi="Arial" w:cs="Arial"/>
        </w:rPr>
      </w:pPr>
      <w:r>
        <w:rPr>
          <w:rFonts w:ascii="Arial" w:hAnsi="Arial" w:cs="Arial"/>
          <w:noProof/>
        </w:rPr>
        <w:lastRenderedPageBreak/>
        <w:drawing>
          <wp:inline distT="0" distB="0" distL="0" distR="0" wp14:anchorId="73AA9406" wp14:editId="71FD93FA">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46F3D81" w14:textId="77777777" w:rsidR="00D5404F" w:rsidRPr="000716DF" w:rsidRDefault="0091159E" w:rsidP="00105CA8">
      <w:pPr>
        <w:spacing w:line="360" w:lineRule="auto"/>
        <w:rPr>
          <w:rFonts w:ascii="Arial" w:hAnsi="Arial" w:cs="Arial"/>
          <w:b/>
        </w:rPr>
      </w:pPr>
      <w:r w:rsidRPr="000716DF">
        <w:rPr>
          <w:rFonts w:ascii="Arial" w:hAnsi="Arial" w:cs="Arial"/>
          <w:b/>
        </w:rPr>
        <w:t xml:space="preserve">Competition among Digital-Native Challenger Banks. </w:t>
      </w:r>
    </w:p>
    <w:p w14:paraId="4A97632A" w14:textId="77777777" w:rsidR="00D5404F" w:rsidRPr="00847506" w:rsidRDefault="0091159E" w:rsidP="00847506">
      <w:pPr>
        <w:spacing w:line="360" w:lineRule="auto"/>
        <w:ind w:firstLine="720"/>
        <w:rPr>
          <w:rFonts w:ascii="Arial" w:hAnsi="Arial" w:cs="Arial"/>
        </w:rPr>
      </w:pPr>
      <w:r w:rsidRPr="0091159E">
        <w:rPr>
          <w:rFonts w:ascii="Arial" w:hAnsi="Arial" w:cs="Arial"/>
        </w:rPr>
        <w:t xml:space="preserve">Challenger banks have taken up a large portion of the market with their improved user experience, clear pricing models, and novel capabilities that meet the needs of customers that they had not achieved before (Mention, 2020). Revolut has more than 9 million customers in the UK who have been </w:t>
      </w:r>
      <w:proofErr w:type="gramStart"/>
      <w:r w:rsidRPr="0091159E">
        <w:rPr>
          <w:rFonts w:ascii="Arial" w:hAnsi="Arial" w:cs="Arial"/>
        </w:rPr>
        <w:t>served</w:t>
      </w:r>
      <w:proofErr w:type="gramEnd"/>
      <w:r w:rsidRPr="0091159E">
        <w:rPr>
          <w:rFonts w:ascii="Arial" w:hAnsi="Arial" w:cs="Arial"/>
        </w:rPr>
        <w:t xml:space="preserve">, and Monzo and Starling bank are serving a total number of 8 million customers (UK Finance, 2024). These digital disruptors also take advantage of cloud-native architecture, which allows them to roll new features fast, offer </w:t>
      </w:r>
      <w:proofErr w:type="spellStart"/>
      <w:r w:rsidR="0043038A" w:rsidRPr="0091159E">
        <w:rPr>
          <w:rFonts w:ascii="Arial" w:hAnsi="Arial" w:cs="Arial"/>
        </w:rPr>
        <w:t>Personalised</w:t>
      </w:r>
      <w:proofErr w:type="spellEnd"/>
      <w:r w:rsidRPr="0091159E">
        <w:rPr>
          <w:rFonts w:ascii="Arial" w:hAnsi="Arial" w:cs="Arial"/>
        </w:rPr>
        <w:t xml:space="preserve"> financial management solutions and display real-time spending data that legacy banks cannot introduce due to the constraints of a traditional syste</w:t>
      </w:r>
      <w:r w:rsidR="00847506">
        <w:rPr>
          <w:rFonts w:ascii="Arial" w:hAnsi="Arial" w:cs="Arial"/>
        </w:rPr>
        <w:t>m (</w:t>
      </w:r>
      <w:proofErr w:type="spellStart"/>
      <w:r w:rsidR="00847506">
        <w:rPr>
          <w:rFonts w:ascii="Arial" w:hAnsi="Arial" w:cs="Arial"/>
        </w:rPr>
        <w:t>Omarini</w:t>
      </w:r>
      <w:proofErr w:type="spellEnd"/>
      <w:r w:rsidR="00847506">
        <w:rPr>
          <w:rFonts w:ascii="Arial" w:hAnsi="Arial" w:cs="Arial"/>
        </w:rPr>
        <w:t>, 2021).</w:t>
      </w:r>
      <w:r w:rsidRPr="0091159E">
        <w:rPr>
          <w:rFonts w:ascii="Arial" w:hAnsi="Arial" w:cs="Arial"/>
        </w:rPr>
        <w:t xml:space="preserve"> Challenger banks are adopting embedded finance, open banking APIs and ecosystem relationships that cross the conventional banking lines (Mention,</w:t>
      </w:r>
      <w:r w:rsidR="00847506">
        <w:rPr>
          <w:rFonts w:ascii="Arial" w:hAnsi="Arial" w:cs="Arial"/>
        </w:rPr>
        <w:t xml:space="preserve"> 2020). </w:t>
      </w:r>
    </w:p>
    <w:p w14:paraId="2CC43247" w14:textId="77777777" w:rsidR="000716DF" w:rsidRPr="000716DF" w:rsidRDefault="000716DF" w:rsidP="00105CA8">
      <w:pPr>
        <w:spacing w:line="360" w:lineRule="auto"/>
        <w:rPr>
          <w:rFonts w:ascii="Arial" w:hAnsi="Arial" w:cs="Arial"/>
          <w:b/>
        </w:rPr>
      </w:pPr>
      <w:r w:rsidRPr="000716DF">
        <w:rPr>
          <w:rFonts w:ascii="Arial" w:hAnsi="Arial" w:cs="Arial"/>
          <w:b/>
        </w:rPr>
        <w:t xml:space="preserve">Sustainability and Environmental, Social, Governance (ESG) Expectations. </w:t>
      </w:r>
    </w:p>
    <w:p w14:paraId="7DC99678" w14:textId="77777777" w:rsidR="000716DF" w:rsidRDefault="000716DF" w:rsidP="00847506">
      <w:pPr>
        <w:spacing w:line="360" w:lineRule="auto"/>
        <w:ind w:firstLine="720"/>
        <w:rPr>
          <w:rFonts w:ascii="Arial" w:hAnsi="Arial" w:cs="Arial"/>
        </w:rPr>
      </w:pPr>
      <w:r w:rsidRPr="000716DF">
        <w:rPr>
          <w:rFonts w:ascii="Arial" w:hAnsi="Arial" w:cs="Arial"/>
        </w:rPr>
        <w:t xml:space="preserve">The issue of environmental awareness is impacting the banking relationships, especially with the generations of Y and Z, and the Millennials. According to research by Deloitte (2023) 54% of consumers aged 18-35 in UK prioritize environmental impact on their decisions of financial services provider, with 43% having intentions to change banks in favor of better sustainability practices. The trend is expressed in the form of carbon footprint tracking demand, investment products with a green origin, and transparent ESG reporting (Weber and </w:t>
      </w:r>
      <w:proofErr w:type="spellStart"/>
      <w:r w:rsidRPr="000716DF">
        <w:rPr>
          <w:rFonts w:ascii="Arial" w:hAnsi="Arial" w:cs="Arial"/>
        </w:rPr>
        <w:t>Feltmate</w:t>
      </w:r>
      <w:proofErr w:type="spellEnd"/>
      <w:r w:rsidRPr="000716DF">
        <w:rPr>
          <w:rFonts w:ascii="Arial" w:hAnsi="Arial" w:cs="Arial"/>
        </w:rPr>
        <w:t xml:space="preserve">, 2020). Regulation supports the sustainability requirements, as the climate stress testing of the </w:t>
      </w:r>
      <w:r w:rsidRPr="000716DF">
        <w:rPr>
          <w:rFonts w:ascii="Arial" w:hAnsi="Arial" w:cs="Arial"/>
        </w:rPr>
        <w:lastRenderedPageBreak/>
        <w:t xml:space="preserve">Bank of England presupposes a thorough evaluation of climate risks and </w:t>
      </w:r>
      <w:proofErr w:type="gramStart"/>
      <w:r w:rsidRPr="000716DF">
        <w:rPr>
          <w:rFonts w:ascii="Arial" w:hAnsi="Arial" w:cs="Arial"/>
        </w:rPr>
        <w:t>specification</w:t>
      </w:r>
      <w:proofErr w:type="gramEnd"/>
      <w:r w:rsidRPr="000716DF">
        <w:rPr>
          <w:rFonts w:ascii="Arial" w:hAnsi="Arial" w:cs="Arial"/>
        </w:rPr>
        <w:t xml:space="preserve"> (Bank of England, 2023). By the year 2050, Barclays has pledged to have net-zero funded emissions and PS175 billion invested in sustainable financing by the year 2025 (Barclays ES</w:t>
      </w:r>
      <w:r w:rsidR="00847506">
        <w:rPr>
          <w:rFonts w:ascii="Arial" w:hAnsi="Arial" w:cs="Arial"/>
        </w:rPr>
        <w:t xml:space="preserve">G Report, 2023). </w:t>
      </w:r>
    </w:p>
    <w:p w14:paraId="399E8124" w14:textId="77777777" w:rsidR="000716DF" w:rsidRPr="000716DF" w:rsidRDefault="000716DF" w:rsidP="00105CA8">
      <w:pPr>
        <w:spacing w:line="360" w:lineRule="auto"/>
        <w:rPr>
          <w:rFonts w:ascii="Arial" w:hAnsi="Arial" w:cs="Arial"/>
          <w:b/>
        </w:rPr>
      </w:pPr>
      <w:r w:rsidRPr="000716DF">
        <w:rPr>
          <w:rFonts w:ascii="Arial" w:hAnsi="Arial" w:cs="Arial"/>
          <w:b/>
        </w:rPr>
        <w:t xml:space="preserve">Open banking and Data </w:t>
      </w:r>
      <w:r w:rsidR="0043038A" w:rsidRPr="000716DF">
        <w:rPr>
          <w:rFonts w:ascii="Arial" w:hAnsi="Arial" w:cs="Arial"/>
          <w:b/>
        </w:rPr>
        <w:t>democratization</w:t>
      </w:r>
      <w:r w:rsidRPr="000716DF">
        <w:rPr>
          <w:rFonts w:ascii="Arial" w:hAnsi="Arial" w:cs="Arial"/>
          <w:b/>
        </w:rPr>
        <w:t xml:space="preserve">. </w:t>
      </w:r>
    </w:p>
    <w:p w14:paraId="10CD0C2F" w14:textId="77777777" w:rsidR="000716DF" w:rsidRDefault="000716DF" w:rsidP="00847506">
      <w:pPr>
        <w:spacing w:line="360" w:lineRule="auto"/>
        <w:ind w:firstLine="720"/>
        <w:rPr>
          <w:rFonts w:ascii="Arial" w:hAnsi="Arial" w:cs="Arial"/>
        </w:rPr>
      </w:pPr>
      <w:r w:rsidRPr="000716DF">
        <w:rPr>
          <w:rFonts w:ascii="Arial" w:hAnsi="Arial" w:cs="Arial"/>
        </w:rPr>
        <w:t xml:space="preserve">The introduction of the Open Banking policy in the UK under the Competition and Markets Authority has fundamentally changed the operation of the competitive landscape by making APIs available to financial information about customers (Competition and Markets Authority, 2021). This type of regulatory intervention allows third-party providers to develop novel applications based on consumer banking data that will pose a competitive threat </w:t>
      </w:r>
      <w:proofErr w:type="gramStart"/>
      <w:r w:rsidRPr="000716DF">
        <w:rPr>
          <w:rFonts w:ascii="Arial" w:hAnsi="Arial" w:cs="Arial"/>
        </w:rPr>
        <w:t>and also</w:t>
      </w:r>
      <w:proofErr w:type="gramEnd"/>
      <w:r w:rsidRPr="000716DF">
        <w:rPr>
          <w:rFonts w:ascii="Arial" w:hAnsi="Arial" w:cs="Arial"/>
        </w:rPr>
        <w:t xml:space="preserve"> offer collaborative opportunities to incumbent institutions (Zachariadis and Ozcan, 2017). Barclays has reacted by joining Open Banking ecosystems and at the same time building its own applications based on enriched financial data to get </w:t>
      </w:r>
      <w:proofErr w:type="spellStart"/>
      <w:r w:rsidR="0043038A" w:rsidRPr="000716DF">
        <w:rPr>
          <w:rFonts w:ascii="Arial" w:hAnsi="Arial" w:cs="Arial"/>
        </w:rPr>
        <w:t>Personalised</w:t>
      </w:r>
      <w:proofErr w:type="spellEnd"/>
      <w:r w:rsidRPr="000716DF">
        <w:rPr>
          <w:rFonts w:ascii="Arial" w:hAnsi="Arial" w:cs="Arial"/>
        </w:rPr>
        <w:t xml:space="preserve"> insights and suggestions (Barclays Innovation R</w:t>
      </w:r>
      <w:r w:rsidR="00847506">
        <w:rPr>
          <w:rFonts w:ascii="Arial" w:hAnsi="Arial" w:cs="Arial"/>
        </w:rPr>
        <w:t>eport, 2024).</w:t>
      </w:r>
    </w:p>
    <w:p w14:paraId="25593334" w14:textId="77777777" w:rsidR="000716DF" w:rsidRPr="000716DF" w:rsidRDefault="000716DF" w:rsidP="00105CA8">
      <w:pPr>
        <w:spacing w:line="360" w:lineRule="auto"/>
        <w:rPr>
          <w:rFonts w:ascii="Arial" w:hAnsi="Arial" w:cs="Arial"/>
          <w:b/>
        </w:rPr>
      </w:pPr>
      <w:r w:rsidRPr="000716DF">
        <w:rPr>
          <w:rFonts w:ascii="Arial" w:hAnsi="Arial" w:cs="Arial"/>
          <w:b/>
        </w:rPr>
        <w:t xml:space="preserve">PART1: ANALYSIS OF BARCLAYS’ APPROACH TO INNOVATION </w:t>
      </w:r>
    </w:p>
    <w:p w14:paraId="6A0E1A58" w14:textId="77777777" w:rsidR="000716DF" w:rsidRDefault="000716DF" w:rsidP="00847506">
      <w:pPr>
        <w:spacing w:line="360" w:lineRule="auto"/>
        <w:ind w:firstLine="720"/>
        <w:rPr>
          <w:rFonts w:ascii="Arial" w:hAnsi="Arial" w:cs="Arial"/>
        </w:rPr>
      </w:pPr>
      <w:r w:rsidRPr="000716DF">
        <w:rPr>
          <w:rFonts w:ascii="Arial" w:hAnsi="Arial" w:cs="Arial"/>
        </w:rPr>
        <w:t xml:space="preserve">In this section, the frameworks of the existing innovations are used to examine the existing innovation portfolio and customer experience architecture of Barclays. Innovation Ambition Matrix classifies innovation projects based on core, adjacent and transformational dimensions and the customer journey mapping </w:t>
      </w:r>
      <w:proofErr w:type="gramStart"/>
      <w:r w:rsidRPr="000716DF">
        <w:rPr>
          <w:rFonts w:ascii="Arial" w:hAnsi="Arial" w:cs="Arial"/>
        </w:rPr>
        <w:t>determines</w:t>
      </w:r>
      <w:proofErr w:type="gramEnd"/>
      <w:r w:rsidRPr="000716DF">
        <w:rPr>
          <w:rFonts w:ascii="Arial" w:hAnsi="Arial" w:cs="Arial"/>
        </w:rPr>
        <w:t xml:space="preserve"> the key pain points and the key opportunities of the current customer experiences. </w:t>
      </w:r>
    </w:p>
    <w:p w14:paraId="3A15949C" w14:textId="77777777" w:rsidR="000716DF" w:rsidRPr="000716DF" w:rsidRDefault="000716DF" w:rsidP="00105CA8">
      <w:pPr>
        <w:spacing w:line="360" w:lineRule="auto"/>
        <w:rPr>
          <w:rFonts w:ascii="Arial" w:hAnsi="Arial" w:cs="Arial"/>
          <w:b/>
        </w:rPr>
      </w:pPr>
      <w:r w:rsidRPr="000716DF">
        <w:rPr>
          <w:rFonts w:ascii="Arial" w:hAnsi="Arial" w:cs="Arial"/>
          <w:b/>
        </w:rPr>
        <w:t xml:space="preserve">Innovation Ambition Matrix Analysis. </w:t>
      </w:r>
    </w:p>
    <w:p w14:paraId="68F2FB10" w14:textId="77777777" w:rsidR="007644CF" w:rsidRPr="00847506" w:rsidRDefault="000716DF" w:rsidP="00847506">
      <w:pPr>
        <w:spacing w:line="360" w:lineRule="auto"/>
        <w:ind w:firstLine="720"/>
        <w:rPr>
          <w:rFonts w:ascii="Arial" w:hAnsi="Arial" w:cs="Arial"/>
        </w:rPr>
      </w:pPr>
      <w:r w:rsidRPr="000716DF">
        <w:rPr>
          <w:rFonts w:ascii="Arial" w:hAnsi="Arial" w:cs="Arial"/>
        </w:rPr>
        <w:t xml:space="preserve">The Innovation Ambition Matrix created by </w:t>
      </w:r>
      <w:proofErr w:type="spellStart"/>
      <w:r w:rsidRPr="000716DF">
        <w:rPr>
          <w:rFonts w:ascii="Arial" w:hAnsi="Arial" w:cs="Arial"/>
        </w:rPr>
        <w:t>Nagji</w:t>
      </w:r>
      <w:proofErr w:type="spellEnd"/>
      <w:r w:rsidRPr="000716DF">
        <w:rPr>
          <w:rFonts w:ascii="Arial" w:hAnsi="Arial" w:cs="Arial"/>
        </w:rPr>
        <w:t xml:space="preserve"> and Tuff (2012) offers a systematic approach to the balanced investment in innovation in three categories of strategies, namely core innovations that enhan</w:t>
      </w:r>
      <w:r>
        <w:rPr>
          <w:rFonts w:ascii="Arial" w:hAnsi="Arial" w:cs="Arial"/>
        </w:rPr>
        <w:t>ce the existing products accordi</w:t>
      </w:r>
      <w:r w:rsidRPr="000716DF">
        <w:rPr>
          <w:rFonts w:ascii="Arial" w:hAnsi="Arial" w:cs="Arial"/>
        </w:rPr>
        <w:t xml:space="preserve">ng to the current market, adjacent innovations that expand the existing markets or product lines, and transformational innovations that introduce a brand new product to the new markets. When forecasting Barclays within the framework, </w:t>
      </w:r>
      <w:proofErr w:type="gramStart"/>
      <w:r w:rsidRPr="000716DF">
        <w:rPr>
          <w:rFonts w:ascii="Arial" w:hAnsi="Arial" w:cs="Arial"/>
        </w:rPr>
        <w:t>it can be seen that the</w:t>
      </w:r>
      <w:proofErr w:type="gramEnd"/>
      <w:r w:rsidRPr="000716DF">
        <w:rPr>
          <w:rFonts w:ascii="Arial" w:hAnsi="Arial" w:cs="Arial"/>
        </w:rPr>
        <w:t xml:space="preserve"> portfolio is based on core and adjacent innovations, with emerging transformational innovations.</w:t>
      </w:r>
    </w:p>
    <w:p w14:paraId="4C967F36" w14:textId="77777777" w:rsidR="007644CF" w:rsidRDefault="007644CF" w:rsidP="007644CF">
      <w:pPr>
        <w:spacing w:line="360" w:lineRule="auto"/>
        <w:rPr>
          <w:rFonts w:ascii="Arial" w:hAnsi="Arial" w:cs="Arial"/>
          <w:b/>
        </w:rPr>
      </w:pPr>
      <w:r w:rsidRPr="007644CF">
        <w:rPr>
          <w:rFonts w:ascii="Arial" w:hAnsi="Arial" w:cs="Arial"/>
          <w:b/>
        </w:rPr>
        <w:t xml:space="preserve">Core Innovations: </w:t>
      </w:r>
      <w:r w:rsidR="0043038A" w:rsidRPr="007644CF">
        <w:rPr>
          <w:rFonts w:ascii="Arial" w:hAnsi="Arial" w:cs="Arial"/>
          <w:b/>
        </w:rPr>
        <w:t>Optimization</w:t>
      </w:r>
      <w:r w:rsidRPr="007644CF">
        <w:rPr>
          <w:rFonts w:ascii="Arial" w:hAnsi="Arial" w:cs="Arial"/>
          <w:b/>
        </w:rPr>
        <w:t xml:space="preserve"> of The Existing Operations. </w:t>
      </w:r>
    </w:p>
    <w:p w14:paraId="449B11C2" w14:textId="77777777" w:rsidR="007644CF" w:rsidRPr="007644CF" w:rsidRDefault="007644CF" w:rsidP="00847506">
      <w:pPr>
        <w:spacing w:line="360" w:lineRule="auto"/>
        <w:ind w:firstLine="720"/>
        <w:rPr>
          <w:rFonts w:ascii="Arial" w:hAnsi="Arial" w:cs="Arial"/>
          <w:b/>
        </w:rPr>
      </w:pPr>
      <w:r w:rsidRPr="007644CF">
        <w:rPr>
          <w:rFonts w:ascii="Arial" w:hAnsi="Arial" w:cs="Arial"/>
        </w:rPr>
        <w:t xml:space="preserve">The fundamental </w:t>
      </w:r>
      <w:proofErr w:type="gramStart"/>
      <w:r w:rsidRPr="007644CF">
        <w:rPr>
          <w:rFonts w:ascii="Arial" w:hAnsi="Arial" w:cs="Arial"/>
        </w:rPr>
        <w:t>innovation</w:t>
      </w:r>
      <w:proofErr w:type="gramEnd"/>
      <w:r w:rsidRPr="007644CF">
        <w:rPr>
          <w:rFonts w:ascii="Arial" w:hAnsi="Arial" w:cs="Arial"/>
        </w:rPr>
        <w:t xml:space="preserve"> </w:t>
      </w:r>
      <w:proofErr w:type="gramStart"/>
      <w:r w:rsidRPr="007644CF">
        <w:rPr>
          <w:rFonts w:ascii="Arial" w:hAnsi="Arial" w:cs="Arial"/>
        </w:rPr>
        <w:t>undertakings</w:t>
      </w:r>
      <w:proofErr w:type="gramEnd"/>
      <w:r w:rsidRPr="007644CF">
        <w:rPr>
          <w:rFonts w:ascii="Arial" w:hAnsi="Arial" w:cs="Arial"/>
        </w:rPr>
        <w:t xml:space="preserve"> at Barclays are aimed at </w:t>
      </w:r>
      <w:r w:rsidR="0043038A" w:rsidRPr="007644CF">
        <w:rPr>
          <w:rFonts w:ascii="Arial" w:hAnsi="Arial" w:cs="Arial"/>
        </w:rPr>
        <w:t>optimizing</w:t>
      </w:r>
      <w:r w:rsidRPr="007644CF">
        <w:rPr>
          <w:rFonts w:ascii="Arial" w:hAnsi="Arial" w:cs="Arial"/>
        </w:rPr>
        <w:t xml:space="preserve"> operations and enhancing the already existing banking services in a gradual manner. The Barclays Mobile Banking App is the main vehicle of core innovation, which is constantly updated, with the </w:t>
      </w:r>
      <w:r w:rsidRPr="007644CF">
        <w:rPr>
          <w:rFonts w:ascii="Arial" w:hAnsi="Arial" w:cs="Arial"/>
        </w:rPr>
        <w:lastRenderedPageBreak/>
        <w:t>additions of biometric authentication, instant payment reminders, and stronger bill payment features (Barclays Digital Report, 2024). These enhancements are applied to current customers in the current banking segments, without disruptio</w:t>
      </w:r>
      <w:r w:rsidR="00847506">
        <w:rPr>
          <w:rFonts w:ascii="Arial" w:hAnsi="Arial" w:cs="Arial"/>
        </w:rPr>
        <w:t>n to the basic business model.</w:t>
      </w:r>
      <w:r w:rsidRPr="007644CF">
        <w:rPr>
          <w:rFonts w:ascii="Arial" w:hAnsi="Arial" w:cs="Arial"/>
        </w:rPr>
        <w:t xml:space="preserve"> According to the Barclays report, today, 92 percent of personal banking transactions are fulfilled digitally without a branch operation, which is a significant improvement in terms of efficiency in operations and does not affect the level of service (Barclays Annual Report, 2023). The implementation of AI-based </w:t>
      </w:r>
      <w:r w:rsidR="0043038A" w:rsidRPr="007644CF">
        <w:rPr>
          <w:rFonts w:ascii="Arial" w:hAnsi="Arial" w:cs="Arial"/>
        </w:rPr>
        <w:t>Chatbot</w:t>
      </w:r>
      <w:r w:rsidRPr="007644CF">
        <w:rPr>
          <w:rFonts w:ascii="Arial" w:hAnsi="Arial" w:cs="Arial"/>
        </w:rPr>
        <w:t xml:space="preserve"> that respond to 85,000 customer inquiries per day is a good illustration of core innovation that results in cost reduction and a slight customer experience improvement with 24/7 service (Barclays Technology Re</w:t>
      </w:r>
      <w:r w:rsidR="00847506">
        <w:rPr>
          <w:rFonts w:ascii="Arial" w:hAnsi="Arial" w:cs="Arial"/>
        </w:rPr>
        <w:t>view, 2024).</w:t>
      </w:r>
    </w:p>
    <w:p w14:paraId="0C0522D6" w14:textId="77777777" w:rsidR="007644CF" w:rsidRPr="007644CF" w:rsidRDefault="007644CF" w:rsidP="007644CF">
      <w:pPr>
        <w:spacing w:line="360" w:lineRule="auto"/>
        <w:rPr>
          <w:rFonts w:ascii="Arial" w:hAnsi="Arial" w:cs="Arial"/>
          <w:b/>
        </w:rPr>
      </w:pPr>
      <w:r w:rsidRPr="007644CF">
        <w:rPr>
          <w:rFonts w:ascii="Arial" w:hAnsi="Arial" w:cs="Arial"/>
          <w:b/>
        </w:rPr>
        <w:t>New Innovations: Horizon expansion.</w:t>
      </w:r>
    </w:p>
    <w:p w14:paraId="3C1619AC" w14:textId="77777777" w:rsidR="007644CF" w:rsidRPr="007644CF" w:rsidRDefault="007644CF" w:rsidP="00847506">
      <w:pPr>
        <w:spacing w:line="360" w:lineRule="auto"/>
        <w:ind w:firstLine="720"/>
        <w:rPr>
          <w:rFonts w:ascii="Arial" w:hAnsi="Arial" w:cs="Arial"/>
        </w:rPr>
      </w:pPr>
      <w:r w:rsidRPr="007644CF">
        <w:rPr>
          <w:rFonts w:ascii="Arial" w:hAnsi="Arial" w:cs="Arial"/>
        </w:rPr>
        <w:t xml:space="preserve">The adjacent innovations allow Barclays to use the available capabilities and explore new customer groups or product lines. The case of adjacent innovation is Barclays Blue Rewards, which was introduced in 2016 and was a loyalty </w:t>
      </w:r>
      <w:proofErr w:type="spellStart"/>
      <w:r w:rsidRPr="007644CF">
        <w:rPr>
          <w:rFonts w:ascii="Arial" w:hAnsi="Arial" w:cs="Arial"/>
        </w:rPr>
        <w:t>programme</w:t>
      </w:r>
      <w:proofErr w:type="spellEnd"/>
      <w:r w:rsidRPr="007644CF">
        <w:rPr>
          <w:rFonts w:ascii="Arial" w:hAnsi="Arial" w:cs="Arial"/>
        </w:rPr>
        <w:t xml:space="preserve"> based on the loyalty concept of rewarding customers when they owned more than one product (Barclays Product Portfolio, 2023). This move has brought the long-standing banking relationships into lifestyle rewards and </w:t>
      </w:r>
      <w:proofErr w:type="gramStart"/>
      <w:r w:rsidRPr="007644CF">
        <w:rPr>
          <w:rFonts w:ascii="Arial" w:hAnsi="Arial" w:cs="Arial"/>
        </w:rPr>
        <w:t>collaborates</w:t>
      </w:r>
      <w:proofErr w:type="gramEnd"/>
      <w:r w:rsidRPr="007644CF">
        <w:rPr>
          <w:rFonts w:ascii="Arial" w:hAnsi="Arial" w:cs="Arial"/>
        </w:rPr>
        <w:t xml:space="preserve"> with retailers and entertainment vendors to provide value to clients on top of </w:t>
      </w:r>
      <w:proofErr w:type="gramStart"/>
      <w:r w:rsidRPr="007644CF">
        <w:rPr>
          <w:rFonts w:ascii="Arial" w:hAnsi="Arial" w:cs="Arial"/>
        </w:rPr>
        <w:t>the financial</w:t>
      </w:r>
      <w:proofErr w:type="gramEnd"/>
      <w:r w:rsidRPr="007644CF">
        <w:rPr>
          <w:rFonts w:ascii="Arial" w:hAnsi="Arial" w:cs="Arial"/>
        </w:rPr>
        <w:t xml:space="preserve"> products.</w:t>
      </w:r>
    </w:p>
    <w:p w14:paraId="36E3C296" w14:textId="77777777" w:rsidR="007644CF" w:rsidRPr="007644CF" w:rsidRDefault="007644CF" w:rsidP="00847506">
      <w:pPr>
        <w:spacing w:line="360" w:lineRule="auto"/>
        <w:ind w:firstLine="720"/>
        <w:rPr>
          <w:rFonts w:ascii="Arial" w:hAnsi="Arial" w:cs="Arial"/>
        </w:rPr>
      </w:pPr>
      <w:r w:rsidRPr="007644CF">
        <w:rPr>
          <w:rFonts w:ascii="Arial" w:hAnsi="Arial" w:cs="Arial"/>
        </w:rPr>
        <w:t xml:space="preserve">Another nearby innovation is the Barclays Raiser crowdfunding that allows community projects and charities to raise funds using the digital infrastructure provided by Barclays (Barclays Community Report, 2024). This venture is </w:t>
      </w:r>
      <w:r w:rsidR="0043038A" w:rsidRPr="007644CF">
        <w:rPr>
          <w:rFonts w:ascii="Arial" w:hAnsi="Arial" w:cs="Arial"/>
        </w:rPr>
        <w:t>capitalizing</w:t>
      </w:r>
      <w:r w:rsidRPr="007644CF">
        <w:rPr>
          <w:rFonts w:ascii="Arial" w:hAnsi="Arial" w:cs="Arial"/>
        </w:rPr>
        <w:t xml:space="preserve"> on the technological capacity and reputed brand of the bank and is also targeting a different market group that was traditionally not part of the usual banking business. In the same vein, the Barclays digital banking infrastructure into SMEs, such as AI-supported cash flow forecast and automated invoice financing, will extrapolate capabilities built around personal banking into small business or segments (Barclays Business Banking Report, 2023).</w:t>
      </w:r>
    </w:p>
    <w:p w14:paraId="5AACCBEF" w14:textId="77777777" w:rsidR="007644CF" w:rsidRPr="007644CF" w:rsidRDefault="007644CF" w:rsidP="007644CF">
      <w:pPr>
        <w:spacing w:line="360" w:lineRule="auto"/>
        <w:rPr>
          <w:rFonts w:ascii="Arial" w:hAnsi="Arial" w:cs="Arial"/>
          <w:b/>
        </w:rPr>
      </w:pPr>
      <w:r w:rsidRPr="007644CF">
        <w:rPr>
          <w:rFonts w:ascii="Arial" w:hAnsi="Arial" w:cs="Arial"/>
          <w:b/>
        </w:rPr>
        <w:t>Transformational Innovations: Future Market Explorations.</w:t>
      </w:r>
    </w:p>
    <w:p w14:paraId="321868B1" w14:textId="77777777" w:rsidR="007644CF" w:rsidRPr="007644CF" w:rsidRDefault="007644CF" w:rsidP="00847506">
      <w:pPr>
        <w:spacing w:line="360" w:lineRule="auto"/>
        <w:ind w:firstLine="720"/>
        <w:rPr>
          <w:rFonts w:ascii="Arial" w:hAnsi="Arial" w:cs="Arial"/>
        </w:rPr>
      </w:pPr>
      <w:r w:rsidRPr="007644CF">
        <w:rPr>
          <w:rFonts w:ascii="Arial" w:hAnsi="Arial" w:cs="Arial"/>
        </w:rPr>
        <w:t xml:space="preserve">Transformational innovations seek opportunities </w:t>
      </w:r>
      <w:proofErr w:type="gramStart"/>
      <w:r w:rsidRPr="007644CF">
        <w:rPr>
          <w:rFonts w:ascii="Arial" w:hAnsi="Arial" w:cs="Arial"/>
        </w:rPr>
        <w:t>of</w:t>
      </w:r>
      <w:proofErr w:type="gramEnd"/>
      <w:r w:rsidRPr="007644CF">
        <w:rPr>
          <w:rFonts w:ascii="Arial" w:hAnsi="Arial" w:cs="Arial"/>
        </w:rPr>
        <w:t xml:space="preserve"> </w:t>
      </w:r>
      <w:proofErr w:type="gramStart"/>
      <w:r w:rsidRPr="007644CF">
        <w:rPr>
          <w:rFonts w:ascii="Arial" w:hAnsi="Arial" w:cs="Arial"/>
        </w:rPr>
        <w:t>breakthrough</w:t>
      </w:r>
      <w:proofErr w:type="gramEnd"/>
      <w:r w:rsidRPr="007644CF">
        <w:rPr>
          <w:rFonts w:ascii="Arial" w:hAnsi="Arial" w:cs="Arial"/>
        </w:rPr>
        <w:t xml:space="preserve"> in new markets or new technology and will accept greater risk in the event of a potentially transformative payoff. The creation of the Rise fintech accelerator </w:t>
      </w:r>
      <w:proofErr w:type="spellStart"/>
      <w:r w:rsidRPr="007644CF">
        <w:rPr>
          <w:rFonts w:ascii="Arial" w:hAnsi="Arial" w:cs="Arial"/>
        </w:rPr>
        <w:t>programme</w:t>
      </w:r>
      <w:proofErr w:type="spellEnd"/>
      <w:r w:rsidRPr="007644CF">
        <w:rPr>
          <w:rFonts w:ascii="Arial" w:hAnsi="Arial" w:cs="Arial"/>
        </w:rPr>
        <w:t xml:space="preserve"> by Barclays shows that the company focuses on transformational innovation by developing an ecosystem and strategic collaboration with the emerging technology startups (Barclays Rise, 2024). The effort has accelerated more than 350 fintech startups in the market globally and gives Barclays an insight into innovation in </w:t>
      </w:r>
      <w:r w:rsidRPr="007644CF">
        <w:rPr>
          <w:rFonts w:ascii="Arial" w:hAnsi="Arial" w:cs="Arial"/>
        </w:rPr>
        <w:lastRenderedPageBreak/>
        <w:t>the market as well as building relationships with potential acquisition opportunities or partners in collaborations.</w:t>
      </w:r>
    </w:p>
    <w:p w14:paraId="6D75121C" w14:textId="77777777" w:rsidR="007644CF" w:rsidRDefault="007644CF" w:rsidP="00847506">
      <w:pPr>
        <w:spacing w:line="360" w:lineRule="auto"/>
        <w:ind w:firstLine="720"/>
        <w:rPr>
          <w:rFonts w:ascii="Arial" w:hAnsi="Arial" w:cs="Arial"/>
        </w:rPr>
      </w:pPr>
      <w:r w:rsidRPr="007644CF">
        <w:rPr>
          <w:rFonts w:ascii="Arial" w:hAnsi="Arial" w:cs="Arial"/>
        </w:rPr>
        <w:t xml:space="preserve">The fact that Barclays has been experimenting with the use of </w:t>
      </w:r>
      <w:r w:rsidR="0043038A" w:rsidRPr="007644CF">
        <w:rPr>
          <w:rFonts w:ascii="Arial" w:hAnsi="Arial" w:cs="Arial"/>
        </w:rPr>
        <w:t>block chain</w:t>
      </w:r>
      <w:r w:rsidRPr="007644CF">
        <w:rPr>
          <w:rFonts w:ascii="Arial" w:hAnsi="Arial" w:cs="Arial"/>
        </w:rPr>
        <w:t xml:space="preserve"> technology to conduct trade finance and settlement transactions is, literally speaking, a paradigm shift in trying to fix the root causes of inefficiency in cross border transactions (Barclays </w:t>
      </w:r>
      <w:r w:rsidR="0043038A" w:rsidRPr="007644CF">
        <w:rPr>
          <w:rFonts w:ascii="Arial" w:hAnsi="Arial" w:cs="Arial"/>
        </w:rPr>
        <w:t>Block Chain</w:t>
      </w:r>
      <w:r w:rsidRPr="007644CF">
        <w:rPr>
          <w:rFonts w:ascii="Arial" w:hAnsi="Arial" w:cs="Arial"/>
        </w:rPr>
        <w:t xml:space="preserve"> Report, 2022). Pilot projects with corporate participants showed that trade finance processing time reduced by 50 percent, but mass </w:t>
      </w:r>
      <w:r w:rsidR="0043038A" w:rsidRPr="007644CF">
        <w:rPr>
          <w:rFonts w:ascii="Arial" w:hAnsi="Arial" w:cs="Arial"/>
        </w:rPr>
        <w:t>commercialization</w:t>
      </w:r>
      <w:r w:rsidRPr="007644CF">
        <w:rPr>
          <w:rFonts w:ascii="Arial" w:hAnsi="Arial" w:cs="Arial"/>
        </w:rPr>
        <w:t xml:space="preserve"> is still </w:t>
      </w:r>
      <w:proofErr w:type="gramStart"/>
      <w:r w:rsidRPr="007644CF">
        <w:rPr>
          <w:rFonts w:ascii="Arial" w:hAnsi="Arial" w:cs="Arial"/>
        </w:rPr>
        <w:t>waiting</w:t>
      </w:r>
      <w:proofErr w:type="gramEnd"/>
      <w:r w:rsidRPr="007644CF">
        <w:rPr>
          <w:rFonts w:ascii="Arial" w:hAnsi="Arial" w:cs="Arial"/>
        </w:rPr>
        <w:t xml:space="preserve"> consumer regulatory clarity and adoption of the ecosystem (Zachariadis and Ozcan, 2017).</w:t>
      </w:r>
    </w:p>
    <w:p w14:paraId="3F44A4C6" w14:textId="77777777" w:rsidR="007644CF" w:rsidRPr="00847506" w:rsidRDefault="007644CF" w:rsidP="007644CF">
      <w:pPr>
        <w:spacing w:line="360" w:lineRule="auto"/>
        <w:rPr>
          <w:rFonts w:ascii="Arial" w:hAnsi="Arial" w:cs="Arial"/>
          <w:b/>
        </w:rPr>
      </w:pPr>
      <w:r w:rsidRPr="00847506">
        <w:rPr>
          <w:rFonts w:ascii="Arial" w:hAnsi="Arial" w:cs="Arial"/>
          <w:b/>
        </w:rPr>
        <w:t>CURRENT CUSTOMER JOURNEY MAPPING</w:t>
      </w:r>
    </w:p>
    <w:p w14:paraId="47720949" w14:textId="77777777" w:rsidR="008846CA" w:rsidRPr="00847506" w:rsidRDefault="008846CA" w:rsidP="00847506">
      <w:pPr>
        <w:spacing w:line="360" w:lineRule="auto"/>
        <w:ind w:firstLine="720"/>
        <w:rPr>
          <w:rFonts w:ascii="Arial" w:hAnsi="Arial" w:cs="Arial"/>
        </w:rPr>
      </w:pPr>
      <w:r w:rsidRPr="008846CA">
        <w:rPr>
          <w:rFonts w:ascii="Arial" w:hAnsi="Arial" w:cs="Arial"/>
        </w:rPr>
        <w:t xml:space="preserve">Customer journey mapping represents a graphical representation of the end-to-end experience that customers have during their interaction with an </w:t>
      </w:r>
      <w:r w:rsidR="0043038A" w:rsidRPr="008846CA">
        <w:rPr>
          <w:rFonts w:ascii="Arial" w:hAnsi="Arial" w:cs="Arial"/>
        </w:rPr>
        <w:t>organization</w:t>
      </w:r>
      <w:r w:rsidRPr="008846CA">
        <w:rPr>
          <w:rFonts w:ascii="Arial" w:hAnsi="Arial" w:cs="Arial"/>
        </w:rPr>
        <w:t xml:space="preserve"> that highlights touchpoints, emotional states, pain points and areas of improvement (Lemon and Verhoef, 2016). This map illustrates the customer experience of a typical customer of </w:t>
      </w:r>
      <w:proofErr w:type="gramStart"/>
      <w:r w:rsidRPr="008846CA">
        <w:rPr>
          <w:rFonts w:ascii="Arial" w:hAnsi="Arial" w:cs="Arial"/>
        </w:rPr>
        <w:t>the Barclays</w:t>
      </w:r>
      <w:proofErr w:type="gramEnd"/>
      <w:r w:rsidRPr="008846CA">
        <w:rPr>
          <w:rFonts w:ascii="Arial" w:hAnsi="Arial" w:cs="Arial"/>
        </w:rPr>
        <w:t xml:space="preserve"> personal banking customer with respect to major steps: account discovery and opening, day-to-day banking, seeking financial advice, and resolving a problem.</w:t>
      </w:r>
    </w:p>
    <w:p w14:paraId="7CDB08B0" w14:textId="77777777" w:rsidR="00DE6730" w:rsidRPr="00847506" w:rsidRDefault="00DE6730" w:rsidP="00DE6730">
      <w:pPr>
        <w:spacing w:line="360" w:lineRule="auto"/>
        <w:rPr>
          <w:rFonts w:ascii="Arial" w:hAnsi="Arial" w:cs="Arial"/>
          <w:b/>
        </w:rPr>
      </w:pPr>
      <w:r w:rsidRPr="00847506">
        <w:rPr>
          <w:rFonts w:ascii="Arial" w:hAnsi="Arial" w:cs="Arial"/>
          <w:b/>
        </w:rPr>
        <w:t xml:space="preserve">Discovery and Account Opening Stage. </w:t>
      </w:r>
    </w:p>
    <w:p w14:paraId="79E9399A" w14:textId="77777777" w:rsidR="00DE6730" w:rsidRDefault="00DE6730" w:rsidP="00847506">
      <w:pPr>
        <w:spacing w:line="360" w:lineRule="auto"/>
        <w:ind w:firstLine="720"/>
        <w:rPr>
          <w:rFonts w:ascii="Arial" w:hAnsi="Arial" w:cs="Arial"/>
        </w:rPr>
      </w:pPr>
      <w:r w:rsidRPr="00DE6730">
        <w:rPr>
          <w:rFonts w:ascii="Arial" w:hAnsi="Arial" w:cs="Arial"/>
        </w:rPr>
        <w:t xml:space="preserve">Customer journey starts with awareness creation in digital advertisement, presence in the branch or word of mouth. The potential consumers usually compare banking products using comparison websites, review sites, and the Barclays site (Financial Conduct Authority, 2024). Pain points are revealed instantly because the Barclays site introduces excessive information density without </w:t>
      </w:r>
      <w:r w:rsidR="0043038A" w:rsidRPr="00DE6730">
        <w:rPr>
          <w:rFonts w:ascii="Arial" w:hAnsi="Arial" w:cs="Arial"/>
        </w:rPr>
        <w:t>customized</w:t>
      </w:r>
      <w:r w:rsidRPr="00DE6730">
        <w:rPr>
          <w:rFonts w:ascii="Arial" w:hAnsi="Arial" w:cs="Arial"/>
        </w:rPr>
        <w:t xml:space="preserve"> instructions on the right products to seek depending on the customer situation (Lemon and Verhoef, 2016). Digital transformation has significantly enhanced account opening procedures, as Barclays has allowed online account applications that can be done within 15 minutes and their identity is verified by uploading smartphone photographs (Barclays Digital Report, 2024). Challenger banks, which compete digitally, do this in minutes and this generates negative comparative experiences (Mention, 2020). The Barclays brand reputation that brings confidence and security is a gain point especially to older population who value stability of financial institutions. Also, the positive emotional associations at the acquisition stage can be established with the help of a variety of </w:t>
      </w:r>
      <w:proofErr w:type="gramStart"/>
      <w:r w:rsidRPr="00DE6730">
        <w:rPr>
          <w:rFonts w:ascii="Arial" w:hAnsi="Arial" w:cs="Arial"/>
        </w:rPr>
        <w:t>promotion</w:t>
      </w:r>
      <w:proofErr w:type="gramEnd"/>
      <w:r w:rsidRPr="00DE6730">
        <w:rPr>
          <w:rFonts w:ascii="Arial" w:hAnsi="Arial" w:cs="Arial"/>
        </w:rPr>
        <w:t xml:space="preserve"> incentives, including switching bonuses and cashbacks (Barclays Marketing Report, 2023). </w:t>
      </w:r>
    </w:p>
    <w:p w14:paraId="0353B7EB" w14:textId="77777777" w:rsidR="00DE6730" w:rsidRPr="00847506" w:rsidRDefault="00847506" w:rsidP="00DE6730">
      <w:pPr>
        <w:spacing w:line="360" w:lineRule="auto"/>
        <w:rPr>
          <w:rFonts w:ascii="Arial" w:hAnsi="Arial" w:cs="Arial"/>
          <w:b/>
        </w:rPr>
      </w:pPr>
      <w:r w:rsidRPr="00847506">
        <w:rPr>
          <w:rFonts w:ascii="Arial" w:hAnsi="Arial" w:cs="Arial"/>
          <w:b/>
        </w:rPr>
        <w:t xml:space="preserve">Daily </w:t>
      </w:r>
      <w:r w:rsidR="00DE6730" w:rsidRPr="00847506">
        <w:rPr>
          <w:rFonts w:ascii="Arial" w:hAnsi="Arial" w:cs="Arial"/>
          <w:b/>
        </w:rPr>
        <w:t xml:space="preserve">Banking and </w:t>
      </w:r>
      <w:r w:rsidRPr="00847506">
        <w:rPr>
          <w:rFonts w:ascii="Arial" w:hAnsi="Arial" w:cs="Arial"/>
          <w:b/>
        </w:rPr>
        <w:t>Transactions Management</w:t>
      </w:r>
      <w:r w:rsidR="00DE6730" w:rsidRPr="00847506">
        <w:rPr>
          <w:rFonts w:ascii="Arial" w:hAnsi="Arial" w:cs="Arial"/>
          <w:b/>
        </w:rPr>
        <w:t xml:space="preserve">. </w:t>
      </w:r>
    </w:p>
    <w:p w14:paraId="3DC3664C" w14:textId="77777777" w:rsidR="00DE6730" w:rsidRPr="00DF7DC9" w:rsidRDefault="00DE6730" w:rsidP="00DF7DC9">
      <w:pPr>
        <w:spacing w:line="360" w:lineRule="auto"/>
        <w:ind w:firstLine="720"/>
        <w:rPr>
          <w:rFonts w:ascii="Arial" w:hAnsi="Arial" w:cs="Arial"/>
        </w:rPr>
      </w:pPr>
      <w:r w:rsidRPr="00DE6730">
        <w:rPr>
          <w:rFonts w:ascii="Arial" w:hAnsi="Arial" w:cs="Arial"/>
        </w:rPr>
        <w:lastRenderedPageBreak/>
        <w:t xml:space="preserve">After the process of creating an account, customers move on with their daily banking activities that include payments, transfers, checking of balances and monitoring of expenditures. Functionality and reliability The Barclays Mobile App is the main touchpoint that has been rated on </w:t>
      </w:r>
      <w:proofErr w:type="gramStart"/>
      <w:r w:rsidRPr="00DE6730">
        <w:rPr>
          <w:rFonts w:ascii="Arial" w:hAnsi="Arial" w:cs="Arial"/>
        </w:rPr>
        <w:t>the average</w:t>
      </w:r>
      <w:proofErr w:type="gramEnd"/>
      <w:r w:rsidRPr="00DE6730">
        <w:rPr>
          <w:rFonts w:ascii="Arial" w:hAnsi="Arial" w:cs="Arial"/>
        </w:rPr>
        <w:t xml:space="preserve"> with positive customer satisfaction (Barclays Customer Research, 2024). Biometric log in, real-time notification, and spend </w:t>
      </w:r>
      <w:r w:rsidR="0043038A" w:rsidRPr="00DE6730">
        <w:rPr>
          <w:rFonts w:ascii="Arial" w:hAnsi="Arial" w:cs="Arial"/>
        </w:rPr>
        <w:t>categorization</w:t>
      </w:r>
      <w:r w:rsidRPr="00DE6730">
        <w:rPr>
          <w:rFonts w:ascii="Arial" w:hAnsi="Arial" w:cs="Arial"/>
        </w:rPr>
        <w:t xml:space="preserve"> features offering insight into financial </w:t>
      </w:r>
      <w:r w:rsidR="0043038A" w:rsidRPr="00DE6730">
        <w:rPr>
          <w:rFonts w:ascii="Arial" w:hAnsi="Arial" w:cs="Arial"/>
        </w:rPr>
        <w:t>behavior</w:t>
      </w:r>
      <w:r w:rsidRPr="00DE6730">
        <w:rPr>
          <w:rFonts w:ascii="Arial" w:hAnsi="Arial" w:cs="Arial"/>
        </w:rPr>
        <w:t>: cust</w:t>
      </w:r>
      <w:r w:rsidR="00DF7DC9">
        <w:rPr>
          <w:rFonts w:ascii="Arial" w:hAnsi="Arial" w:cs="Arial"/>
        </w:rPr>
        <w:t>omers like these features.</w:t>
      </w:r>
      <w:r w:rsidRPr="00DE6730">
        <w:rPr>
          <w:rFonts w:ascii="Arial" w:hAnsi="Arial" w:cs="Arial"/>
        </w:rPr>
        <w:t xml:space="preserve"> The impossibility of </w:t>
      </w:r>
      <w:proofErr w:type="spellStart"/>
      <w:r w:rsidRPr="00DE6730">
        <w:rPr>
          <w:rFonts w:ascii="Arial" w:hAnsi="Arial" w:cs="Arial"/>
        </w:rPr>
        <w:t>customising</w:t>
      </w:r>
      <w:proofErr w:type="spellEnd"/>
      <w:r w:rsidRPr="00DE6730">
        <w:rPr>
          <w:rFonts w:ascii="Arial" w:hAnsi="Arial" w:cs="Arial"/>
        </w:rPr>
        <w:t xml:space="preserve"> the interface or to </w:t>
      </w:r>
      <w:proofErr w:type="spellStart"/>
      <w:r w:rsidRPr="00DE6730">
        <w:rPr>
          <w:rFonts w:ascii="Arial" w:hAnsi="Arial" w:cs="Arial"/>
        </w:rPr>
        <w:t>prioritise</w:t>
      </w:r>
      <w:proofErr w:type="spellEnd"/>
      <w:r w:rsidRPr="00DE6730">
        <w:rPr>
          <w:rFonts w:ascii="Arial" w:hAnsi="Arial" w:cs="Arial"/>
        </w:rPr>
        <w:t xml:space="preserve"> the most frequent features causes unnecessary friction. Also, despite the existence of spending </w:t>
      </w:r>
      <w:r w:rsidR="0043038A" w:rsidRPr="00DE6730">
        <w:rPr>
          <w:rFonts w:ascii="Arial" w:hAnsi="Arial" w:cs="Arial"/>
        </w:rPr>
        <w:t>categorization</w:t>
      </w:r>
      <w:r w:rsidRPr="00DE6730">
        <w:rPr>
          <w:rFonts w:ascii="Arial" w:hAnsi="Arial" w:cs="Arial"/>
        </w:rPr>
        <w:t>, it is not as sophisticated as challenger banks that can predict their users spending habits, provide automated savings configurations, and send proactive notices to users about atypical spending (</w:t>
      </w:r>
      <w:proofErr w:type="spellStart"/>
      <w:r w:rsidRPr="00DE6730">
        <w:rPr>
          <w:rFonts w:ascii="Arial" w:hAnsi="Arial" w:cs="Arial"/>
        </w:rPr>
        <w:t>Omarini</w:t>
      </w:r>
      <w:proofErr w:type="spellEnd"/>
      <w:r w:rsidRPr="00DE6730">
        <w:rPr>
          <w:rFonts w:ascii="Arial" w:hAnsi="Arial" w:cs="Arial"/>
        </w:rPr>
        <w:t xml:space="preserve">, 2021). They still constitute an important part of complex transactions, but the network is diminishing at a rate of 35 percent since 2020-2024 as part of an ongoing branch </w:t>
      </w:r>
      <w:r w:rsidR="0043038A" w:rsidRPr="00DE6730">
        <w:rPr>
          <w:rFonts w:ascii="Arial" w:hAnsi="Arial" w:cs="Arial"/>
        </w:rPr>
        <w:t>rationalization</w:t>
      </w:r>
      <w:r w:rsidRPr="00DE6730">
        <w:rPr>
          <w:rFonts w:ascii="Arial" w:hAnsi="Arial" w:cs="Arial"/>
        </w:rPr>
        <w:t xml:space="preserve"> </w:t>
      </w:r>
      <w:proofErr w:type="spellStart"/>
      <w:r w:rsidRPr="00DE6730">
        <w:rPr>
          <w:rFonts w:ascii="Arial" w:hAnsi="Arial" w:cs="Arial"/>
        </w:rPr>
        <w:t>programme</w:t>
      </w:r>
      <w:proofErr w:type="spellEnd"/>
      <w:r w:rsidRPr="00DE6730">
        <w:rPr>
          <w:rFonts w:ascii="Arial" w:hAnsi="Arial" w:cs="Arial"/>
        </w:rPr>
        <w:t>, which Barclays has diminished physical accessibility especially in rural populations (Barclays Network Report,</w:t>
      </w:r>
      <w:r w:rsidR="00DF7DC9">
        <w:rPr>
          <w:rFonts w:ascii="Arial" w:hAnsi="Arial" w:cs="Arial"/>
        </w:rPr>
        <w:t xml:space="preserve"> 2024).</w:t>
      </w:r>
    </w:p>
    <w:p w14:paraId="0C3846BC" w14:textId="77777777" w:rsidR="00DF7DC9" w:rsidRPr="00DF7DC9" w:rsidRDefault="00DE6730" w:rsidP="00DE6730">
      <w:pPr>
        <w:spacing w:line="360" w:lineRule="auto"/>
        <w:rPr>
          <w:rFonts w:ascii="Arial" w:hAnsi="Arial" w:cs="Arial"/>
          <w:b/>
        </w:rPr>
      </w:pPr>
      <w:r w:rsidRPr="00DF7DC9">
        <w:rPr>
          <w:rFonts w:ascii="Arial" w:hAnsi="Arial" w:cs="Arial"/>
          <w:b/>
        </w:rPr>
        <w:t xml:space="preserve">Product Discovery and Financial Advice. </w:t>
      </w:r>
    </w:p>
    <w:p w14:paraId="65FE4B99" w14:textId="77777777" w:rsidR="00DE6730" w:rsidRDefault="00DE6730" w:rsidP="00DF7DC9">
      <w:pPr>
        <w:spacing w:line="360" w:lineRule="auto"/>
        <w:ind w:firstLine="720"/>
        <w:rPr>
          <w:rFonts w:ascii="Arial" w:hAnsi="Arial" w:cs="Arial"/>
        </w:rPr>
      </w:pPr>
      <w:r w:rsidRPr="00DE6730">
        <w:rPr>
          <w:rFonts w:ascii="Arial" w:hAnsi="Arial" w:cs="Arial"/>
        </w:rPr>
        <w:t xml:space="preserve">When customers </w:t>
      </w:r>
      <w:proofErr w:type="gramStart"/>
      <w:r w:rsidRPr="00DE6730">
        <w:rPr>
          <w:rFonts w:ascii="Arial" w:hAnsi="Arial" w:cs="Arial"/>
        </w:rPr>
        <w:t>are in need of</w:t>
      </w:r>
      <w:proofErr w:type="gramEnd"/>
      <w:r w:rsidRPr="00DE6730">
        <w:rPr>
          <w:rFonts w:ascii="Arial" w:hAnsi="Arial" w:cs="Arial"/>
        </w:rPr>
        <w:t xml:space="preserve"> financial guidance be it in mortgage, investments or retirement planning, the pathway is made a lot more complex and divided. Barclays has several channels such as phone banking, branch booking and digital </w:t>
      </w:r>
      <w:proofErr w:type="gramStart"/>
      <w:r w:rsidRPr="00DE6730">
        <w:rPr>
          <w:rFonts w:ascii="Arial" w:hAnsi="Arial" w:cs="Arial"/>
        </w:rPr>
        <w:t>facilities</w:t>
      </w:r>
      <w:proofErr w:type="gramEnd"/>
      <w:r w:rsidRPr="00DE6730">
        <w:rPr>
          <w:rFonts w:ascii="Arial" w:hAnsi="Arial" w:cs="Arial"/>
        </w:rPr>
        <w:t xml:space="preserve"> but they are in silos which do not have integrated customer data that allows smoother transitions (Lee and Shin, 2018). Some areas requiring improvement are the long queues to meet specialists, which can take more than two weeks to mortgage advisors (Barclays Customer Feed</w:t>
      </w:r>
      <w:r w:rsidR="00DF7DC9">
        <w:rPr>
          <w:rFonts w:ascii="Arial" w:hAnsi="Arial" w:cs="Arial"/>
        </w:rPr>
        <w:t xml:space="preserve">back, 2023). </w:t>
      </w:r>
      <w:r w:rsidRPr="00DE6730">
        <w:rPr>
          <w:rFonts w:ascii="Arial" w:hAnsi="Arial" w:cs="Arial"/>
        </w:rPr>
        <w:t xml:space="preserve">Online journeys are often abandoned by customers midway because of ineffective online services switching to phone or branch services (Lemon and Verhoef, 2016). There is a chance in the AI-based advisor solutions that can offer immediate, personal advisories and then automatically pass on more complicated cases to human advisors who will have all the context. The existing fragmented experience causes frustration to customers and cross-selling opportunities (Accenture, 2023). </w:t>
      </w:r>
    </w:p>
    <w:p w14:paraId="67A71A5A" w14:textId="77777777" w:rsidR="00DE6730" w:rsidRPr="00DF7DC9" w:rsidRDefault="00DE6730" w:rsidP="00DE6730">
      <w:pPr>
        <w:spacing w:line="360" w:lineRule="auto"/>
        <w:rPr>
          <w:rFonts w:ascii="Arial" w:hAnsi="Arial" w:cs="Arial"/>
          <w:b/>
        </w:rPr>
      </w:pPr>
      <w:r w:rsidRPr="00DF7DC9">
        <w:rPr>
          <w:rFonts w:ascii="Arial" w:hAnsi="Arial" w:cs="Arial"/>
          <w:b/>
        </w:rPr>
        <w:t xml:space="preserve">Problem Solving and Customer Service. </w:t>
      </w:r>
    </w:p>
    <w:p w14:paraId="10AACC82" w14:textId="77777777" w:rsidR="00DE6730" w:rsidRDefault="00DE6730" w:rsidP="00DF7DC9">
      <w:pPr>
        <w:spacing w:line="360" w:lineRule="auto"/>
        <w:ind w:firstLine="720"/>
        <w:rPr>
          <w:rFonts w:ascii="Arial" w:hAnsi="Arial" w:cs="Arial"/>
        </w:rPr>
      </w:pPr>
      <w:proofErr w:type="gramStart"/>
      <w:r w:rsidRPr="00DE6730">
        <w:rPr>
          <w:rFonts w:ascii="Arial" w:hAnsi="Arial" w:cs="Arial"/>
        </w:rPr>
        <w:t>Problem solving</w:t>
      </w:r>
      <w:proofErr w:type="gramEnd"/>
      <w:r w:rsidRPr="00DE6730">
        <w:rPr>
          <w:rFonts w:ascii="Arial" w:hAnsi="Arial" w:cs="Arial"/>
        </w:rPr>
        <w:t xml:space="preserve"> trips will start when the customers experience problems like transactions, the loss of cards or access to the accounts. Barclays offers various resolution options such as </w:t>
      </w:r>
      <w:r w:rsidR="0043038A" w:rsidRPr="00DE6730">
        <w:rPr>
          <w:rFonts w:ascii="Arial" w:hAnsi="Arial" w:cs="Arial"/>
        </w:rPr>
        <w:t>Chatbot</w:t>
      </w:r>
      <w:r w:rsidRPr="00DE6730">
        <w:rPr>
          <w:rFonts w:ascii="Arial" w:hAnsi="Arial" w:cs="Arial"/>
        </w:rPr>
        <w:t xml:space="preserve">, phone services and branch support. Nonetheless, the customers complain of inconsistent experience as they switch channels </w:t>
      </w:r>
      <w:proofErr w:type="gramStart"/>
      <w:r w:rsidRPr="00DE6730">
        <w:rPr>
          <w:rFonts w:ascii="Arial" w:hAnsi="Arial" w:cs="Arial"/>
        </w:rPr>
        <w:t>and in many cases,</w:t>
      </w:r>
      <w:proofErr w:type="gramEnd"/>
      <w:r w:rsidRPr="00DE6730">
        <w:rPr>
          <w:rFonts w:ascii="Arial" w:hAnsi="Arial" w:cs="Arial"/>
        </w:rPr>
        <w:t xml:space="preserve"> chatbots fail to </w:t>
      </w:r>
      <w:r w:rsidRPr="00DE6730">
        <w:rPr>
          <w:rFonts w:ascii="Arial" w:hAnsi="Arial" w:cs="Arial"/>
        </w:rPr>
        <w:lastRenderedPageBreak/>
        <w:t xml:space="preserve">address </w:t>
      </w:r>
      <w:r w:rsidR="0043038A" w:rsidRPr="00DE6730">
        <w:rPr>
          <w:rFonts w:ascii="Arial" w:hAnsi="Arial" w:cs="Arial"/>
        </w:rPr>
        <w:t>subtler</w:t>
      </w:r>
      <w:r w:rsidRPr="00DE6730">
        <w:rPr>
          <w:rFonts w:ascii="Arial" w:hAnsi="Arial" w:cs="Arial"/>
        </w:rPr>
        <w:t xml:space="preserve"> issues, and a customer </w:t>
      </w:r>
      <w:proofErr w:type="gramStart"/>
      <w:r w:rsidRPr="00DE6730">
        <w:rPr>
          <w:rFonts w:ascii="Arial" w:hAnsi="Arial" w:cs="Arial"/>
        </w:rPr>
        <w:t>has to</w:t>
      </w:r>
      <w:proofErr w:type="gramEnd"/>
      <w:r w:rsidRPr="00DE6730">
        <w:rPr>
          <w:rFonts w:ascii="Arial" w:hAnsi="Arial" w:cs="Arial"/>
        </w:rPr>
        <w:t xml:space="preserve"> wait longer on the phone call line, with an </w:t>
      </w:r>
      <w:proofErr w:type="gramStart"/>
      <w:r w:rsidRPr="00DE6730">
        <w:rPr>
          <w:rFonts w:ascii="Arial" w:hAnsi="Arial" w:cs="Arial"/>
        </w:rPr>
        <w:t>average hold</w:t>
      </w:r>
      <w:proofErr w:type="gramEnd"/>
      <w:r w:rsidRPr="00DE6730">
        <w:rPr>
          <w:rFonts w:ascii="Arial" w:hAnsi="Arial" w:cs="Arial"/>
        </w:rPr>
        <w:t xml:space="preserve"> time of 12 minutes during rush hours (Barclays Service Metrics, 2024). Another major area of concern is that customers </w:t>
      </w:r>
      <w:proofErr w:type="gramStart"/>
      <w:r w:rsidRPr="00DE6730">
        <w:rPr>
          <w:rFonts w:ascii="Arial" w:hAnsi="Arial" w:cs="Arial"/>
        </w:rPr>
        <w:t>have to</w:t>
      </w:r>
      <w:proofErr w:type="gramEnd"/>
      <w:r w:rsidRPr="00DE6730">
        <w:rPr>
          <w:rFonts w:ascii="Arial" w:hAnsi="Arial" w:cs="Arial"/>
        </w:rPr>
        <w:t xml:space="preserve"> re-explain the situation when a department or channel is changed due to the lack of system integration because the context cannot be shared between them (</w:t>
      </w:r>
      <w:proofErr w:type="spellStart"/>
      <w:r w:rsidRPr="00DE6730">
        <w:rPr>
          <w:rFonts w:ascii="Arial" w:hAnsi="Arial" w:cs="Arial"/>
        </w:rPr>
        <w:t>Mbama</w:t>
      </w:r>
      <w:proofErr w:type="spellEnd"/>
      <w:r w:rsidRPr="00DE6730">
        <w:rPr>
          <w:rFonts w:ascii="Arial" w:hAnsi="Arial" w:cs="Arial"/>
        </w:rPr>
        <w:t xml:space="preserve"> and </w:t>
      </w:r>
      <w:proofErr w:type="spellStart"/>
      <w:r w:rsidRPr="00DE6730">
        <w:rPr>
          <w:rFonts w:ascii="Arial" w:hAnsi="Arial" w:cs="Arial"/>
        </w:rPr>
        <w:t>Ezepue</w:t>
      </w:r>
      <w:proofErr w:type="spellEnd"/>
      <w:r w:rsidRPr="00DE6730">
        <w:rPr>
          <w:rFonts w:ascii="Arial" w:hAnsi="Arial" w:cs="Arial"/>
        </w:rPr>
        <w:t>, 2018). This friction is manifested in fraud alerts, where customers can obtain automated text messages but have problems authenticating and resolving problem</w:t>
      </w:r>
      <w:r w:rsidR="00DF7DC9">
        <w:rPr>
          <w:rFonts w:ascii="Arial" w:hAnsi="Arial" w:cs="Arial"/>
        </w:rPr>
        <w:t xml:space="preserve">s in their next interactions. </w:t>
      </w:r>
    </w:p>
    <w:p w14:paraId="03745A97" w14:textId="77777777" w:rsidR="000B016F" w:rsidRPr="00DF7DC9" w:rsidRDefault="000B016F" w:rsidP="00DE6730">
      <w:pPr>
        <w:spacing w:line="360" w:lineRule="auto"/>
        <w:rPr>
          <w:rFonts w:ascii="Arial" w:hAnsi="Arial" w:cs="Arial"/>
          <w:b/>
        </w:rPr>
      </w:pPr>
      <w:r w:rsidRPr="00DF7DC9">
        <w:rPr>
          <w:rFonts w:ascii="Arial" w:hAnsi="Arial" w:cs="Arial"/>
          <w:b/>
        </w:rPr>
        <w:t>PART 2: PROPOSED DIGITAL TRANSFORMATION INITIATIVE</w:t>
      </w:r>
    </w:p>
    <w:p w14:paraId="21C411A6" w14:textId="77777777" w:rsidR="000B016F" w:rsidRDefault="000B016F" w:rsidP="00DF7DC9">
      <w:pPr>
        <w:spacing w:line="360" w:lineRule="auto"/>
        <w:ind w:firstLine="720"/>
        <w:rPr>
          <w:rFonts w:ascii="Arial" w:hAnsi="Arial" w:cs="Arial"/>
        </w:rPr>
      </w:pPr>
      <w:r w:rsidRPr="000B016F">
        <w:rPr>
          <w:rFonts w:ascii="Arial" w:hAnsi="Arial" w:cs="Arial"/>
        </w:rPr>
        <w:t xml:space="preserve">It is based on the innovation and customer journey analysis that this section suggests a holistic digital transformation program that will target the pain points identified and will position Barclays competitively against digital-native challengers. The suggested Barclays </w:t>
      </w:r>
      <w:r w:rsidR="0043038A" w:rsidRPr="000B016F">
        <w:rPr>
          <w:rFonts w:ascii="Arial" w:hAnsi="Arial" w:cs="Arial"/>
        </w:rPr>
        <w:t>Life Sync</w:t>
      </w:r>
      <w:r w:rsidRPr="000B016F">
        <w:rPr>
          <w:rFonts w:ascii="Arial" w:hAnsi="Arial" w:cs="Arial"/>
        </w:rPr>
        <w:t xml:space="preserve"> Platform is a transformational product that will join the concepts of financial wellness, sustainability tracking, and AI-driven </w:t>
      </w:r>
      <w:proofErr w:type="spellStart"/>
      <w:r w:rsidRPr="000B016F">
        <w:rPr>
          <w:rFonts w:ascii="Arial" w:hAnsi="Arial" w:cs="Arial"/>
        </w:rPr>
        <w:t>personalisation</w:t>
      </w:r>
      <w:proofErr w:type="spellEnd"/>
      <w:r w:rsidRPr="000B016F">
        <w:rPr>
          <w:rFonts w:ascii="Arial" w:hAnsi="Arial" w:cs="Arial"/>
        </w:rPr>
        <w:t xml:space="preserve"> into a single customer experience.</w:t>
      </w:r>
    </w:p>
    <w:p w14:paraId="79E5C905" w14:textId="77777777" w:rsidR="00295591" w:rsidRPr="00DF7DC9" w:rsidRDefault="00295591" w:rsidP="00DE6730">
      <w:pPr>
        <w:spacing w:line="360" w:lineRule="auto"/>
        <w:rPr>
          <w:rFonts w:ascii="Arial" w:hAnsi="Arial" w:cs="Arial"/>
          <w:b/>
        </w:rPr>
      </w:pPr>
      <w:r w:rsidRPr="00DF7DC9">
        <w:rPr>
          <w:rFonts w:ascii="Arial" w:hAnsi="Arial" w:cs="Arial"/>
          <w:b/>
        </w:rPr>
        <w:t xml:space="preserve">Barclays </w:t>
      </w:r>
      <w:r w:rsidR="0043038A" w:rsidRPr="00DF7DC9">
        <w:rPr>
          <w:rFonts w:ascii="Arial" w:hAnsi="Arial" w:cs="Arial"/>
          <w:b/>
        </w:rPr>
        <w:t>Life Sync</w:t>
      </w:r>
      <w:r w:rsidRPr="00DF7DC9">
        <w:rPr>
          <w:rFonts w:ascii="Arial" w:hAnsi="Arial" w:cs="Arial"/>
          <w:b/>
        </w:rPr>
        <w:t xml:space="preserve"> Platform: A Financial Wellness Ecosystem. </w:t>
      </w:r>
    </w:p>
    <w:p w14:paraId="7F5DBC19" w14:textId="77777777" w:rsidR="00DF7DC9" w:rsidRDefault="00295591" w:rsidP="00DF7DC9">
      <w:pPr>
        <w:spacing w:line="360" w:lineRule="auto"/>
        <w:ind w:firstLine="720"/>
        <w:rPr>
          <w:rFonts w:ascii="Arial" w:hAnsi="Arial" w:cs="Arial"/>
        </w:rPr>
      </w:pPr>
      <w:r w:rsidRPr="00295591">
        <w:rPr>
          <w:rFonts w:ascii="Arial" w:hAnsi="Arial" w:cs="Arial"/>
        </w:rPr>
        <w:t xml:space="preserve">The Barclays </w:t>
      </w:r>
      <w:r w:rsidR="0043038A" w:rsidRPr="00295591">
        <w:rPr>
          <w:rFonts w:ascii="Arial" w:hAnsi="Arial" w:cs="Arial"/>
        </w:rPr>
        <w:t>Life Sync</w:t>
      </w:r>
      <w:r w:rsidRPr="00295591">
        <w:rPr>
          <w:rFonts w:ascii="Arial" w:hAnsi="Arial" w:cs="Arial"/>
        </w:rPr>
        <w:t xml:space="preserve"> Platform redefines the banking relationships as more than the facilitation of transactions towards the relationship between banks and their clients as an all-encompassing financial wellness. This initiative incorporates four major pillars: </w:t>
      </w:r>
    </w:p>
    <w:p w14:paraId="4A0611E1" w14:textId="77777777" w:rsidR="00DF7DC9" w:rsidRDefault="00295591" w:rsidP="00DF7DC9">
      <w:pPr>
        <w:pStyle w:val="ListParagraph"/>
        <w:numPr>
          <w:ilvl w:val="0"/>
          <w:numId w:val="4"/>
        </w:numPr>
        <w:spacing w:line="360" w:lineRule="auto"/>
        <w:rPr>
          <w:rFonts w:ascii="Arial" w:hAnsi="Arial" w:cs="Arial"/>
        </w:rPr>
      </w:pPr>
      <w:r w:rsidRPr="00DF7DC9">
        <w:rPr>
          <w:rFonts w:ascii="Arial" w:hAnsi="Arial" w:cs="Arial"/>
          <w:b/>
        </w:rPr>
        <w:t>Financial Wellness Dashboard AI-Powered</w:t>
      </w:r>
      <w:r w:rsidRPr="00DF7DC9">
        <w:rPr>
          <w:rFonts w:ascii="Arial" w:hAnsi="Arial" w:cs="Arial"/>
        </w:rPr>
        <w:t xml:space="preserve"> - Insightful predictive, automatic </w:t>
      </w:r>
      <w:proofErr w:type="spellStart"/>
      <w:r w:rsidRPr="00DF7DC9">
        <w:rPr>
          <w:rFonts w:ascii="Arial" w:hAnsi="Arial" w:cs="Arial"/>
        </w:rPr>
        <w:t>optimisation</w:t>
      </w:r>
      <w:proofErr w:type="spellEnd"/>
      <w:r w:rsidRPr="00DF7DC9">
        <w:rPr>
          <w:rFonts w:ascii="Arial" w:hAnsi="Arial" w:cs="Arial"/>
        </w:rPr>
        <w:t xml:space="preserve">, and recommendations. </w:t>
      </w:r>
    </w:p>
    <w:p w14:paraId="65E8B5E2" w14:textId="77777777" w:rsidR="00DF7DC9" w:rsidRDefault="00295591" w:rsidP="00DF7DC9">
      <w:pPr>
        <w:pStyle w:val="ListParagraph"/>
        <w:numPr>
          <w:ilvl w:val="0"/>
          <w:numId w:val="4"/>
        </w:numPr>
        <w:spacing w:line="360" w:lineRule="auto"/>
        <w:rPr>
          <w:rFonts w:ascii="Arial" w:hAnsi="Arial" w:cs="Arial"/>
        </w:rPr>
      </w:pPr>
      <w:r w:rsidRPr="00DF7DC9">
        <w:rPr>
          <w:rFonts w:ascii="Arial" w:hAnsi="Arial" w:cs="Arial"/>
          <w:b/>
        </w:rPr>
        <w:t>Sustainability Intelligence</w:t>
      </w:r>
      <w:r w:rsidRPr="00DF7DC9">
        <w:rPr>
          <w:rFonts w:ascii="Arial" w:hAnsi="Arial" w:cs="Arial"/>
        </w:rPr>
        <w:t xml:space="preserve"> - Tracking of a carbon footprint of all expenditure and investment operations with a practical reduction route. </w:t>
      </w:r>
    </w:p>
    <w:p w14:paraId="2B969471" w14:textId="77777777" w:rsidR="00DF7DC9" w:rsidRDefault="00295591" w:rsidP="00DF7DC9">
      <w:pPr>
        <w:pStyle w:val="ListParagraph"/>
        <w:numPr>
          <w:ilvl w:val="0"/>
          <w:numId w:val="4"/>
        </w:numPr>
        <w:spacing w:line="360" w:lineRule="auto"/>
        <w:rPr>
          <w:rFonts w:ascii="Arial" w:hAnsi="Arial" w:cs="Arial"/>
        </w:rPr>
      </w:pPr>
      <w:r w:rsidRPr="00DF7DC9">
        <w:rPr>
          <w:rFonts w:ascii="Arial" w:hAnsi="Arial" w:cs="Arial"/>
          <w:b/>
        </w:rPr>
        <w:t>Integrated Life Goal Planning</w:t>
      </w:r>
      <w:r w:rsidRPr="00DF7DC9">
        <w:rPr>
          <w:rFonts w:ascii="Arial" w:hAnsi="Arial" w:cs="Arial"/>
        </w:rPr>
        <w:t xml:space="preserve"> - Bridging the gap between personal ambitions and financial selections and choices as well as business planning through gamified progress tracking. </w:t>
      </w:r>
    </w:p>
    <w:p w14:paraId="4AC977C2" w14:textId="77777777" w:rsidR="000B016F" w:rsidRPr="00DF7DC9" w:rsidRDefault="00295591" w:rsidP="00DF7DC9">
      <w:pPr>
        <w:pStyle w:val="ListParagraph"/>
        <w:numPr>
          <w:ilvl w:val="0"/>
          <w:numId w:val="4"/>
        </w:numPr>
        <w:spacing w:line="360" w:lineRule="auto"/>
        <w:rPr>
          <w:rFonts w:ascii="Arial" w:hAnsi="Arial" w:cs="Arial"/>
        </w:rPr>
      </w:pPr>
      <w:r w:rsidRPr="00DF7DC9">
        <w:rPr>
          <w:rFonts w:ascii="Arial" w:hAnsi="Arial" w:cs="Arial"/>
          <w:b/>
        </w:rPr>
        <w:t>Fluid Omnichannel Coordination</w:t>
      </w:r>
      <w:r w:rsidRPr="00DF7DC9">
        <w:rPr>
          <w:rFonts w:ascii="Arial" w:hAnsi="Arial" w:cs="Arial"/>
        </w:rPr>
        <w:t xml:space="preserve"> - Smooth movement between online and offline experiences and full contextualization. </w:t>
      </w:r>
    </w:p>
    <w:p w14:paraId="2E043CF9" w14:textId="77777777" w:rsidR="00DF7DC9" w:rsidRPr="00DF7DC9" w:rsidRDefault="00295591" w:rsidP="00DE6730">
      <w:pPr>
        <w:spacing w:line="360" w:lineRule="auto"/>
        <w:rPr>
          <w:rFonts w:ascii="Arial" w:hAnsi="Arial" w:cs="Arial"/>
          <w:b/>
        </w:rPr>
      </w:pPr>
      <w:r w:rsidRPr="00DF7DC9">
        <w:rPr>
          <w:rFonts w:ascii="Arial" w:hAnsi="Arial" w:cs="Arial"/>
          <w:b/>
        </w:rPr>
        <w:t xml:space="preserve">Better Discovery and Onboarding. </w:t>
      </w:r>
    </w:p>
    <w:p w14:paraId="73A3DAB8" w14:textId="77777777" w:rsidR="00295591" w:rsidRDefault="0043038A" w:rsidP="00DF7DC9">
      <w:pPr>
        <w:spacing w:line="360" w:lineRule="auto"/>
        <w:ind w:firstLine="720"/>
        <w:rPr>
          <w:rFonts w:ascii="Arial" w:hAnsi="Arial" w:cs="Arial"/>
        </w:rPr>
      </w:pPr>
      <w:r w:rsidRPr="00295591">
        <w:rPr>
          <w:rFonts w:ascii="Arial" w:hAnsi="Arial" w:cs="Arial"/>
        </w:rPr>
        <w:t>Life Sync</w:t>
      </w:r>
      <w:r w:rsidR="00295591" w:rsidRPr="00295591">
        <w:rPr>
          <w:rFonts w:ascii="Arial" w:hAnsi="Arial" w:cs="Arial"/>
        </w:rPr>
        <w:t xml:space="preserve"> Platform presents a smart experience of discovery that takes the potential consumers through </w:t>
      </w:r>
      <w:proofErr w:type="spellStart"/>
      <w:r w:rsidRPr="00295591">
        <w:rPr>
          <w:rFonts w:ascii="Arial" w:hAnsi="Arial" w:cs="Arial"/>
        </w:rPr>
        <w:t>Personalised</w:t>
      </w:r>
      <w:proofErr w:type="spellEnd"/>
      <w:r w:rsidR="00295591" w:rsidRPr="00295591">
        <w:rPr>
          <w:rFonts w:ascii="Arial" w:hAnsi="Arial" w:cs="Arial"/>
        </w:rPr>
        <w:t xml:space="preserve"> questionnaires to test their financial ambitions, sustainability and banking priorities. AI algorithms suggest the most suitable product deals and clearly justify reasons to gain trust by being straightforward instead of feeling overwhelmed by numerous </w:t>
      </w:r>
      <w:r w:rsidR="00295591" w:rsidRPr="00295591">
        <w:rPr>
          <w:rFonts w:ascii="Arial" w:hAnsi="Arial" w:cs="Arial"/>
        </w:rPr>
        <w:lastRenderedPageBreak/>
        <w:t xml:space="preserve">choices (Lemon and Verhoef, 2016). The opening of an account happens fully in the application with the use of enhanced identity verification supported by facial recognition and passive liveness detection with the success rates reaching 98% without human intervention (Barclays Technology Roadmap, 2024). New users are given temporary full access to the service with limited functionality as </w:t>
      </w:r>
      <w:proofErr w:type="gramStart"/>
      <w:r w:rsidR="00295591" w:rsidRPr="00295591">
        <w:rPr>
          <w:rFonts w:ascii="Arial" w:hAnsi="Arial" w:cs="Arial"/>
        </w:rPr>
        <w:t>a background</w:t>
      </w:r>
      <w:proofErr w:type="gramEnd"/>
      <w:r w:rsidR="00295591" w:rsidRPr="00295591">
        <w:rPr>
          <w:rFonts w:ascii="Arial" w:hAnsi="Arial" w:cs="Arial"/>
        </w:rPr>
        <w:t xml:space="preserve"> verification is carried out, </w:t>
      </w:r>
      <w:proofErr w:type="gramStart"/>
      <w:r w:rsidR="00295591" w:rsidRPr="00295591">
        <w:rPr>
          <w:rFonts w:ascii="Arial" w:hAnsi="Arial" w:cs="Arial"/>
        </w:rPr>
        <w:t>obviating</w:t>
      </w:r>
      <w:proofErr w:type="gramEnd"/>
      <w:r w:rsidR="00295591" w:rsidRPr="00295591">
        <w:rPr>
          <w:rFonts w:ascii="Arial" w:hAnsi="Arial" w:cs="Arial"/>
        </w:rPr>
        <w:t xml:space="preserve"> frustrating</w:t>
      </w:r>
      <w:r w:rsidR="00DF7DC9">
        <w:rPr>
          <w:rFonts w:ascii="Arial" w:hAnsi="Arial" w:cs="Arial"/>
        </w:rPr>
        <w:t xml:space="preserve"> </w:t>
      </w:r>
      <w:proofErr w:type="gramStart"/>
      <w:r w:rsidR="00DF7DC9">
        <w:rPr>
          <w:rFonts w:ascii="Arial" w:hAnsi="Arial" w:cs="Arial"/>
        </w:rPr>
        <w:t>wait</w:t>
      </w:r>
      <w:proofErr w:type="gramEnd"/>
      <w:r w:rsidR="00DF7DC9">
        <w:rPr>
          <w:rFonts w:ascii="Arial" w:hAnsi="Arial" w:cs="Arial"/>
        </w:rPr>
        <w:t xml:space="preserve"> times.</w:t>
      </w:r>
    </w:p>
    <w:p w14:paraId="700AC2DF" w14:textId="77777777" w:rsidR="00DF7DC9" w:rsidRPr="00DF7DC9" w:rsidRDefault="00295591" w:rsidP="00DF7DC9">
      <w:pPr>
        <w:spacing w:line="360" w:lineRule="auto"/>
        <w:rPr>
          <w:rFonts w:ascii="Arial" w:hAnsi="Arial" w:cs="Arial"/>
          <w:b/>
        </w:rPr>
      </w:pPr>
      <w:r w:rsidRPr="00DF7DC9">
        <w:rPr>
          <w:rFonts w:ascii="Arial" w:hAnsi="Arial" w:cs="Arial"/>
          <w:b/>
        </w:rPr>
        <w:t xml:space="preserve">Acts of Daily Banking and Financial Wellness. </w:t>
      </w:r>
    </w:p>
    <w:p w14:paraId="67E2D2C8" w14:textId="77777777" w:rsidR="00295591" w:rsidRDefault="00295591" w:rsidP="00DF7DC9">
      <w:pPr>
        <w:spacing w:line="360" w:lineRule="auto"/>
        <w:ind w:firstLine="720"/>
        <w:rPr>
          <w:rFonts w:ascii="Arial" w:hAnsi="Arial" w:cs="Arial"/>
        </w:rPr>
      </w:pPr>
      <w:proofErr w:type="gramStart"/>
      <w:r w:rsidRPr="00295591">
        <w:rPr>
          <w:rFonts w:ascii="Arial" w:hAnsi="Arial" w:cs="Arial"/>
        </w:rPr>
        <w:t>The daily</w:t>
      </w:r>
      <w:proofErr w:type="gramEnd"/>
      <w:r w:rsidRPr="00295591">
        <w:rPr>
          <w:rFonts w:ascii="Arial" w:hAnsi="Arial" w:cs="Arial"/>
        </w:rPr>
        <w:t xml:space="preserve"> banking experience </w:t>
      </w:r>
      <w:proofErr w:type="gramStart"/>
      <w:r w:rsidRPr="00295591">
        <w:rPr>
          <w:rFonts w:ascii="Arial" w:hAnsi="Arial" w:cs="Arial"/>
        </w:rPr>
        <w:t>alters to</w:t>
      </w:r>
      <w:proofErr w:type="gramEnd"/>
      <w:r w:rsidRPr="00295591">
        <w:rPr>
          <w:rFonts w:ascii="Arial" w:hAnsi="Arial" w:cs="Arial"/>
        </w:rPr>
        <w:t xml:space="preserve"> being responsive in the management of </w:t>
      </w:r>
      <w:proofErr w:type="gramStart"/>
      <w:r w:rsidRPr="00295591">
        <w:rPr>
          <w:rFonts w:ascii="Arial" w:hAnsi="Arial" w:cs="Arial"/>
        </w:rPr>
        <w:t>transaction</w:t>
      </w:r>
      <w:proofErr w:type="gramEnd"/>
      <w:r w:rsidRPr="00295591">
        <w:rPr>
          <w:rFonts w:ascii="Arial" w:hAnsi="Arial" w:cs="Arial"/>
        </w:rPr>
        <w:t xml:space="preserve"> to being proactive in managing financial </w:t>
      </w:r>
      <w:proofErr w:type="spellStart"/>
      <w:r w:rsidRPr="00295591">
        <w:rPr>
          <w:rFonts w:ascii="Arial" w:hAnsi="Arial" w:cs="Arial"/>
        </w:rPr>
        <w:t>optimisation</w:t>
      </w:r>
      <w:proofErr w:type="spellEnd"/>
      <w:r w:rsidRPr="00295591">
        <w:rPr>
          <w:rFonts w:ascii="Arial" w:hAnsi="Arial" w:cs="Arial"/>
        </w:rPr>
        <w:t xml:space="preserve">. The AI-driven dashboard compares the spending behaviors, earnings and upcoming payments to give its users daily </w:t>
      </w:r>
      <w:proofErr w:type="spellStart"/>
      <w:r w:rsidR="0043038A" w:rsidRPr="00295591">
        <w:rPr>
          <w:rFonts w:ascii="Arial" w:hAnsi="Arial" w:cs="Arial"/>
        </w:rPr>
        <w:t>Personalised</w:t>
      </w:r>
      <w:proofErr w:type="spellEnd"/>
      <w:r w:rsidRPr="00295591">
        <w:rPr>
          <w:rFonts w:ascii="Arial" w:hAnsi="Arial" w:cs="Arial"/>
        </w:rPr>
        <w:t xml:space="preserve"> information like, </w:t>
      </w:r>
      <w:r w:rsidR="00DF7DC9">
        <w:rPr>
          <w:rFonts w:ascii="Arial" w:hAnsi="Arial" w:cs="Arial"/>
        </w:rPr>
        <w:t>“</w:t>
      </w:r>
      <w:r w:rsidRPr="00295591">
        <w:rPr>
          <w:rFonts w:ascii="Arial" w:hAnsi="Arial" w:cs="Arial"/>
        </w:rPr>
        <w:t>You are spending 23% to much more on dining this month-consider these meal prep recipes</w:t>
      </w:r>
      <w:r w:rsidR="00DF7DC9">
        <w:rPr>
          <w:rFonts w:ascii="Arial" w:hAnsi="Arial" w:cs="Arial"/>
        </w:rPr>
        <w:t>”</w:t>
      </w:r>
      <w:r w:rsidRPr="00295591">
        <w:rPr>
          <w:rFonts w:ascii="Arial" w:hAnsi="Arial" w:cs="Arial"/>
        </w:rPr>
        <w:t xml:space="preserve"> or </w:t>
      </w:r>
      <w:r w:rsidR="00DF7DC9">
        <w:rPr>
          <w:rFonts w:ascii="Arial" w:hAnsi="Arial" w:cs="Arial"/>
        </w:rPr>
        <w:t>“</w:t>
      </w:r>
      <w:r w:rsidRPr="00295591">
        <w:rPr>
          <w:rFonts w:ascii="Arial" w:hAnsi="Arial" w:cs="Arial"/>
        </w:rPr>
        <w:t>You have PS420 left after bills this month based on current spending</w:t>
      </w:r>
      <w:r w:rsidR="00DF7DC9">
        <w:rPr>
          <w:rFonts w:ascii="Arial" w:hAnsi="Arial" w:cs="Arial"/>
        </w:rPr>
        <w:t>”</w:t>
      </w:r>
      <w:r w:rsidRPr="00295591">
        <w:rPr>
          <w:rFonts w:ascii="Arial" w:hAnsi="Arial" w:cs="Arial"/>
        </w:rPr>
        <w:t xml:space="preserve"> (Accenture, 2023). Smart savings policies, such as transfer of spare cash into a high-yield savings account, auditing of unused subscriptions, and cashback </w:t>
      </w:r>
      <w:proofErr w:type="spellStart"/>
      <w:r w:rsidRPr="00295591">
        <w:rPr>
          <w:rFonts w:ascii="Arial" w:hAnsi="Arial" w:cs="Arial"/>
        </w:rPr>
        <w:t>maximisation</w:t>
      </w:r>
      <w:proofErr w:type="spellEnd"/>
      <w:r w:rsidRPr="00295591">
        <w:rPr>
          <w:rFonts w:ascii="Arial" w:hAnsi="Arial" w:cs="Arial"/>
        </w:rPr>
        <w:t xml:space="preserve"> suggestions (reduction of purchases to an optimum payment method) are all automated </w:t>
      </w:r>
      <w:proofErr w:type="spellStart"/>
      <w:r w:rsidRPr="00295591">
        <w:rPr>
          <w:rFonts w:ascii="Arial" w:hAnsi="Arial" w:cs="Arial"/>
        </w:rPr>
        <w:t>optimisation</w:t>
      </w:r>
      <w:proofErr w:type="spellEnd"/>
      <w:r w:rsidRPr="00295591">
        <w:rPr>
          <w:rFonts w:ascii="Arial" w:hAnsi="Arial" w:cs="Arial"/>
        </w:rPr>
        <w:t xml:space="preserve"> features. The sustainability intelligence module determines the carbon footprint of each transaction and displays running totals and compares them to UK averages and offers practical recommendations on how lower-impact alternatives could be foun</w:t>
      </w:r>
      <w:r w:rsidR="00DF7DC9">
        <w:rPr>
          <w:rFonts w:ascii="Arial" w:hAnsi="Arial" w:cs="Arial"/>
        </w:rPr>
        <w:t xml:space="preserve">d (Weber and </w:t>
      </w:r>
      <w:proofErr w:type="spellStart"/>
      <w:r w:rsidR="00DF7DC9">
        <w:rPr>
          <w:rFonts w:ascii="Arial" w:hAnsi="Arial" w:cs="Arial"/>
        </w:rPr>
        <w:t>Feltmate</w:t>
      </w:r>
      <w:proofErr w:type="spellEnd"/>
      <w:r w:rsidR="00DF7DC9">
        <w:rPr>
          <w:rFonts w:ascii="Arial" w:hAnsi="Arial" w:cs="Arial"/>
        </w:rPr>
        <w:t>, 2020).</w:t>
      </w:r>
    </w:p>
    <w:p w14:paraId="03BD208C" w14:textId="77777777" w:rsidR="00DF7DC9" w:rsidRPr="00DF7DC9" w:rsidRDefault="00295591" w:rsidP="00DE6730">
      <w:pPr>
        <w:spacing w:line="360" w:lineRule="auto"/>
        <w:rPr>
          <w:rFonts w:ascii="Arial" w:hAnsi="Arial" w:cs="Arial"/>
          <w:b/>
        </w:rPr>
      </w:pPr>
      <w:r w:rsidRPr="00DF7DC9">
        <w:rPr>
          <w:rFonts w:ascii="Arial" w:hAnsi="Arial" w:cs="Arial"/>
          <w:b/>
        </w:rPr>
        <w:t xml:space="preserve">AI-Enhanced Advisory Services. </w:t>
      </w:r>
    </w:p>
    <w:p w14:paraId="09963ED4" w14:textId="7BC59C46" w:rsidR="00DF7DC9" w:rsidRDefault="00295591" w:rsidP="00DF7DC9">
      <w:pPr>
        <w:spacing w:line="360" w:lineRule="auto"/>
        <w:ind w:firstLine="720"/>
        <w:rPr>
          <w:rFonts w:ascii="Arial" w:hAnsi="Arial" w:cs="Arial"/>
        </w:rPr>
      </w:pPr>
      <w:r w:rsidRPr="00295591">
        <w:rPr>
          <w:rFonts w:ascii="Arial" w:hAnsi="Arial" w:cs="Arial"/>
        </w:rPr>
        <w:t xml:space="preserve">Advisory services are </w:t>
      </w:r>
      <w:r w:rsidR="001D34F3" w:rsidRPr="00295591">
        <w:rPr>
          <w:rFonts w:ascii="Arial" w:hAnsi="Arial" w:cs="Arial"/>
        </w:rPr>
        <w:t>revolutionized</w:t>
      </w:r>
      <w:r w:rsidRPr="00295591">
        <w:rPr>
          <w:rFonts w:ascii="Arial" w:hAnsi="Arial" w:cs="Arial"/>
        </w:rPr>
        <w:t xml:space="preserve"> by </w:t>
      </w:r>
      <w:r w:rsidR="0043038A" w:rsidRPr="00295591">
        <w:rPr>
          <w:rFonts w:ascii="Arial" w:hAnsi="Arial" w:cs="Arial"/>
        </w:rPr>
        <w:t>Life Sync</w:t>
      </w:r>
      <w:r w:rsidRPr="00295591">
        <w:rPr>
          <w:rFonts w:ascii="Arial" w:hAnsi="Arial" w:cs="Arial"/>
        </w:rPr>
        <w:t xml:space="preserve"> using AI-human hybrid models. The platform immediately produces </w:t>
      </w:r>
      <w:r w:rsidR="0043038A" w:rsidRPr="00295591">
        <w:rPr>
          <w:rFonts w:ascii="Arial" w:hAnsi="Arial" w:cs="Arial"/>
        </w:rPr>
        <w:t>customized</w:t>
      </w:r>
      <w:r w:rsidRPr="00295591">
        <w:rPr>
          <w:rFonts w:ascii="Arial" w:hAnsi="Arial" w:cs="Arial"/>
        </w:rPr>
        <w:t xml:space="preserve"> advice to customers when they need mortgage advice and this is based on valuable financial analysis, property preferences and </w:t>
      </w:r>
      <w:proofErr w:type="gramStart"/>
      <w:r w:rsidRPr="00295591">
        <w:rPr>
          <w:rFonts w:ascii="Arial" w:hAnsi="Arial" w:cs="Arial"/>
        </w:rPr>
        <w:t>long term</w:t>
      </w:r>
      <w:proofErr w:type="gramEnd"/>
      <w:r w:rsidRPr="00295591">
        <w:rPr>
          <w:rFonts w:ascii="Arial" w:hAnsi="Arial" w:cs="Arial"/>
        </w:rPr>
        <w:t xml:space="preserve"> objectives. The customers can review the offers on </w:t>
      </w:r>
      <w:r w:rsidR="001D34F3" w:rsidRPr="00295591">
        <w:rPr>
          <w:rFonts w:ascii="Arial" w:hAnsi="Arial" w:cs="Arial"/>
        </w:rPr>
        <w:t>visualizations</w:t>
      </w:r>
      <w:r w:rsidRPr="00295591">
        <w:rPr>
          <w:rFonts w:ascii="Arial" w:hAnsi="Arial" w:cs="Arial"/>
        </w:rPr>
        <w:t xml:space="preserve"> of lifetime costs and interest rate changes sensitivity analysis (Lee and Shin, 2018). To determine complex decisions that </w:t>
      </w:r>
      <w:proofErr w:type="gramStart"/>
      <w:r w:rsidRPr="00295591">
        <w:rPr>
          <w:rFonts w:ascii="Arial" w:hAnsi="Arial" w:cs="Arial"/>
        </w:rPr>
        <w:t>will involve</w:t>
      </w:r>
      <w:proofErr w:type="gramEnd"/>
      <w:r w:rsidRPr="00295591">
        <w:rPr>
          <w:rFonts w:ascii="Arial" w:hAnsi="Arial" w:cs="Arial"/>
        </w:rPr>
        <w:t xml:space="preserve"> human expertise, </w:t>
      </w:r>
      <w:r w:rsidR="0043038A" w:rsidRPr="00295591">
        <w:rPr>
          <w:rFonts w:ascii="Arial" w:hAnsi="Arial" w:cs="Arial"/>
        </w:rPr>
        <w:t>Life Sync</w:t>
      </w:r>
      <w:r w:rsidRPr="00295591">
        <w:rPr>
          <w:rFonts w:ascii="Arial" w:hAnsi="Arial" w:cs="Arial"/>
        </w:rPr>
        <w:t xml:space="preserve"> automatically arranges video calls with specialized advisors, who will be provided with full contextual background such as the financial dashboard of the customer, artificial intelligence-based advice, and question markers in the cont</w:t>
      </w:r>
      <w:r w:rsidR="00DF7DC9">
        <w:rPr>
          <w:rFonts w:ascii="Arial" w:hAnsi="Arial" w:cs="Arial"/>
        </w:rPr>
        <w:t>ext of digital exploration.</w:t>
      </w:r>
    </w:p>
    <w:p w14:paraId="63F505AF" w14:textId="77777777" w:rsidR="00DF7DC9" w:rsidRDefault="00295591" w:rsidP="00DF7DC9">
      <w:pPr>
        <w:spacing w:line="360" w:lineRule="auto"/>
        <w:ind w:firstLine="720"/>
        <w:rPr>
          <w:rFonts w:ascii="Arial" w:hAnsi="Arial" w:cs="Arial"/>
        </w:rPr>
      </w:pPr>
      <w:r w:rsidRPr="00295591">
        <w:rPr>
          <w:rFonts w:ascii="Arial" w:hAnsi="Arial" w:cs="Arial"/>
        </w:rPr>
        <w:t xml:space="preserve">The </w:t>
      </w:r>
      <w:proofErr w:type="spellStart"/>
      <w:r w:rsidRPr="00295591">
        <w:rPr>
          <w:rFonts w:ascii="Arial" w:hAnsi="Arial" w:cs="Arial"/>
        </w:rPr>
        <w:t>robo</w:t>
      </w:r>
      <w:proofErr w:type="spellEnd"/>
      <w:r w:rsidRPr="00295591">
        <w:rPr>
          <w:rFonts w:ascii="Arial" w:hAnsi="Arial" w:cs="Arial"/>
        </w:rPr>
        <w:t xml:space="preserve">-advisory capabilities of investment advisory services are </w:t>
      </w:r>
      <w:proofErr w:type="spellStart"/>
      <w:r w:rsidRPr="00295591">
        <w:rPr>
          <w:rFonts w:ascii="Arial" w:hAnsi="Arial" w:cs="Arial"/>
        </w:rPr>
        <w:t>democratised</w:t>
      </w:r>
      <w:proofErr w:type="spellEnd"/>
      <w:r w:rsidRPr="00295591">
        <w:rPr>
          <w:rFonts w:ascii="Arial" w:hAnsi="Arial" w:cs="Arial"/>
        </w:rPr>
        <w:t xml:space="preserve"> to deliver a portfolio recommendation based on risk tolerance, sustainability preference, and financial objectives. Those customers who own assets that are less than the conventional wealth management limits are given advanced investment plans that were initially used by high-</w:t>
      </w:r>
      <w:r w:rsidRPr="00295591">
        <w:rPr>
          <w:rFonts w:ascii="Arial" w:hAnsi="Arial" w:cs="Arial"/>
        </w:rPr>
        <w:lastRenderedPageBreak/>
        <w:t xml:space="preserve">net- worth individuals (Barclays Wealth Report, 2024). Anticipated Issue Prevention and Smooth Service. </w:t>
      </w:r>
      <w:r w:rsidR="0043038A" w:rsidRPr="00295591">
        <w:rPr>
          <w:rFonts w:ascii="Arial" w:hAnsi="Arial" w:cs="Arial"/>
        </w:rPr>
        <w:t>Life Sync</w:t>
      </w:r>
      <w:r w:rsidRPr="00295591">
        <w:rPr>
          <w:rFonts w:ascii="Arial" w:hAnsi="Arial" w:cs="Arial"/>
        </w:rPr>
        <w:t xml:space="preserve"> changes the paradigm of addressing a problem whenever it arises to proactive prevention. AI algorithms can track account activity to detect unusual behavior, and immediately alert customers to possible fraud, in addition, blocking suspicious transactions until it is confirmed. In case the customers are travelling overseas, the platform automatically informs them about the best payment options in which foreign transaction fees are kept at a minimum (Accenture, 2023). </w:t>
      </w:r>
    </w:p>
    <w:p w14:paraId="49E7ED08" w14:textId="77777777" w:rsidR="00295591" w:rsidRDefault="00295591" w:rsidP="00DF7DC9">
      <w:pPr>
        <w:spacing w:line="360" w:lineRule="auto"/>
        <w:ind w:firstLine="720"/>
        <w:rPr>
          <w:rFonts w:ascii="Arial" w:hAnsi="Arial" w:cs="Arial"/>
        </w:rPr>
      </w:pPr>
      <w:r w:rsidRPr="00295591">
        <w:rPr>
          <w:rFonts w:ascii="Arial" w:hAnsi="Arial" w:cs="Arial"/>
        </w:rPr>
        <w:t xml:space="preserve">Video </w:t>
      </w:r>
      <w:r w:rsidR="0043038A" w:rsidRPr="00295591">
        <w:rPr>
          <w:rFonts w:ascii="Arial" w:hAnsi="Arial" w:cs="Arial"/>
        </w:rPr>
        <w:t>banking</w:t>
      </w:r>
      <w:r w:rsidRPr="00295591">
        <w:rPr>
          <w:rFonts w:ascii="Arial" w:hAnsi="Arial" w:cs="Arial"/>
        </w:rPr>
        <w:t xml:space="preserve"> integration will facilitate complex troubleshooting through sharing the screen without losing a personal connection (Lemon and Verhoef, 2016). Branch visits are no longer necessity-based transactions but get to be meaningful and valuable interactions. The clients make appointments using the application, and the staff in the branches </w:t>
      </w:r>
      <w:proofErr w:type="gramStart"/>
      <w:r w:rsidRPr="00295591">
        <w:rPr>
          <w:rFonts w:ascii="Arial" w:hAnsi="Arial" w:cs="Arial"/>
        </w:rPr>
        <w:t>is</w:t>
      </w:r>
      <w:proofErr w:type="gramEnd"/>
      <w:r w:rsidRPr="00295591">
        <w:rPr>
          <w:rFonts w:ascii="Arial" w:hAnsi="Arial" w:cs="Arial"/>
        </w:rPr>
        <w:t xml:space="preserve"> properly briefed, which allows them to have fruitful consultations as soon as they enter the premises. The capture of the digital signature and document scanning processes </w:t>
      </w:r>
      <w:proofErr w:type="gramStart"/>
      <w:r w:rsidRPr="00295591">
        <w:rPr>
          <w:rFonts w:ascii="Arial" w:hAnsi="Arial" w:cs="Arial"/>
        </w:rPr>
        <w:t>remove</w:t>
      </w:r>
      <w:proofErr w:type="gramEnd"/>
      <w:r w:rsidRPr="00295591">
        <w:rPr>
          <w:rFonts w:ascii="Arial" w:hAnsi="Arial" w:cs="Arial"/>
        </w:rPr>
        <w:t xml:space="preserve"> the paper-based system, and all the materials would immediately be accessible in the digital account of the customer.</w:t>
      </w:r>
    </w:p>
    <w:p w14:paraId="617D194E" w14:textId="77777777" w:rsidR="00295591" w:rsidRPr="00295591" w:rsidRDefault="00295591" w:rsidP="00295591">
      <w:pPr>
        <w:spacing w:line="360" w:lineRule="auto"/>
        <w:rPr>
          <w:rFonts w:ascii="Arial" w:hAnsi="Arial" w:cs="Arial"/>
          <w:b/>
          <w:bCs/>
        </w:rPr>
      </w:pPr>
      <w:r w:rsidRPr="00295591">
        <w:rPr>
          <w:rFonts w:ascii="Arial" w:hAnsi="Arial" w:cs="Arial"/>
          <w:b/>
          <w:bCs/>
        </w:rPr>
        <w:t>ORGANISATIONAL IMPACT AND VALUE CREATION</w:t>
      </w:r>
    </w:p>
    <w:p w14:paraId="1740B788" w14:textId="77777777" w:rsidR="00295591" w:rsidRPr="00295591" w:rsidRDefault="00295591" w:rsidP="00DF7DC9">
      <w:pPr>
        <w:spacing w:line="360" w:lineRule="auto"/>
        <w:ind w:firstLine="720"/>
        <w:rPr>
          <w:rFonts w:ascii="Arial" w:hAnsi="Arial" w:cs="Arial"/>
        </w:rPr>
      </w:pPr>
      <w:r w:rsidRPr="00295591">
        <w:rPr>
          <w:rFonts w:ascii="Arial" w:hAnsi="Arial" w:cs="Arial"/>
        </w:rPr>
        <w:t xml:space="preserve">The </w:t>
      </w:r>
      <w:r w:rsidR="0043038A" w:rsidRPr="00295591">
        <w:rPr>
          <w:rFonts w:ascii="Arial" w:hAnsi="Arial" w:cs="Arial"/>
        </w:rPr>
        <w:t>Life Sync</w:t>
      </w:r>
      <w:r w:rsidRPr="00295591">
        <w:rPr>
          <w:rFonts w:ascii="Arial" w:hAnsi="Arial" w:cs="Arial"/>
        </w:rPr>
        <w:t xml:space="preserve"> Platform delivers multidimensional </w:t>
      </w:r>
      <w:proofErr w:type="spellStart"/>
      <w:r w:rsidRPr="00295591">
        <w:rPr>
          <w:rFonts w:ascii="Arial" w:hAnsi="Arial" w:cs="Arial"/>
        </w:rPr>
        <w:t>organisational</w:t>
      </w:r>
      <w:proofErr w:type="spellEnd"/>
      <w:r w:rsidRPr="00295591">
        <w:rPr>
          <w:rFonts w:ascii="Arial" w:hAnsi="Arial" w:cs="Arial"/>
        </w:rPr>
        <w:t xml:space="preserve"> benefits </w:t>
      </w:r>
      <w:proofErr w:type="gramStart"/>
      <w:r w:rsidRPr="00295591">
        <w:rPr>
          <w:rFonts w:ascii="Arial" w:hAnsi="Arial" w:cs="Arial"/>
        </w:rPr>
        <w:t>across</w:t>
      </w:r>
      <w:proofErr w:type="gramEnd"/>
      <w:r w:rsidRPr="00295591">
        <w:rPr>
          <w:rFonts w:ascii="Arial" w:hAnsi="Arial" w:cs="Arial"/>
        </w:rPr>
        <w:t xml:space="preserve"> customer acquisition, retention, operational efficiency, and revenue enhancement.</w:t>
      </w:r>
    </w:p>
    <w:p w14:paraId="28CD88FE" w14:textId="77777777" w:rsidR="00295591" w:rsidRPr="00295591" w:rsidRDefault="00295591" w:rsidP="00295591">
      <w:pPr>
        <w:spacing w:line="360" w:lineRule="auto"/>
        <w:rPr>
          <w:rFonts w:ascii="Arial" w:hAnsi="Arial" w:cs="Arial"/>
          <w:b/>
          <w:bCs/>
        </w:rPr>
      </w:pPr>
      <w:r w:rsidRPr="00295591">
        <w:rPr>
          <w:rFonts w:ascii="Arial" w:hAnsi="Arial" w:cs="Arial"/>
          <w:b/>
          <w:bCs/>
        </w:rPr>
        <w:t xml:space="preserve">Projected Business Impact - </w:t>
      </w:r>
      <w:r w:rsidR="0043038A" w:rsidRPr="00295591">
        <w:rPr>
          <w:rFonts w:ascii="Arial" w:hAnsi="Arial" w:cs="Arial"/>
          <w:b/>
          <w:bCs/>
        </w:rPr>
        <w:t>Life Sync</w:t>
      </w:r>
      <w:r w:rsidRPr="00295591">
        <w:rPr>
          <w:rFonts w:ascii="Arial" w:hAnsi="Arial" w:cs="Arial"/>
          <w:b/>
          <w:bCs/>
        </w:rPr>
        <w:t xml:space="preserve"> Platform (3-Year Horizon)</w:t>
      </w:r>
    </w:p>
    <w:tbl>
      <w:tblPr>
        <w:tblStyle w:val="TableGrid"/>
        <w:tblW w:w="0" w:type="auto"/>
        <w:tblLook w:val="04A0" w:firstRow="1" w:lastRow="0" w:firstColumn="1" w:lastColumn="0" w:noHBand="0" w:noVBand="1"/>
      </w:tblPr>
      <w:tblGrid>
        <w:gridCol w:w="1726"/>
        <w:gridCol w:w="2211"/>
        <w:gridCol w:w="1417"/>
        <w:gridCol w:w="1077"/>
        <w:gridCol w:w="1077"/>
        <w:gridCol w:w="1842"/>
      </w:tblGrid>
      <w:tr w:rsidR="00295591" w:rsidRPr="00295591" w14:paraId="52326B63" w14:textId="77777777" w:rsidTr="00DF7DC9">
        <w:tc>
          <w:tcPr>
            <w:tcW w:w="0" w:type="auto"/>
            <w:hideMark/>
          </w:tcPr>
          <w:p w14:paraId="700D2EAB" w14:textId="77777777" w:rsidR="00295591" w:rsidRPr="00295591" w:rsidRDefault="00295591" w:rsidP="00295591">
            <w:pPr>
              <w:spacing w:line="360" w:lineRule="auto"/>
              <w:rPr>
                <w:rFonts w:ascii="Arial" w:hAnsi="Arial" w:cs="Arial"/>
                <w:b/>
                <w:bCs/>
              </w:rPr>
            </w:pPr>
            <w:r w:rsidRPr="00295591">
              <w:rPr>
                <w:rFonts w:ascii="Arial" w:hAnsi="Arial" w:cs="Arial"/>
                <w:b/>
                <w:bCs/>
              </w:rPr>
              <w:t>Impact Category</w:t>
            </w:r>
          </w:p>
        </w:tc>
        <w:tc>
          <w:tcPr>
            <w:tcW w:w="0" w:type="auto"/>
            <w:hideMark/>
          </w:tcPr>
          <w:p w14:paraId="44C45161" w14:textId="77777777" w:rsidR="00295591" w:rsidRPr="00295591" w:rsidRDefault="00295591" w:rsidP="00295591">
            <w:pPr>
              <w:spacing w:line="360" w:lineRule="auto"/>
              <w:rPr>
                <w:rFonts w:ascii="Arial" w:hAnsi="Arial" w:cs="Arial"/>
                <w:b/>
                <w:bCs/>
              </w:rPr>
            </w:pPr>
            <w:r w:rsidRPr="00295591">
              <w:rPr>
                <w:rFonts w:ascii="Arial" w:hAnsi="Arial" w:cs="Arial"/>
                <w:b/>
                <w:bCs/>
              </w:rPr>
              <w:t>Metric</w:t>
            </w:r>
          </w:p>
        </w:tc>
        <w:tc>
          <w:tcPr>
            <w:tcW w:w="0" w:type="auto"/>
            <w:hideMark/>
          </w:tcPr>
          <w:p w14:paraId="3A72C86F" w14:textId="77777777" w:rsidR="00295591" w:rsidRPr="00295591" w:rsidRDefault="00295591" w:rsidP="00295591">
            <w:pPr>
              <w:spacing w:line="360" w:lineRule="auto"/>
              <w:rPr>
                <w:rFonts w:ascii="Arial" w:hAnsi="Arial" w:cs="Arial"/>
                <w:b/>
                <w:bCs/>
              </w:rPr>
            </w:pPr>
            <w:r w:rsidRPr="00295591">
              <w:rPr>
                <w:rFonts w:ascii="Arial" w:hAnsi="Arial" w:cs="Arial"/>
                <w:b/>
                <w:bCs/>
              </w:rPr>
              <w:t>Current Baseline</w:t>
            </w:r>
          </w:p>
        </w:tc>
        <w:tc>
          <w:tcPr>
            <w:tcW w:w="0" w:type="auto"/>
            <w:hideMark/>
          </w:tcPr>
          <w:p w14:paraId="60802E21" w14:textId="77777777" w:rsidR="00295591" w:rsidRPr="00295591" w:rsidRDefault="00295591" w:rsidP="00295591">
            <w:pPr>
              <w:spacing w:line="360" w:lineRule="auto"/>
              <w:rPr>
                <w:rFonts w:ascii="Arial" w:hAnsi="Arial" w:cs="Arial"/>
                <w:b/>
                <w:bCs/>
              </w:rPr>
            </w:pPr>
            <w:r w:rsidRPr="00295591">
              <w:rPr>
                <w:rFonts w:ascii="Arial" w:hAnsi="Arial" w:cs="Arial"/>
                <w:b/>
                <w:bCs/>
              </w:rPr>
              <w:t>Year 1 Target</w:t>
            </w:r>
          </w:p>
        </w:tc>
        <w:tc>
          <w:tcPr>
            <w:tcW w:w="0" w:type="auto"/>
            <w:hideMark/>
          </w:tcPr>
          <w:p w14:paraId="30767FBB" w14:textId="77777777" w:rsidR="00295591" w:rsidRPr="00295591" w:rsidRDefault="00295591" w:rsidP="00295591">
            <w:pPr>
              <w:spacing w:line="360" w:lineRule="auto"/>
              <w:rPr>
                <w:rFonts w:ascii="Arial" w:hAnsi="Arial" w:cs="Arial"/>
                <w:b/>
                <w:bCs/>
              </w:rPr>
            </w:pPr>
            <w:r w:rsidRPr="00295591">
              <w:rPr>
                <w:rFonts w:ascii="Arial" w:hAnsi="Arial" w:cs="Arial"/>
                <w:b/>
                <w:bCs/>
              </w:rPr>
              <w:t>Year 3 Target</w:t>
            </w:r>
          </w:p>
        </w:tc>
        <w:tc>
          <w:tcPr>
            <w:tcW w:w="0" w:type="auto"/>
            <w:hideMark/>
          </w:tcPr>
          <w:p w14:paraId="4D0EF74F" w14:textId="77777777" w:rsidR="00295591" w:rsidRPr="00295591" w:rsidRDefault="00295591" w:rsidP="00295591">
            <w:pPr>
              <w:spacing w:line="360" w:lineRule="auto"/>
              <w:rPr>
                <w:rFonts w:ascii="Arial" w:hAnsi="Arial" w:cs="Arial"/>
                <w:b/>
                <w:bCs/>
              </w:rPr>
            </w:pPr>
            <w:r w:rsidRPr="00295591">
              <w:rPr>
                <w:rFonts w:ascii="Arial" w:hAnsi="Arial" w:cs="Arial"/>
                <w:b/>
                <w:bCs/>
              </w:rPr>
              <w:t>Value Creation</w:t>
            </w:r>
          </w:p>
        </w:tc>
      </w:tr>
      <w:tr w:rsidR="00295591" w:rsidRPr="00295591" w14:paraId="76C4133F" w14:textId="77777777" w:rsidTr="00DF7DC9">
        <w:tc>
          <w:tcPr>
            <w:tcW w:w="0" w:type="auto"/>
            <w:hideMark/>
          </w:tcPr>
          <w:p w14:paraId="734E9F0F" w14:textId="77777777" w:rsidR="00295591" w:rsidRPr="00295591" w:rsidRDefault="00295591" w:rsidP="00295591">
            <w:pPr>
              <w:spacing w:line="360" w:lineRule="auto"/>
              <w:rPr>
                <w:rFonts w:ascii="Arial" w:hAnsi="Arial" w:cs="Arial"/>
              </w:rPr>
            </w:pPr>
            <w:r w:rsidRPr="00295591">
              <w:rPr>
                <w:rFonts w:ascii="Arial" w:hAnsi="Arial" w:cs="Arial"/>
                <w:b/>
                <w:bCs/>
              </w:rPr>
              <w:t>Customer Acquisition</w:t>
            </w:r>
          </w:p>
        </w:tc>
        <w:tc>
          <w:tcPr>
            <w:tcW w:w="0" w:type="auto"/>
            <w:hideMark/>
          </w:tcPr>
          <w:p w14:paraId="2A390A72" w14:textId="77777777" w:rsidR="00295591" w:rsidRPr="00295591" w:rsidRDefault="00295591" w:rsidP="00295591">
            <w:pPr>
              <w:spacing w:line="360" w:lineRule="auto"/>
              <w:rPr>
                <w:rFonts w:ascii="Arial" w:hAnsi="Arial" w:cs="Arial"/>
              </w:rPr>
            </w:pPr>
            <w:r w:rsidRPr="00295591">
              <w:rPr>
                <w:rFonts w:ascii="Arial" w:hAnsi="Arial" w:cs="Arial"/>
              </w:rPr>
              <w:t>New customers</w:t>
            </w:r>
          </w:p>
        </w:tc>
        <w:tc>
          <w:tcPr>
            <w:tcW w:w="0" w:type="auto"/>
            <w:hideMark/>
          </w:tcPr>
          <w:p w14:paraId="695284F6" w14:textId="77777777" w:rsidR="00295591" w:rsidRPr="00295591" w:rsidRDefault="00295591" w:rsidP="00295591">
            <w:pPr>
              <w:spacing w:line="360" w:lineRule="auto"/>
              <w:rPr>
                <w:rFonts w:ascii="Arial" w:hAnsi="Arial" w:cs="Arial"/>
              </w:rPr>
            </w:pPr>
            <w:r w:rsidRPr="00295591">
              <w:rPr>
                <w:rFonts w:ascii="Arial" w:hAnsi="Arial" w:cs="Arial"/>
              </w:rPr>
              <w:t>320K/year</w:t>
            </w:r>
          </w:p>
        </w:tc>
        <w:tc>
          <w:tcPr>
            <w:tcW w:w="0" w:type="auto"/>
            <w:hideMark/>
          </w:tcPr>
          <w:p w14:paraId="1DC3D17F" w14:textId="77777777" w:rsidR="00295591" w:rsidRPr="00295591" w:rsidRDefault="00295591" w:rsidP="00295591">
            <w:pPr>
              <w:spacing w:line="360" w:lineRule="auto"/>
              <w:rPr>
                <w:rFonts w:ascii="Arial" w:hAnsi="Arial" w:cs="Arial"/>
              </w:rPr>
            </w:pPr>
            <w:r w:rsidRPr="00295591">
              <w:rPr>
                <w:rFonts w:ascii="Arial" w:hAnsi="Arial" w:cs="Arial"/>
              </w:rPr>
              <w:t>500K</w:t>
            </w:r>
          </w:p>
        </w:tc>
        <w:tc>
          <w:tcPr>
            <w:tcW w:w="0" w:type="auto"/>
            <w:hideMark/>
          </w:tcPr>
          <w:p w14:paraId="7C48BFD6" w14:textId="77777777" w:rsidR="00295591" w:rsidRPr="00295591" w:rsidRDefault="00295591" w:rsidP="00295591">
            <w:pPr>
              <w:spacing w:line="360" w:lineRule="auto"/>
              <w:rPr>
                <w:rFonts w:ascii="Arial" w:hAnsi="Arial" w:cs="Arial"/>
              </w:rPr>
            </w:pPr>
            <w:r w:rsidRPr="00295591">
              <w:rPr>
                <w:rFonts w:ascii="Arial" w:hAnsi="Arial" w:cs="Arial"/>
              </w:rPr>
              <w:t>650K</w:t>
            </w:r>
          </w:p>
        </w:tc>
        <w:tc>
          <w:tcPr>
            <w:tcW w:w="0" w:type="auto"/>
            <w:hideMark/>
          </w:tcPr>
          <w:p w14:paraId="0DF4789F" w14:textId="77777777" w:rsidR="00295591" w:rsidRPr="00295591" w:rsidRDefault="00295591" w:rsidP="00295591">
            <w:pPr>
              <w:spacing w:line="360" w:lineRule="auto"/>
              <w:rPr>
                <w:rFonts w:ascii="Arial" w:hAnsi="Arial" w:cs="Arial"/>
              </w:rPr>
            </w:pPr>
            <w:r w:rsidRPr="00295591">
              <w:rPr>
                <w:rFonts w:ascii="Arial" w:hAnsi="Arial" w:cs="Arial"/>
              </w:rPr>
              <w:t>+1.5M cumulative</w:t>
            </w:r>
          </w:p>
        </w:tc>
      </w:tr>
      <w:tr w:rsidR="00295591" w:rsidRPr="00295591" w14:paraId="05A4E69C" w14:textId="77777777" w:rsidTr="00DF7DC9">
        <w:tc>
          <w:tcPr>
            <w:tcW w:w="0" w:type="auto"/>
            <w:hideMark/>
          </w:tcPr>
          <w:p w14:paraId="5B234D86" w14:textId="77777777" w:rsidR="00295591" w:rsidRPr="00295591" w:rsidRDefault="00295591" w:rsidP="00295591">
            <w:pPr>
              <w:spacing w:line="360" w:lineRule="auto"/>
              <w:rPr>
                <w:rFonts w:ascii="Arial" w:hAnsi="Arial" w:cs="Arial"/>
              </w:rPr>
            </w:pPr>
          </w:p>
        </w:tc>
        <w:tc>
          <w:tcPr>
            <w:tcW w:w="0" w:type="auto"/>
            <w:hideMark/>
          </w:tcPr>
          <w:p w14:paraId="7461EE42" w14:textId="77777777" w:rsidR="00295591" w:rsidRPr="00295591" w:rsidRDefault="00295591" w:rsidP="00295591">
            <w:pPr>
              <w:spacing w:line="360" w:lineRule="auto"/>
              <w:rPr>
                <w:rFonts w:ascii="Arial" w:hAnsi="Arial" w:cs="Arial"/>
              </w:rPr>
            </w:pPr>
            <w:r w:rsidRPr="00295591">
              <w:rPr>
                <w:rFonts w:ascii="Arial" w:hAnsi="Arial" w:cs="Arial"/>
              </w:rPr>
              <w:t>Market share (18-34 demo)</w:t>
            </w:r>
          </w:p>
        </w:tc>
        <w:tc>
          <w:tcPr>
            <w:tcW w:w="0" w:type="auto"/>
            <w:hideMark/>
          </w:tcPr>
          <w:p w14:paraId="6BFE5F59" w14:textId="77777777" w:rsidR="00295591" w:rsidRPr="00295591" w:rsidRDefault="00295591" w:rsidP="00295591">
            <w:pPr>
              <w:spacing w:line="360" w:lineRule="auto"/>
              <w:rPr>
                <w:rFonts w:ascii="Arial" w:hAnsi="Arial" w:cs="Arial"/>
              </w:rPr>
            </w:pPr>
            <w:r w:rsidRPr="00295591">
              <w:rPr>
                <w:rFonts w:ascii="Arial" w:hAnsi="Arial" w:cs="Arial"/>
              </w:rPr>
              <w:t>12%</w:t>
            </w:r>
          </w:p>
        </w:tc>
        <w:tc>
          <w:tcPr>
            <w:tcW w:w="0" w:type="auto"/>
            <w:hideMark/>
          </w:tcPr>
          <w:p w14:paraId="189CBF76" w14:textId="77777777" w:rsidR="00295591" w:rsidRPr="00295591" w:rsidRDefault="00295591" w:rsidP="00295591">
            <w:pPr>
              <w:spacing w:line="360" w:lineRule="auto"/>
              <w:rPr>
                <w:rFonts w:ascii="Arial" w:hAnsi="Arial" w:cs="Arial"/>
              </w:rPr>
            </w:pPr>
            <w:r w:rsidRPr="00295591">
              <w:rPr>
                <w:rFonts w:ascii="Arial" w:hAnsi="Arial" w:cs="Arial"/>
              </w:rPr>
              <w:t>15%</w:t>
            </w:r>
          </w:p>
        </w:tc>
        <w:tc>
          <w:tcPr>
            <w:tcW w:w="0" w:type="auto"/>
            <w:hideMark/>
          </w:tcPr>
          <w:p w14:paraId="5069DB85" w14:textId="77777777" w:rsidR="00295591" w:rsidRPr="00295591" w:rsidRDefault="00295591" w:rsidP="00295591">
            <w:pPr>
              <w:spacing w:line="360" w:lineRule="auto"/>
              <w:rPr>
                <w:rFonts w:ascii="Arial" w:hAnsi="Arial" w:cs="Arial"/>
              </w:rPr>
            </w:pPr>
            <w:r w:rsidRPr="00295591">
              <w:rPr>
                <w:rFonts w:ascii="Arial" w:hAnsi="Arial" w:cs="Arial"/>
              </w:rPr>
              <w:t>19%</w:t>
            </w:r>
          </w:p>
        </w:tc>
        <w:tc>
          <w:tcPr>
            <w:tcW w:w="0" w:type="auto"/>
            <w:hideMark/>
          </w:tcPr>
          <w:p w14:paraId="08176C5D" w14:textId="77777777" w:rsidR="00295591" w:rsidRPr="00295591" w:rsidRDefault="00295591" w:rsidP="00295591">
            <w:pPr>
              <w:spacing w:line="360" w:lineRule="auto"/>
              <w:rPr>
                <w:rFonts w:ascii="Arial" w:hAnsi="Arial" w:cs="Arial"/>
              </w:rPr>
            </w:pPr>
            <w:r w:rsidRPr="00295591">
              <w:rPr>
                <w:rFonts w:ascii="Arial" w:hAnsi="Arial" w:cs="Arial"/>
              </w:rPr>
              <w:t>+7 percentage points</w:t>
            </w:r>
          </w:p>
        </w:tc>
      </w:tr>
      <w:tr w:rsidR="00295591" w:rsidRPr="00295591" w14:paraId="49DC5D5E" w14:textId="77777777" w:rsidTr="00DF7DC9">
        <w:tc>
          <w:tcPr>
            <w:tcW w:w="0" w:type="auto"/>
            <w:hideMark/>
          </w:tcPr>
          <w:p w14:paraId="222F9257" w14:textId="77777777" w:rsidR="00295591" w:rsidRPr="00295591" w:rsidRDefault="00295591" w:rsidP="00295591">
            <w:pPr>
              <w:spacing w:line="360" w:lineRule="auto"/>
              <w:rPr>
                <w:rFonts w:ascii="Arial" w:hAnsi="Arial" w:cs="Arial"/>
              </w:rPr>
            </w:pPr>
          </w:p>
        </w:tc>
        <w:tc>
          <w:tcPr>
            <w:tcW w:w="0" w:type="auto"/>
            <w:hideMark/>
          </w:tcPr>
          <w:p w14:paraId="160DD8C4" w14:textId="77777777" w:rsidR="00295591" w:rsidRPr="00295591" w:rsidRDefault="00295591" w:rsidP="00295591">
            <w:pPr>
              <w:spacing w:line="360" w:lineRule="auto"/>
              <w:rPr>
                <w:rFonts w:ascii="Arial" w:hAnsi="Arial" w:cs="Arial"/>
              </w:rPr>
            </w:pPr>
            <w:r w:rsidRPr="00295591">
              <w:rPr>
                <w:rFonts w:ascii="Arial" w:hAnsi="Arial" w:cs="Arial"/>
              </w:rPr>
              <w:t>Cost per acquisition</w:t>
            </w:r>
          </w:p>
        </w:tc>
        <w:tc>
          <w:tcPr>
            <w:tcW w:w="0" w:type="auto"/>
            <w:hideMark/>
          </w:tcPr>
          <w:p w14:paraId="2C41A3C8" w14:textId="77777777" w:rsidR="00295591" w:rsidRPr="00295591" w:rsidRDefault="00295591" w:rsidP="00295591">
            <w:pPr>
              <w:spacing w:line="360" w:lineRule="auto"/>
              <w:rPr>
                <w:rFonts w:ascii="Arial" w:hAnsi="Arial" w:cs="Arial"/>
              </w:rPr>
            </w:pPr>
            <w:r w:rsidRPr="00295591">
              <w:rPr>
                <w:rFonts w:ascii="Arial" w:hAnsi="Arial" w:cs="Arial"/>
              </w:rPr>
              <w:t>£145</w:t>
            </w:r>
          </w:p>
        </w:tc>
        <w:tc>
          <w:tcPr>
            <w:tcW w:w="0" w:type="auto"/>
            <w:hideMark/>
          </w:tcPr>
          <w:p w14:paraId="6D34FB8E" w14:textId="77777777" w:rsidR="00295591" w:rsidRPr="00295591" w:rsidRDefault="00295591" w:rsidP="00295591">
            <w:pPr>
              <w:spacing w:line="360" w:lineRule="auto"/>
              <w:rPr>
                <w:rFonts w:ascii="Arial" w:hAnsi="Arial" w:cs="Arial"/>
              </w:rPr>
            </w:pPr>
            <w:r w:rsidRPr="00295591">
              <w:rPr>
                <w:rFonts w:ascii="Arial" w:hAnsi="Arial" w:cs="Arial"/>
              </w:rPr>
              <w:t>£132</w:t>
            </w:r>
          </w:p>
        </w:tc>
        <w:tc>
          <w:tcPr>
            <w:tcW w:w="0" w:type="auto"/>
            <w:hideMark/>
          </w:tcPr>
          <w:p w14:paraId="24A376DD" w14:textId="77777777" w:rsidR="00295591" w:rsidRPr="00295591" w:rsidRDefault="00295591" w:rsidP="00295591">
            <w:pPr>
              <w:spacing w:line="360" w:lineRule="auto"/>
              <w:rPr>
                <w:rFonts w:ascii="Arial" w:hAnsi="Arial" w:cs="Arial"/>
              </w:rPr>
            </w:pPr>
            <w:r w:rsidRPr="00295591">
              <w:rPr>
                <w:rFonts w:ascii="Arial" w:hAnsi="Arial" w:cs="Arial"/>
              </w:rPr>
              <w:t>£118</w:t>
            </w:r>
          </w:p>
        </w:tc>
        <w:tc>
          <w:tcPr>
            <w:tcW w:w="0" w:type="auto"/>
            <w:hideMark/>
          </w:tcPr>
          <w:p w14:paraId="2E13D4ED" w14:textId="77777777" w:rsidR="00295591" w:rsidRPr="00295591" w:rsidRDefault="00295591" w:rsidP="00295591">
            <w:pPr>
              <w:spacing w:line="360" w:lineRule="auto"/>
              <w:rPr>
                <w:rFonts w:ascii="Arial" w:hAnsi="Arial" w:cs="Arial"/>
              </w:rPr>
            </w:pPr>
            <w:r w:rsidRPr="00295591">
              <w:rPr>
                <w:rFonts w:ascii="Arial" w:hAnsi="Arial" w:cs="Arial"/>
              </w:rPr>
              <w:t>-19% efficiency</w:t>
            </w:r>
          </w:p>
        </w:tc>
      </w:tr>
      <w:tr w:rsidR="00295591" w:rsidRPr="00295591" w14:paraId="708111C8" w14:textId="77777777" w:rsidTr="00DF7DC9">
        <w:tc>
          <w:tcPr>
            <w:tcW w:w="0" w:type="auto"/>
            <w:hideMark/>
          </w:tcPr>
          <w:p w14:paraId="25F6ADC0" w14:textId="77777777" w:rsidR="00295591" w:rsidRPr="00295591" w:rsidRDefault="00295591" w:rsidP="00295591">
            <w:pPr>
              <w:spacing w:line="360" w:lineRule="auto"/>
              <w:rPr>
                <w:rFonts w:ascii="Arial" w:hAnsi="Arial" w:cs="Arial"/>
              </w:rPr>
            </w:pPr>
            <w:r w:rsidRPr="00295591">
              <w:rPr>
                <w:rFonts w:ascii="Arial" w:hAnsi="Arial" w:cs="Arial"/>
                <w:b/>
                <w:bCs/>
              </w:rPr>
              <w:t>Customer Retention</w:t>
            </w:r>
          </w:p>
        </w:tc>
        <w:tc>
          <w:tcPr>
            <w:tcW w:w="0" w:type="auto"/>
            <w:hideMark/>
          </w:tcPr>
          <w:p w14:paraId="037466FC" w14:textId="77777777" w:rsidR="00295591" w:rsidRPr="00295591" w:rsidRDefault="00295591" w:rsidP="00295591">
            <w:pPr>
              <w:spacing w:line="360" w:lineRule="auto"/>
              <w:rPr>
                <w:rFonts w:ascii="Arial" w:hAnsi="Arial" w:cs="Arial"/>
              </w:rPr>
            </w:pPr>
            <w:r w:rsidRPr="00295591">
              <w:rPr>
                <w:rFonts w:ascii="Arial" w:hAnsi="Arial" w:cs="Arial"/>
              </w:rPr>
              <w:t>Annual churn rate</w:t>
            </w:r>
          </w:p>
        </w:tc>
        <w:tc>
          <w:tcPr>
            <w:tcW w:w="0" w:type="auto"/>
            <w:hideMark/>
          </w:tcPr>
          <w:p w14:paraId="239F88EC" w14:textId="77777777" w:rsidR="00295591" w:rsidRPr="00295591" w:rsidRDefault="00295591" w:rsidP="00295591">
            <w:pPr>
              <w:spacing w:line="360" w:lineRule="auto"/>
              <w:rPr>
                <w:rFonts w:ascii="Arial" w:hAnsi="Arial" w:cs="Arial"/>
              </w:rPr>
            </w:pPr>
            <w:r w:rsidRPr="00295591">
              <w:rPr>
                <w:rFonts w:ascii="Arial" w:hAnsi="Arial" w:cs="Arial"/>
              </w:rPr>
              <w:t>8.2%</w:t>
            </w:r>
          </w:p>
        </w:tc>
        <w:tc>
          <w:tcPr>
            <w:tcW w:w="0" w:type="auto"/>
            <w:hideMark/>
          </w:tcPr>
          <w:p w14:paraId="3A548221" w14:textId="77777777" w:rsidR="00295591" w:rsidRPr="00295591" w:rsidRDefault="00295591" w:rsidP="00295591">
            <w:pPr>
              <w:spacing w:line="360" w:lineRule="auto"/>
              <w:rPr>
                <w:rFonts w:ascii="Arial" w:hAnsi="Arial" w:cs="Arial"/>
              </w:rPr>
            </w:pPr>
            <w:r w:rsidRPr="00295591">
              <w:rPr>
                <w:rFonts w:ascii="Arial" w:hAnsi="Arial" w:cs="Arial"/>
              </w:rPr>
              <w:t>6.5%</w:t>
            </w:r>
          </w:p>
        </w:tc>
        <w:tc>
          <w:tcPr>
            <w:tcW w:w="0" w:type="auto"/>
            <w:hideMark/>
          </w:tcPr>
          <w:p w14:paraId="5710EEE6" w14:textId="77777777" w:rsidR="00295591" w:rsidRPr="00295591" w:rsidRDefault="00295591" w:rsidP="00295591">
            <w:pPr>
              <w:spacing w:line="360" w:lineRule="auto"/>
              <w:rPr>
                <w:rFonts w:ascii="Arial" w:hAnsi="Arial" w:cs="Arial"/>
              </w:rPr>
            </w:pPr>
            <w:r w:rsidRPr="00295591">
              <w:rPr>
                <w:rFonts w:ascii="Arial" w:hAnsi="Arial" w:cs="Arial"/>
              </w:rPr>
              <w:t>4.8%</w:t>
            </w:r>
          </w:p>
        </w:tc>
        <w:tc>
          <w:tcPr>
            <w:tcW w:w="0" w:type="auto"/>
            <w:hideMark/>
          </w:tcPr>
          <w:p w14:paraId="3FA9CF43" w14:textId="77777777" w:rsidR="00295591" w:rsidRPr="00295591" w:rsidRDefault="00295591" w:rsidP="00295591">
            <w:pPr>
              <w:spacing w:line="360" w:lineRule="auto"/>
              <w:rPr>
                <w:rFonts w:ascii="Arial" w:hAnsi="Arial" w:cs="Arial"/>
              </w:rPr>
            </w:pPr>
            <w:r w:rsidRPr="00295591">
              <w:rPr>
                <w:rFonts w:ascii="Arial" w:hAnsi="Arial" w:cs="Arial"/>
              </w:rPr>
              <w:t>-3.4 points</w:t>
            </w:r>
          </w:p>
        </w:tc>
      </w:tr>
      <w:tr w:rsidR="00295591" w:rsidRPr="00295591" w14:paraId="4345A3B7" w14:textId="77777777" w:rsidTr="00DF7DC9">
        <w:tc>
          <w:tcPr>
            <w:tcW w:w="0" w:type="auto"/>
            <w:hideMark/>
          </w:tcPr>
          <w:p w14:paraId="22941AB2" w14:textId="77777777" w:rsidR="00295591" w:rsidRPr="00295591" w:rsidRDefault="00295591" w:rsidP="00295591">
            <w:pPr>
              <w:spacing w:line="360" w:lineRule="auto"/>
              <w:rPr>
                <w:rFonts w:ascii="Arial" w:hAnsi="Arial" w:cs="Arial"/>
              </w:rPr>
            </w:pPr>
          </w:p>
        </w:tc>
        <w:tc>
          <w:tcPr>
            <w:tcW w:w="0" w:type="auto"/>
            <w:hideMark/>
          </w:tcPr>
          <w:p w14:paraId="26D0EDDD" w14:textId="77777777" w:rsidR="00295591" w:rsidRPr="00295591" w:rsidRDefault="00295591" w:rsidP="00295591">
            <w:pPr>
              <w:spacing w:line="360" w:lineRule="auto"/>
              <w:rPr>
                <w:rFonts w:ascii="Arial" w:hAnsi="Arial" w:cs="Arial"/>
              </w:rPr>
            </w:pPr>
            <w:r w:rsidRPr="00295591">
              <w:rPr>
                <w:rFonts w:ascii="Arial" w:hAnsi="Arial" w:cs="Arial"/>
              </w:rPr>
              <w:t>NPS Score</w:t>
            </w:r>
          </w:p>
        </w:tc>
        <w:tc>
          <w:tcPr>
            <w:tcW w:w="0" w:type="auto"/>
            <w:hideMark/>
          </w:tcPr>
          <w:p w14:paraId="384210E6" w14:textId="77777777" w:rsidR="00295591" w:rsidRPr="00295591" w:rsidRDefault="00295591" w:rsidP="00295591">
            <w:pPr>
              <w:spacing w:line="360" w:lineRule="auto"/>
              <w:rPr>
                <w:rFonts w:ascii="Arial" w:hAnsi="Arial" w:cs="Arial"/>
              </w:rPr>
            </w:pPr>
            <w:r w:rsidRPr="00295591">
              <w:rPr>
                <w:rFonts w:ascii="Arial" w:hAnsi="Arial" w:cs="Arial"/>
              </w:rPr>
              <w:t>32</w:t>
            </w:r>
          </w:p>
        </w:tc>
        <w:tc>
          <w:tcPr>
            <w:tcW w:w="0" w:type="auto"/>
            <w:hideMark/>
          </w:tcPr>
          <w:p w14:paraId="598F2AAF" w14:textId="77777777" w:rsidR="00295591" w:rsidRPr="00295591" w:rsidRDefault="00295591" w:rsidP="00295591">
            <w:pPr>
              <w:spacing w:line="360" w:lineRule="auto"/>
              <w:rPr>
                <w:rFonts w:ascii="Arial" w:hAnsi="Arial" w:cs="Arial"/>
              </w:rPr>
            </w:pPr>
            <w:r w:rsidRPr="00295591">
              <w:rPr>
                <w:rFonts w:ascii="Arial" w:hAnsi="Arial" w:cs="Arial"/>
              </w:rPr>
              <w:t>42</w:t>
            </w:r>
          </w:p>
        </w:tc>
        <w:tc>
          <w:tcPr>
            <w:tcW w:w="0" w:type="auto"/>
            <w:hideMark/>
          </w:tcPr>
          <w:p w14:paraId="64656153" w14:textId="77777777" w:rsidR="00295591" w:rsidRPr="00295591" w:rsidRDefault="00295591" w:rsidP="00295591">
            <w:pPr>
              <w:spacing w:line="360" w:lineRule="auto"/>
              <w:rPr>
                <w:rFonts w:ascii="Arial" w:hAnsi="Arial" w:cs="Arial"/>
              </w:rPr>
            </w:pPr>
            <w:r w:rsidRPr="00295591">
              <w:rPr>
                <w:rFonts w:ascii="Arial" w:hAnsi="Arial" w:cs="Arial"/>
              </w:rPr>
              <w:t>48</w:t>
            </w:r>
          </w:p>
        </w:tc>
        <w:tc>
          <w:tcPr>
            <w:tcW w:w="0" w:type="auto"/>
            <w:hideMark/>
          </w:tcPr>
          <w:p w14:paraId="2053A09E" w14:textId="77777777" w:rsidR="00295591" w:rsidRPr="00295591" w:rsidRDefault="00295591" w:rsidP="00295591">
            <w:pPr>
              <w:spacing w:line="360" w:lineRule="auto"/>
              <w:rPr>
                <w:rFonts w:ascii="Arial" w:hAnsi="Arial" w:cs="Arial"/>
              </w:rPr>
            </w:pPr>
            <w:r w:rsidRPr="00295591">
              <w:rPr>
                <w:rFonts w:ascii="Arial" w:hAnsi="Arial" w:cs="Arial"/>
              </w:rPr>
              <w:t>+16 points</w:t>
            </w:r>
          </w:p>
        </w:tc>
      </w:tr>
      <w:tr w:rsidR="00295591" w:rsidRPr="00295591" w14:paraId="78E1F905" w14:textId="77777777" w:rsidTr="00DF7DC9">
        <w:tc>
          <w:tcPr>
            <w:tcW w:w="0" w:type="auto"/>
            <w:hideMark/>
          </w:tcPr>
          <w:p w14:paraId="61A686E9" w14:textId="77777777" w:rsidR="00295591" w:rsidRPr="00295591" w:rsidRDefault="00295591" w:rsidP="00295591">
            <w:pPr>
              <w:spacing w:line="360" w:lineRule="auto"/>
              <w:rPr>
                <w:rFonts w:ascii="Arial" w:hAnsi="Arial" w:cs="Arial"/>
              </w:rPr>
            </w:pPr>
          </w:p>
        </w:tc>
        <w:tc>
          <w:tcPr>
            <w:tcW w:w="0" w:type="auto"/>
            <w:hideMark/>
          </w:tcPr>
          <w:p w14:paraId="4C9273E8" w14:textId="77777777" w:rsidR="00295591" w:rsidRPr="00295591" w:rsidRDefault="00295591" w:rsidP="00295591">
            <w:pPr>
              <w:spacing w:line="360" w:lineRule="auto"/>
              <w:rPr>
                <w:rFonts w:ascii="Arial" w:hAnsi="Arial" w:cs="Arial"/>
              </w:rPr>
            </w:pPr>
            <w:r w:rsidRPr="00295591">
              <w:rPr>
                <w:rFonts w:ascii="Arial" w:hAnsi="Arial" w:cs="Arial"/>
              </w:rPr>
              <w:t>Customer effort score</w:t>
            </w:r>
          </w:p>
        </w:tc>
        <w:tc>
          <w:tcPr>
            <w:tcW w:w="0" w:type="auto"/>
            <w:hideMark/>
          </w:tcPr>
          <w:p w14:paraId="29756E43" w14:textId="77777777" w:rsidR="00295591" w:rsidRPr="00295591" w:rsidRDefault="00295591" w:rsidP="00295591">
            <w:pPr>
              <w:spacing w:line="360" w:lineRule="auto"/>
              <w:rPr>
                <w:rFonts w:ascii="Arial" w:hAnsi="Arial" w:cs="Arial"/>
              </w:rPr>
            </w:pPr>
            <w:r w:rsidRPr="00295591">
              <w:rPr>
                <w:rFonts w:ascii="Arial" w:hAnsi="Arial" w:cs="Arial"/>
              </w:rPr>
              <w:t>4.2</w:t>
            </w:r>
          </w:p>
        </w:tc>
        <w:tc>
          <w:tcPr>
            <w:tcW w:w="0" w:type="auto"/>
            <w:hideMark/>
          </w:tcPr>
          <w:p w14:paraId="1913D829" w14:textId="77777777" w:rsidR="00295591" w:rsidRPr="00295591" w:rsidRDefault="00295591" w:rsidP="00295591">
            <w:pPr>
              <w:spacing w:line="360" w:lineRule="auto"/>
              <w:rPr>
                <w:rFonts w:ascii="Arial" w:hAnsi="Arial" w:cs="Arial"/>
              </w:rPr>
            </w:pPr>
            <w:r w:rsidRPr="00295591">
              <w:rPr>
                <w:rFonts w:ascii="Arial" w:hAnsi="Arial" w:cs="Arial"/>
              </w:rPr>
              <w:t>3.1</w:t>
            </w:r>
          </w:p>
        </w:tc>
        <w:tc>
          <w:tcPr>
            <w:tcW w:w="0" w:type="auto"/>
            <w:hideMark/>
          </w:tcPr>
          <w:p w14:paraId="29584BE0" w14:textId="77777777" w:rsidR="00295591" w:rsidRPr="00295591" w:rsidRDefault="00295591" w:rsidP="00295591">
            <w:pPr>
              <w:spacing w:line="360" w:lineRule="auto"/>
              <w:rPr>
                <w:rFonts w:ascii="Arial" w:hAnsi="Arial" w:cs="Arial"/>
              </w:rPr>
            </w:pPr>
            <w:r w:rsidRPr="00295591">
              <w:rPr>
                <w:rFonts w:ascii="Arial" w:hAnsi="Arial" w:cs="Arial"/>
              </w:rPr>
              <w:t>2.6</w:t>
            </w:r>
          </w:p>
        </w:tc>
        <w:tc>
          <w:tcPr>
            <w:tcW w:w="0" w:type="auto"/>
            <w:hideMark/>
          </w:tcPr>
          <w:p w14:paraId="3B63A5F2" w14:textId="77777777" w:rsidR="00295591" w:rsidRPr="00295591" w:rsidRDefault="00295591" w:rsidP="00295591">
            <w:pPr>
              <w:spacing w:line="360" w:lineRule="auto"/>
              <w:rPr>
                <w:rFonts w:ascii="Arial" w:hAnsi="Arial" w:cs="Arial"/>
              </w:rPr>
            </w:pPr>
            <w:r w:rsidRPr="00295591">
              <w:rPr>
                <w:rFonts w:ascii="Arial" w:hAnsi="Arial" w:cs="Arial"/>
              </w:rPr>
              <w:t>-38% friction</w:t>
            </w:r>
          </w:p>
        </w:tc>
      </w:tr>
      <w:tr w:rsidR="00295591" w:rsidRPr="00295591" w14:paraId="48C70E8A" w14:textId="77777777" w:rsidTr="00DF7DC9">
        <w:tc>
          <w:tcPr>
            <w:tcW w:w="0" w:type="auto"/>
            <w:hideMark/>
          </w:tcPr>
          <w:p w14:paraId="101B394B" w14:textId="77777777" w:rsidR="00295591" w:rsidRPr="00295591" w:rsidRDefault="00295591" w:rsidP="00295591">
            <w:pPr>
              <w:spacing w:line="360" w:lineRule="auto"/>
              <w:rPr>
                <w:rFonts w:ascii="Arial" w:hAnsi="Arial" w:cs="Arial"/>
              </w:rPr>
            </w:pPr>
            <w:r w:rsidRPr="00295591">
              <w:rPr>
                <w:rFonts w:ascii="Arial" w:hAnsi="Arial" w:cs="Arial"/>
                <w:b/>
                <w:bCs/>
              </w:rPr>
              <w:lastRenderedPageBreak/>
              <w:t>Lifetime Value</w:t>
            </w:r>
          </w:p>
        </w:tc>
        <w:tc>
          <w:tcPr>
            <w:tcW w:w="0" w:type="auto"/>
            <w:hideMark/>
          </w:tcPr>
          <w:p w14:paraId="7F71AB1D" w14:textId="77777777" w:rsidR="00295591" w:rsidRPr="00295591" w:rsidRDefault="00295591" w:rsidP="00295591">
            <w:pPr>
              <w:spacing w:line="360" w:lineRule="auto"/>
              <w:rPr>
                <w:rFonts w:ascii="Arial" w:hAnsi="Arial" w:cs="Arial"/>
              </w:rPr>
            </w:pPr>
            <w:r w:rsidRPr="00295591">
              <w:rPr>
                <w:rFonts w:ascii="Arial" w:hAnsi="Arial" w:cs="Arial"/>
              </w:rPr>
              <w:t>Average customer LTV</w:t>
            </w:r>
          </w:p>
        </w:tc>
        <w:tc>
          <w:tcPr>
            <w:tcW w:w="0" w:type="auto"/>
            <w:hideMark/>
          </w:tcPr>
          <w:p w14:paraId="46BE7291" w14:textId="77777777" w:rsidR="00295591" w:rsidRPr="00295591" w:rsidRDefault="00295591" w:rsidP="00295591">
            <w:pPr>
              <w:spacing w:line="360" w:lineRule="auto"/>
              <w:rPr>
                <w:rFonts w:ascii="Arial" w:hAnsi="Arial" w:cs="Arial"/>
              </w:rPr>
            </w:pPr>
            <w:r w:rsidRPr="00295591">
              <w:rPr>
                <w:rFonts w:ascii="Arial" w:hAnsi="Arial" w:cs="Arial"/>
              </w:rPr>
              <w:t>£2,340</w:t>
            </w:r>
          </w:p>
        </w:tc>
        <w:tc>
          <w:tcPr>
            <w:tcW w:w="0" w:type="auto"/>
            <w:hideMark/>
          </w:tcPr>
          <w:p w14:paraId="133E0842" w14:textId="77777777" w:rsidR="00295591" w:rsidRPr="00295591" w:rsidRDefault="00295591" w:rsidP="00295591">
            <w:pPr>
              <w:spacing w:line="360" w:lineRule="auto"/>
              <w:rPr>
                <w:rFonts w:ascii="Arial" w:hAnsi="Arial" w:cs="Arial"/>
              </w:rPr>
            </w:pPr>
            <w:r w:rsidRPr="00295591">
              <w:rPr>
                <w:rFonts w:ascii="Arial" w:hAnsi="Arial" w:cs="Arial"/>
              </w:rPr>
              <w:t>£2,570</w:t>
            </w:r>
          </w:p>
        </w:tc>
        <w:tc>
          <w:tcPr>
            <w:tcW w:w="0" w:type="auto"/>
            <w:hideMark/>
          </w:tcPr>
          <w:p w14:paraId="4DCF8ED0" w14:textId="77777777" w:rsidR="00295591" w:rsidRPr="00295591" w:rsidRDefault="00295591" w:rsidP="00295591">
            <w:pPr>
              <w:spacing w:line="360" w:lineRule="auto"/>
              <w:rPr>
                <w:rFonts w:ascii="Arial" w:hAnsi="Arial" w:cs="Arial"/>
              </w:rPr>
            </w:pPr>
            <w:r w:rsidRPr="00295591">
              <w:rPr>
                <w:rFonts w:ascii="Arial" w:hAnsi="Arial" w:cs="Arial"/>
              </w:rPr>
              <w:t>£2,925</w:t>
            </w:r>
          </w:p>
        </w:tc>
        <w:tc>
          <w:tcPr>
            <w:tcW w:w="0" w:type="auto"/>
            <w:hideMark/>
          </w:tcPr>
          <w:p w14:paraId="2EA69C4D" w14:textId="77777777" w:rsidR="00295591" w:rsidRPr="00295591" w:rsidRDefault="00295591" w:rsidP="00295591">
            <w:pPr>
              <w:spacing w:line="360" w:lineRule="auto"/>
              <w:rPr>
                <w:rFonts w:ascii="Arial" w:hAnsi="Arial" w:cs="Arial"/>
              </w:rPr>
            </w:pPr>
            <w:r w:rsidRPr="00295591">
              <w:rPr>
                <w:rFonts w:ascii="Arial" w:hAnsi="Arial" w:cs="Arial"/>
              </w:rPr>
              <w:t>+25% increase</w:t>
            </w:r>
          </w:p>
        </w:tc>
      </w:tr>
      <w:tr w:rsidR="00295591" w:rsidRPr="00295591" w14:paraId="7F677DFA" w14:textId="77777777" w:rsidTr="00DF7DC9">
        <w:tc>
          <w:tcPr>
            <w:tcW w:w="0" w:type="auto"/>
            <w:hideMark/>
          </w:tcPr>
          <w:p w14:paraId="17859270" w14:textId="77777777" w:rsidR="00295591" w:rsidRPr="00295591" w:rsidRDefault="00295591" w:rsidP="00295591">
            <w:pPr>
              <w:spacing w:line="360" w:lineRule="auto"/>
              <w:rPr>
                <w:rFonts w:ascii="Arial" w:hAnsi="Arial" w:cs="Arial"/>
              </w:rPr>
            </w:pPr>
          </w:p>
        </w:tc>
        <w:tc>
          <w:tcPr>
            <w:tcW w:w="0" w:type="auto"/>
            <w:hideMark/>
          </w:tcPr>
          <w:p w14:paraId="7A4F7F0B" w14:textId="77777777" w:rsidR="00295591" w:rsidRPr="00295591" w:rsidRDefault="00295591" w:rsidP="00295591">
            <w:pPr>
              <w:spacing w:line="360" w:lineRule="auto"/>
              <w:rPr>
                <w:rFonts w:ascii="Arial" w:hAnsi="Arial" w:cs="Arial"/>
              </w:rPr>
            </w:pPr>
            <w:r w:rsidRPr="00295591">
              <w:rPr>
                <w:rFonts w:ascii="Arial" w:hAnsi="Arial" w:cs="Arial"/>
              </w:rPr>
              <w:t>Products per customer</w:t>
            </w:r>
          </w:p>
        </w:tc>
        <w:tc>
          <w:tcPr>
            <w:tcW w:w="0" w:type="auto"/>
            <w:hideMark/>
          </w:tcPr>
          <w:p w14:paraId="56C9B737" w14:textId="77777777" w:rsidR="00295591" w:rsidRPr="00295591" w:rsidRDefault="00295591" w:rsidP="00295591">
            <w:pPr>
              <w:spacing w:line="360" w:lineRule="auto"/>
              <w:rPr>
                <w:rFonts w:ascii="Arial" w:hAnsi="Arial" w:cs="Arial"/>
              </w:rPr>
            </w:pPr>
            <w:r w:rsidRPr="00295591">
              <w:rPr>
                <w:rFonts w:ascii="Arial" w:hAnsi="Arial" w:cs="Arial"/>
              </w:rPr>
              <w:t>2.1</w:t>
            </w:r>
          </w:p>
        </w:tc>
        <w:tc>
          <w:tcPr>
            <w:tcW w:w="0" w:type="auto"/>
            <w:hideMark/>
          </w:tcPr>
          <w:p w14:paraId="13869A51" w14:textId="77777777" w:rsidR="00295591" w:rsidRPr="00295591" w:rsidRDefault="00295591" w:rsidP="00295591">
            <w:pPr>
              <w:spacing w:line="360" w:lineRule="auto"/>
              <w:rPr>
                <w:rFonts w:ascii="Arial" w:hAnsi="Arial" w:cs="Arial"/>
              </w:rPr>
            </w:pPr>
            <w:r w:rsidRPr="00295591">
              <w:rPr>
                <w:rFonts w:ascii="Arial" w:hAnsi="Arial" w:cs="Arial"/>
              </w:rPr>
              <w:t>2.6</w:t>
            </w:r>
          </w:p>
        </w:tc>
        <w:tc>
          <w:tcPr>
            <w:tcW w:w="0" w:type="auto"/>
            <w:hideMark/>
          </w:tcPr>
          <w:p w14:paraId="2DDAC708" w14:textId="77777777" w:rsidR="00295591" w:rsidRPr="00295591" w:rsidRDefault="00295591" w:rsidP="00295591">
            <w:pPr>
              <w:spacing w:line="360" w:lineRule="auto"/>
              <w:rPr>
                <w:rFonts w:ascii="Arial" w:hAnsi="Arial" w:cs="Arial"/>
              </w:rPr>
            </w:pPr>
            <w:r w:rsidRPr="00295591">
              <w:rPr>
                <w:rFonts w:ascii="Arial" w:hAnsi="Arial" w:cs="Arial"/>
              </w:rPr>
              <w:t>3.2</w:t>
            </w:r>
          </w:p>
        </w:tc>
        <w:tc>
          <w:tcPr>
            <w:tcW w:w="0" w:type="auto"/>
            <w:hideMark/>
          </w:tcPr>
          <w:p w14:paraId="3D123AD3" w14:textId="77777777" w:rsidR="00295591" w:rsidRPr="00295591" w:rsidRDefault="00295591" w:rsidP="00295591">
            <w:pPr>
              <w:spacing w:line="360" w:lineRule="auto"/>
              <w:rPr>
                <w:rFonts w:ascii="Arial" w:hAnsi="Arial" w:cs="Arial"/>
              </w:rPr>
            </w:pPr>
            <w:r w:rsidRPr="00295591">
              <w:rPr>
                <w:rFonts w:ascii="Arial" w:hAnsi="Arial" w:cs="Arial"/>
              </w:rPr>
              <w:t>+52% cross-sell</w:t>
            </w:r>
          </w:p>
        </w:tc>
      </w:tr>
      <w:tr w:rsidR="00295591" w:rsidRPr="00295591" w14:paraId="7F57E07D" w14:textId="77777777" w:rsidTr="00DF7DC9">
        <w:tc>
          <w:tcPr>
            <w:tcW w:w="0" w:type="auto"/>
            <w:hideMark/>
          </w:tcPr>
          <w:p w14:paraId="4058CB0B" w14:textId="77777777" w:rsidR="00295591" w:rsidRPr="00295591" w:rsidRDefault="00295591" w:rsidP="00295591">
            <w:pPr>
              <w:spacing w:line="360" w:lineRule="auto"/>
              <w:rPr>
                <w:rFonts w:ascii="Arial" w:hAnsi="Arial" w:cs="Arial"/>
              </w:rPr>
            </w:pPr>
          </w:p>
        </w:tc>
        <w:tc>
          <w:tcPr>
            <w:tcW w:w="0" w:type="auto"/>
            <w:hideMark/>
          </w:tcPr>
          <w:p w14:paraId="29723C24" w14:textId="77777777" w:rsidR="00295591" w:rsidRPr="00295591" w:rsidRDefault="00295591" w:rsidP="00295591">
            <w:pPr>
              <w:spacing w:line="360" w:lineRule="auto"/>
              <w:rPr>
                <w:rFonts w:ascii="Arial" w:hAnsi="Arial" w:cs="Arial"/>
              </w:rPr>
            </w:pPr>
            <w:r w:rsidRPr="00295591">
              <w:rPr>
                <w:rFonts w:ascii="Arial" w:hAnsi="Arial" w:cs="Arial"/>
              </w:rPr>
              <w:t>Monthly engagement (MAU/Users)</w:t>
            </w:r>
          </w:p>
        </w:tc>
        <w:tc>
          <w:tcPr>
            <w:tcW w:w="0" w:type="auto"/>
            <w:hideMark/>
          </w:tcPr>
          <w:p w14:paraId="1E79EE12" w14:textId="77777777" w:rsidR="00295591" w:rsidRPr="00295591" w:rsidRDefault="00295591" w:rsidP="00295591">
            <w:pPr>
              <w:spacing w:line="360" w:lineRule="auto"/>
              <w:rPr>
                <w:rFonts w:ascii="Arial" w:hAnsi="Arial" w:cs="Arial"/>
              </w:rPr>
            </w:pPr>
            <w:r w:rsidRPr="00295591">
              <w:rPr>
                <w:rFonts w:ascii="Arial" w:hAnsi="Arial" w:cs="Arial"/>
              </w:rPr>
              <w:t>48%</w:t>
            </w:r>
          </w:p>
        </w:tc>
        <w:tc>
          <w:tcPr>
            <w:tcW w:w="0" w:type="auto"/>
            <w:hideMark/>
          </w:tcPr>
          <w:p w14:paraId="46AEFCD5" w14:textId="77777777" w:rsidR="00295591" w:rsidRPr="00295591" w:rsidRDefault="00295591" w:rsidP="00295591">
            <w:pPr>
              <w:spacing w:line="360" w:lineRule="auto"/>
              <w:rPr>
                <w:rFonts w:ascii="Arial" w:hAnsi="Arial" w:cs="Arial"/>
              </w:rPr>
            </w:pPr>
            <w:r w:rsidRPr="00295591">
              <w:rPr>
                <w:rFonts w:ascii="Arial" w:hAnsi="Arial" w:cs="Arial"/>
              </w:rPr>
              <w:t>68%</w:t>
            </w:r>
          </w:p>
        </w:tc>
        <w:tc>
          <w:tcPr>
            <w:tcW w:w="0" w:type="auto"/>
            <w:hideMark/>
          </w:tcPr>
          <w:p w14:paraId="42265E7B" w14:textId="77777777" w:rsidR="00295591" w:rsidRPr="00295591" w:rsidRDefault="00295591" w:rsidP="00295591">
            <w:pPr>
              <w:spacing w:line="360" w:lineRule="auto"/>
              <w:rPr>
                <w:rFonts w:ascii="Arial" w:hAnsi="Arial" w:cs="Arial"/>
              </w:rPr>
            </w:pPr>
            <w:r w:rsidRPr="00295591">
              <w:rPr>
                <w:rFonts w:ascii="Arial" w:hAnsi="Arial" w:cs="Arial"/>
              </w:rPr>
              <w:t>78%</w:t>
            </w:r>
          </w:p>
        </w:tc>
        <w:tc>
          <w:tcPr>
            <w:tcW w:w="0" w:type="auto"/>
            <w:hideMark/>
          </w:tcPr>
          <w:p w14:paraId="55036C20" w14:textId="77777777" w:rsidR="00295591" w:rsidRPr="00295591" w:rsidRDefault="00295591" w:rsidP="00295591">
            <w:pPr>
              <w:spacing w:line="360" w:lineRule="auto"/>
              <w:rPr>
                <w:rFonts w:ascii="Arial" w:hAnsi="Arial" w:cs="Arial"/>
              </w:rPr>
            </w:pPr>
            <w:r w:rsidRPr="00295591">
              <w:rPr>
                <w:rFonts w:ascii="Arial" w:hAnsi="Arial" w:cs="Arial"/>
              </w:rPr>
              <w:t>+30 points</w:t>
            </w:r>
          </w:p>
        </w:tc>
      </w:tr>
      <w:tr w:rsidR="00295591" w:rsidRPr="00295591" w14:paraId="2DD3E013" w14:textId="77777777" w:rsidTr="00DF7DC9">
        <w:tc>
          <w:tcPr>
            <w:tcW w:w="0" w:type="auto"/>
            <w:hideMark/>
          </w:tcPr>
          <w:p w14:paraId="694C0595" w14:textId="77777777" w:rsidR="00295591" w:rsidRPr="00295591" w:rsidRDefault="00295591" w:rsidP="00295591">
            <w:pPr>
              <w:spacing w:line="360" w:lineRule="auto"/>
              <w:rPr>
                <w:rFonts w:ascii="Arial" w:hAnsi="Arial" w:cs="Arial"/>
              </w:rPr>
            </w:pPr>
            <w:r w:rsidRPr="00295591">
              <w:rPr>
                <w:rFonts w:ascii="Arial" w:hAnsi="Arial" w:cs="Arial"/>
                <w:b/>
                <w:bCs/>
              </w:rPr>
              <w:t>Operational Efficiency</w:t>
            </w:r>
          </w:p>
        </w:tc>
        <w:tc>
          <w:tcPr>
            <w:tcW w:w="0" w:type="auto"/>
            <w:hideMark/>
          </w:tcPr>
          <w:p w14:paraId="247F0DCE" w14:textId="77777777" w:rsidR="00295591" w:rsidRPr="00295591" w:rsidRDefault="00295591" w:rsidP="00295591">
            <w:pPr>
              <w:spacing w:line="360" w:lineRule="auto"/>
              <w:rPr>
                <w:rFonts w:ascii="Arial" w:hAnsi="Arial" w:cs="Arial"/>
              </w:rPr>
            </w:pPr>
            <w:r w:rsidRPr="00295591">
              <w:rPr>
                <w:rFonts w:ascii="Arial" w:hAnsi="Arial" w:cs="Arial"/>
              </w:rPr>
              <w:t>Cost per customer/year</w:t>
            </w:r>
          </w:p>
        </w:tc>
        <w:tc>
          <w:tcPr>
            <w:tcW w:w="0" w:type="auto"/>
            <w:hideMark/>
          </w:tcPr>
          <w:p w14:paraId="39416829" w14:textId="77777777" w:rsidR="00295591" w:rsidRPr="00295591" w:rsidRDefault="00295591" w:rsidP="00295591">
            <w:pPr>
              <w:spacing w:line="360" w:lineRule="auto"/>
              <w:rPr>
                <w:rFonts w:ascii="Arial" w:hAnsi="Arial" w:cs="Arial"/>
              </w:rPr>
            </w:pPr>
            <w:r w:rsidRPr="00295591">
              <w:rPr>
                <w:rFonts w:ascii="Arial" w:hAnsi="Arial" w:cs="Arial"/>
              </w:rPr>
              <w:t>£186</w:t>
            </w:r>
          </w:p>
        </w:tc>
        <w:tc>
          <w:tcPr>
            <w:tcW w:w="0" w:type="auto"/>
            <w:hideMark/>
          </w:tcPr>
          <w:p w14:paraId="1D45BBF2" w14:textId="77777777" w:rsidR="00295591" w:rsidRPr="00295591" w:rsidRDefault="00295591" w:rsidP="00295591">
            <w:pPr>
              <w:spacing w:line="360" w:lineRule="auto"/>
              <w:rPr>
                <w:rFonts w:ascii="Arial" w:hAnsi="Arial" w:cs="Arial"/>
              </w:rPr>
            </w:pPr>
            <w:r w:rsidRPr="00295591">
              <w:rPr>
                <w:rFonts w:ascii="Arial" w:hAnsi="Arial" w:cs="Arial"/>
              </w:rPr>
              <w:t>£168</w:t>
            </w:r>
          </w:p>
        </w:tc>
        <w:tc>
          <w:tcPr>
            <w:tcW w:w="0" w:type="auto"/>
            <w:hideMark/>
          </w:tcPr>
          <w:p w14:paraId="1747FE98" w14:textId="77777777" w:rsidR="00295591" w:rsidRPr="00295591" w:rsidRDefault="00295591" w:rsidP="00295591">
            <w:pPr>
              <w:spacing w:line="360" w:lineRule="auto"/>
              <w:rPr>
                <w:rFonts w:ascii="Arial" w:hAnsi="Arial" w:cs="Arial"/>
              </w:rPr>
            </w:pPr>
            <w:r w:rsidRPr="00295591">
              <w:rPr>
                <w:rFonts w:ascii="Arial" w:hAnsi="Arial" w:cs="Arial"/>
              </w:rPr>
              <w:t>£152</w:t>
            </w:r>
          </w:p>
        </w:tc>
        <w:tc>
          <w:tcPr>
            <w:tcW w:w="0" w:type="auto"/>
            <w:hideMark/>
          </w:tcPr>
          <w:p w14:paraId="3FFED23A" w14:textId="77777777" w:rsidR="00295591" w:rsidRPr="00295591" w:rsidRDefault="00295591" w:rsidP="00295591">
            <w:pPr>
              <w:spacing w:line="360" w:lineRule="auto"/>
              <w:rPr>
                <w:rFonts w:ascii="Arial" w:hAnsi="Arial" w:cs="Arial"/>
              </w:rPr>
            </w:pPr>
            <w:r w:rsidRPr="00295591">
              <w:rPr>
                <w:rFonts w:ascii="Arial" w:hAnsi="Arial" w:cs="Arial"/>
              </w:rPr>
              <w:t>-18% reduction</w:t>
            </w:r>
          </w:p>
        </w:tc>
      </w:tr>
      <w:tr w:rsidR="00295591" w:rsidRPr="00295591" w14:paraId="70A4310F" w14:textId="77777777" w:rsidTr="00DF7DC9">
        <w:tc>
          <w:tcPr>
            <w:tcW w:w="0" w:type="auto"/>
            <w:hideMark/>
          </w:tcPr>
          <w:p w14:paraId="34480D0C" w14:textId="77777777" w:rsidR="00295591" w:rsidRPr="00295591" w:rsidRDefault="00295591" w:rsidP="00295591">
            <w:pPr>
              <w:spacing w:line="360" w:lineRule="auto"/>
              <w:rPr>
                <w:rFonts w:ascii="Arial" w:hAnsi="Arial" w:cs="Arial"/>
              </w:rPr>
            </w:pPr>
          </w:p>
        </w:tc>
        <w:tc>
          <w:tcPr>
            <w:tcW w:w="0" w:type="auto"/>
            <w:hideMark/>
          </w:tcPr>
          <w:p w14:paraId="4B295E86" w14:textId="77777777" w:rsidR="00295591" w:rsidRPr="00295591" w:rsidRDefault="00295591" w:rsidP="00295591">
            <w:pPr>
              <w:spacing w:line="360" w:lineRule="auto"/>
              <w:rPr>
                <w:rFonts w:ascii="Arial" w:hAnsi="Arial" w:cs="Arial"/>
              </w:rPr>
            </w:pPr>
            <w:r w:rsidRPr="00295591">
              <w:rPr>
                <w:rFonts w:ascii="Arial" w:hAnsi="Arial" w:cs="Arial"/>
              </w:rPr>
              <w:t>Branch transactions</w:t>
            </w:r>
          </w:p>
        </w:tc>
        <w:tc>
          <w:tcPr>
            <w:tcW w:w="0" w:type="auto"/>
            <w:hideMark/>
          </w:tcPr>
          <w:p w14:paraId="0D1C1A5E" w14:textId="77777777" w:rsidR="00295591" w:rsidRPr="00295591" w:rsidRDefault="00295591" w:rsidP="00295591">
            <w:pPr>
              <w:spacing w:line="360" w:lineRule="auto"/>
              <w:rPr>
                <w:rFonts w:ascii="Arial" w:hAnsi="Arial" w:cs="Arial"/>
              </w:rPr>
            </w:pPr>
            <w:r w:rsidRPr="00295591">
              <w:rPr>
                <w:rFonts w:ascii="Arial" w:hAnsi="Arial" w:cs="Arial"/>
              </w:rPr>
              <w:t>8.2M/year</w:t>
            </w:r>
          </w:p>
        </w:tc>
        <w:tc>
          <w:tcPr>
            <w:tcW w:w="0" w:type="auto"/>
            <w:hideMark/>
          </w:tcPr>
          <w:p w14:paraId="0A2C39E8" w14:textId="77777777" w:rsidR="00295591" w:rsidRPr="00295591" w:rsidRDefault="00295591" w:rsidP="00295591">
            <w:pPr>
              <w:spacing w:line="360" w:lineRule="auto"/>
              <w:rPr>
                <w:rFonts w:ascii="Arial" w:hAnsi="Arial" w:cs="Arial"/>
              </w:rPr>
            </w:pPr>
            <w:r w:rsidRPr="00295591">
              <w:rPr>
                <w:rFonts w:ascii="Arial" w:hAnsi="Arial" w:cs="Arial"/>
              </w:rPr>
              <w:t>6.1M</w:t>
            </w:r>
          </w:p>
        </w:tc>
        <w:tc>
          <w:tcPr>
            <w:tcW w:w="0" w:type="auto"/>
            <w:hideMark/>
          </w:tcPr>
          <w:p w14:paraId="5DB61DC5" w14:textId="77777777" w:rsidR="00295591" w:rsidRPr="00295591" w:rsidRDefault="00295591" w:rsidP="00295591">
            <w:pPr>
              <w:spacing w:line="360" w:lineRule="auto"/>
              <w:rPr>
                <w:rFonts w:ascii="Arial" w:hAnsi="Arial" w:cs="Arial"/>
              </w:rPr>
            </w:pPr>
            <w:r w:rsidRPr="00295591">
              <w:rPr>
                <w:rFonts w:ascii="Arial" w:hAnsi="Arial" w:cs="Arial"/>
              </w:rPr>
              <w:t>5.3M</w:t>
            </w:r>
          </w:p>
        </w:tc>
        <w:tc>
          <w:tcPr>
            <w:tcW w:w="0" w:type="auto"/>
            <w:hideMark/>
          </w:tcPr>
          <w:p w14:paraId="2EA0FA04" w14:textId="77777777" w:rsidR="00295591" w:rsidRPr="00295591" w:rsidRDefault="00295591" w:rsidP="00295591">
            <w:pPr>
              <w:spacing w:line="360" w:lineRule="auto"/>
              <w:rPr>
                <w:rFonts w:ascii="Arial" w:hAnsi="Arial" w:cs="Arial"/>
              </w:rPr>
            </w:pPr>
            <w:r w:rsidRPr="00295591">
              <w:rPr>
                <w:rFonts w:ascii="Arial" w:hAnsi="Arial" w:cs="Arial"/>
              </w:rPr>
              <w:t>-35% volume</w:t>
            </w:r>
          </w:p>
        </w:tc>
      </w:tr>
      <w:tr w:rsidR="00295591" w:rsidRPr="00295591" w14:paraId="46C3A052" w14:textId="77777777" w:rsidTr="00DF7DC9">
        <w:tc>
          <w:tcPr>
            <w:tcW w:w="0" w:type="auto"/>
            <w:hideMark/>
          </w:tcPr>
          <w:p w14:paraId="65FB02D5" w14:textId="77777777" w:rsidR="00295591" w:rsidRPr="00295591" w:rsidRDefault="00295591" w:rsidP="00295591">
            <w:pPr>
              <w:spacing w:line="360" w:lineRule="auto"/>
              <w:rPr>
                <w:rFonts w:ascii="Arial" w:hAnsi="Arial" w:cs="Arial"/>
              </w:rPr>
            </w:pPr>
          </w:p>
        </w:tc>
        <w:tc>
          <w:tcPr>
            <w:tcW w:w="0" w:type="auto"/>
            <w:hideMark/>
          </w:tcPr>
          <w:p w14:paraId="69A8A547" w14:textId="77777777" w:rsidR="00295591" w:rsidRPr="00295591" w:rsidRDefault="00295591" w:rsidP="00295591">
            <w:pPr>
              <w:spacing w:line="360" w:lineRule="auto"/>
              <w:rPr>
                <w:rFonts w:ascii="Arial" w:hAnsi="Arial" w:cs="Arial"/>
              </w:rPr>
            </w:pPr>
            <w:r w:rsidRPr="00295591">
              <w:rPr>
                <w:rFonts w:ascii="Arial" w:hAnsi="Arial" w:cs="Arial"/>
              </w:rPr>
              <w:t>Chatbot resolution rate</w:t>
            </w:r>
          </w:p>
        </w:tc>
        <w:tc>
          <w:tcPr>
            <w:tcW w:w="0" w:type="auto"/>
            <w:hideMark/>
          </w:tcPr>
          <w:p w14:paraId="05D99752" w14:textId="77777777" w:rsidR="00295591" w:rsidRPr="00295591" w:rsidRDefault="00295591" w:rsidP="00295591">
            <w:pPr>
              <w:spacing w:line="360" w:lineRule="auto"/>
              <w:rPr>
                <w:rFonts w:ascii="Arial" w:hAnsi="Arial" w:cs="Arial"/>
              </w:rPr>
            </w:pPr>
            <w:r w:rsidRPr="00295591">
              <w:rPr>
                <w:rFonts w:ascii="Arial" w:hAnsi="Arial" w:cs="Arial"/>
              </w:rPr>
              <w:t>65%</w:t>
            </w:r>
          </w:p>
        </w:tc>
        <w:tc>
          <w:tcPr>
            <w:tcW w:w="0" w:type="auto"/>
            <w:hideMark/>
          </w:tcPr>
          <w:p w14:paraId="078EE84E" w14:textId="77777777" w:rsidR="00295591" w:rsidRPr="00295591" w:rsidRDefault="00295591" w:rsidP="00295591">
            <w:pPr>
              <w:spacing w:line="360" w:lineRule="auto"/>
              <w:rPr>
                <w:rFonts w:ascii="Arial" w:hAnsi="Arial" w:cs="Arial"/>
              </w:rPr>
            </w:pPr>
            <w:r w:rsidRPr="00295591">
              <w:rPr>
                <w:rFonts w:ascii="Arial" w:hAnsi="Arial" w:cs="Arial"/>
              </w:rPr>
              <w:t>75%</w:t>
            </w:r>
          </w:p>
        </w:tc>
        <w:tc>
          <w:tcPr>
            <w:tcW w:w="0" w:type="auto"/>
            <w:hideMark/>
          </w:tcPr>
          <w:p w14:paraId="10729EB4" w14:textId="77777777" w:rsidR="00295591" w:rsidRPr="00295591" w:rsidRDefault="00295591" w:rsidP="00295591">
            <w:pPr>
              <w:spacing w:line="360" w:lineRule="auto"/>
              <w:rPr>
                <w:rFonts w:ascii="Arial" w:hAnsi="Arial" w:cs="Arial"/>
              </w:rPr>
            </w:pPr>
            <w:r w:rsidRPr="00295591">
              <w:rPr>
                <w:rFonts w:ascii="Arial" w:hAnsi="Arial" w:cs="Arial"/>
              </w:rPr>
              <w:t>82%</w:t>
            </w:r>
          </w:p>
        </w:tc>
        <w:tc>
          <w:tcPr>
            <w:tcW w:w="0" w:type="auto"/>
            <w:hideMark/>
          </w:tcPr>
          <w:p w14:paraId="183F12DE" w14:textId="77777777" w:rsidR="00295591" w:rsidRPr="00295591" w:rsidRDefault="00295591" w:rsidP="00295591">
            <w:pPr>
              <w:spacing w:line="360" w:lineRule="auto"/>
              <w:rPr>
                <w:rFonts w:ascii="Arial" w:hAnsi="Arial" w:cs="Arial"/>
              </w:rPr>
            </w:pPr>
            <w:r w:rsidRPr="00295591">
              <w:rPr>
                <w:rFonts w:ascii="Arial" w:hAnsi="Arial" w:cs="Arial"/>
              </w:rPr>
              <w:t>+17 points</w:t>
            </w:r>
          </w:p>
        </w:tc>
      </w:tr>
      <w:tr w:rsidR="00295591" w:rsidRPr="00295591" w14:paraId="56CEF20A" w14:textId="77777777" w:rsidTr="00DF7DC9">
        <w:tc>
          <w:tcPr>
            <w:tcW w:w="0" w:type="auto"/>
            <w:hideMark/>
          </w:tcPr>
          <w:p w14:paraId="59EA432D" w14:textId="77777777" w:rsidR="00295591" w:rsidRPr="00295591" w:rsidRDefault="00295591" w:rsidP="00295591">
            <w:pPr>
              <w:spacing w:line="360" w:lineRule="auto"/>
              <w:rPr>
                <w:rFonts w:ascii="Arial" w:hAnsi="Arial" w:cs="Arial"/>
              </w:rPr>
            </w:pPr>
          </w:p>
        </w:tc>
        <w:tc>
          <w:tcPr>
            <w:tcW w:w="0" w:type="auto"/>
            <w:hideMark/>
          </w:tcPr>
          <w:p w14:paraId="0B2009F1" w14:textId="77777777" w:rsidR="00295591" w:rsidRPr="00295591" w:rsidRDefault="00295591" w:rsidP="00295591">
            <w:pPr>
              <w:spacing w:line="360" w:lineRule="auto"/>
              <w:rPr>
                <w:rFonts w:ascii="Arial" w:hAnsi="Arial" w:cs="Arial"/>
              </w:rPr>
            </w:pPr>
            <w:r w:rsidRPr="00295591">
              <w:rPr>
                <w:rFonts w:ascii="Arial" w:hAnsi="Arial" w:cs="Arial"/>
              </w:rPr>
              <w:t>Avg phone handling time</w:t>
            </w:r>
          </w:p>
        </w:tc>
        <w:tc>
          <w:tcPr>
            <w:tcW w:w="0" w:type="auto"/>
            <w:hideMark/>
          </w:tcPr>
          <w:p w14:paraId="672A07F0" w14:textId="77777777" w:rsidR="00295591" w:rsidRPr="00295591" w:rsidRDefault="00295591" w:rsidP="00295591">
            <w:pPr>
              <w:spacing w:line="360" w:lineRule="auto"/>
              <w:rPr>
                <w:rFonts w:ascii="Arial" w:hAnsi="Arial" w:cs="Arial"/>
              </w:rPr>
            </w:pPr>
            <w:r w:rsidRPr="00295591">
              <w:rPr>
                <w:rFonts w:ascii="Arial" w:hAnsi="Arial" w:cs="Arial"/>
              </w:rPr>
              <w:t>8.2 min</w:t>
            </w:r>
          </w:p>
        </w:tc>
        <w:tc>
          <w:tcPr>
            <w:tcW w:w="0" w:type="auto"/>
            <w:hideMark/>
          </w:tcPr>
          <w:p w14:paraId="527F7487" w14:textId="77777777" w:rsidR="00295591" w:rsidRPr="00295591" w:rsidRDefault="00295591" w:rsidP="00295591">
            <w:pPr>
              <w:spacing w:line="360" w:lineRule="auto"/>
              <w:rPr>
                <w:rFonts w:ascii="Arial" w:hAnsi="Arial" w:cs="Arial"/>
              </w:rPr>
            </w:pPr>
            <w:r w:rsidRPr="00295591">
              <w:rPr>
                <w:rFonts w:ascii="Arial" w:hAnsi="Arial" w:cs="Arial"/>
              </w:rPr>
              <w:t>6.8 min</w:t>
            </w:r>
          </w:p>
        </w:tc>
        <w:tc>
          <w:tcPr>
            <w:tcW w:w="0" w:type="auto"/>
            <w:hideMark/>
          </w:tcPr>
          <w:p w14:paraId="7EA63FEC" w14:textId="77777777" w:rsidR="00295591" w:rsidRPr="00295591" w:rsidRDefault="00295591" w:rsidP="00295591">
            <w:pPr>
              <w:spacing w:line="360" w:lineRule="auto"/>
              <w:rPr>
                <w:rFonts w:ascii="Arial" w:hAnsi="Arial" w:cs="Arial"/>
              </w:rPr>
            </w:pPr>
            <w:r w:rsidRPr="00295591">
              <w:rPr>
                <w:rFonts w:ascii="Arial" w:hAnsi="Arial" w:cs="Arial"/>
              </w:rPr>
              <w:t>6.1 min</w:t>
            </w:r>
          </w:p>
        </w:tc>
        <w:tc>
          <w:tcPr>
            <w:tcW w:w="0" w:type="auto"/>
            <w:hideMark/>
          </w:tcPr>
          <w:p w14:paraId="4AEF3B9E" w14:textId="77777777" w:rsidR="00295591" w:rsidRPr="00295591" w:rsidRDefault="00295591" w:rsidP="00295591">
            <w:pPr>
              <w:spacing w:line="360" w:lineRule="auto"/>
              <w:rPr>
                <w:rFonts w:ascii="Arial" w:hAnsi="Arial" w:cs="Arial"/>
              </w:rPr>
            </w:pPr>
            <w:r w:rsidRPr="00295591">
              <w:rPr>
                <w:rFonts w:ascii="Arial" w:hAnsi="Arial" w:cs="Arial"/>
              </w:rPr>
              <w:t>-26% improvement</w:t>
            </w:r>
          </w:p>
        </w:tc>
      </w:tr>
      <w:tr w:rsidR="00295591" w:rsidRPr="00295591" w14:paraId="4EF95FB7" w14:textId="77777777" w:rsidTr="00DF7DC9">
        <w:tc>
          <w:tcPr>
            <w:tcW w:w="0" w:type="auto"/>
            <w:hideMark/>
          </w:tcPr>
          <w:p w14:paraId="5C285B13" w14:textId="77777777" w:rsidR="00295591" w:rsidRPr="00295591" w:rsidRDefault="00295591" w:rsidP="00295591">
            <w:pPr>
              <w:spacing w:line="360" w:lineRule="auto"/>
              <w:rPr>
                <w:rFonts w:ascii="Arial" w:hAnsi="Arial" w:cs="Arial"/>
              </w:rPr>
            </w:pPr>
            <w:r w:rsidRPr="00295591">
              <w:rPr>
                <w:rFonts w:ascii="Arial" w:hAnsi="Arial" w:cs="Arial"/>
                <w:b/>
                <w:bCs/>
              </w:rPr>
              <w:t>Revenue Growth</w:t>
            </w:r>
          </w:p>
        </w:tc>
        <w:tc>
          <w:tcPr>
            <w:tcW w:w="0" w:type="auto"/>
            <w:hideMark/>
          </w:tcPr>
          <w:p w14:paraId="133AC1E5" w14:textId="77777777" w:rsidR="00295591" w:rsidRPr="00295591" w:rsidRDefault="00295591" w:rsidP="00295591">
            <w:pPr>
              <w:spacing w:line="360" w:lineRule="auto"/>
              <w:rPr>
                <w:rFonts w:ascii="Arial" w:hAnsi="Arial" w:cs="Arial"/>
              </w:rPr>
            </w:pPr>
            <w:r w:rsidRPr="00295591">
              <w:rPr>
                <w:rFonts w:ascii="Arial" w:hAnsi="Arial" w:cs="Arial"/>
              </w:rPr>
              <w:t>Digital product revenue</w:t>
            </w:r>
          </w:p>
        </w:tc>
        <w:tc>
          <w:tcPr>
            <w:tcW w:w="0" w:type="auto"/>
            <w:hideMark/>
          </w:tcPr>
          <w:p w14:paraId="502D2770" w14:textId="77777777" w:rsidR="00295591" w:rsidRPr="00295591" w:rsidRDefault="00295591" w:rsidP="00295591">
            <w:pPr>
              <w:spacing w:line="360" w:lineRule="auto"/>
              <w:rPr>
                <w:rFonts w:ascii="Arial" w:hAnsi="Arial" w:cs="Arial"/>
              </w:rPr>
            </w:pPr>
            <w:r w:rsidRPr="00295591">
              <w:rPr>
                <w:rFonts w:ascii="Arial" w:hAnsi="Arial" w:cs="Arial"/>
              </w:rPr>
              <w:t>£420M</w:t>
            </w:r>
          </w:p>
        </w:tc>
        <w:tc>
          <w:tcPr>
            <w:tcW w:w="0" w:type="auto"/>
            <w:hideMark/>
          </w:tcPr>
          <w:p w14:paraId="6F4EC4D5" w14:textId="77777777" w:rsidR="00295591" w:rsidRPr="00295591" w:rsidRDefault="00295591" w:rsidP="00295591">
            <w:pPr>
              <w:spacing w:line="360" w:lineRule="auto"/>
              <w:rPr>
                <w:rFonts w:ascii="Arial" w:hAnsi="Arial" w:cs="Arial"/>
              </w:rPr>
            </w:pPr>
            <w:r w:rsidRPr="00295591">
              <w:rPr>
                <w:rFonts w:ascii="Arial" w:hAnsi="Arial" w:cs="Arial"/>
              </w:rPr>
              <w:t>£548M</w:t>
            </w:r>
          </w:p>
        </w:tc>
        <w:tc>
          <w:tcPr>
            <w:tcW w:w="0" w:type="auto"/>
            <w:hideMark/>
          </w:tcPr>
          <w:p w14:paraId="3BE214B8" w14:textId="77777777" w:rsidR="00295591" w:rsidRPr="00295591" w:rsidRDefault="00295591" w:rsidP="00295591">
            <w:pPr>
              <w:spacing w:line="360" w:lineRule="auto"/>
              <w:rPr>
                <w:rFonts w:ascii="Arial" w:hAnsi="Arial" w:cs="Arial"/>
              </w:rPr>
            </w:pPr>
            <w:r w:rsidRPr="00295591">
              <w:rPr>
                <w:rFonts w:ascii="Arial" w:hAnsi="Arial" w:cs="Arial"/>
              </w:rPr>
              <w:t>£672M</w:t>
            </w:r>
          </w:p>
        </w:tc>
        <w:tc>
          <w:tcPr>
            <w:tcW w:w="0" w:type="auto"/>
            <w:hideMark/>
          </w:tcPr>
          <w:p w14:paraId="6B419B8D" w14:textId="77777777" w:rsidR="00295591" w:rsidRPr="00295591" w:rsidRDefault="00295591" w:rsidP="00295591">
            <w:pPr>
              <w:spacing w:line="360" w:lineRule="auto"/>
              <w:rPr>
                <w:rFonts w:ascii="Arial" w:hAnsi="Arial" w:cs="Arial"/>
              </w:rPr>
            </w:pPr>
            <w:r w:rsidRPr="00295591">
              <w:rPr>
                <w:rFonts w:ascii="Arial" w:hAnsi="Arial" w:cs="Arial"/>
              </w:rPr>
              <w:t>+60% growth</w:t>
            </w:r>
          </w:p>
        </w:tc>
      </w:tr>
      <w:tr w:rsidR="00295591" w:rsidRPr="00295591" w14:paraId="1A3CB7B3" w14:textId="77777777" w:rsidTr="00DF7DC9">
        <w:tc>
          <w:tcPr>
            <w:tcW w:w="0" w:type="auto"/>
            <w:hideMark/>
          </w:tcPr>
          <w:p w14:paraId="4FD9D41C" w14:textId="77777777" w:rsidR="00295591" w:rsidRPr="00295591" w:rsidRDefault="00295591" w:rsidP="00295591">
            <w:pPr>
              <w:spacing w:line="360" w:lineRule="auto"/>
              <w:rPr>
                <w:rFonts w:ascii="Arial" w:hAnsi="Arial" w:cs="Arial"/>
              </w:rPr>
            </w:pPr>
          </w:p>
        </w:tc>
        <w:tc>
          <w:tcPr>
            <w:tcW w:w="0" w:type="auto"/>
            <w:hideMark/>
          </w:tcPr>
          <w:p w14:paraId="72AB0DD6" w14:textId="77777777" w:rsidR="00295591" w:rsidRPr="00295591" w:rsidRDefault="00295591" w:rsidP="00295591">
            <w:pPr>
              <w:spacing w:line="360" w:lineRule="auto"/>
              <w:rPr>
                <w:rFonts w:ascii="Arial" w:hAnsi="Arial" w:cs="Arial"/>
              </w:rPr>
            </w:pPr>
            <w:r w:rsidRPr="00295591">
              <w:rPr>
                <w:rFonts w:ascii="Arial" w:hAnsi="Arial" w:cs="Arial"/>
              </w:rPr>
              <w:t>Advice conversion rate</w:t>
            </w:r>
          </w:p>
        </w:tc>
        <w:tc>
          <w:tcPr>
            <w:tcW w:w="0" w:type="auto"/>
            <w:hideMark/>
          </w:tcPr>
          <w:p w14:paraId="273EB884" w14:textId="77777777" w:rsidR="00295591" w:rsidRPr="00295591" w:rsidRDefault="00295591" w:rsidP="00295591">
            <w:pPr>
              <w:spacing w:line="360" w:lineRule="auto"/>
              <w:rPr>
                <w:rFonts w:ascii="Arial" w:hAnsi="Arial" w:cs="Arial"/>
              </w:rPr>
            </w:pPr>
            <w:r w:rsidRPr="00295591">
              <w:rPr>
                <w:rFonts w:ascii="Arial" w:hAnsi="Arial" w:cs="Arial"/>
              </w:rPr>
              <w:t>12%</w:t>
            </w:r>
          </w:p>
        </w:tc>
        <w:tc>
          <w:tcPr>
            <w:tcW w:w="0" w:type="auto"/>
            <w:hideMark/>
          </w:tcPr>
          <w:p w14:paraId="2C39577A" w14:textId="77777777" w:rsidR="00295591" w:rsidRPr="00295591" w:rsidRDefault="00295591" w:rsidP="00295591">
            <w:pPr>
              <w:spacing w:line="360" w:lineRule="auto"/>
              <w:rPr>
                <w:rFonts w:ascii="Arial" w:hAnsi="Arial" w:cs="Arial"/>
              </w:rPr>
            </w:pPr>
            <w:r w:rsidRPr="00295591">
              <w:rPr>
                <w:rFonts w:ascii="Arial" w:hAnsi="Arial" w:cs="Arial"/>
              </w:rPr>
              <w:t>17%</w:t>
            </w:r>
          </w:p>
        </w:tc>
        <w:tc>
          <w:tcPr>
            <w:tcW w:w="0" w:type="auto"/>
            <w:hideMark/>
          </w:tcPr>
          <w:p w14:paraId="2EDDADA7" w14:textId="77777777" w:rsidR="00295591" w:rsidRPr="00295591" w:rsidRDefault="00295591" w:rsidP="00295591">
            <w:pPr>
              <w:spacing w:line="360" w:lineRule="auto"/>
              <w:rPr>
                <w:rFonts w:ascii="Arial" w:hAnsi="Arial" w:cs="Arial"/>
              </w:rPr>
            </w:pPr>
            <w:r w:rsidRPr="00295591">
              <w:rPr>
                <w:rFonts w:ascii="Arial" w:hAnsi="Arial" w:cs="Arial"/>
              </w:rPr>
              <w:t>22%</w:t>
            </w:r>
          </w:p>
        </w:tc>
        <w:tc>
          <w:tcPr>
            <w:tcW w:w="0" w:type="auto"/>
            <w:hideMark/>
          </w:tcPr>
          <w:p w14:paraId="095B9A57" w14:textId="77777777" w:rsidR="00295591" w:rsidRPr="00295591" w:rsidRDefault="00295591" w:rsidP="00295591">
            <w:pPr>
              <w:spacing w:line="360" w:lineRule="auto"/>
              <w:rPr>
                <w:rFonts w:ascii="Arial" w:hAnsi="Arial" w:cs="Arial"/>
              </w:rPr>
            </w:pPr>
            <w:r w:rsidRPr="00295591">
              <w:rPr>
                <w:rFonts w:ascii="Arial" w:hAnsi="Arial" w:cs="Arial"/>
              </w:rPr>
              <w:t>+10 points</w:t>
            </w:r>
          </w:p>
        </w:tc>
      </w:tr>
      <w:tr w:rsidR="00295591" w:rsidRPr="00295591" w14:paraId="5A7CB349" w14:textId="77777777" w:rsidTr="00DF7DC9">
        <w:tc>
          <w:tcPr>
            <w:tcW w:w="0" w:type="auto"/>
            <w:hideMark/>
          </w:tcPr>
          <w:p w14:paraId="26601B6E" w14:textId="77777777" w:rsidR="00295591" w:rsidRPr="00295591" w:rsidRDefault="00295591" w:rsidP="00295591">
            <w:pPr>
              <w:spacing w:line="360" w:lineRule="auto"/>
              <w:rPr>
                <w:rFonts w:ascii="Arial" w:hAnsi="Arial" w:cs="Arial"/>
              </w:rPr>
            </w:pPr>
          </w:p>
        </w:tc>
        <w:tc>
          <w:tcPr>
            <w:tcW w:w="0" w:type="auto"/>
            <w:hideMark/>
          </w:tcPr>
          <w:p w14:paraId="500916CA" w14:textId="77777777" w:rsidR="00295591" w:rsidRPr="00295591" w:rsidRDefault="00295591" w:rsidP="00295591">
            <w:pPr>
              <w:spacing w:line="360" w:lineRule="auto"/>
              <w:rPr>
                <w:rFonts w:ascii="Arial" w:hAnsi="Arial" w:cs="Arial"/>
              </w:rPr>
            </w:pPr>
            <w:r w:rsidRPr="00295591">
              <w:rPr>
                <w:rFonts w:ascii="Arial" w:hAnsi="Arial" w:cs="Arial"/>
              </w:rPr>
              <w:t>Premium tier adoption</w:t>
            </w:r>
          </w:p>
        </w:tc>
        <w:tc>
          <w:tcPr>
            <w:tcW w:w="0" w:type="auto"/>
            <w:hideMark/>
          </w:tcPr>
          <w:p w14:paraId="07BC1655" w14:textId="77777777" w:rsidR="00295591" w:rsidRPr="00295591" w:rsidRDefault="00295591" w:rsidP="00295591">
            <w:pPr>
              <w:spacing w:line="360" w:lineRule="auto"/>
              <w:rPr>
                <w:rFonts w:ascii="Arial" w:hAnsi="Arial" w:cs="Arial"/>
              </w:rPr>
            </w:pPr>
            <w:r w:rsidRPr="00295591">
              <w:rPr>
                <w:rFonts w:ascii="Arial" w:hAnsi="Arial" w:cs="Arial"/>
              </w:rPr>
              <w:t>4%</w:t>
            </w:r>
          </w:p>
        </w:tc>
        <w:tc>
          <w:tcPr>
            <w:tcW w:w="0" w:type="auto"/>
            <w:hideMark/>
          </w:tcPr>
          <w:p w14:paraId="55B17147" w14:textId="77777777" w:rsidR="00295591" w:rsidRPr="00295591" w:rsidRDefault="00295591" w:rsidP="00295591">
            <w:pPr>
              <w:spacing w:line="360" w:lineRule="auto"/>
              <w:rPr>
                <w:rFonts w:ascii="Arial" w:hAnsi="Arial" w:cs="Arial"/>
              </w:rPr>
            </w:pPr>
            <w:r w:rsidRPr="00295591">
              <w:rPr>
                <w:rFonts w:ascii="Arial" w:hAnsi="Arial" w:cs="Arial"/>
              </w:rPr>
              <w:t>9%</w:t>
            </w:r>
          </w:p>
        </w:tc>
        <w:tc>
          <w:tcPr>
            <w:tcW w:w="0" w:type="auto"/>
            <w:hideMark/>
          </w:tcPr>
          <w:p w14:paraId="135385B1" w14:textId="77777777" w:rsidR="00295591" w:rsidRPr="00295591" w:rsidRDefault="00295591" w:rsidP="00295591">
            <w:pPr>
              <w:spacing w:line="360" w:lineRule="auto"/>
              <w:rPr>
                <w:rFonts w:ascii="Arial" w:hAnsi="Arial" w:cs="Arial"/>
              </w:rPr>
            </w:pPr>
            <w:r w:rsidRPr="00295591">
              <w:rPr>
                <w:rFonts w:ascii="Arial" w:hAnsi="Arial" w:cs="Arial"/>
              </w:rPr>
              <w:t>14%</w:t>
            </w:r>
          </w:p>
        </w:tc>
        <w:tc>
          <w:tcPr>
            <w:tcW w:w="0" w:type="auto"/>
            <w:hideMark/>
          </w:tcPr>
          <w:p w14:paraId="063C8310" w14:textId="77777777" w:rsidR="00295591" w:rsidRPr="00295591" w:rsidRDefault="00295591" w:rsidP="00295591">
            <w:pPr>
              <w:spacing w:line="360" w:lineRule="auto"/>
              <w:rPr>
                <w:rFonts w:ascii="Arial" w:hAnsi="Arial" w:cs="Arial"/>
              </w:rPr>
            </w:pPr>
            <w:r w:rsidRPr="00295591">
              <w:rPr>
                <w:rFonts w:ascii="Arial" w:hAnsi="Arial" w:cs="Arial"/>
              </w:rPr>
              <w:t>+10 points</w:t>
            </w:r>
          </w:p>
        </w:tc>
      </w:tr>
      <w:tr w:rsidR="00295591" w:rsidRPr="00295591" w14:paraId="00A555C6" w14:textId="77777777" w:rsidTr="00DF7DC9">
        <w:tc>
          <w:tcPr>
            <w:tcW w:w="0" w:type="auto"/>
            <w:hideMark/>
          </w:tcPr>
          <w:p w14:paraId="7CF6D361" w14:textId="77777777" w:rsidR="00295591" w:rsidRPr="00295591" w:rsidRDefault="00295591" w:rsidP="00295591">
            <w:pPr>
              <w:spacing w:line="360" w:lineRule="auto"/>
              <w:rPr>
                <w:rFonts w:ascii="Arial" w:hAnsi="Arial" w:cs="Arial"/>
              </w:rPr>
            </w:pPr>
            <w:r w:rsidRPr="00295591">
              <w:rPr>
                <w:rFonts w:ascii="Arial" w:hAnsi="Arial" w:cs="Arial"/>
                <w:b/>
                <w:bCs/>
              </w:rPr>
              <w:t>Financial Returns</w:t>
            </w:r>
          </w:p>
        </w:tc>
        <w:tc>
          <w:tcPr>
            <w:tcW w:w="0" w:type="auto"/>
            <w:hideMark/>
          </w:tcPr>
          <w:p w14:paraId="2418249B" w14:textId="77777777" w:rsidR="00295591" w:rsidRPr="00295591" w:rsidRDefault="00295591" w:rsidP="00295591">
            <w:pPr>
              <w:spacing w:line="360" w:lineRule="auto"/>
              <w:rPr>
                <w:rFonts w:ascii="Arial" w:hAnsi="Arial" w:cs="Arial"/>
              </w:rPr>
            </w:pPr>
            <w:r w:rsidRPr="00295591">
              <w:rPr>
                <w:rFonts w:ascii="Arial" w:hAnsi="Arial" w:cs="Arial"/>
              </w:rPr>
              <w:t>Implementation cost</w:t>
            </w:r>
          </w:p>
        </w:tc>
        <w:tc>
          <w:tcPr>
            <w:tcW w:w="0" w:type="auto"/>
            <w:hideMark/>
          </w:tcPr>
          <w:p w14:paraId="4D41053B" w14:textId="77777777" w:rsidR="00295591" w:rsidRPr="00295591" w:rsidRDefault="00295591" w:rsidP="00295591">
            <w:pPr>
              <w:spacing w:line="360" w:lineRule="auto"/>
              <w:rPr>
                <w:rFonts w:ascii="Arial" w:hAnsi="Arial" w:cs="Arial"/>
              </w:rPr>
            </w:pPr>
            <w:r w:rsidRPr="00295591">
              <w:rPr>
                <w:rFonts w:ascii="Arial" w:hAnsi="Arial" w:cs="Arial"/>
              </w:rPr>
              <w:t>-</w:t>
            </w:r>
          </w:p>
        </w:tc>
        <w:tc>
          <w:tcPr>
            <w:tcW w:w="0" w:type="auto"/>
            <w:hideMark/>
          </w:tcPr>
          <w:p w14:paraId="527287BE" w14:textId="77777777" w:rsidR="00295591" w:rsidRPr="00295591" w:rsidRDefault="00295591" w:rsidP="00295591">
            <w:pPr>
              <w:spacing w:line="360" w:lineRule="auto"/>
              <w:rPr>
                <w:rFonts w:ascii="Arial" w:hAnsi="Arial" w:cs="Arial"/>
              </w:rPr>
            </w:pPr>
            <w:r w:rsidRPr="00295591">
              <w:rPr>
                <w:rFonts w:ascii="Arial" w:hAnsi="Arial" w:cs="Arial"/>
              </w:rPr>
              <w:t>£180M</w:t>
            </w:r>
          </w:p>
        </w:tc>
        <w:tc>
          <w:tcPr>
            <w:tcW w:w="0" w:type="auto"/>
            <w:hideMark/>
          </w:tcPr>
          <w:p w14:paraId="0ECE5FAA" w14:textId="77777777" w:rsidR="00295591" w:rsidRPr="00295591" w:rsidRDefault="00295591" w:rsidP="00295591">
            <w:pPr>
              <w:spacing w:line="360" w:lineRule="auto"/>
              <w:rPr>
                <w:rFonts w:ascii="Arial" w:hAnsi="Arial" w:cs="Arial"/>
              </w:rPr>
            </w:pPr>
            <w:r w:rsidRPr="00295591">
              <w:rPr>
                <w:rFonts w:ascii="Arial" w:hAnsi="Arial" w:cs="Arial"/>
              </w:rPr>
              <w:t>£340M total</w:t>
            </w:r>
          </w:p>
        </w:tc>
        <w:tc>
          <w:tcPr>
            <w:tcW w:w="0" w:type="auto"/>
            <w:hideMark/>
          </w:tcPr>
          <w:p w14:paraId="1E38B5DB" w14:textId="77777777" w:rsidR="00295591" w:rsidRPr="00295591" w:rsidRDefault="00295591" w:rsidP="00295591">
            <w:pPr>
              <w:spacing w:line="360" w:lineRule="auto"/>
              <w:rPr>
                <w:rFonts w:ascii="Arial" w:hAnsi="Arial" w:cs="Arial"/>
              </w:rPr>
            </w:pPr>
            <w:r w:rsidRPr="00295591">
              <w:rPr>
                <w:rFonts w:ascii="Arial" w:hAnsi="Arial" w:cs="Arial"/>
              </w:rPr>
              <w:t>ROI breakeven: 30 months</w:t>
            </w:r>
          </w:p>
        </w:tc>
      </w:tr>
      <w:tr w:rsidR="00295591" w:rsidRPr="00295591" w14:paraId="66984473" w14:textId="77777777" w:rsidTr="00DF7DC9">
        <w:tc>
          <w:tcPr>
            <w:tcW w:w="0" w:type="auto"/>
            <w:hideMark/>
          </w:tcPr>
          <w:p w14:paraId="61D83DC8" w14:textId="77777777" w:rsidR="00295591" w:rsidRPr="00295591" w:rsidRDefault="00295591" w:rsidP="00295591">
            <w:pPr>
              <w:spacing w:line="360" w:lineRule="auto"/>
              <w:rPr>
                <w:rFonts w:ascii="Arial" w:hAnsi="Arial" w:cs="Arial"/>
              </w:rPr>
            </w:pPr>
          </w:p>
        </w:tc>
        <w:tc>
          <w:tcPr>
            <w:tcW w:w="0" w:type="auto"/>
            <w:hideMark/>
          </w:tcPr>
          <w:p w14:paraId="3FC70BFB" w14:textId="77777777" w:rsidR="00295591" w:rsidRPr="00295591" w:rsidRDefault="00295591" w:rsidP="00295591">
            <w:pPr>
              <w:spacing w:line="360" w:lineRule="auto"/>
              <w:rPr>
                <w:rFonts w:ascii="Arial" w:hAnsi="Arial" w:cs="Arial"/>
              </w:rPr>
            </w:pPr>
            <w:r w:rsidRPr="00295591">
              <w:rPr>
                <w:rFonts w:ascii="Arial" w:hAnsi="Arial" w:cs="Arial"/>
              </w:rPr>
              <w:t>NPV (10-year)</w:t>
            </w:r>
          </w:p>
        </w:tc>
        <w:tc>
          <w:tcPr>
            <w:tcW w:w="0" w:type="auto"/>
            <w:hideMark/>
          </w:tcPr>
          <w:p w14:paraId="522377D2" w14:textId="77777777" w:rsidR="00295591" w:rsidRPr="00295591" w:rsidRDefault="00295591" w:rsidP="00295591">
            <w:pPr>
              <w:spacing w:line="360" w:lineRule="auto"/>
              <w:rPr>
                <w:rFonts w:ascii="Arial" w:hAnsi="Arial" w:cs="Arial"/>
              </w:rPr>
            </w:pPr>
            <w:r w:rsidRPr="00295591">
              <w:rPr>
                <w:rFonts w:ascii="Arial" w:hAnsi="Arial" w:cs="Arial"/>
              </w:rPr>
              <w:t>-</w:t>
            </w:r>
          </w:p>
        </w:tc>
        <w:tc>
          <w:tcPr>
            <w:tcW w:w="0" w:type="auto"/>
            <w:hideMark/>
          </w:tcPr>
          <w:p w14:paraId="35B892C0" w14:textId="77777777" w:rsidR="00295591" w:rsidRPr="00295591" w:rsidRDefault="00295591" w:rsidP="00295591">
            <w:pPr>
              <w:spacing w:line="360" w:lineRule="auto"/>
              <w:rPr>
                <w:rFonts w:ascii="Arial" w:hAnsi="Arial" w:cs="Arial"/>
              </w:rPr>
            </w:pPr>
            <w:r w:rsidRPr="00295591">
              <w:rPr>
                <w:rFonts w:ascii="Arial" w:hAnsi="Arial" w:cs="Arial"/>
              </w:rPr>
              <w:t>-</w:t>
            </w:r>
          </w:p>
        </w:tc>
        <w:tc>
          <w:tcPr>
            <w:tcW w:w="0" w:type="auto"/>
            <w:hideMark/>
          </w:tcPr>
          <w:p w14:paraId="04E292F7" w14:textId="77777777" w:rsidR="00295591" w:rsidRPr="00295591" w:rsidRDefault="00295591" w:rsidP="00295591">
            <w:pPr>
              <w:spacing w:line="360" w:lineRule="auto"/>
              <w:rPr>
                <w:rFonts w:ascii="Arial" w:hAnsi="Arial" w:cs="Arial"/>
              </w:rPr>
            </w:pPr>
            <w:r w:rsidRPr="00295591">
              <w:rPr>
                <w:rFonts w:ascii="Arial" w:hAnsi="Arial" w:cs="Arial"/>
              </w:rPr>
              <w:t>£2.1B</w:t>
            </w:r>
          </w:p>
        </w:tc>
        <w:tc>
          <w:tcPr>
            <w:tcW w:w="0" w:type="auto"/>
            <w:hideMark/>
          </w:tcPr>
          <w:p w14:paraId="032CBE96" w14:textId="77777777" w:rsidR="00295591" w:rsidRPr="00295591" w:rsidRDefault="00295591" w:rsidP="00295591">
            <w:pPr>
              <w:spacing w:line="360" w:lineRule="auto"/>
              <w:rPr>
                <w:rFonts w:ascii="Arial" w:hAnsi="Arial" w:cs="Arial"/>
              </w:rPr>
            </w:pPr>
            <w:r w:rsidRPr="00295591">
              <w:rPr>
                <w:rFonts w:ascii="Arial" w:hAnsi="Arial" w:cs="Arial"/>
              </w:rPr>
              <w:t>Positive business case</w:t>
            </w:r>
          </w:p>
        </w:tc>
      </w:tr>
    </w:tbl>
    <w:p w14:paraId="7A86E650" w14:textId="77777777" w:rsidR="00295591" w:rsidRDefault="00295591" w:rsidP="00DE6730">
      <w:pPr>
        <w:spacing w:line="360" w:lineRule="auto"/>
        <w:rPr>
          <w:rFonts w:ascii="Arial" w:hAnsi="Arial" w:cs="Arial"/>
        </w:rPr>
      </w:pPr>
    </w:p>
    <w:p w14:paraId="243E898B" w14:textId="77777777" w:rsidR="00DF7DC9" w:rsidRPr="00DF7DC9" w:rsidRDefault="00295591" w:rsidP="00DE6730">
      <w:pPr>
        <w:spacing w:line="360" w:lineRule="auto"/>
        <w:rPr>
          <w:rFonts w:ascii="Arial" w:hAnsi="Arial" w:cs="Arial"/>
          <w:b/>
        </w:rPr>
      </w:pPr>
      <w:r w:rsidRPr="00DF7DC9">
        <w:rPr>
          <w:rFonts w:ascii="Arial" w:hAnsi="Arial" w:cs="Arial"/>
          <w:b/>
        </w:rPr>
        <w:t xml:space="preserve">Acquisition of Customer and Market Positioning. </w:t>
      </w:r>
    </w:p>
    <w:p w14:paraId="0E2F645A" w14:textId="77777777" w:rsidR="00295591" w:rsidRDefault="0043038A" w:rsidP="00DF7DC9">
      <w:pPr>
        <w:spacing w:line="360" w:lineRule="auto"/>
        <w:ind w:firstLine="720"/>
        <w:rPr>
          <w:rFonts w:ascii="Arial" w:hAnsi="Arial" w:cs="Arial"/>
        </w:rPr>
      </w:pPr>
      <w:r w:rsidRPr="00295591">
        <w:rPr>
          <w:rFonts w:ascii="Arial" w:hAnsi="Arial" w:cs="Arial"/>
        </w:rPr>
        <w:t>Life Sync</w:t>
      </w:r>
      <w:r w:rsidR="00295591" w:rsidRPr="00295591">
        <w:rPr>
          <w:rFonts w:ascii="Arial" w:hAnsi="Arial" w:cs="Arial"/>
        </w:rPr>
        <w:t xml:space="preserve"> distinguishes Barclays </w:t>
      </w:r>
      <w:proofErr w:type="gramStart"/>
      <w:r w:rsidR="00295591" w:rsidRPr="00295591">
        <w:rPr>
          <w:rFonts w:ascii="Arial" w:hAnsi="Arial" w:cs="Arial"/>
        </w:rPr>
        <w:t>among</w:t>
      </w:r>
      <w:proofErr w:type="gramEnd"/>
      <w:r w:rsidR="00295591" w:rsidRPr="00295591">
        <w:rPr>
          <w:rFonts w:ascii="Arial" w:hAnsi="Arial" w:cs="Arial"/>
        </w:rPr>
        <w:t xml:space="preserve"> traditional competitors and digital challengers based on value propositions that are unique in meeting the unmet customer needs. </w:t>
      </w:r>
      <w:proofErr w:type="gramStart"/>
      <w:r w:rsidR="00295591" w:rsidRPr="00295591">
        <w:rPr>
          <w:rFonts w:ascii="Arial" w:hAnsi="Arial" w:cs="Arial"/>
        </w:rPr>
        <w:t>The sustainability</w:t>
      </w:r>
      <w:proofErr w:type="gramEnd"/>
      <w:r w:rsidR="00295591" w:rsidRPr="00295591">
        <w:rPr>
          <w:rFonts w:ascii="Arial" w:hAnsi="Arial" w:cs="Arial"/>
        </w:rPr>
        <w:t xml:space="preserve"> tracking is an integrated approach which will satisfy the increasing consumer needs regarding </w:t>
      </w:r>
      <w:proofErr w:type="gramStart"/>
      <w:r w:rsidR="00295591" w:rsidRPr="00295591">
        <w:rPr>
          <w:rFonts w:ascii="Arial" w:hAnsi="Arial" w:cs="Arial"/>
        </w:rPr>
        <w:t>the environmental</w:t>
      </w:r>
      <w:proofErr w:type="gramEnd"/>
      <w:r w:rsidR="00295591" w:rsidRPr="00295591">
        <w:rPr>
          <w:rFonts w:ascii="Arial" w:hAnsi="Arial" w:cs="Arial"/>
        </w:rPr>
        <w:t xml:space="preserve"> responsibility, which could appeal to the 43 percent of young consumers who are open to changing banks to ones with better ESG ratings (Deloitte, 2023). The financial wellness abilities can work well against the fintech-specific applications and maintain the banking relationships within the Barclays ecosystem. According to market </w:t>
      </w:r>
      <w:r w:rsidR="00295591" w:rsidRPr="00295591">
        <w:rPr>
          <w:rFonts w:ascii="Arial" w:hAnsi="Arial" w:cs="Arial"/>
        </w:rPr>
        <w:lastRenderedPageBreak/>
        <w:t xml:space="preserve">research, a genre of all-encompassing financial wellness tools might win 15 to 20 percent of the currently </w:t>
      </w:r>
      <w:proofErr w:type="gramStart"/>
      <w:r w:rsidR="00295591" w:rsidRPr="00295591">
        <w:rPr>
          <w:rFonts w:ascii="Arial" w:hAnsi="Arial" w:cs="Arial"/>
        </w:rPr>
        <w:t>digitally-native</w:t>
      </w:r>
      <w:proofErr w:type="gramEnd"/>
      <w:r w:rsidR="00295591" w:rsidRPr="00295591">
        <w:rPr>
          <w:rFonts w:ascii="Arial" w:hAnsi="Arial" w:cs="Arial"/>
        </w:rPr>
        <w:t xml:space="preserve"> clientele who use challenger banks, which equals potentially acquiring 1.5 to 2 million new customers within three years (UK Finance, 2024). </w:t>
      </w:r>
    </w:p>
    <w:p w14:paraId="4B2995C7" w14:textId="77777777" w:rsidR="00DF7DC9" w:rsidRPr="00DF7DC9" w:rsidRDefault="00295591" w:rsidP="00DE6730">
      <w:pPr>
        <w:spacing w:line="360" w:lineRule="auto"/>
        <w:rPr>
          <w:rFonts w:ascii="Arial" w:hAnsi="Arial" w:cs="Arial"/>
          <w:b/>
        </w:rPr>
      </w:pPr>
      <w:r w:rsidRPr="00DF7DC9">
        <w:rPr>
          <w:rFonts w:ascii="Arial" w:hAnsi="Arial" w:cs="Arial"/>
          <w:b/>
        </w:rPr>
        <w:t xml:space="preserve">Retention and Lifetime Value Improvement of the Customer. </w:t>
      </w:r>
    </w:p>
    <w:p w14:paraId="1563DF44" w14:textId="77777777" w:rsidR="00295591" w:rsidRDefault="00295591" w:rsidP="00DF7DC9">
      <w:pPr>
        <w:spacing w:line="360" w:lineRule="auto"/>
        <w:ind w:firstLine="720"/>
        <w:rPr>
          <w:rFonts w:ascii="Arial" w:hAnsi="Arial" w:cs="Arial"/>
        </w:rPr>
      </w:pPr>
      <w:r w:rsidRPr="00295591">
        <w:rPr>
          <w:rFonts w:ascii="Arial" w:hAnsi="Arial" w:cs="Arial"/>
        </w:rPr>
        <w:t xml:space="preserve">Integrated platforms cause significant switching costs by forming data accruals, refining </w:t>
      </w:r>
      <w:proofErr w:type="spellStart"/>
      <w:r w:rsidRPr="00295591">
        <w:rPr>
          <w:rFonts w:ascii="Arial" w:hAnsi="Arial" w:cs="Arial"/>
        </w:rPr>
        <w:t>personalisation</w:t>
      </w:r>
      <w:proofErr w:type="spellEnd"/>
      <w:r w:rsidRPr="00295591">
        <w:rPr>
          <w:rFonts w:ascii="Arial" w:hAnsi="Arial" w:cs="Arial"/>
        </w:rPr>
        <w:t>, and continuing goal tracking (</w:t>
      </w:r>
      <w:proofErr w:type="spellStart"/>
      <w:r w:rsidRPr="00295591">
        <w:rPr>
          <w:rFonts w:ascii="Arial" w:hAnsi="Arial" w:cs="Arial"/>
        </w:rPr>
        <w:t>Omarini</w:t>
      </w:r>
      <w:proofErr w:type="spellEnd"/>
      <w:r w:rsidRPr="00295591">
        <w:rPr>
          <w:rFonts w:ascii="Arial" w:hAnsi="Arial" w:cs="Arial"/>
        </w:rPr>
        <w:t xml:space="preserve">, 2021). Customers who set life objectives, set automated </w:t>
      </w:r>
      <w:proofErr w:type="spellStart"/>
      <w:r w:rsidRPr="00295591">
        <w:rPr>
          <w:rFonts w:ascii="Arial" w:hAnsi="Arial" w:cs="Arial"/>
        </w:rPr>
        <w:t>optimisation</w:t>
      </w:r>
      <w:proofErr w:type="spellEnd"/>
      <w:r w:rsidRPr="00295591">
        <w:rPr>
          <w:rFonts w:ascii="Arial" w:hAnsi="Arial" w:cs="Arial"/>
        </w:rPr>
        <w:t xml:space="preserve"> policies, and build past sustainability </w:t>
      </w:r>
      <w:proofErr w:type="gramStart"/>
      <w:r w:rsidRPr="00295591">
        <w:rPr>
          <w:rFonts w:ascii="Arial" w:hAnsi="Arial" w:cs="Arial"/>
        </w:rPr>
        <w:t>information,</w:t>
      </w:r>
      <w:proofErr w:type="gramEnd"/>
      <w:r w:rsidRPr="00295591">
        <w:rPr>
          <w:rFonts w:ascii="Arial" w:hAnsi="Arial" w:cs="Arial"/>
        </w:rPr>
        <w:t xml:space="preserve"> find it quite difficult to think of switching the provider. The study has shown that integrated financial wellness platforms drive a 30-40% reduction in customer churn relative to transactional banking relationships (Accenture, 2023). Increased retention is directly corresponding to increase in lifetime value. The Lengthening customer relationships </w:t>
      </w:r>
      <w:proofErr w:type="gramStart"/>
      <w:r w:rsidRPr="00295591">
        <w:rPr>
          <w:rFonts w:ascii="Arial" w:hAnsi="Arial" w:cs="Arial"/>
        </w:rPr>
        <w:t>allow</w:t>
      </w:r>
      <w:proofErr w:type="gramEnd"/>
      <w:r w:rsidRPr="00295591">
        <w:rPr>
          <w:rFonts w:ascii="Arial" w:hAnsi="Arial" w:cs="Arial"/>
        </w:rPr>
        <w:t xml:space="preserve"> further cross selling of products and advisory capacity of the </w:t>
      </w:r>
      <w:r w:rsidR="0043038A" w:rsidRPr="00295591">
        <w:rPr>
          <w:rFonts w:ascii="Arial" w:hAnsi="Arial" w:cs="Arial"/>
        </w:rPr>
        <w:t>Life Sync</w:t>
      </w:r>
      <w:r w:rsidRPr="00295591">
        <w:rPr>
          <w:rFonts w:ascii="Arial" w:hAnsi="Arial" w:cs="Arial"/>
        </w:rPr>
        <w:t xml:space="preserve"> products is naturally integrated to offer mortgage, investment, and insurance products depending on the stage of life of the customers. </w:t>
      </w:r>
    </w:p>
    <w:p w14:paraId="337903BA" w14:textId="77777777" w:rsidR="00DF7DC9" w:rsidRPr="00DF7DC9" w:rsidRDefault="00295591" w:rsidP="00DE6730">
      <w:pPr>
        <w:spacing w:line="360" w:lineRule="auto"/>
        <w:rPr>
          <w:rFonts w:ascii="Arial" w:hAnsi="Arial" w:cs="Arial"/>
          <w:b/>
        </w:rPr>
      </w:pPr>
      <w:r w:rsidRPr="00DF7DC9">
        <w:rPr>
          <w:rFonts w:ascii="Arial" w:hAnsi="Arial" w:cs="Arial"/>
          <w:b/>
        </w:rPr>
        <w:t xml:space="preserve">Operation and Cost </w:t>
      </w:r>
      <w:r w:rsidR="0043038A" w:rsidRPr="00DF7DC9">
        <w:rPr>
          <w:rFonts w:ascii="Arial" w:hAnsi="Arial" w:cs="Arial"/>
          <w:b/>
        </w:rPr>
        <w:t>Optimization</w:t>
      </w:r>
      <w:r w:rsidRPr="00DF7DC9">
        <w:rPr>
          <w:rFonts w:ascii="Arial" w:hAnsi="Arial" w:cs="Arial"/>
          <w:b/>
        </w:rPr>
        <w:t xml:space="preserve">. </w:t>
      </w:r>
    </w:p>
    <w:p w14:paraId="4490D01C" w14:textId="77777777" w:rsidR="00295591" w:rsidRDefault="00295591" w:rsidP="00DF7DC9">
      <w:pPr>
        <w:spacing w:line="360" w:lineRule="auto"/>
        <w:ind w:firstLine="720"/>
        <w:rPr>
          <w:rFonts w:ascii="Arial" w:hAnsi="Arial" w:cs="Arial"/>
        </w:rPr>
      </w:pPr>
      <w:r w:rsidRPr="00295591">
        <w:rPr>
          <w:rFonts w:ascii="Arial" w:hAnsi="Arial" w:cs="Arial"/>
        </w:rPr>
        <w:t xml:space="preserve">The use of AI-based automation significantly decreases the operational </w:t>
      </w:r>
      <w:proofErr w:type="gramStart"/>
      <w:r w:rsidRPr="00295591">
        <w:rPr>
          <w:rFonts w:ascii="Arial" w:hAnsi="Arial" w:cs="Arial"/>
        </w:rPr>
        <w:t>expenses, but</w:t>
      </w:r>
      <w:proofErr w:type="gramEnd"/>
      <w:r w:rsidRPr="00295591">
        <w:rPr>
          <w:rFonts w:ascii="Arial" w:hAnsi="Arial" w:cs="Arial"/>
        </w:rPr>
        <w:t xml:space="preserve"> increases the quality of services. Not only </w:t>
      </w:r>
      <w:proofErr w:type="gramStart"/>
      <w:r w:rsidRPr="00295591">
        <w:rPr>
          <w:rFonts w:ascii="Arial" w:hAnsi="Arial" w:cs="Arial"/>
        </w:rPr>
        <w:t>the current 65% rates are</w:t>
      </w:r>
      <w:proofErr w:type="gramEnd"/>
      <w:r w:rsidRPr="00295591">
        <w:rPr>
          <w:rFonts w:ascii="Arial" w:hAnsi="Arial" w:cs="Arial"/>
        </w:rPr>
        <w:t xml:space="preserve"> increased to the projected 82% by the means of </w:t>
      </w:r>
      <w:proofErr w:type="gramStart"/>
      <w:r w:rsidRPr="00295591">
        <w:rPr>
          <w:rFonts w:ascii="Arial" w:hAnsi="Arial" w:cs="Arial"/>
        </w:rPr>
        <w:t>the improved</w:t>
      </w:r>
      <w:proofErr w:type="gramEnd"/>
      <w:r w:rsidRPr="00295591">
        <w:rPr>
          <w:rFonts w:ascii="Arial" w:hAnsi="Arial" w:cs="Arial"/>
        </w:rPr>
        <w:t xml:space="preserve"> natural language processing and the introduced context awareness, but also the chatbot rates become improved (Barclays Technology Review, 2024). Predictive problem prevention will help to cut losses on fraud by about 25 percent by intervening earlier in the process, and automated account surveillance will reduce the compliance costs related to manual review of transactions. The process of </w:t>
      </w:r>
      <w:proofErr w:type="spellStart"/>
      <w:r w:rsidRPr="00295591">
        <w:rPr>
          <w:rFonts w:ascii="Arial" w:hAnsi="Arial" w:cs="Arial"/>
        </w:rPr>
        <w:t>rationalisation</w:t>
      </w:r>
      <w:proofErr w:type="spellEnd"/>
      <w:r w:rsidRPr="00295591">
        <w:rPr>
          <w:rFonts w:ascii="Arial" w:hAnsi="Arial" w:cs="Arial"/>
        </w:rPr>
        <w:t xml:space="preserve"> of the branch speeds up as more advanced transactions are fulfilled by digital means, as it is projected to be possible to reduce the network size by 20 percent and, at the same time, satisfy customers with enhanced digital solutions (Barclays Network Strategy, 2024). </w:t>
      </w:r>
    </w:p>
    <w:p w14:paraId="028C9E56" w14:textId="77777777" w:rsidR="00295591" w:rsidRPr="00295591" w:rsidRDefault="00295591" w:rsidP="00295591">
      <w:pPr>
        <w:spacing w:line="360" w:lineRule="auto"/>
        <w:rPr>
          <w:rFonts w:ascii="Arial" w:hAnsi="Arial" w:cs="Arial"/>
          <w:b/>
          <w:bCs/>
        </w:rPr>
      </w:pPr>
      <w:r w:rsidRPr="00295591">
        <w:rPr>
          <w:rFonts w:ascii="Arial" w:hAnsi="Arial" w:cs="Arial"/>
          <w:b/>
          <w:bCs/>
        </w:rPr>
        <w:t>MEASURING IMPACT AND SUCCESS METRICS</w:t>
      </w:r>
    </w:p>
    <w:p w14:paraId="67A30CC0" w14:textId="77777777" w:rsidR="00295591" w:rsidRPr="00295591" w:rsidRDefault="00295591" w:rsidP="00295591">
      <w:pPr>
        <w:spacing w:line="360" w:lineRule="auto"/>
        <w:rPr>
          <w:rFonts w:ascii="Arial" w:hAnsi="Arial" w:cs="Arial"/>
        </w:rPr>
      </w:pPr>
      <w:r w:rsidRPr="00295591">
        <w:rPr>
          <w:rFonts w:ascii="Arial" w:hAnsi="Arial" w:cs="Arial"/>
        </w:rPr>
        <w:t>Comprehensive success measurement requires balanced scorecards encompassing customer, operational, and financial dimensions.</w:t>
      </w:r>
    </w:p>
    <w:p w14:paraId="752D14D7" w14:textId="77777777" w:rsidR="00295591" w:rsidRPr="00295591" w:rsidRDefault="0043038A" w:rsidP="00295591">
      <w:pPr>
        <w:spacing w:line="360" w:lineRule="auto"/>
        <w:rPr>
          <w:rFonts w:ascii="Arial" w:hAnsi="Arial" w:cs="Arial"/>
          <w:b/>
          <w:bCs/>
        </w:rPr>
      </w:pPr>
      <w:r w:rsidRPr="00295591">
        <w:rPr>
          <w:rFonts w:ascii="Arial" w:hAnsi="Arial" w:cs="Arial"/>
          <w:b/>
          <w:bCs/>
        </w:rPr>
        <w:t>Life Sync</w:t>
      </w:r>
      <w:r w:rsidR="00295591" w:rsidRPr="00295591">
        <w:rPr>
          <w:rFonts w:ascii="Arial" w:hAnsi="Arial" w:cs="Arial"/>
          <w:b/>
          <w:bCs/>
        </w:rPr>
        <w:t xml:space="preserve"> Success Measurement Framework</w:t>
      </w:r>
    </w:p>
    <w:tbl>
      <w:tblPr>
        <w:tblStyle w:val="TableGrid"/>
        <w:tblW w:w="0" w:type="auto"/>
        <w:tblLook w:val="04A0" w:firstRow="1" w:lastRow="0" w:firstColumn="1" w:lastColumn="0" w:noHBand="0" w:noVBand="1"/>
      </w:tblPr>
      <w:tblGrid>
        <w:gridCol w:w="1741"/>
        <w:gridCol w:w="1403"/>
        <w:gridCol w:w="1857"/>
        <w:gridCol w:w="1566"/>
        <w:gridCol w:w="1508"/>
        <w:gridCol w:w="1275"/>
      </w:tblGrid>
      <w:tr w:rsidR="00295591" w:rsidRPr="00295591" w14:paraId="3C497C5F" w14:textId="77777777" w:rsidTr="00ED376A">
        <w:tc>
          <w:tcPr>
            <w:tcW w:w="0" w:type="auto"/>
            <w:hideMark/>
          </w:tcPr>
          <w:p w14:paraId="5D856CF2" w14:textId="77777777" w:rsidR="00295591" w:rsidRPr="00295591" w:rsidRDefault="00295591" w:rsidP="00295591">
            <w:pPr>
              <w:spacing w:line="360" w:lineRule="auto"/>
              <w:rPr>
                <w:rFonts w:ascii="Arial" w:hAnsi="Arial" w:cs="Arial"/>
                <w:b/>
                <w:bCs/>
              </w:rPr>
            </w:pPr>
            <w:r w:rsidRPr="00295591">
              <w:rPr>
                <w:rFonts w:ascii="Arial" w:hAnsi="Arial" w:cs="Arial"/>
                <w:b/>
                <w:bCs/>
              </w:rPr>
              <w:lastRenderedPageBreak/>
              <w:t>Dimension</w:t>
            </w:r>
          </w:p>
        </w:tc>
        <w:tc>
          <w:tcPr>
            <w:tcW w:w="0" w:type="auto"/>
            <w:hideMark/>
          </w:tcPr>
          <w:p w14:paraId="62B16EE2" w14:textId="77777777" w:rsidR="00295591" w:rsidRPr="00295591" w:rsidRDefault="00295591" w:rsidP="00295591">
            <w:pPr>
              <w:spacing w:line="360" w:lineRule="auto"/>
              <w:rPr>
                <w:rFonts w:ascii="Arial" w:hAnsi="Arial" w:cs="Arial"/>
                <w:b/>
                <w:bCs/>
              </w:rPr>
            </w:pPr>
            <w:r w:rsidRPr="00295591">
              <w:rPr>
                <w:rFonts w:ascii="Arial" w:hAnsi="Arial" w:cs="Arial"/>
                <w:b/>
                <w:bCs/>
              </w:rPr>
              <w:t>Metric Category</w:t>
            </w:r>
          </w:p>
        </w:tc>
        <w:tc>
          <w:tcPr>
            <w:tcW w:w="0" w:type="auto"/>
            <w:hideMark/>
          </w:tcPr>
          <w:p w14:paraId="4BF7AE51" w14:textId="77777777" w:rsidR="00295591" w:rsidRPr="00295591" w:rsidRDefault="00295591" w:rsidP="00295591">
            <w:pPr>
              <w:spacing w:line="360" w:lineRule="auto"/>
              <w:rPr>
                <w:rFonts w:ascii="Arial" w:hAnsi="Arial" w:cs="Arial"/>
                <w:b/>
                <w:bCs/>
              </w:rPr>
            </w:pPr>
            <w:r w:rsidRPr="00295591">
              <w:rPr>
                <w:rFonts w:ascii="Arial" w:hAnsi="Arial" w:cs="Arial"/>
                <w:b/>
                <w:bCs/>
              </w:rPr>
              <w:t>Specific KPIs</w:t>
            </w:r>
          </w:p>
        </w:tc>
        <w:tc>
          <w:tcPr>
            <w:tcW w:w="0" w:type="auto"/>
            <w:hideMark/>
          </w:tcPr>
          <w:p w14:paraId="77E72793" w14:textId="77777777" w:rsidR="00295591" w:rsidRPr="00295591" w:rsidRDefault="00295591" w:rsidP="00295591">
            <w:pPr>
              <w:spacing w:line="360" w:lineRule="auto"/>
              <w:rPr>
                <w:rFonts w:ascii="Arial" w:hAnsi="Arial" w:cs="Arial"/>
                <w:b/>
                <w:bCs/>
              </w:rPr>
            </w:pPr>
            <w:r w:rsidRPr="00295591">
              <w:rPr>
                <w:rFonts w:ascii="Arial" w:hAnsi="Arial" w:cs="Arial"/>
                <w:b/>
                <w:bCs/>
              </w:rPr>
              <w:t>Measurement Method</w:t>
            </w:r>
          </w:p>
        </w:tc>
        <w:tc>
          <w:tcPr>
            <w:tcW w:w="0" w:type="auto"/>
            <w:hideMark/>
          </w:tcPr>
          <w:p w14:paraId="79E61D8C" w14:textId="77777777" w:rsidR="00295591" w:rsidRPr="00295591" w:rsidRDefault="00295591" w:rsidP="00295591">
            <w:pPr>
              <w:spacing w:line="360" w:lineRule="auto"/>
              <w:rPr>
                <w:rFonts w:ascii="Arial" w:hAnsi="Arial" w:cs="Arial"/>
                <w:b/>
                <w:bCs/>
              </w:rPr>
            </w:pPr>
            <w:r w:rsidRPr="00295591">
              <w:rPr>
                <w:rFonts w:ascii="Arial" w:hAnsi="Arial" w:cs="Arial"/>
                <w:b/>
                <w:bCs/>
              </w:rPr>
              <w:t>Target (18 months)</w:t>
            </w:r>
          </w:p>
        </w:tc>
        <w:tc>
          <w:tcPr>
            <w:tcW w:w="0" w:type="auto"/>
            <w:hideMark/>
          </w:tcPr>
          <w:p w14:paraId="0C087A53" w14:textId="77777777" w:rsidR="00295591" w:rsidRPr="00295591" w:rsidRDefault="00295591" w:rsidP="00295591">
            <w:pPr>
              <w:spacing w:line="360" w:lineRule="auto"/>
              <w:rPr>
                <w:rFonts w:ascii="Arial" w:hAnsi="Arial" w:cs="Arial"/>
                <w:b/>
                <w:bCs/>
              </w:rPr>
            </w:pPr>
            <w:r w:rsidRPr="00295591">
              <w:rPr>
                <w:rFonts w:ascii="Arial" w:hAnsi="Arial" w:cs="Arial"/>
                <w:b/>
                <w:bCs/>
              </w:rPr>
              <w:t>Review Frequency</w:t>
            </w:r>
          </w:p>
        </w:tc>
      </w:tr>
      <w:tr w:rsidR="00295591" w:rsidRPr="00295591" w14:paraId="74464DB0" w14:textId="77777777" w:rsidTr="00ED376A">
        <w:tc>
          <w:tcPr>
            <w:tcW w:w="0" w:type="auto"/>
            <w:hideMark/>
          </w:tcPr>
          <w:p w14:paraId="6A352785" w14:textId="77777777" w:rsidR="00295591" w:rsidRPr="00295591" w:rsidRDefault="00295591" w:rsidP="00295591">
            <w:pPr>
              <w:spacing w:line="360" w:lineRule="auto"/>
              <w:rPr>
                <w:rFonts w:ascii="Arial" w:hAnsi="Arial" w:cs="Arial"/>
              </w:rPr>
            </w:pPr>
            <w:r w:rsidRPr="00295591">
              <w:rPr>
                <w:rFonts w:ascii="Arial" w:hAnsi="Arial" w:cs="Arial"/>
                <w:b/>
                <w:bCs/>
              </w:rPr>
              <w:t>CUSTOMER</w:t>
            </w:r>
          </w:p>
        </w:tc>
        <w:tc>
          <w:tcPr>
            <w:tcW w:w="0" w:type="auto"/>
            <w:hideMark/>
          </w:tcPr>
          <w:p w14:paraId="1439FF72" w14:textId="77777777" w:rsidR="00295591" w:rsidRPr="00295591" w:rsidRDefault="00295591" w:rsidP="00295591">
            <w:pPr>
              <w:spacing w:line="360" w:lineRule="auto"/>
              <w:rPr>
                <w:rFonts w:ascii="Arial" w:hAnsi="Arial" w:cs="Arial"/>
              </w:rPr>
            </w:pPr>
            <w:r w:rsidRPr="00295591">
              <w:rPr>
                <w:rFonts w:ascii="Arial" w:hAnsi="Arial" w:cs="Arial"/>
              </w:rPr>
              <w:t>Satisfaction</w:t>
            </w:r>
          </w:p>
        </w:tc>
        <w:tc>
          <w:tcPr>
            <w:tcW w:w="0" w:type="auto"/>
            <w:hideMark/>
          </w:tcPr>
          <w:p w14:paraId="100981FF" w14:textId="77777777" w:rsidR="00295591" w:rsidRPr="00295591" w:rsidRDefault="00295591" w:rsidP="00295591">
            <w:pPr>
              <w:spacing w:line="360" w:lineRule="auto"/>
              <w:rPr>
                <w:rFonts w:ascii="Arial" w:hAnsi="Arial" w:cs="Arial"/>
              </w:rPr>
            </w:pPr>
            <w:r w:rsidRPr="00295591">
              <w:rPr>
                <w:rFonts w:ascii="Arial" w:hAnsi="Arial" w:cs="Arial"/>
              </w:rPr>
              <w:t>• NPS Score</w:t>
            </w:r>
            <w:r w:rsidRPr="00295591">
              <w:rPr>
                <w:rFonts w:ascii="Arial" w:hAnsi="Arial" w:cs="Arial"/>
              </w:rPr>
              <w:br/>
              <w:t>• Customer Satisfaction (CSAT)</w:t>
            </w:r>
            <w:r w:rsidRPr="00295591">
              <w:rPr>
                <w:rFonts w:ascii="Arial" w:hAnsi="Arial" w:cs="Arial"/>
              </w:rPr>
              <w:br/>
              <w:t>• Customer Effort Score (CES)</w:t>
            </w:r>
          </w:p>
        </w:tc>
        <w:tc>
          <w:tcPr>
            <w:tcW w:w="0" w:type="auto"/>
            <w:hideMark/>
          </w:tcPr>
          <w:p w14:paraId="57CCD559" w14:textId="77777777" w:rsidR="00295591" w:rsidRPr="00295591" w:rsidRDefault="00295591" w:rsidP="00295591">
            <w:pPr>
              <w:spacing w:line="360" w:lineRule="auto"/>
              <w:rPr>
                <w:rFonts w:ascii="Arial" w:hAnsi="Arial" w:cs="Arial"/>
              </w:rPr>
            </w:pPr>
            <w:r w:rsidRPr="00295591">
              <w:rPr>
                <w:rFonts w:ascii="Arial" w:hAnsi="Arial" w:cs="Arial"/>
              </w:rPr>
              <w:t>• Post-interaction surveys</w:t>
            </w:r>
            <w:r w:rsidRPr="00295591">
              <w:rPr>
                <w:rFonts w:ascii="Arial" w:hAnsi="Arial" w:cs="Arial"/>
              </w:rPr>
              <w:br/>
              <w:t>• App ratings</w:t>
            </w:r>
            <w:r w:rsidRPr="00295591">
              <w:rPr>
                <w:rFonts w:ascii="Arial" w:hAnsi="Arial" w:cs="Arial"/>
              </w:rPr>
              <w:br/>
              <w:t>• Journey analytics</w:t>
            </w:r>
          </w:p>
        </w:tc>
        <w:tc>
          <w:tcPr>
            <w:tcW w:w="0" w:type="auto"/>
            <w:hideMark/>
          </w:tcPr>
          <w:p w14:paraId="68219CA2" w14:textId="77777777" w:rsidR="00295591" w:rsidRPr="00295591" w:rsidRDefault="00295591" w:rsidP="00295591">
            <w:pPr>
              <w:spacing w:line="360" w:lineRule="auto"/>
              <w:rPr>
                <w:rFonts w:ascii="Arial" w:hAnsi="Arial" w:cs="Arial"/>
              </w:rPr>
            </w:pPr>
            <w:r w:rsidRPr="00295591">
              <w:rPr>
                <w:rFonts w:ascii="Arial" w:hAnsi="Arial" w:cs="Arial"/>
              </w:rPr>
              <w:t>• NPS: 45+</w:t>
            </w:r>
            <w:r w:rsidRPr="00295591">
              <w:rPr>
                <w:rFonts w:ascii="Arial" w:hAnsi="Arial" w:cs="Arial"/>
              </w:rPr>
              <w:br/>
              <w:t>• CSAT: 4.2/5</w:t>
            </w:r>
            <w:r w:rsidRPr="00295591">
              <w:rPr>
                <w:rFonts w:ascii="Arial" w:hAnsi="Arial" w:cs="Arial"/>
              </w:rPr>
              <w:br/>
              <w:t>• CES: &lt;3.0</w:t>
            </w:r>
          </w:p>
        </w:tc>
        <w:tc>
          <w:tcPr>
            <w:tcW w:w="0" w:type="auto"/>
            <w:hideMark/>
          </w:tcPr>
          <w:p w14:paraId="6C82E2DE" w14:textId="77777777" w:rsidR="00295591" w:rsidRPr="00295591" w:rsidRDefault="00295591" w:rsidP="00295591">
            <w:pPr>
              <w:spacing w:line="360" w:lineRule="auto"/>
              <w:rPr>
                <w:rFonts w:ascii="Arial" w:hAnsi="Arial" w:cs="Arial"/>
              </w:rPr>
            </w:pPr>
            <w:r w:rsidRPr="00295591">
              <w:rPr>
                <w:rFonts w:ascii="Arial" w:hAnsi="Arial" w:cs="Arial"/>
              </w:rPr>
              <w:t>Monthly</w:t>
            </w:r>
          </w:p>
        </w:tc>
      </w:tr>
      <w:tr w:rsidR="00295591" w:rsidRPr="00295591" w14:paraId="155BCECF" w14:textId="77777777" w:rsidTr="00ED376A">
        <w:tc>
          <w:tcPr>
            <w:tcW w:w="0" w:type="auto"/>
            <w:hideMark/>
          </w:tcPr>
          <w:p w14:paraId="481F607C" w14:textId="77777777" w:rsidR="00295591" w:rsidRPr="00295591" w:rsidRDefault="00295591" w:rsidP="00295591">
            <w:pPr>
              <w:spacing w:line="360" w:lineRule="auto"/>
              <w:rPr>
                <w:rFonts w:ascii="Arial" w:hAnsi="Arial" w:cs="Arial"/>
              </w:rPr>
            </w:pPr>
          </w:p>
        </w:tc>
        <w:tc>
          <w:tcPr>
            <w:tcW w:w="0" w:type="auto"/>
            <w:hideMark/>
          </w:tcPr>
          <w:p w14:paraId="76C53F26" w14:textId="77777777" w:rsidR="00295591" w:rsidRPr="00295591" w:rsidRDefault="00295591" w:rsidP="00295591">
            <w:pPr>
              <w:spacing w:line="360" w:lineRule="auto"/>
              <w:rPr>
                <w:rFonts w:ascii="Arial" w:hAnsi="Arial" w:cs="Arial"/>
              </w:rPr>
            </w:pPr>
            <w:r w:rsidRPr="00295591">
              <w:rPr>
                <w:rFonts w:ascii="Arial" w:hAnsi="Arial" w:cs="Arial"/>
              </w:rPr>
              <w:t>Engagement</w:t>
            </w:r>
          </w:p>
        </w:tc>
        <w:tc>
          <w:tcPr>
            <w:tcW w:w="0" w:type="auto"/>
            <w:hideMark/>
          </w:tcPr>
          <w:p w14:paraId="0814874D" w14:textId="77777777" w:rsidR="00295591" w:rsidRPr="00295591" w:rsidRDefault="00295591" w:rsidP="00295591">
            <w:pPr>
              <w:spacing w:line="360" w:lineRule="auto"/>
              <w:rPr>
                <w:rFonts w:ascii="Arial" w:hAnsi="Arial" w:cs="Arial"/>
              </w:rPr>
            </w:pPr>
            <w:r w:rsidRPr="00295591">
              <w:rPr>
                <w:rFonts w:ascii="Arial" w:hAnsi="Arial" w:cs="Arial"/>
              </w:rPr>
              <w:t>• Monthly Active Users (MAU)</w:t>
            </w:r>
            <w:r w:rsidRPr="00295591">
              <w:rPr>
                <w:rFonts w:ascii="Arial" w:hAnsi="Arial" w:cs="Arial"/>
              </w:rPr>
              <w:br/>
              <w:t>• Daily Active Users (DAU)</w:t>
            </w:r>
            <w:r w:rsidRPr="00295591">
              <w:rPr>
                <w:rFonts w:ascii="Arial" w:hAnsi="Arial" w:cs="Arial"/>
              </w:rPr>
              <w:br/>
              <w:t>• Session frequency</w:t>
            </w:r>
            <w:r w:rsidRPr="00295591">
              <w:rPr>
                <w:rFonts w:ascii="Arial" w:hAnsi="Arial" w:cs="Arial"/>
              </w:rPr>
              <w:br/>
              <w:t>• Feature adoption rates</w:t>
            </w:r>
          </w:p>
        </w:tc>
        <w:tc>
          <w:tcPr>
            <w:tcW w:w="0" w:type="auto"/>
            <w:hideMark/>
          </w:tcPr>
          <w:p w14:paraId="16973711" w14:textId="77777777" w:rsidR="00295591" w:rsidRPr="00295591" w:rsidRDefault="00295591" w:rsidP="00295591">
            <w:pPr>
              <w:spacing w:line="360" w:lineRule="auto"/>
              <w:rPr>
                <w:rFonts w:ascii="Arial" w:hAnsi="Arial" w:cs="Arial"/>
              </w:rPr>
            </w:pPr>
            <w:r w:rsidRPr="00295591">
              <w:rPr>
                <w:rFonts w:ascii="Arial" w:hAnsi="Arial" w:cs="Arial"/>
              </w:rPr>
              <w:t>• App analytics</w:t>
            </w:r>
            <w:r w:rsidRPr="00295591">
              <w:rPr>
                <w:rFonts w:ascii="Arial" w:hAnsi="Arial" w:cs="Arial"/>
              </w:rPr>
              <w:br/>
              <w:t>• Usage tracking</w:t>
            </w:r>
            <w:r w:rsidRPr="00295591">
              <w:rPr>
                <w:rFonts w:ascii="Arial" w:hAnsi="Arial" w:cs="Arial"/>
              </w:rPr>
              <w:br/>
              <w:t>• Feature logs</w:t>
            </w:r>
          </w:p>
        </w:tc>
        <w:tc>
          <w:tcPr>
            <w:tcW w:w="0" w:type="auto"/>
            <w:hideMark/>
          </w:tcPr>
          <w:p w14:paraId="42285374" w14:textId="77777777" w:rsidR="00295591" w:rsidRPr="00295591" w:rsidRDefault="00295591" w:rsidP="00295591">
            <w:pPr>
              <w:spacing w:line="360" w:lineRule="auto"/>
              <w:rPr>
                <w:rFonts w:ascii="Arial" w:hAnsi="Arial" w:cs="Arial"/>
              </w:rPr>
            </w:pPr>
            <w:r w:rsidRPr="00295591">
              <w:rPr>
                <w:rFonts w:ascii="Arial" w:hAnsi="Arial" w:cs="Arial"/>
              </w:rPr>
              <w:t>• MAU: 75%</w:t>
            </w:r>
            <w:r w:rsidRPr="00295591">
              <w:rPr>
                <w:rFonts w:ascii="Arial" w:hAnsi="Arial" w:cs="Arial"/>
              </w:rPr>
              <w:br/>
              <w:t>• DAU: 42%</w:t>
            </w:r>
            <w:r w:rsidRPr="00295591">
              <w:rPr>
                <w:rFonts w:ascii="Arial" w:hAnsi="Arial" w:cs="Arial"/>
              </w:rPr>
              <w:br/>
              <w:t>• Sustainability: 40%</w:t>
            </w:r>
            <w:r w:rsidRPr="00295591">
              <w:rPr>
                <w:rFonts w:ascii="Arial" w:hAnsi="Arial" w:cs="Arial"/>
              </w:rPr>
              <w:br/>
              <w:t>• Goals: 35%</w:t>
            </w:r>
          </w:p>
        </w:tc>
        <w:tc>
          <w:tcPr>
            <w:tcW w:w="0" w:type="auto"/>
            <w:hideMark/>
          </w:tcPr>
          <w:p w14:paraId="20165F89" w14:textId="77777777" w:rsidR="00295591" w:rsidRPr="00295591" w:rsidRDefault="00295591" w:rsidP="00295591">
            <w:pPr>
              <w:spacing w:line="360" w:lineRule="auto"/>
              <w:rPr>
                <w:rFonts w:ascii="Arial" w:hAnsi="Arial" w:cs="Arial"/>
              </w:rPr>
            </w:pPr>
            <w:r w:rsidRPr="00295591">
              <w:rPr>
                <w:rFonts w:ascii="Arial" w:hAnsi="Arial" w:cs="Arial"/>
              </w:rPr>
              <w:t>Weekly</w:t>
            </w:r>
          </w:p>
        </w:tc>
      </w:tr>
      <w:tr w:rsidR="00295591" w:rsidRPr="00295591" w14:paraId="6D349895" w14:textId="77777777" w:rsidTr="00ED376A">
        <w:tc>
          <w:tcPr>
            <w:tcW w:w="0" w:type="auto"/>
            <w:hideMark/>
          </w:tcPr>
          <w:p w14:paraId="7E198BF9" w14:textId="77777777" w:rsidR="00295591" w:rsidRPr="00295591" w:rsidRDefault="00295591" w:rsidP="00295591">
            <w:pPr>
              <w:spacing w:line="360" w:lineRule="auto"/>
              <w:rPr>
                <w:rFonts w:ascii="Arial" w:hAnsi="Arial" w:cs="Arial"/>
              </w:rPr>
            </w:pPr>
          </w:p>
        </w:tc>
        <w:tc>
          <w:tcPr>
            <w:tcW w:w="0" w:type="auto"/>
            <w:hideMark/>
          </w:tcPr>
          <w:p w14:paraId="351BD92D" w14:textId="77777777" w:rsidR="00295591" w:rsidRPr="00295591" w:rsidRDefault="00295591" w:rsidP="00295591">
            <w:pPr>
              <w:spacing w:line="360" w:lineRule="auto"/>
              <w:rPr>
                <w:rFonts w:ascii="Arial" w:hAnsi="Arial" w:cs="Arial"/>
              </w:rPr>
            </w:pPr>
            <w:r w:rsidRPr="00295591">
              <w:rPr>
                <w:rFonts w:ascii="Arial" w:hAnsi="Arial" w:cs="Arial"/>
              </w:rPr>
              <w:t>Experience Quality</w:t>
            </w:r>
          </w:p>
        </w:tc>
        <w:tc>
          <w:tcPr>
            <w:tcW w:w="0" w:type="auto"/>
            <w:hideMark/>
          </w:tcPr>
          <w:p w14:paraId="086767A5" w14:textId="77777777" w:rsidR="00295591" w:rsidRPr="00295591" w:rsidRDefault="00295591" w:rsidP="00295591">
            <w:pPr>
              <w:spacing w:line="360" w:lineRule="auto"/>
              <w:rPr>
                <w:rFonts w:ascii="Arial" w:hAnsi="Arial" w:cs="Arial"/>
              </w:rPr>
            </w:pPr>
            <w:r w:rsidRPr="00295591">
              <w:rPr>
                <w:rFonts w:ascii="Arial" w:hAnsi="Arial" w:cs="Arial"/>
              </w:rPr>
              <w:t>• Journey completion rates</w:t>
            </w:r>
            <w:r w:rsidRPr="00295591">
              <w:rPr>
                <w:rFonts w:ascii="Arial" w:hAnsi="Arial" w:cs="Arial"/>
              </w:rPr>
              <w:br/>
              <w:t>• Task success rates</w:t>
            </w:r>
            <w:r w:rsidRPr="00295591">
              <w:rPr>
                <w:rFonts w:ascii="Arial" w:hAnsi="Arial" w:cs="Arial"/>
              </w:rPr>
              <w:br/>
              <w:t>• Time to value</w:t>
            </w:r>
          </w:p>
        </w:tc>
        <w:tc>
          <w:tcPr>
            <w:tcW w:w="0" w:type="auto"/>
            <w:hideMark/>
          </w:tcPr>
          <w:p w14:paraId="01FFE5AF" w14:textId="77777777" w:rsidR="00295591" w:rsidRPr="00295591" w:rsidRDefault="00295591" w:rsidP="00295591">
            <w:pPr>
              <w:spacing w:line="360" w:lineRule="auto"/>
              <w:rPr>
                <w:rFonts w:ascii="Arial" w:hAnsi="Arial" w:cs="Arial"/>
              </w:rPr>
            </w:pPr>
            <w:r w:rsidRPr="00295591">
              <w:rPr>
                <w:rFonts w:ascii="Arial" w:hAnsi="Arial" w:cs="Arial"/>
              </w:rPr>
              <w:t>• Analytics</w:t>
            </w:r>
            <w:r w:rsidRPr="00295591">
              <w:rPr>
                <w:rFonts w:ascii="Arial" w:hAnsi="Arial" w:cs="Arial"/>
              </w:rPr>
              <w:br/>
              <w:t>• A/B testing</w:t>
            </w:r>
            <w:r w:rsidRPr="00295591">
              <w:rPr>
                <w:rFonts w:ascii="Arial" w:hAnsi="Arial" w:cs="Arial"/>
              </w:rPr>
              <w:br/>
              <w:t>• User testing</w:t>
            </w:r>
          </w:p>
        </w:tc>
        <w:tc>
          <w:tcPr>
            <w:tcW w:w="0" w:type="auto"/>
            <w:hideMark/>
          </w:tcPr>
          <w:p w14:paraId="511B1BA7" w14:textId="77777777" w:rsidR="00295591" w:rsidRPr="00295591" w:rsidRDefault="00295591" w:rsidP="00295591">
            <w:pPr>
              <w:spacing w:line="360" w:lineRule="auto"/>
              <w:rPr>
                <w:rFonts w:ascii="Arial" w:hAnsi="Arial" w:cs="Arial"/>
              </w:rPr>
            </w:pPr>
            <w:r w:rsidRPr="00295591">
              <w:rPr>
                <w:rFonts w:ascii="Arial" w:hAnsi="Arial" w:cs="Arial"/>
              </w:rPr>
              <w:t>• Onboarding: 92%</w:t>
            </w:r>
            <w:r w:rsidRPr="00295591">
              <w:rPr>
                <w:rFonts w:ascii="Arial" w:hAnsi="Arial" w:cs="Arial"/>
              </w:rPr>
              <w:br/>
              <w:t>• Advice journey: 78%</w:t>
            </w:r>
            <w:r w:rsidRPr="00295591">
              <w:rPr>
                <w:rFonts w:ascii="Arial" w:hAnsi="Arial" w:cs="Arial"/>
              </w:rPr>
              <w:br/>
              <w:t>• TTV: &lt;10 min</w:t>
            </w:r>
          </w:p>
        </w:tc>
        <w:tc>
          <w:tcPr>
            <w:tcW w:w="0" w:type="auto"/>
            <w:hideMark/>
          </w:tcPr>
          <w:p w14:paraId="1800AE8A" w14:textId="77777777" w:rsidR="00295591" w:rsidRPr="00295591" w:rsidRDefault="00295591" w:rsidP="00295591">
            <w:pPr>
              <w:spacing w:line="360" w:lineRule="auto"/>
              <w:rPr>
                <w:rFonts w:ascii="Arial" w:hAnsi="Arial" w:cs="Arial"/>
              </w:rPr>
            </w:pPr>
            <w:r w:rsidRPr="00295591">
              <w:rPr>
                <w:rFonts w:ascii="Arial" w:hAnsi="Arial" w:cs="Arial"/>
              </w:rPr>
              <w:t>Monthly</w:t>
            </w:r>
          </w:p>
        </w:tc>
      </w:tr>
      <w:tr w:rsidR="00295591" w:rsidRPr="00295591" w14:paraId="5A823600" w14:textId="77777777" w:rsidTr="00ED376A">
        <w:tc>
          <w:tcPr>
            <w:tcW w:w="0" w:type="auto"/>
            <w:hideMark/>
          </w:tcPr>
          <w:p w14:paraId="15CE6BAA" w14:textId="77777777" w:rsidR="00295591" w:rsidRPr="00295591" w:rsidRDefault="00295591" w:rsidP="00295591">
            <w:pPr>
              <w:spacing w:line="360" w:lineRule="auto"/>
              <w:rPr>
                <w:rFonts w:ascii="Arial" w:hAnsi="Arial" w:cs="Arial"/>
              </w:rPr>
            </w:pPr>
            <w:r w:rsidRPr="00295591">
              <w:rPr>
                <w:rFonts w:ascii="Arial" w:hAnsi="Arial" w:cs="Arial"/>
                <w:b/>
                <w:bCs/>
              </w:rPr>
              <w:t>OPERATIONAL</w:t>
            </w:r>
          </w:p>
        </w:tc>
        <w:tc>
          <w:tcPr>
            <w:tcW w:w="0" w:type="auto"/>
            <w:hideMark/>
          </w:tcPr>
          <w:p w14:paraId="2B052303" w14:textId="77777777" w:rsidR="00295591" w:rsidRPr="00295591" w:rsidRDefault="00295591" w:rsidP="00295591">
            <w:pPr>
              <w:spacing w:line="360" w:lineRule="auto"/>
              <w:rPr>
                <w:rFonts w:ascii="Arial" w:hAnsi="Arial" w:cs="Arial"/>
              </w:rPr>
            </w:pPr>
            <w:r w:rsidRPr="00295591">
              <w:rPr>
                <w:rFonts w:ascii="Arial" w:hAnsi="Arial" w:cs="Arial"/>
              </w:rPr>
              <w:t>Automation</w:t>
            </w:r>
          </w:p>
        </w:tc>
        <w:tc>
          <w:tcPr>
            <w:tcW w:w="0" w:type="auto"/>
            <w:hideMark/>
          </w:tcPr>
          <w:p w14:paraId="7F1D0426" w14:textId="77777777" w:rsidR="00295591" w:rsidRPr="00295591" w:rsidRDefault="00295591" w:rsidP="00295591">
            <w:pPr>
              <w:spacing w:line="360" w:lineRule="auto"/>
              <w:rPr>
                <w:rFonts w:ascii="Arial" w:hAnsi="Arial" w:cs="Arial"/>
              </w:rPr>
            </w:pPr>
            <w:r w:rsidRPr="00295591">
              <w:rPr>
                <w:rFonts w:ascii="Arial" w:hAnsi="Arial" w:cs="Arial"/>
              </w:rPr>
              <w:t>• Chatbot resolution rate</w:t>
            </w:r>
            <w:r w:rsidRPr="00295591">
              <w:rPr>
                <w:rFonts w:ascii="Arial" w:hAnsi="Arial" w:cs="Arial"/>
              </w:rPr>
              <w:br/>
              <w:t>• Self-service completion</w:t>
            </w:r>
            <w:r w:rsidRPr="00295591">
              <w:rPr>
                <w:rFonts w:ascii="Arial" w:hAnsi="Arial" w:cs="Arial"/>
              </w:rPr>
              <w:br/>
              <w:t>• Straight-through processing</w:t>
            </w:r>
          </w:p>
        </w:tc>
        <w:tc>
          <w:tcPr>
            <w:tcW w:w="0" w:type="auto"/>
            <w:hideMark/>
          </w:tcPr>
          <w:p w14:paraId="173532BF" w14:textId="77777777" w:rsidR="00295591" w:rsidRPr="00295591" w:rsidRDefault="00295591" w:rsidP="00295591">
            <w:pPr>
              <w:spacing w:line="360" w:lineRule="auto"/>
              <w:rPr>
                <w:rFonts w:ascii="Arial" w:hAnsi="Arial" w:cs="Arial"/>
              </w:rPr>
            </w:pPr>
            <w:r w:rsidRPr="00295591">
              <w:rPr>
                <w:rFonts w:ascii="Arial" w:hAnsi="Arial" w:cs="Arial"/>
              </w:rPr>
              <w:t>• System logs</w:t>
            </w:r>
            <w:r w:rsidRPr="00295591">
              <w:rPr>
                <w:rFonts w:ascii="Arial" w:hAnsi="Arial" w:cs="Arial"/>
              </w:rPr>
              <w:br/>
              <w:t>• Channel analytics</w:t>
            </w:r>
          </w:p>
        </w:tc>
        <w:tc>
          <w:tcPr>
            <w:tcW w:w="0" w:type="auto"/>
            <w:hideMark/>
          </w:tcPr>
          <w:p w14:paraId="6EE8967C" w14:textId="77777777" w:rsidR="00295591" w:rsidRPr="00295591" w:rsidRDefault="00295591" w:rsidP="00295591">
            <w:pPr>
              <w:spacing w:line="360" w:lineRule="auto"/>
              <w:rPr>
                <w:rFonts w:ascii="Arial" w:hAnsi="Arial" w:cs="Arial"/>
              </w:rPr>
            </w:pPr>
            <w:r w:rsidRPr="00295591">
              <w:rPr>
                <w:rFonts w:ascii="Arial" w:hAnsi="Arial" w:cs="Arial"/>
              </w:rPr>
              <w:t>• Chatbot: 82%</w:t>
            </w:r>
            <w:r w:rsidRPr="00295591">
              <w:rPr>
                <w:rFonts w:ascii="Arial" w:hAnsi="Arial" w:cs="Arial"/>
              </w:rPr>
              <w:br/>
              <w:t>• Self-service: 76%</w:t>
            </w:r>
            <w:r w:rsidRPr="00295591">
              <w:rPr>
                <w:rFonts w:ascii="Arial" w:hAnsi="Arial" w:cs="Arial"/>
              </w:rPr>
              <w:br/>
              <w:t>• STP: 68%</w:t>
            </w:r>
          </w:p>
        </w:tc>
        <w:tc>
          <w:tcPr>
            <w:tcW w:w="0" w:type="auto"/>
            <w:hideMark/>
          </w:tcPr>
          <w:p w14:paraId="6BE20FBA" w14:textId="77777777" w:rsidR="00295591" w:rsidRPr="00295591" w:rsidRDefault="00295591" w:rsidP="00295591">
            <w:pPr>
              <w:spacing w:line="360" w:lineRule="auto"/>
              <w:rPr>
                <w:rFonts w:ascii="Arial" w:hAnsi="Arial" w:cs="Arial"/>
              </w:rPr>
            </w:pPr>
            <w:r w:rsidRPr="00295591">
              <w:rPr>
                <w:rFonts w:ascii="Arial" w:hAnsi="Arial" w:cs="Arial"/>
              </w:rPr>
              <w:t>Weekly</w:t>
            </w:r>
          </w:p>
        </w:tc>
      </w:tr>
      <w:tr w:rsidR="00295591" w:rsidRPr="00295591" w14:paraId="7ABD6F54" w14:textId="77777777" w:rsidTr="00ED376A">
        <w:tc>
          <w:tcPr>
            <w:tcW w:w="0" w:type="auto"/>
            <w:hideMark/>
          </w:tcPr>
          <w:p w14:paraId="505E7956" w14:textId="77777777" w:rsidR="00295591" w:rsidRPr="00295591" w:rsidRDefault="00295591" w:rsidP="00295591">
            <w:pPr>
              <w:spacing w:line="360" w:lineRule="auto"/>
              <w:rPr>
                <w:rFonts w:ascii="Arial" w:hAnsi="Arial" w:cs="Arial"/>
              </w:rPr>
            </w:pPr>
          </w:p>
        </w:tc>
        <w:tc>
          <w:tcPr>
            <w:tcW w:w="0" w:type="auto"/>
            <w:hideMark/>
          </w:tcPr>
          <w:p w14:paraId="5361C231" w14:textId="77777777" w:rsidR="00295591" w:rsidRPr="00295591" w:rsidRDefault="00295591" w:rsidP="00295591">
            <w:pPr>
              <w:spacing w:line="360" w:lineRule="auto"/>
              <w:rPr>
                <w:rFonts w:ascii="Arial" w:hAnsi="Arial" w:cs="Arial"/>
              </w:rPr>
            </w:pPr>
            <w:r w:rsidRPr="00295591">
              <w:rPr>
                <w:rFonts w:ascii="Arial" w:hAnsi="Arial" w:cs="Arial"/>
              </w:rPr>
              <w:t>Efficiency</w:t>
            </w:r>
          </w:p>
        </w:tc>
        <w:tc>
          <w:tcPr>
            <w:tcW w:w="0" w:type="auto"/>
            <w:hideMark/>
          </w:tcPr>
          <w:p w14:paraId="6863A57E" w14:textId="77777777" w:rsidR="00295591" w:rsidRPr="00295591" w:rsidRDefault="00295591" w:rsidP="00295591">
            <w:pPr>
              <w:spacing w:line="360" w:lineRule="auto"/>
              <w:rPr>
                <w:rFonts w:ascii="Arial" w:hAnsi="Arial" w:cs="Arial"/>
              </w:rPr>
            </w:pPr>
            <w:r w:rsidRPr="00295591">
              <w:rPr>
                <w:rFonts w:ascii="Arial" w:hAnsi="Arial" w:cs="Arial"/>
              </w:rPr>
              <w:t>• Average handling time</w:t>
            </w:r>
            <w:r w:rsidRPr="00295591">
              <w:rPr>
                <w:rFonts w:ascii="Arial" w:hAnsi="Arial" w:cs="Arial"/>
              </w:rPr>
              <w:br/>
              <w:t>• First contact resolution</w:t>
            </w:r>
            <w:r w:rsidRPr="00295591">
              <w:rPr>
                <w:rFonts w:ascii="Arial" w:hAnsi="Arial" w:cs="Arial"/>
              </w:rPr>
              <w:br/>
              <w:t>• Cost per interaction</w:t>
            </w:r>
          </w:p>
        </w:tc>
        <w:tc>
          <w:tcPr>
            <w:tcW w:w="0" w:type="auto"/>
            <w:hideMark/>
          </w:tcPr>
          <w:p w14:paraId="51D0CEDB" w14:textId="77777777" w:rsidR="00295591" w:rsidRPr="00295591" w:rsidRDefault="00295591" w:rsidP="00295591">
            <w:pPr>
              <w:spacing w:line="360" w:lineRule="auto"/>
              <w:rPr>
                <w:rFonts w:ascii="Arial" w:hAnsi="Arial" w:cs="Arial"/>
              </w:rPr>
            </w:pPr>
            <w:r w:rsidRPr="00295591">
              <w:rPr>
                <w:rFonts w:ascii="Arial" w:hAnsi="Arial" w:cs="Arial"/>
              </w:rPr>
              <w:t>• Contact center data</w:t>
            </w:r>
            <w:r w:rsidRPr="00295591">
              <w:rPr>
                <w:rFonts w:ascii="Arial" w:hAnsi="Arial" w:cs="Arial"/>
              </w:rPr>
              <w:br/>
              <w:t>• Process analytics</w:t>
            </w:r>
          </w:p>
        </w:tc>
        <w:tc>
          <w:tcPr>
            <w:tcW w:w="0" w:type="auto"/>
            <w:hideMark/>
          </w:tcPr>
          <w:p w14:paraId="529C799B" w14:textId="77777777" w:rsidR="00295591" w:rsidRPr="00295591" w:rsidRDefault="00295591" w:rsidP="00295591">
            <w:pPr>
              <w:spacing w:line="360" w:lineRule="auto"/>
              <w:rPr>
                <w:rFonts w:ascii="Arial" w:hAnsi="Arial" w:cs="Arial"/>
              </w:rPr>
            </w:pPr>
            <w:r w:rsidRPr="00295591">
              <w:rPr>
                <w:rFonts w:ascii="Arial" w:hAnsi="Arial" w:cs="Arial"/>
              </w:rPr>
              <w:t>• AHT: -25%</w:t>
            </w:r>
            <w:r w:rsidRPr="00295591">
              <w:rPr>
                <w:rFonts w:ascii="Arial" w:hAnsi="Arial" w:cs="Arial"/>
              </w:rPr>
              <w:br/>
              <w:t>• FCR: 88%</w:t>
            </w:r>
            <w:r w:rsidRPr="00295591">
              <w:rPr>
                <w:rFonts w:ascii="Arial" w:hAnsi="Arial" w:cs="Arial"/>
              </w:rPr>
              <w:br/>
              <w:t>• Cost: -18%</w:t>
            </w:r>
          </w:p>
        </w:tc>
        <w:tc>
          <w:tcPr>
            <w:tcW w:w="0" w:type="auto"/>
            <w:hideMark/>
          </w:tcPr>
          <w:p w14:paraId="57F2052D" w14:textId="77777777" w:rsidR="00295591" w:rsidRPr="00295591" w:rsidRDefault="00295591" w:rsidP="00295591">
            <w:pPr>
              <w:spacing w:line="360" w:lineRule="auto"/>
              <w:rPr>
                <w:rFonts w:ascii="Arial" w:hAnsi="Arial" w:cs="Arial"/>
              </w:rPr>
            </w:pPr>
            <w:r w:rsidRPr="00295591">
              <w:rPr>
                <w:rFonts w:ascii="Arial" w:hAnsi="Arial" w:cs="Arial"/>
              </w:rPr>
              <w:t>Monthly</w:t>
            </w:r>
          </w:p>
        </w:tc>
      </w:tr>
      <w:tr w:rsidR="00295591" w:rsidRPr="00295591" w14:paraId="31F5021D" w14:textId="77777777" w:rsidTr="00ED376A">
        <w:tc>
          <w:tcPr>
            <w:tcW w:w="0" w:type="auto"/>
            <w:hideMark/>
          </w:tcPr>
          <w:p w14:paraId="5064DD81" w14:textId="77777777" w:rsidR="00295591" w:rsidRPr="00295591" w:rsidRDefault="00295591" w:rsidP="00295591">
            <w:pPr>
              <w:spacing w:line="360" w:lineRule="auto"/>
              <w:rPr>
                <w:rFonts w:ascii="Arial" w:hAnsi="Arial" w:cs="Arial"/>
              </w:rPr>
            </w:pPr>
          </w:p>
        </w:tc>
        <w:tc>
          <w:tcPr>
            <w:tcW w:w="0" w:type="auto"/>
            <w:hideMark/>
          </w:tcPr>
          <w:p w14:paraId="48927E98" w14:textId="77777777" w:rsidR="00295591" w:rsidRPr="00295591" w:rsidRDefault="00295591" w:rsidP="00295591">
            <w:pPr>
              <w:spacing w:line="360" w:lineRule="auto"/>
              <w:rPr>
                <w:rFonts w:ascii="Arial" w:hAnsi="Arial" w:cs="Arial"/>
              </w:rPr>
            </w:pPr>
            <w:r w:rsidRPr="00295591">
              <w:rPr>
                <w:rFonts w:ascii="Arial" w:hAnsi="Arial" w:cs="Arial"/>
              </w:rPr>
              <w:t>Quality</w:t>
            </w:r>
          </w:p>
        </w:tc>
        <w:tc>
          <w:tcPr>
            <w:tcW w:w="0" w:type="auto"/>
            <w:hideMark/>
          </w:tcPr>
          <w:p w14:paraId="370F7A2A" w14:textId="77777777" w:rsidR="00295591" w:rsidRPr="00295591" w:rsidRDefault="00295591" w:rsidP="00295591">
            <w:pPr>
              <w:spacing w:line="360" w:lineRule="auto"/>
              <w:rPr>
                <w:rFonts w:ascii="Arial" w:hAnsi="Arial" w:cs="Arial"/>
              </w:rPr>
            </w:pPr>
            <w:r w:rsidRPr="00295591">
              <w:rPr>
                <w:rFonts w:ascii="Arial" w:hAnsi="Arial" w:cs="Arial"/>
              </w:rPr>
              <w:t>• Advice accuracy</w:t>
            </w:r>
            <w:r w:rsidRPr="00295591">
              <w:rPr>
                <w:rFonts w:ascii="Arial" w:hAnsi="Arial" w:cs="Arial"/>
              </w:rPr>
              <w:br/>
              <w:t>• Recommendation acceptance</w:t>
            </w:r>
            <w:r w:rsidRPr="00295591">
              <w:rPr>
                <w:rFonts w:ascii="Arial" w:hAnsi="Arial" w:cs="Arial"/>
              </w:rPr>
              <w:br/>
              <w:t>• False positive rate (fraud)</w:t>
            </w:r>
          </w:p>
        </w:tc>
        <w:tc>
          <w:tcPr>
            <w:tcW w:w="0" w:type="auto"/>
            <w:hideMark/>
          </w:tcPr>
          <w:p w14:paraId="67CE7B24" w14:textId="77777777" w:rsidR="00295591" w:rsidRPr="00295591" w:rsidRDefault="00295591" w:rsidP="00295591">
            <w:pPr>
              <w:spacing w:line="360" w:lineRule="auto"/>
              <w:rPr>
                <w:rFonts w:ascii="Arial" w:hAnsi="Arial" w:cs="Arial"/>
              </w:rPr>
            </w:pPr>
            <w:r w:rsidRPr="00295591">
              <w:rPr>
                <w:rFonts w:ascii="Arial" w:hAnsi="Arial" w:cs="Arial"/>
              </w:rPr>
              <w:t>• Outcome tracking</w:t>
            </w:r>
            <w:r w:rsidRPr="00295591">
              <w:rPr>
                <w:rFonts w:ascii="Arial" w:hAnsi="Arial" w:cs="Arial"/>
              </w:rPr>
              <w:br/>
              <w:t>• ML model performance</w:t>
            </w:r>
          </w:p>
        </w:tc>
        <w:tc>
          <w:tcPr>
            <w:tcW w:w="0" w:type="auto"/>
            <w:hideMark/>
          </w:tcPr>
          <w:p w14:paraId="775704C4" w14:textId="77777777" w:rsidR="00295591" w:rsidRPr="00295591" w:rsidRDefault="00295591" w:rsidP="00295591">
            <w:pPr>
              <w:spacing w:line="360" w:lineRule="auto"/>
              <w:rPr>
                <w:rFonts w:ascii="Arial" w:hAnsi="Arial" w:cs="Arial"/>
              </w:rPr>
            </w:pPr>
            <w:r w:rsidRPr="00295591">
              <w:rPr>
                <w:rFonts w:ascii="Arial" w:hAnsi="Arial" w:cs="Arial"/>
              </w:rPr>
              <w:t>• Accuracy: 89%</w:t>
            </w:r>
            <w:r w:rsidRPr="00295591">
              <w:rPr>
                <w:rFonts w:ascii="Arial" w:hAnsi="Arial" w:cs="Arial"/>
              </w:rPr>
              <w:br/>
              <w:t>• Acceptance: 72%</w:t>
            </w:r>
            <w:r w:rsidRPr="00295591">
              <w:rPr>
                <w:rFonts w:ascii="Arial" w:hAnsi="Arial" w:cs="Arial"/>
              </w:rPr>
              <w:br/>
              <w:t>• FP rate: &lt;2%</w:t>
            </w:r>
          </w:p>
        </w:tc>
        <w:tc>
          <w:tcPr>
            <w:tcW w:w="0" w:type="auto"/>
            <w:hideMark/>
          </w:tcPr>
          <w:p w14:paraId="605EDA99" w14:textId="77777777" w:rsidR="00295591" w:rsidRPr="00295591" w:rsidRDefault="00295591" w:rsidP="00295591">
            <w:pPr>
              <w:spacing w:line="360" w:lineRule="auto"/>
              <w:rPr>
                <w:rFonts w:ascii="Arial" w:hAnsi="Arial" w:cs="Arial"/>
              </w:rPr>
            </w:pPr>
            <w:r w:rsidRPr="00295591">
              <w:rPr>
                <w:rFonts w:ascii="Arial" w:hAnsi="Arial" w:cs="Arial"/>
              </w:rPr>
              <w:t>Continuous</w:t>
            </w:r>
          </w:p>
        </w:tc>
      </w:tr>
      <w:tr w:rsidR="00295591" w:rsidRPr="00295591" w14:paraId="111B5259" w14:textId="77777777" w:rsidTr="00ED376A">
        <w:tc>
          <w:tcPr>
            <w:tcW w:w="0" w:type="auto"/>
            <w:hideMark/>
          </w:tcPr>
          <w:p w14:paraId="1F5EE6E8" w14:textId="77777777" w:rsidR="00295591" w:rsidRPr="00295591" w:rsidRDefault="00295591" w:rsidP="00295591">
            <w:pPr>
              <w:spacing w:line="360" w:lineRule="auto"/>
              <w:rPr>
                <w:rFonts w:ascii="Arial" w:hAnsi="Arial" w:cs="Arial"/>
              </w:rPr>
            </w:pPr>
            <w:r w:rsidRPr="00295591">
              <w:rPr>
                <w:rFonts w:ascii="Arial" w:hAnsi="Arial" w:cs="Arial"/>
                <w:b/>
                <w:bCs/>
              </w:rPr>
              <w:t>FINANCIAL</w:t>
            </w:r>
          </w:p>
        </w:tc>
        <w:tc>
          <w:tcPr>
            <w:tcW w:w="0" w:type="auto"/>
            <w:hideMark/>
          </w:tcPr>
          <w:p w14:paraId="16CD19FE" w14:textId="77777777" w:rsidR="00295591" w:rsidRPr="00295591" w:rsidRDefault="00295591" w:rsidP="00295591">
            <w:pPr>
              <w:spacing w:line="360" w:lineRule="auto"/>
              <w:rPr>
                <w:rFonts w:ascii="Arial" w:hAnsi="Arial" w:cs="Arial"/>
              </w:rPr>
            </w:pPr>
            <w:r w:rsidRPr="00295591">
              <w:rPr>
                <w:rFonts w:ascii="Arial" w:hAnsi="Arial" w:cs="Arial"/>
              </w:rPr>
              <w:t>Acquisition</w:t>
            </w:r>
          </w:p>
        </w:tc>
        <w:tc>
          <w:tcPr>
            <w:tcW w:w="0" w:type="auto"/>
            <w:hideMark/>
          </w:tcPr>
          <w:p w14:paraId="556AD23B" w14:textId="77777777" w:rsidR="00295591" w:rsidRPr="00295591" w:rsidRDefault="00295591" w:rsidP="00295591">
            <w:pPr>
              <w:spacing w:line="360" w:lineRule="auto"/>
              <w:rPr>
                <w:rFonts w:ascii="Arial" w:hAnsi="Arial" w:cs="Arial"/>
              </w:rPr>
            </w:pPr>
            <w:r w:rsidRPr="00295591">
              <w:rPr>
                <w:rFonts w:ascii="Arial" w:hAnsi="Arial" w:cs="Arial"/>
              </w:rPr>
              <w:t>• New customer volume</w:t>
            </w:r>
            <w:r w:rsidRPr="00295591">
              <w:rPr>
                <w:rFonts w:ascii="Arial" w:hAnsi="Arial" w:cs="Arial"/>
              </w:rPr>
              <w:br/>
              <w:t>• Cost per acquisition</w:t>
            </w:r>
            <w:r w:rsidRPr="00295591">
              <w:rPr>
                <w:rFonts w:ascii="Arial" w:hAnsi="Arial" w:cs="Arial"/>
              </w:rPr>
              <w:br/>
              <w:t>• Channel conversion rates</w:t>
            </w:r>
          </w:p>
        </w:tc>
        <w:tc>
          <w:tcPr>
            <w:tcW w:w="0" w:type="auto"/>
            <w:hideMark/>
          </w:tcPr>
          <w:p w14:paraId="7E0FFAAB" w14:textId="77777777" w:rsidR="00295591" w:rsidRPr="00295591" w:rsidRDefault="00295591" w:rsidP="00295591">
            <w:pPr>
              <w:spacing w:line="360" w:lineRule="auto"/>
              <w:rPr>
                <w:rFonts w:ascii="Arial" w:hAnsi="Arial" w:cs="Arial"/>
              </w:rPr>
            </w:pPr>
            <w:r w:rsidRPr="00295591">
              <w:rPr>
                <w:rFonts w:ascii="Arial" w:hAnsi="Arial" w:cs="Arial"/>
              </w:rPr>
              <w:t>• CRM data</w:t>
            </w:r>
            <w:r w:rsidRPr="00295591">
              <w:rPr>
                <w:rFonts w:ascii="Arial" w:hAnsi="Arial" w:cs="Arial"/>
              </w:rPr>
              <w:br/>
              <w:t>• Marketing analytics</w:t>
            </w:r>
          </w:p>
        </w:tc>
        <w:tc>
          <w:tcPr>
            <w:tcW w:w="0" w:type="auto"/>
            <w:hideMark/>
          </w:tcPr>
          <w:p w14:paraId="46107F23" w14:textId="77777777" w:rsidR="00295591" w:rsidRPr="00295591" w:rsidRDefault="00295591" w:rsidP="00295591">
            <w:pPr>
              <w:spacing w:line="360" w:lineRule="auto"/>
              <w:rPr>
                <w:rFonts w:ascii="Arial" w:hAnsi="Arial" w:cs="Arial"/>
              </w:rPr>
            </w:pPr>
            <w:r w:rsidRPr="00295591">
              <w:rPr>
                <w:rFonts w:ascii="Arial" w:hAnsi="Arial" w:cs="Arial"/>
              </w:rPr>
              <w:t>• Volume: 500K/yr</w:t>
            </w:r>
            <w:r w:rsidRPr="00295591">
              <w:rPr>
                <w:rFonts w:ascii="Arial" w:hAnsi="Arial" w:cs="Arial"/>
              </w:rPr>
              <w:br/>
              <w:t>• CPA: £132</w:t>
            </w:r>
            <w:r w:rsidRPr="00295591">
              <w:rPr>
                <w:rFonts w:ascii="Arial" w:hAnsi="Arial" w:cs="Arial"/>
              </w:rPr>
              <w:br/>
              <w:t>• Digital: 18%</w:t>
            </w:r>
          </w:p>
        </w:tc>
        <w:tc>
          <w:tcPr>
            <w:tcW w:w="0" w:type="auto"/>
            <w:hideMark/>
          </w:tcPr>
          <w:p w14:paraId="01EA35B7" w14:textId="77777777" w:rsidR="00295591" w:rsidRPr="00295591" w:rsidRDefault="00295591" w:rsidP="00295591">
            <w:pPr>
              <w:spacing w:line="360" w:lineRule="auto"/>
              <w:rPr>
                <w:rFonts w:ascii="Arial" w:hAnsi="Arial" w:cs="Arial"/>
              </w:rPr>
            </w:pPr>
            <w:r w:rsidRPr="00295591">
              <w:rPr>
                <w:rFonts w:ascii="Arial" w:hAnsi="Arial" w:cs="Arial"/>
              </w:rPr>
              <w:t>Monthly</w:t>
            </w:r>
          </w:p>
        </w:tc>
      </w:tr>
      <w:tr w:rsidR="00295591" w:rsidRPr="00295591" w14:paraId="7F92AAAA" w14:textId="77777777" w:rsidTr="00ED376A">
        <w:tc>
          <w:tcPr>
            <w:tcW w:w="0" w:type="auto"/>
            <w:hideMark/>
          </w:tcPr>
          <w:p w14:paraId="6032E1E5" w14:textId="77777777" w:rsidR="00295591" w:rsidRPr="00295591" w:rsidRDefault="00295591" w:rsidP="00295591">
            <w:pPr>
              <w:spacing w:line="360" w:lineRule="auto"/>
              <w:rPr>
                <w:rFonts w:ascii="Arial" w:hAnsi="Arial" w:cs="Arial"/>
              </w:rPr>
            </w:pPr>
          </w:p>
        </w:tc>
        <w:tc>
          <w:tcPr>
            <w:tcW w:w="0" w:type="auto"/>
            <w:hideMark/>
          </w:tcPr>
          <w:p w14:paraId="1B10FC90" w14:textId="77777777" w:rsidR="00295591" w:rsidRPr="00295591" w:rsidRDefault="00295591" w:rsidP="00295591">
            <w:pPr>
              <w:spacing w:line="360" w:lineRule="auto"/>
              <w:rPr>
                <w:rFonts w:ascii="Arial" w:hAnsi="Arial" w:cs="Arial"/>
              </w:rPr>
            </w:pPr>
            <w:r w:rsidRPr="00295591">
              <w:rPr>
                <w:rFonts w:ascii="Arial" w:hAnsi="Arial" w:cs="Arial"/>
              </w:rPr>
              <w:t>Retention</w:t>
            </w:r>
          </w:p>
        </w:tc>
        <w:tc>
          <w:tcPr>
            <w:tcW w:w="0" w:type="auto"/>
            <w:hideMark/>
          </w:tcPr>
          <w:p w14:paraId="75B5E924" w14:textId="77777777" w:rsidR="00295591" w:rsidRPr="00295591" w:rsidRDefault="00295591" w:rsidP="00295591">
            <w:pPr>
              <w:spacing w:line="360" w:lineRule="auto"/>
              <w:rPr>
                <w:rFonts w:ascii="Arial" w:hAnsi="Arial" w:cs="Arial"/>
              </w:rPr>
            </w:pPr>
            <w:r w:rsidRPr="00295591">
              <w:rPr>
                <w:rFonts w:ascii="Arial" w:hAnsi="Arial" w:cs="Arial"/>
              </w:rPr>
              <w:t>• Churn rate</w:t>
            </w:r>
            <w:r w:rsidRPr="00295591">
              <w:rPr>
                <w:rFonts w:ascii="Arial" w:hAnsi="Arial" w:cs="Arial"/>
              </w:rPr>
              <w:br/>
              <w:t>• Customer tenure</w:t>
            </w:r>
            <w:r w:rsidRPr="00295591">
              <w:rPr>
                <w:rFonts w:ascii="Arial" w:hAnsi="Arial" w:cs="Arial"/>
              </w:rPr>
              <w:br/>
              <w:t>• Reactivation rate</w:t>
            </w:r>
          </w:p>
        </w:tc>
        <w:tc>
          <w:tcPr>
            <w:tcW w:w="0" w:type="auto"/>
            <w:hideMark/>
          </w:tcPr>
          <w:p w14:paraId="5EBDF932" w14:textId="77777777" w:rsidR="00295591" w:rsidRPr="00295591" w:rsidRDefault="00295591" w:rsidP="00295591">
            <w:pPr>
              <w:spacing w:line="360" w:lineRule="auto"/>
              <w:rPr>
                <w:rFonts w:ascii="Arial" w:hAnsi="Arial" w:cs="Arial"/>
              </w:rPr>
            </w:pPr>
            <w:r w:rsidRPr="00295591">
              <w:rPr>
                <w:rFonts w:ascii="Arial" w:hAnsi="Arial" w:cs="Arial"/>
              </w:rPr>
              <w:t>• Account analytics</w:t>
            </w:r>
            <w:r w:rsidRPr="00295591">
              <w:rPr>
                <w:rFonts w:ascii="Arial" w:hAnsi="Arial" w:cs="Arial"/>
              </w:rPr>
              <w:br/>
              <w:t>• Cohort analysis</w:t>
            </w:r>
          </w:p>
        </w:tc>
        <w:tc>
          <w:tcPr>
            <w:tcW w:w="0" w:type="auto"/>
            <w:hideMark/>
          </w:tcPr>
          <w:p w14:paraId="390DDB64" w14:textId="77777777" w:rsidR="00295591" w:rsidRPr="00295591" w:rsidRDefault="00295591" w:rsidP="00295591">
            <w:pPr>
              <w:spacing w:line="360" w:lineRule="auto"/>
              <w:rPr>
                <w:rFonts w:ascii="Arial" w:hAnsi="Arial" w:cs="Arial"/>
              </w:rPr>
            </w:pPr>
            <w:r w:rsidRPr="00295591">
              <w:rPr>
                <w:rFonts w:ascii="Arial" w:hAnsi="Arial" w:cs="Arial"/>
              </w:rPr>
              <w:t>• Churn: 6.5%</w:t>
            </w:r>
            <w:r w:rsidRPr="00295591">
              <w:rPr>
                <w:rFonts w:ascii="Arial" w:hAnsi="Arial" w:cs="Arial"/>
              </w:rPr>
              <w:br/>
              <w:t>• Tenure: +8mo</w:t>
            </w:r>
            <w:r w:rsidRPr="00295591">
              <w:rPr>
                <w:rFonts w:ascii="Arial" w:hAnsi="Arial" w:cs="Arial"/>
              </w:rPr>
              <w:br/>
              <w:t>• Reactive: 15%</w:t>
            </w:r>
          </w:p>
        </w:tc>
        <w:tc>
          <w:tcPr>
            <w:tcW w:w="0" w:type="auto"/>
            <w:hideMark/>
          </w:tcPr>
          <w:p w14:paraId="63A65834" w14:textId="77777777" w:rsidR="00295591" w:rsidRPr="00295591" w:rsidRDefault="00295591" w:rsidP="00295591">
            <w:pPr>
              <w:spacing w:line="360" w:lineRule="auto"/>
              <w:rPr>
                <w:rFonts w:ascii="Arial" w:hAnsi="Arial" w:cs="Arial"/>
              </w:rPr>
            </w:pPr>
            <w:r w:rsidRPr="00295591">
              <w:rPr>
                <w:rFonts w:ascii="Arial" w:hAnsi="Arial" w:cs="Arial"/>
              </w:rPr>
              <w:t>Quarterly</w:t>
            </w:r>
          </w:p>
        </w:tc>
      </w:tr>
      <w:tr w:rsidR="00295591" w:rsidRPr="00295591" w14:paraId="69386171" w14:textId="77777777" w:rsidTr="00ED376A">
        <w:tc>
          <w:tcPr>
            <w:tcW w:w="0" w:type="auto"/>
            <w:hideMark/>
          </w:tcPr>
          <w:p w14:paraId="38AA2B8D" w14:textId="77777777" w:rsidR="00295591" w:rsidRPr="00295591" w:rsidRDefault="00295591" w:rsidP="00295591">
            <w:pPr>
              <w:spacing w:line="360" w:lineRule="auto"/>
              <w:rPr>
                <w:rFonts w:ascii="Arial" w:hAnsi="Arial" w:cs="Arial"/>
              </w:rPr>
            </w:pPr>
          </w:p>
        </w:tc>
        <w:tc>
          <w:tcPr>
            <w:tcW w:w="0" w:type="auto"/>
            <w:hideMark/>
          </w:tcPr>
          <w:p w14:paraId="73559A5C" w14:textId="77777777" w:rsidR="00295591" w:rsidRPr="00295591" w:rsidRDefault="00295591" w:rsidP="00295591">
            <w:pPr>
              <w:spacing w:line="360" w:lineRule="auto"/>
              <w:rPr>
                <w:rFonts w:ascii="Arial" w:hAnsi="Arial" w:cs="Arial"/>
              </w:rPr>
            </w:pPr>
            <w:r w:rsidRPr="00295591">
              <w:rPr>
                <w:rFonts w:ascii="Arial" w:hAnsi="Arial" w:cs="Arial"/>
              </w:rPr>
              <w:t>Revenue</w:t>
            </w:r>
          </w:p>
        </w:tc>
        <w:tc>
          <w:tcPr>
            <w:tcW w:w="0" w:type="auto"/>
            <w:hideMark/>
          </w:tcPr>
          <w:p w14:paraId="360FA8F8" w14:textId="77777777" w:rsidR="00295591" w:rsidRPr="00295591" w:rsidRDefault="00295591" w:rsidP="00295591">
            <w:pPr>
              <w:spacing w:line="360" w:lineRule="auto"/>
              <w:rPr>
                <w:rFonts w:ascii="Arial" w:hAnsi="Arial" w:cs="Arial"/>
              </w:rPr>
            </w:pPr>
            <w:r w:rsidRPr="00295591">
              <w:rPr>
                <w:rFonts w:ascii="Arial" w:hAnsi="Arial" w:cs="Arial"/>
              </w:rPr>
              <w:t>• Products per customer</w:t>
            </w:r>
            <w:r w:rsidRPr="00295591">
              <w:rPr>
                <w:rFonts w:ascii="Arial" w:hAnsi="Arial" w:cs="Arial"/>
              </w:rPr>
              <w:br/>
              <w:t>• Cross-sell conversion</w:t>
            </w:r>
            <w:r w:rsidRPr="00295591">
              <w:rPr>
                <w:rFonts w:ascii="Arial" w:hAnsi="Arial" w:cs="Arial"/>
              </w:rPr>
              <w:br/>
              <w:t>• Premium tier adoption</w:t>
            </w:r>
            <w:r w:rsidRPr="00295591">
              <w:rPr>
                <w:rFonts w:ascii="Arial" w:hAnsi="Arial" w:cs="Arial"/>
              </w:rPr>
              <w:br/>
              <w:t>• Lifetime value</w:t>
            </w:r>
          </w:p>
        </w:tc>
        <w:tc>
          <w:tcPr>
            <w:tcW w:w="0" w:type="auto"/>
            <w:hideMark/>
          </w:tcPr>
          <w:p w14:paraId="11D1FB01" w14:textId="77777777" w:rsidR="00295591" w:rsidRPr="00295591" w:rsidRDefault="00295591" w:rsidP="00295591">
            <w:pPr>
              <w:spacing w:line="360" w:lineRule="auto"/>
              <w:rPr>
                <w:rFonts w:ascii="Arial" w:hAnsi="Arial" w:cs="Arial"/>
              </w:rPr>
            </w:pPr>
            <w:r w:rsidRPr="00295591">
              <w:rPr>
                <w:rFonts w:ascii="Arial" w:hAnsi="Arial" w:cs="Arial"/>
              </w:rPr>
              <w:t>• Product data</w:t>
            </w:r>
            <w:r w:rsidRPr="00295591">
              <w:rPr>
                <w:rFonts w:ascii="Arial" w:hAnsi="Arial" w:cs="Arial"/>
              </w:rPr>
              <w:br/>
              <w:t>• Sales analytics</w:t>
            </w:r>
            <w:r w:rsidRPr="00295591">
              <w:rPr>
                <w:rFonts w:ascii="Arial" w:hAnsi="Arial" w:cs="Arial"/>
              </w:rPr>
              <w:br/>
              <w:t>• LTV modeling</w:t>
            </w:r>
          </w:p>
        </w:tc>
        <w:tc>
          <w:tcPr>
            <w:tcW w:w="0" w:type="auto"/>
            <w:hideMark/>
          </w:tcPr>
          <w:p w14:paraId="3F96FEB9" w14:textId="77777777" w:rsidR="00295591" w:rsidRPr="00295591" w:rsidRDefault="00295591" w:rsidP="00295591">
            <w:pPr>
              <w:spacing w:line="360" w:lineRule="auto"/>
              <w:rPr>
                <w:rFonts w:ascii="Arial" w:hAnsi="Arial" w:cs="Arial"/>
              </w:rPr>
            </w:pPr>
            <w:r w:rsidRPr="00295591">
              <w:rPr>
                <w:rFonts w:ascii="Arial" w:hAnsi="Arial" w:cs="Arial"/>
              </w:rPr>
              <w:t>• PPC: 2.6</w:t>
            </w:r>
            <w:r w:rsidRPr="00295591">
              <w:rPr>
                <w:rFonts w:ascii="Arial" w:hAnsi="Arial" w:cs="Arial"/>
              </w:rPr>
              <w:br/>
              <w:t>• X-sell: 17%</w:t>
            </w:r>
            <w:r w:rsidRPr="00295591">
              <w:rPr>
                <w:rFonts w:ascii="Arial" w:hAnsi="Arial" w:cs="Arial"/>
              </w:rPr>
              <w:br/>
              <w:t>• Premium: 9%</w:t>
            </w:r>
            <w:r w:rsidRPr="00295591">
              <w:rPr>
                <w:rFonts w:ascii="Arial" w:hAnsi="Arial" w:cs="Arial"/>
              </w:rPr>
              <w:br/>
              <w:t>• LTV: +15%</w:t>
            </w:r>
          </w:p>
        </w:tc>
        <w:tc>
          <w:tcPr>
            <w:tcW w:w="0" w:type="auto"/>
            <w:hideMark/>
          </w:tcPr>
          <w:p w14:paraId="1EB6E33D" w14:textId="77777777" w:rsidR="00295591" w:rsidRPr="00295591" w:rsidRDefault="00295591" w:rsidP="00295591">
            <w:pPr>
              <w:spacing w:line="360" w:lineRule="auto"/>
              <w:rPr>
                <w:rFonts w:ascii="Arial" w:hAnsi="Arial" w:cs="Arial"/>
              </w:rPr>
            </w:pPr>
            <w:r w:rsidRPr="00295591">
              <w:rPr>
                <w:rFonts w:ascii="Arial" w:hAnsi="Arial" w:cs="Arial"/>
              </w:rPr>
              <w:t>Quarterly</w:t>
            </w:r>
          </w:p>
        </w:tc>
      </w:tr>
      <w:tr w:rsidR="00295591" w:rsidRPr="00295591" w14:paraId="63FDC9C0" w14:textId="77777777" w:rsidTr="00ED376A">
        <w:tc>
          <w:tcPr>
            <w:tcW w:w="0" w:type="auto"/>
            <w:hideMark/>
          </w:tcPr>
          <w:p w14:paraId="32FF146D" w14:textId="77777777" w:rsidR="00295591" w:rsidRPr="00295591" w:rsidRDefault="00295591" w:rsidP="00295591">
            <w:pPr>
              <w:spacing w:line="360" w:lineRule="auto"/>
              <w:rPr>
                <w:rFonts w:ascii="Arial" w:hAnsi="Arial" w:cs="Arial"/>
              </w:rPr>
            </w:pPr>
          </w:p>
        </w:tc>
        <w:tc>
          <w:tcPr>
            <w:tcW w:w="0" w:type="auto"/>
            <w:hideMark/>
          </w:tcPr>
          <w:p w14:paraId="7EBF7468" w14:textId="77777777" w:rsidR="00295591" w:rsidRPr="00295591" w:rsidRDefault="00295591" w:rsidP="00295591">
            <w:pPr>
              <w:spacing w:line="360" w:lineRule="auto"/>
              <w:rPr>
                <w:rFonts w:ascii="Arial" w:hAnsi="Arial" w:cs="Arial"/>
              </w:rPr>
            </w:pPr>
            <w:r w:rsidRPr="00295591">
              <w:rPr>
                <w:rFonts w:ascii="Arial" w:hAnsi="Arial" w:cs="Arial"/>
              </w:rPr>
              <w:t>Returns</w:t>
            </w:r>
          </w:p>
        </w:tc>
        <w:tc>
          <w:tcPr>
            <w:tcW w:w="0" w:type="auto"/>
            <w:hideMark/>
          </w:tcPr>
          <w:p w14:paraId="11E1BFAE" w14:textId="77777777" w:rsidR="00295591" w:rsidRPr="00295591" w:rsidRDefault="00295591" w:rsidP="00295591">
            <w:pPr>
              <w:spacing w:line="360" w:lineRule="auto"/>
              <w:rPr>
                <w:rFonts w:ascii="Arial" w:hAnsi="Arial" w:cs="Arial"/>
              </w:rPr>
            </w:pPr>
            <w:r w:rsidRPr="00295591">
              <w:rPr>
                <w:rFonts w:ascii="Arial" w:hAnsi="Arial" w:cs="Arial"/>
              </w:rPr>
              <w:t>• Revenue growth</w:t>
            </w:r>
            <w:r w:rsidRPr="00295591">
              <w:rPr>
                <w:rFonts w:ascii="Arial" w:hAnsi="Arial" w:cs="Arial"/>
              </w:rPr>
              <w:br/>
              <w:t>• Cost savings</w:t>
            </w:r>
            <w:r w:rsidRPr="00295591">
              <w:rPr>
                <w:rFonts w:ascii="Arial" w:hAnsi="Arial" w:cs="Arial"/>
              </w:rPr>
              <w:br/>
              <w:t>• ROI</w:t>
            </w:r>
            <w:r w:rsidRPr="00295591">
              <w:rPr>
                <w:rFonts w:ascii="Arial" w:hAnsi="Arial" w:cs="Arial"/>
              </w:rPr>
              <w:br/>
              <w:t>• NPV</w:t>
            </w:r>
          </w:p>
        </w:tc>
        <w:tc>
          <w:tcPr>
            <w:tcW w:w="0" w:type="auto"/>
            <w:hideMark/>
          </w:tcPr>
          <w:p w14:paraId="1C834078" w14:textId="77777777" w:rsidR="00295591" w:rsidRPr="00295591" w:rsidRDefault="00295591" w:rsidP="00295591">
            <w:pPr>
              <w:spacing w:line="360" w:lineRule="auto"/>
              <w:rPr>
                <w:rFonts w:ascii="Arial" w:hAnsi="Arial" w:cs="Arial"/>
              </w:rPr>
            </w:pPr>
            <w:r w:rsidRPr="00295591">
              <w:rPr>
                <w:rFonts w:ascii="Arial" w:hAnsi="Arial" w:cs="Arial"/>
              </w:rPr>
              <w:t>• Financial reporting</w:t>
            </w:r>
            <w:r w:rsidRPr="00295591">
              <w:rPr>
                <w:rFonts w:ascii="Arial" w:hAnsi="Arial" w:cs="Arial"/>
              </w:rPr>
              <w:br/>
              <w:t>• Business case tracking</w:t>
            </w:r>
          </w:p>
        </w:tc>
        <w:tc>
          <w:tcPr>
            <w:tcW w:w="0" w:type="auto"/>
            <w:hideMark/>
          </w:tcPr>
          <w:p w14:paraId="724CEF4B" w14:textId="77777777" w:rsidR="00295591" w:rsidRPr="00295591" w:rsidRDefault="00295591" w:rsidP="00295591">
            <w:pPr>
              <w:spacing w:line="360" w:lineRule="auto"/>
              <w:rPr>
                <w:rFonts w:ascii="Arial" w:hAnsi="Arial" w:cs="Arial"/>
              </w:rPr>
            </w:pPr>
            <w:r w:rsidRPr="00295591">
              <w:rPr>
                <w:rFonts w:ascii="Arial" w:hAnsi="Arial" w:cs="Arial"/>
              </w:rPr>
              <w:t>• Revenue: +30%</w:t>
            </w:r>
            <w:r w:rsidRPr="00295591">
              <w:rPr>
                <w:rFonts w:ascii="Arial" w:hAnsi="Arial" w:cs="Arial"/>
              </w:rPr>
              <w:br/>
              <w:t>• Costs: -18%</w:t>
            </w:r>
            <w:r w:rsidRPr="00295591">
              <w:rPr>
                <w:rFonts w:ascii="Arial" w:hAnsi="Arial" w:cs="Arial"/>
              </w:rPr>
              <w:br/>
              <w:t>• ROI: Positive Y3</w:t>
            </w:r>
            <w:r w:rsidRPr="00295591">
              <w:rPr>
                <w:rFonts w:ascii="Arial" w:hAnsi="Arial" w:cs="Arial"/>
              </w:rPr>
              <w:br/>
              <w:t>• NPV: £2.1B</w:t>
            </w:r>
          </w:p>
        </w:tc>
        <w:tc>
          <w:tcPr>
            <w:tcW w:w="0" w:type="auto"/>
            <w:hideMark/>
          </w:tcPr>
          <w:p w14:paraId="0C84F6D4" w14:textId="77777777" w:rsidR="00295591" w:rsidRPr="00295591" w:rsidRDefault="00295591" w:rsidP="00295591">
            <w:pPr>
              <w:spacing w:line="360" w:lineRule="auto"/>
              <w:rPr>
                <w:rFonts w:ascii="Arial" w:hAnsi="Arial" w:cs="Arial"/>
              </w:rPr>
            </w:pPr>
          </w:p>
        </w:tc>
      </w:tr>
    </w:tbl>
    <w:p w14:paraId="1A31C76F" w14:textId="77777777" w:rsidR="00295591" w:rsidRDefault="00295591" w:rsidP="00DE6730">
      <w:pPr>
        <w:spacing w:line="360" w:lineRule="auto"/>
        <w:rPr>
          <w:rFonts w:ascii="Arial" w:hAnsi="Arial" w:cs="Arial"/>
        </w:rPr>
      </w:pPr>
    </w:p>
    <w:p w14:paraId="02BCAA65" w14:textId="77777777" w:rsidR="00DF7DC9" w:rsidRDefault="00295591" w:rsidP="00DF7DC9">
      <w:pPr>
        <w:spacing w:line="360" w:lineRule="auto"/>
        <w:ind w:firstLine="720"/>
        <w:rPr>
          <w:rFonts w:ascii="Arial" w:hAnsi="Arial" w:cs="Arial"/>
        </w:rPr>
      </w:pPr>
      <w:r w:rsidRPr="00295591">
        <w:rPr>
          <w:rFonts w:ascii="Arial" w:hAnsi="Arial" w:cs="Arial"/>
        </w:rPr>
        <w:t>Customer-Centric Metrics Key measures of customers will involve the Net Promoter Score (NPS) which is aimed at increasing the current 32 score to 45 and above within 18 months of full implementation, making Barclays a competitor with the challenger banks (Financial Conduct Authority, 2024). Customer effort scores are used to measure friction reduction based on key journeys aiming to have sub-3.0 scores which reflect effortless journeys. The depth of engagement is monitored through monthly active users (MAU) and daily active users (DAU</w:t>
      </w:r>
      <w:proofErr w:type="gramStart"/>
      <w:r w:rsidRPr="00295591">
        <w:rPr>
          <w:rFonts w:ascii="Arial" w:hAnsi="Arial" w:cs="Arial"/>
        </w:rPr>
        <w:t>), and</w:t>
      </w:r>
      <w:proofErr w:type="gramEnd"/>
      <w:r w:rsidRPr="00295591">
        <w:rPr>
          <w:rFonts w:ascii="Arial" w:hAnsi="Arial" w:cs="Arial"/>
        </w:rPr>
        <w:t xml:space="preserve"> is expected to go up to 75% penetration of account holders in terms of MAU within 24 months. Sustainability tracks 40% adoption on a specific capability, feature adoption 55% at 6 months and life goal planning 35 pe</w:t>
      </w:r>
      <w:r w:rsidR="00ED376A">
        <w:rPr>
          <w:rFonts w:ascii="Arial" w:hAnsi="Arial" w:cs="Arial"/>
        </w:rPr>
        <w:t xml:space="preserve">rcent at six months with </w:t>
      </w:r>
      <w:proofErr w:type="gramStart"/>
      <w:r w:rsidR="00ED376A">
        <w:rPr>
          <w:rFonts w:ascii="Arial" w:hAnsi="Arial" w:cs="Arial"/>
        </w:rPr>
        <w:t>90 day</w:t>
      </w:r>
      <w:proofErr w:type="gramEnd"/>
      <w:r w:rsidRPr="00295591">
        <w:rPr>
          <w:rFonts w:ascii="Arial" w:hAnsi="Arial" w:cs="Arial"/>
        </w:rPr>
        <w:t xml:space="preserve"> goals. </w:t>
      </w:r>
    </w:p>
    <w:p w14:paraId="1AE19998" w14:textId="77777777" w:rsidR="00DF7DC9" w:rsidRPr="00DF7DC9" w:rsidRDefault="00295591" w:rsidP="00DF7DC9">
      <w:pPr>
        <w:spacing w:line="360" w:lineRule="auto"/>
        <w:rPr>
          <w:rFonts w:ascii="Arial" w:hAnsi="Arial" w:cs="Arial"/>
          <w:b/>
        </w:rPr>
      </w:pPr>
      <w:r w:rsidRPr="00DF7DC9">
        <w:rPr>
          <w:rFonts w:ascii="Arial" w:hAnsi="Arial" w:cs="Arial"/>
          <w:b/>
        </w:rPr>
        <w:t xml:space="preserve">Operational Performance Measures. </w:t>
      </w:r>
    </w:p>
    <w:p w14:paraId="5BCE18D6" w14:textId="77777777" w:rsidR="00ED376A" w:rsidRDefault="00295591" w:rsidP="00DF7DC9">
      <w:pPr>
        <w:spacing w:line="360" w:lineRule="auto"/>
        <w:ind w:firstLine="720"/>
        <w:rPr>
          <w:rFonts w:ascii="Arial" w:hAnsi="Arial" w:cs="Arial"/>
        </w:rPr>
      </w:pPr>
      <w:r w:rsidRPr="00295591">
        <w:rPr>
          <w:rFonts w:ascii="Arial" w:hAnsi="Arial" w:cs="Arial"/>
        </w:rPr>
        <w:t xml:space="preserve">Operation measures include chatbot </w:t>
      </w:r>
      <w:proofErr w:type="gramStart"/>
      <w:r w:rsidRPr="00295591">
        <w:rPr>
          <w:rFonts w:ascii="Arial" w:hAnsi="Arial" w:cs="Arial"/>
        </w:rPr>
        <w:t>resolution, (</w:t>
      </w:r>
      <w:proofErr w:type="gramEnd"/>
      <w:r w:rsidRPr="00295591">
        <w:rPr>
          <w:rFonts w:ascii="Arial" w:hAnsi="Arial" w:cs="Arial"/>
        </w:rPr>
        <w:t xml:space="preserve">target: 82%), phone support average handling time reduction (target: 25%), and first contact resolution (target: 88%). The accuracy of AI recommendations </w:t>
      </w:r>
      <w:proofErr w:type="gramStart"/>
      <w:r w:rsidRPr="00295591">
        <w:rPr>
          <w:rFonts w:ascii="Arial" w:hAnsi="Arial" w:cs="Arial"/>
        </w:rPr>
        <w:t>evaluates</w:t>
      </w:r>
      <w:proofErr w:type="gramEnd"/>
      <w:r w:rsidRPr="00295591">
        <w:rPr>
          <w:rFonts w:ascii="Arial" w:hAnsi="Arial" w:cs="Arial"/>
        </w:rPr>
        <w:t xml:space="preserve"> by customer acceptance rates of recommendations which are 72% customer acceptance of automated savings recommendation, and product cross-</w:t>
      </w:r>
      <w:proofErr w:type="gramStart"/>
      <w:r w:rsidRPr="00295591">
        <w:rPr>
          <w:rFonts w:ascii="Arial" w:hAnsi="Arial" w:cs="Arial"/>
        </w:rPr>
        <w:t>sell</w:t>
      </w:r>
      <w:proofErr w:type="gramEnd"/>
      <w:r w:rsidRPr="00295591">
        <w:rPr>
          <w:rFonts w:ascii="Arial" w:hAnsi="Arial" w:cs="Arial"/>
        </w:rPr>
        <w:t xml:space="preserve"> recommendation which is 65%. Reliability indicators of the system guarantee stability of the platform, and the goals are 99.95% uptime and 95% of all interactions with the apps should have a response time less than 2 seconds. Security metrics keep track of the accuracy of fraud detectors and false positive rates, tradeoffs between convenience and risk management of customers (Barclays Technology Roadmap, 2024). </w:t>
      </w:r>
    </w:p>
    <w:p w14:paraId="0C9BB891" w14:textId="77777777" w:rsidR="00ED376A" w:rsidRPr="00ED376A" w:rsidRDefault="00295591" w:rsidP="00ED376A">
      <w:pPr>
        <w:spacing w:line="360" w:lineRule="auto"/>
        <w:rPr>
          <w:rFonts w:ascii="Arial" w:hAnsi="Arial" w:cs="Arial"/>
          <w:b/>
        </w:rPr>
      </w:pPr>
      <w:r w:rsidRPr="00ED376A">
        <w:rPr>
          <w:rFonts w:ascii="Arial" w:hAnsi="Arial" w:cs="Arial"/>
          <w:b/>
        </w:rPr>
        <w:t xml:space="preserve">Financial Metrics and Business Metrics. </w:t>
      </w:r>
    </w:p>
    <w:p w14:paraId="4D043897" w14:textId="77777777" w:rsidR="00295591" w:rsidRDefault="00295591" w:rsidP="00ED376A">
      <w:pPr>
        <w:spacing w:line="360" w:lineRule="auto"/>
        <w:ind w:firstLine="720"/>
        <w:rPr>
          <w:rFonts w:ascii="Arial" w:hAnsi="Arial" w:cs="Arial"/>
        </w:rPr>
      </w:pPr>
      <w:r w:rsidRPr="00295591">
        <w:rPr>
          <w:rFonts w:ascii="Arial" w:hAnsi="Arial" w:cs="Arial"/>
        </w:rPr>
        <w:t xml:space="preserve">Financial </w:t>
      </w:r>
      <w:proofErr w:type="gramStart"/>
      <w:r w:rsidRPr="00295591">
        <w:rPr>
          <w:rFonts w:ascii="Arial" w:hAnsi="Arial" w:cs="Arial"/>
        </w:rPr>
        <w:t>success measure</w:t>
      </w:r>
      <w:proofErr w:type="gramEnd"/>
      <w:r w:rsidRPr="00295591">
        <w:rPr>
          <w:rFonts w:ascii="Arial" w:hAnsi="Arial" w:cs="Arial"/>
        </w:rPr>
        <w:t xml:space="preserve"> will encompass addition of new customers (target: 500,000 in the first year, 1.5 million in total over three years), increasing the rate of customer retention (target: 4 </w:t>
      </w:r>
      <w:proofErr w:type="gramStart"/>
      <w:r w:rsidRPr="00295591">
        <w:rPr>
          <w:rFonts w:ascii="Arial" w:hAnsi="Arial" w:cs="Arial"/>
        </w:rPr>
        <w:t>percentage points</w:t>
      </w:r>
      <w:proofErr w:type="gramEnd"/>
      <w:r w:rsidRPr="00295591">
        <w:rPr>
          <w:rFonts w:ascii="Arial" w:hAnsi="Arial" w:cs="Arial"/>
        </w:rPr>
        <w:t>), and increasing the lifet</w:t>
      </w:r>
      <w:r w:rsidR="00ED376A">
        <w:rPr>
          <w:rFonts w:ascii="Arial" w:hAnsi="Arial" w:cs="Arial"/>
        </w:rPr>
        <w:t>ime value (target: 15%</w:t>
      </w:r>
      <w:r w:rsidRPr="00295591">
        <w:rPr>
          <w:rFonts w:ascii="Arial" w:hAnsi="Arial" w:cs="Arial"/>
        </w:rPr>
        <w:t xml:space="preserve"> points on the adopters of </w:t>
      </w:r>
      <w:r w:rsidR="0043038A" w:rsidRPr="00295591">
        <w:rPr>
          <w:rFonts w:ascii="Arial" w:hAnsi="Arial" w:cs="Arial"/>
        </w:rPr>
        <w:t>Life Sync</w:t>
      </w:r>
      <w:r w:rsidRPr="00295591">
        <w:rPr>
          <w:rFonts w:ascii="Arial" w:hAnsi="Arial" w:cs="Arial"/>
        </w:rPr>
        <w:t xml:space="preserve">). The cross-sell conversion rates, average products per customer, and the </w:t>
      </w:r>
      <w:r w:rsidRPr="00295591">
        <w:rPr>
          <w:rFonts w:ascii="Arial" w:hAnsi="Arial" w:cs="Arial"/>
        </w:rPr>
        <w:lastRenderedPageBreak/>
        <w:t xml:space="preserve">adoption of the premium tier of the service are measured by revenue metrics. The measures of cost efficiency focus on a reduction of operations </w:t>
      </w:r>
      <w:r w:rsidR="00ED376A">
        <w:rPr>
          <w:rFonts w:ascii="Arial" w:hAnsi="Arial" w:cs="Arial"/>
        </w:rPr>
        <w:t>cost per customer (target: a 18%</w:t>
      </w:r>
      <w:r w:rsidRPr="00295591">
        <w:rPr>
          <w:rFonts w:ascii="Arial" w:hAnsi="Arial" w:cs="Arial"/>
        </w:rPr>
        <w:t xml:space="preserve"> reduction in three years), a reduction in branch transac</w:t>
      </w:r>
      <w:r w:rsidR="00ED376A">
        <w:rPr>
          <w:rFonts w:ascii="Arial" w:hAnsi="Arial" w:cs="Arial"/>
        </w:rPr>
        <w:t>tion volume (target: a 35</w:t>
      </w:r>
      <w:proofErr w:type="gramStart"/>
      <w:r w:rsidR="00ED376A">
        <w:rPr>
          <w:rFonts w:ascii="Arial" w:hAnsi="Arial" w:cs="Arial"/>
        </w:rPr>
        <w:t>%</w:t>
      </w:r>
      <w:r w:rsidRPr="00295591">
        <w:rPr>
          <w:rFonts w:ascii="Arial" w:hAnsi="Arial" w:cs="Arial"/>
        </w:rPr>
        <w:t>t</w:t>
      </w:r>
      <w:proofErr w:type="gramEnd"/>
      <w:r w:rsidRPr="00295591">
        <w:rPr>
          <w:rFonts w:ascii="Arial" w:hAnsi="Arial" w:cs="Arial"/>
        </w:rPr>
        <w:t xml:space="preserve"> reduction), and a reduction in digital transaction cost savings. </w:t>
      </w:r>
    </w:p>
    <w:p w14:paraId="35FBCF40" w14:textId="77777777" w:rsidR="00ED376A" w:rsidRPr="00ED376A" w:rsidRDefault="00295591" w:rsidP="00DE6730">
      <w:pPr>
        <w:spacing w:line="360" w:lineRule="auto"/>
        <w:rPr>
          <w:rFonts w:ascii="Arial" w:hAnsi="Arial" w:cs="Arial"/>
          <w:b/>
        </w:rPr>
      </w:pPr>
      <w:r w:rsidRPr="00ED376A">
        <w:rPr>
          <w:rFonts w:ascii="Arial" w:hAnsi="Arial" w:cs="Arial"/>
          <w:b/>
        </w:rPr>
        <w:t xml:space="preserve">CONCLUSION </w:t>
      </w:r>
    </w:p>
    <w:p w14:paraId="184A8E4A" w14:textId="77777777" w:rsidR="00415BDE" w:rsidRDefault="00295591" w:rsidP="00415BDE">
      <w:pPr>
        <w:spacing w:line="360" w:lineRule="auto"/>
        <w:ind w:firstLine="720"/>
        <w:rPr>
          <w:rFonts w:ascii="Arial" w:hAnsi="Arial" w:cs="Arial"/>
        </w:rPr>
      </w:pPr>
      <w:r w:rsidRPr="00295591">
        <w:rPr>
          <w:rFonts w:ascii="Arial" w:hAnsi="Arial" w:cs="Arial"/>
        </w:rPr>
        <w:t>The analysis has shown that, although Barclays is well positioned in the UK banking market, the rapid pace of digital transformation is necessary to retain competitive advantage over the digital native banks and keep up with the changing demands of customers. The use of the Innovation Ambition Matrix demonstrates that the portfolio is balanced in a right way in terms of core and adjacent innovations that facilitate operational efficiency and incremental growth and lacks transformational initiatives that cover the fundamental market evolution (</w:t>
      </w:r>
      <w:proofErr w:type="spellStart"/>
      <w:r w:rsidRPr="00295591">
        <w:rPr>
          <w:rFonts w:ascii="Arial" w:hAnsi="Arial" w:cs="Arial"/>
        </w:rPr>
        <w:t>Nagji</w:t>
      </w:r>
      <w:proofErr w:type="spellEnd"/>
      <w:r w:rsidRPr="00295591">
        <w:rPr>
          <w:rFonts w:ascii="Arial" w:hAnsi="Arial" w:cs="Arial"/>
        </w:rPr>
        <w:t xml:space="preserve"> and Tuff, 2012). Customer journey mapping reveals key irritants of the banking experience, </w:t>
      </w:r>
      <w:proofErr w:type="gramStart"/>
      <w:r w:rsidRPr="00295591">
        <w:rPr>
          <w:rFonts w:ascii="Arial" w:hAnsi="Arial" w:cs="Arial"/>
        </w:rPr>
        <w:t>especially on</w:t>
      </w:r>
      <w:proofErr w:type="gramEnd"/>
      <w:r w:rsidRPr="00295591">
        <w:rPr>
          <w:rFonts w:ascii="Arial" w:hAnsi="Arial" w:cs="Arial"/>
        </w:rPr>
        <w:t xml:space="preserve"> the experience of inconsistent advisory services, incomplete omnichannel experience, and reactive, rather than proactive financial management advice. These areas of pain make them susceptible to competitor disruption, as challenger banks have proven themselves to have better experiences in these areas specifically (Mention, 2020; </w:t>
      </w:r>
      <w:proofErr w:type="spellStart"/>
      <w:r w:rsidRPr="00295591">
        <w:rPr>
          <w:rFonts w:ascii="Arial" w:hAnsi="Arial" w:cs="Arial"/>
        </w:rPr>
        <w:t>Omarini</w:t>
      </w:r>
      <w:proofErr w:type="spellEnd"/>
      <w:r w:rsidRPr="00295591">
        <w:rPr>
          <w:rFonts w:ascii="Arial" w:hAnsi="Arial" w:cs="Arial"/>
        </w:rPr>
        <w:t>, 2021To implement transformational innovation successfully, Barclays has the essential abilities in terms of brand trust, regulatory savvy, and capital sufficiency, and technological proficiency; however, the leadership must show the necessary vision and determination to break the orthodoxies of incumbent banking (Accenture, 2023; Financial</w:t>
      </w:r>
      <w:r w:rsidR="00ED376A">
        <w:rPr>
          <w:rFonts w:ascii="Arial" w:hAnsi="Arial" w:cs="Arial"/>
        </w:rPr>
        <w:t xml:space="preserve"> Conduct Authority, 2024).</w:t>
      </w:r>
    </w:p>
    <w:p w14:paraId="7F415DA8" w14:textId="77777777" w:rsidR="00415BDE" w:rsidRDefault="00415BDE" w:rsidP="00415BDE">
      <w:pPr>
        <w:spacing w:line="360" w:lineRule="auto"/>
        <w:rPr>
          <w:rFonts w:ascii="Arial" w:hAnsi="Arial" w:cs="Arial"/>
        </w:rPr>
      </w:pPr>
    </w:p>
    <w:p w14:paraId="09B2FFC1" w14:textId="77777777" w:rsidR="00415BDE" w:rsidRDefault="00415BDE" w:rsidP="00415BDE">
      <w:pPr>
        <w:spacing w:line="360" w:lineRule="auto"/>
        <w:rPr>
          <w:rFonts w:ascii="Arial" w:hAnsi="Arial" w:cs="Arial"/>
        </w:rPr>
      </w:pPr>
    </w:p>
    <w:p w14:paraId="330A3D0C" w14:textId="77777777" w:rsidR="00415BDE" w:rsidRDefault="00415BDE" w:rsidP="00415BDE">
      <w:pPr>
        <w:spacing w:line="360" w:lineRule="auto"/>
        <w:rPr>
          <w:rFonts w:ascii="Arial" w:hAnsi="Arial" w:cs="Arial"/>
        </w:rPr>
      </w:pPr>
    </w:p>
    <w:p w14:paraId="2AD4B619" w14:textId="77777777" w:rsidR="00415BDE" w:rsidRDefault="00415BDE" w:rsidP="00415BDE">
      <w:pPr>
        <w:spacing w:line="360" w:lineRule="auto"/>
        <w:rPr>
          <w:rFonts w:ascii="Arial" w:hAnsi="Arial" w:cs="Arial"/>
        </w:rPr>
      </w:pPr>
    </w:p>
    <w:p w14:paraId="3D5AB486" w14:textId="77777777" w:rsidR="00415BDE" w:rsidRDefault="00415BDE" w:rsidP="00415BDE">
      <w:pPr>
        <w:spacing w:line="360" w:lineRule="auto"/>
        <w:rPr>
          <w:rFonts w:ascii="Arial" w:hAnsi="Arial" w:cs="Arial"/>
        </w:rPr>
      </w:pPr>
    </w:p>
    <w:p w14:paraId="5BCC518B" w14:textId="77777777" w:rsidR="00415BDE" w:rsidRDefault="00415BDE" w:rsidP="00415BDE">
      <w:pPr>
        <w:spacing w:line="360" w:lineRule="auto"/>
        <w:rPr>
          <w:rFonts w:ascii="Arial" w:hAnsi="Arial" w:cs="Arial"/>
        </w:rPr>
      </w:pPr>
    </w:p>
    <w:p w14:paraId="48612BAB" w14:textId="77777777" w:rsidR="00415BDE" w:rsidRDefault="00415BDE" w:rsidP="00415BDE">
      <w:pPr>
        <w:spacing w:line="360" w:lineRule="auto"/>
        <w:rPr>
          <w:rFonts w:ascii="Arial" w:hAnsi="Arial" w:cs="Arial"/>
        </w:rPr>
      </w:pPr>
    </w:p>
    <w:p w14:paraId="52D527B8" w14:textId="77777777" w:rsidR="00415BDE" w:rsidRDefault="00415BDE" w:rsidP="00415BDE">
      <w:pPr>
        <w:spacing w:line="360" w:lineRule="auto"/>
        <w:rPr>
          <w:rFonts w:ascii="Arial" w:hAnsi="Arial" w:cs="Arial"/>
        </w:rPr>
      </w:pPr>
    </w:p>
    <w:p w14:paraId="5661AD90" w14:textId="77777777" w:rsidR="00415BDE" w:rsidRDefault="00415BDE" w:rsidP="00415BDE">
      <w:pPr>
        <w:spacing w:line="360" w:lineRule="auto"/>
        <w:rPr>
          <w:rFonts w:ascii="Arial" w:hAnsi="Arial" w:cs="Arial"/>
        </w:rPr>
      </w:pPr>
    </w:p>
    <w:p w14:paraId="7C4C407B" w14:textId="77777777" w:rsidR="00415BDE" w:rsidRPr="00415BDE" w:rsidRDefault="00415BDE" w:rsidP="00415BDE">
      <w:pPr>
        <w:spacing w:line="360" w:lineRule="auto"/>
        <w:rPr>
          <w:rFonts w:ascii="Arial" w:hAnsi="Arial" w:cs="Arial"/>
          <w:b/>
          <w:bCs/>
        </w:rPr>
      </w:pPr>
      <w:r w:rsidRPr="00415BDE">
        <w:rPr>
          <w:rFonts w:ascii="Arial" w:hAnsi="Arial" w:cs="Arial"/>
          <w:b/>
          <w:bCs/>
        </w:rPr>
        <w:lastRenderedPageBreak/>
        <w:t>REFERENCES</w:t>
      </w:r>
    </w:p>
    <w:p w14:paraId="1452A05A" w14:textId="77777777" w:rsidR="00415BDE" w:rsidRPr="00415BDE" w:rsidRDefault="00415BDE" w:rsidP="00415BDE">
      <w:pPr>
        <w:spacing w:line="360" w:lineRule="auto"/>
        <w:rPr>
          <w:rFonts w:ascii="Arial" w:hAnsi="Arial" w:cs="Arial"/>
        </w:rPr>
      </w:pPr>
      <w:r w:rsidRPr="00415BDE">
        <w:rPr>
          <w:rFonts w:ascii="Arial" w:hAnsi="Arial" w:cs="Arial"/>
        </w:rPr>
        <w:t xml:space="preserve">Accenture (2023) </w:t>
      </w:r>
      <w:r w:rsidRPr="00415BDE">
        <w:rPr>
          <w:rFonts w:ascii="Arial" w:hAnsi="Arial" w:cs="Arial"/>
          <w:i/>
          <w:iCs/>
        </w:rPr>
        <w:t>Banking Customer 2023: Rising Expectations Point to the Trends That Will Define Digital Banking</w:t>
      </w:r>
      <w:r>
        <w:rPr>
          <w:rFonts w:ascii="Arial" w:hAnsi="Arial" w:cs="Arial"/>
        </w:rPr>
        <w:t>.</w:t>
      </w:r>
      <w:r w:rsidRPr="00415BDE">
        <w:rPr>
          <w:rFonts w:ascii="Arial" w:hAnsi="Arial" w:cs="Arial"/>
        </w:rPr>
        <w:t xml:space="preserve"> </w:t>
      </w:r>
      <w:hyperlink r:id="rId8" w:history="1">
        <w:r w:rsidRPr="00415BDE">
          <w:rPr>
            <w:rStyle w:val="Hyperlink"/>
            <w:rFonts w:ascii="Arial" w:hAnsi="Arial" w:cs="Arial"/>
          </w:rPr>
          <w:t>https://www.accenture.com/gb-en/insights/banking/customer-research-banking</w:t>
        </w:r>
      </w:hyperlink>
      <w:r>
        <w:rPr>
          <w:rFonts w:ascii="Arial" w:hAnsi="Arial" w:cs="Arial"/>
        </w:rPr>
        <w:t xml:space="preserve"> </w:t>
      </w:r>
    </w:p>
    <w:p w14:paraId="40DE654D" w14:textId="77777777" w:rsidR="00415BDE" w:rsidRPr="00415BDE" w:rsidRDefault="00415BDE" w:rsidP="00415BDE">
      <w:pPr>
        <w:spacing w:line="360" w:lineRule="auto"/>
        <w:rPr>
          <w:rFonts w:ascii="Arial" w:hAnsi="Arial" w:cs="Arial"/>
        </w:rPr>
      </w:pPr>
      <w:r w:rsidRPr="00415BDE">
        <w:rPr>
          <w:rFonts w:ascii="Arial" w:hAnsi="Arial" w:cs="Arial"/>
        </w:rPr>
        <w:t xml:space="preserve">Bank of England (2023) </w:t>
      </w:r>
      <w:r w:rsidRPr="00415BDE">
        <w:rPr>
          <w:rFonts w:ascii="Arial" w:hAnsi="Arial" w:cs="Arial"/>
          <w:i/>
          <w:iCs/>
        </w:rPr>
        <w:t>Climate Biennial Exploratory Scenario: Financial Policy Summary</w:t>
      </w:r>
      <w:r>
        <w:rPr>
          <w:rFonts w:ascii="Arial" w:hAnsi="Arial" w:cs="Arial"/>
        </w:rPr>
        <w:t>.</w:t>
      </w:r>
      <w:r w:rsidRPr="00415BDE">
        <w:rPr>
          <w:rFonts w:ascii="Arial" w:hAnsi="Arial" w:cs="Arial"/>
        </w:rPr>
        <w:t xml:space="preserve"> </w:t>
      </w:r>
      <w:hyperlink r:id="rId9" w:history="1">
        <w:r w:rsidRPr="00415BDE">
          <w:rPr>
            <w:rStyle w:val="Hyperlink"/>
            <w:rFonts w:ascii="Arial" w:hAnsi="Arial" w:cs="Arial"/>
          </w:rPr>
          <w:t>https://www.bankofengland.co.uk/financial-stability/climate-change</w:t>
        </w:r>
      </w:hyperlink>
      <w:r>
        <w:rPr>
          <w:rFonts w:ascii="Arial" w:hAnsi="Arial" w:cs="Arial"/>
        </w:rPr>
        <w:t xml:space="preserve"> </w:t>
      </w:r>
    </w:p>
    <w:p w14:paraId="2EE11530" w14:textId="77777777" w:rsidR="00415BDE" w:rsidRPr="00415BDE" w:rsidRDefault="00415BDE" w:rsidP="00415BDE">
      <w:pPr>
        <w:spacing w:line="360" w:lineRule="auto"/>
        <w:rPr>
          <w:rFonts w:ascii="Arial" w:hAnsi="Arial" w:cs="Arial"/>
        </w:rPr>
      </w:pPr>
      <w:r w:rsidRPr="00415BDE">
        <w:rPr>
          <w:rFonts w:ascii="Arial" w:hAnsi="Arial" w:cs="Arial"/>
        </w:rPr>
        <w:t xml:space="preserve">Barclays Annual Report (2023) </w:t>
      </w:r>
      <w:r w:rsidRPr="00415BDE">
        <w:rPr>
          <w:rFonts w:ascii="Arial" w:hAnsi="Arial" w:cs="Arial"/>
          <w:i/>
          <w:iCs/>
        </w:rPr>
        <w:t>Barclays PLC Annual Report 2023</w:t>
      </w:r>
      <w:r>
        <w:rPr>
          <w:rFonts w:ascii="Arial" w:hAnsi="Arial" w:cs="Arial"/>
        </w:rPr>
        <w:t>.</w:t>
      </w:r>
      <w:hyperlink r:id="rId10" w:history="1">
        <w:r w:rsidRPr="00415BDE">
          <w:rPr>
            <w:rStyle w:val="Hyperlink"/>
            <w:rFonts w:ascii="Arial" w:hAnsi="Arial" w:cs="Arial"/>
          </w:rPr>
          <w:t>https://home.barclays/investor-relations/reports-and-events/annual-reports/</w:t>
        </w:r>
      </w:hyperlink>
      <w:r>
        <w:rPr>
          <w:rFonts w:ascii="Arial" w:hAnsi="Arial" w:cs="Arial"/>
        </w:rPr>
        <w:t xml:space="preserve"> </w:t>
      </w:r>
    </w:p>
    <w:p w14:paraId="0BF6A097" w14:textId="77777777" w:rsidR="00415BDE" w:rsidRPr="00415BDE" w:rsidRDefault="00415BDE" w:rsidP="00415BDE">
      <w:pPr>
        <w:spacing w:line="360" w:lineRule="auto"/>
        <w:rPr>
          <w:rFonts w:ascii="Arial" w:hAnsi="Arial" w:cs="Arial"/>
        </w:rPr>
      </w:pPr>
      <w:r w:rsidRPr="00415BDE">
        <w:rPr>
          <w:rFonts w:ascii="Arial" w:hAnsi="Arial" w:cs="Arial"/>
        </w:rPr>
        <w:t xml:space="preserve">Barclays PLC (2024) </w:t>
      </w:r>
      <w:r w:rsidRPr="00415BDE">
        <w:rPr>
          <w:rFonts w:ascii="Arial" w:hAnsi="Arial" w:cs="Arial"/>
          <w:i/>
          <w:iCs/>
        </w:rPr>
        <w:t xml:space="preserve">Barclays Group Strategy </w:t>
      </w:r>
      <w:proofErr w:type="spellStart"/>
      <w:r w:rsidRPr="00415BDE">
        <w:rPr>
          <w:rFonts w:ascii="Arial" w:hAnsi="Arial" w:cs="Arial"/>
          <w:i/>
          <w:iCs/>
        </w:rPr>
        <w:t>Update</w:t>
      </w:r>
      <w:r>
        <w:rPr>
          <w:rFonts w:ascii="Arial" w:hAnsi="Arial" w:cs="Arial"/>
        </w:rPr>
        <w:t>.</w:t>
      </w:r>
      <w:hyperlink r:id="rId11" w:history="1">
        <w:r w:rsidRPr="00415BDE">
          <w:rPr>
            <w:rStyle w:val="Hyperlink"/>
            <w:rFonts w:ascii="Arial" w:hAnsi="Arial" w:cs="Arial"/>
          </w:rPr>
          <w:t>https</w:t>
        </w:r>
        <w:proofErr w:type="spellEnd"/>
        <w:r w:rsidRPr="00415BDE">
          <w:rPr>
            <w:rStyle w:val="Hyperlink"/>
            <w:rFonts w:ascii="Arial" w:hAnsi="Arial" w:cs="Arial"/>
          </w:rPr>
          <w:t>://home.barclays/investor-relations/</w:t>
        </w:r>
      </w:hyperlink>
      <w:r>
        <w:rPr>
          <w:rFonts w:ascii="Arial" w:hAnsi="Arial" w:cs="Arial"/>
        </w:rPr>
        <w:t xml:space="preserve"> </w:t>
      </w:r>
    </w:p>
    <w:p w14:paraId="0F7B85A5" w14:textId="77777777" w:rsidR="00415BDE" w:rsidRPr="00415BDE" w:rsidRDefault="00415BDE" w:rsidP="00415BDE">
      <w:pPr>
        <w:spacing w:line="360" w:lineRule="auto"/>
        <w:rPr>
          <w:rFonts w:ascii="Arial" w:hAnsi="Arial" w:cs="Arial"/>
        </w:rPr>
      </w:pPr>
      <w:r w:rsidRPr="00415BDE">
        <w:rPr>
          <w:rFonts w:ascii="Arial" w:hAnsi="Arial" w:cs="Arial"/>
        </w:rPr>
        <w:t xml:space="preserve">Competition and Markets Authority (2021) </w:t>
      </w:r>
      <w:r w:rsidRPr="00415BDE">
        <w:rPr>
          <w:rFonts w:ascii="Arial" w:hAnsi="Arial" w:cs="Arial"/>
          <w:i/>
          <w:iCs/>
        </w:rPr>
        <w:t>Open Banking: Unlocking the Potential of Open Banking</w:t>
      </w:r>
      <w:r>
        <w:rPr>
          <w:rFonts w:ascii="Arial" w:hAnsi="Arial" w:cs="Arial"/>
        </w:rPr>
        <w:t>.</w:t>
      </w:r>
      <w:r w:rsidRPr="00415BDE">
        <w:rPr>
          <w:rFonts w:ascii="Arial" w:hAnsi="Arial" w:cs="Arial"/>
        </w:rPr>
        <w:t xml:space="preserve"> </w:t>
      </w:r>
      <w:hyperlink r:id="rId12" w:history="1">
        <w:r w:rsidRPr="00415BDE">
          <w:rPr>
            <w:rStyle w:val="Hyperlink"/>
            <w:rFonts w:ascii="Arial" w:hAnsi="Arial" w:cs="Arial"/>
          </w:rPr>
          <w:t>https://www.gov.uk/cma-cases/review-of-banking-for-small-and-medium-sized-businesses-smes-in-the-uk</w:t>
        </w:r>
      </w:hyperlink>
      <w:r>
        <w:rPr>
          <w:rFonts w:ascii="Arial" w:hAnsi="Arial" w:cs="Arial"/>
        </w:rPr>
        <w:t xml:space="preserve"> </w:t>
      </w:r>
    </w:p>
    <w:p w14:paraId="10C2B4AE" w14:textId="77777777" w:rsidR="00415BDE" w:rsidRPr="00415BDE" w:rsidRDefault="00415BDE" w:rsidP="00415BDE">
      <w:pPr>
        <w:spacing w:line="360" w:lineRule="auto"/>
        <w:rPr>
          <w:rFonts w:ascii="Arial" w:hAnsi="Arial" w:cs="Arial"/>
        </w:rPr>
      </w:pPr>
      <w:r w:rsidRPr="00415BDE">
        <w:rPr>
          <w:rFonts w:ascii="Arial" w:hAnsi="Arial" w:cs="Arial"/>
        </w:rPr>
        <w:t xml:space="preserve">Deloitte (2023) </w:t>
      </w:r>
      <w:r w:rsidRPr="00415BDE">
        <w:rPr>
          <w:rFonts w:ascii="Arial" w:hAnsi="Arial" w:cs="Arial"/>
          <w:i/>
          <w:iCs/>
        </w:rPr>
        <w:t>2023 Gen Z and Millennial Survey: Living and Working in a Transforming World</w:t>
      </w:r>
      <w:r>
        <w:rPr>
          <w:rFonts w:ascii="Arial" w:hAnsi="Arial" w:cs="Arial"/>
        </w:rPr>
        <w:t>.</w:t>
      </w:r>
      <w:r w:rsidRPr="00415BDE">
        <w:rPr>
          <w:rFonts w:ascii="Arial" w:hAnsi="Arial" w:cs="Arial"/>
        </w:rPr>
        <w:t xml:space="preserve"> </w:t>
      </w:r>
      <w:hyperlink r:id="rId13" w:history="1">
        <w:r w:rsidRPr="00415BDE">
          <w:rPr>
            <w:rStyle w:val="Hyperlink"/>
            <w:rFonts w:ascii="Arial" w:hAnsi="Arial" w:cs="Arial"/>
          </w:rPr>
          <w:t>https://www.deloitte.com/uk/en/issues/work/gen-z-millennial-survey.html</w:t>
        </w:r>
      </w:hyperlink>
      <w:r>
        <w:rPr>
          <w:rFonts w:ascii="Arial" w:hAnsi="Arial" w:cs="Arial"/>
        </w:rPr>
        <w:t xml:space="preserve"> </w:t>
      </w:r>
    </w:p>
    <w:p w14:paraId="189A315C" w14:textId="77777777" w:rsidR="00415BDE" w:rsidRPr="00415BDE" w:rsidRDefault="00415BDE" w:rsidP="00415BDE">
      <w:pPr>
        <w:spacing w:line="360" w:lineRule="auto"/>
        <w:rPr>
          <w:rFonts w:ascii="Arial" w:hAnsi="Arial" w:cs="Arial"/>
        </w:rPr>
      </w:pPr>
      <w:r w:rsidRPr="00415BDE">
        <w:rPr>
          <w:rFonts w:ascii="Arial" w:hAnsi="Arial" w:cs="Arial"/>
        </w:rPr>
        <w:t xml:space="preserve">Financial Conduct Authority (2024) </w:t>
      </w:r>
      <w:r w:rsidRPr="00415BDE">
        <w:rPr>
          <w:rFonts w:ascii="Arial" w:hAnsi="Arial" w:cs="Arial"/>
          <w:i/>
          <w:iCs/>
        </w:rPr>
        <w:t>Financial Lives 2024 Survey: The Impact of Digital Banking</w:t>
      </w:r>
      <w:r>
        <w:rPr>
          <w:rFonts w:ascii="Arial" w:hAnsi="Arial" w:cs="Arial"/>
        </w:rPr>
        <w:t>.</w:t>
      </w:r>
      <w:r w:rsidRPr="00415BDE">
        <w:rPr>
          <w:rFonts w:ascii="Arial" w:hAnsi="Arial" w:cs="Arial"/>
        </w:rPr>
        <w:t xml:space="preserve"> </w:t>
      </w:r>
      <w:hyperlink r:id="rId14" w:history="1">
        <w:r w:rsidRPr="00415BDE">
          <w:rPr>
            <w:rStyle w:val="Hyperlink"/>
            <w:rFonts w:ascii="Arial" w:hAnsi="Arial" w:cs="Arial"/>
          </w:rPr>
          <w:t>https://www.fca.org.uk/publications/research/financial-lives-survey-2024</w:t>
        </w:r>
      </w:hyperlink>
      <w:r>
        <w:rPr>
          <w:rFonts w:ascii="Arial" w:hAnsi="Arial" w:cs="Arial"/>
        </w:rPr>
        <w:t xml:space="preserve"> </w:t>
      </w:r>
    </w:p>
    <w:p w14:paraId="6E644819" w14:textId="77777777" w:rsidR="00415BDE" w:rsidRPr="00415BDE" w:rsidRDefault="00415BDE" w:rsidP="00415BDE">
      <w:pPr>
        <w:spacing w:line="360" w:lineRule="auto"/>
        <w:rPr>
          <w:rFonts w:ascii="Arial" w:hAnsi="Arial" w:cs="Arial"/>
        </w:rPr>
      </w:pPr>
      <w:r w:rsidRPr="00415BDE">
        <w:rPr>
          <w:rFonts w:ascii="Arial" w:hAnsi="Arial" w:cs="Arial"/>
        </w:rPr>
        <w:t xml:space="preserve">Lee, I. and Shin, Y.J. (2018) 'Fintech: Ecosystem, business models, investment decisions, and challenges', </w:t>
      </w:r>
      <w:r w:rsidRPr="00415BDE">
        <w:rPr>
          <w:rFonts w:ascii="Arial" w:hAnsi="Arial" w:cs="Arial"/>
          <w:i/>
          <w:iCs/>
        </w:rPr>
        <w:t>Business Horizons</w:t>
      </w:r>
      <w:r w:rsidRPr="00415BDE">
        <w:rPr>
          <w:rFonts w:ascii="Arial" w:hAnsi="Arial" w:cs="Arial"/>
        </w:rPr>
        <w:t xml:space="preserve">, </w:t>
      </w:r>
      <w:r>
        <w:rPr>
          <w:rFonts w:ascii="Arial" w:hAnsi="Arial" w:cs="Arial"/>
        </w:rPr>
        <w:t xml:space="preserve">61(1), pp. 35-46. </w:t>
      </w:r>
      <w:hyperlink r:id="rId15" w:history="1">
        <w:r w:rsidRPr="00415BDE">
          <w:rPr>
            <w:rStyle w:val="Hyperlink"/>
            <w:rFonts w:ascii="Arial" w:hAnsi="Arial" w:cs="Arial"/>
          </w:rPr>
          <w:t>https://doi.org/10.1016/j.bushor.2017.09.003</w:t>
        </w:r>
      </w:hyperlink>
    </w:p>
    <w:p w14:paraId="182ED155" w14:textId="77777777" w:rsidR="00415BDE" w:rsidRPr="00415BDE" w:rsidRDefault="00415BDE" w:rsidP="00415BDE">
      <w:pPr>
        <w:spacing w:line="360" w:lineRule="auto"/>
        <w:rPr>
          <w:rFonts w:ascii="Arial" w:hAnsi="Arial" w:cs="Arial"/>
        </w:rPr>
      </w:pPr>
      <w:r w:rsidRPr="00415BDE">
        <w:rPr>
          <w:rFonts w:ascii="Arial" w:hAnsi="Arial" w:cs="Arial"/>
        </w:rPr>
        <w:t xml:space="preserve">Lemon, K.N. and Verhoef, P.C. (2016) 'Understanding customer experience throughout the customer journey', </w:t>
      </w:r>
      <w:r w:rsidRPr="00415BDE">
        <w:rPr>
          <w:rFonts w:ascii="Arial" w:hAnsi="Arial" w:cs="Arial"/>
          <w:i/>
          <w:iCs/>
        </w:rPr>
        <w:t>Journal of Marketing</w:t>
      </w:r>
      <w:r w:rsidRPr="00415BDE">
        <w:rPr>
          <w:rFonts w:ascii="Arial" w:hAnsi="Arial" w:cs="Arial"/>
        </w:rPr>
        <w:t>,</w:t>
      </w:r>
      <w:r>
        <w:rPr>
          <w:rFonts w:ascii="Arial" w:hAnsi="Arial" w:cs="Arial"/>
        </w:rPr>
        <w:t xml:space="preserve"> 80(6), pp. 69-96.</w:t>
      </w:r>
      <w:r w:rsidRPr="00415BDE">
        <w:rPr>
          <w:rFonts w:ascii="Arial" w:hAnsi="Arial" w:cs="Arial"/>
        </w:rPr>
        <w:t xml:space="preserve"> </w:t>
      </w:r>
      <w:hyperlink r:id="rId16" w:history="1">
        <w:r w:rsidRPr="00415BDE">
          <w:rPr>
            <w:rStyle w:val="Hyperlink"/>
            <w:rFonts w:ascii="Arial" w:hAnsi="Arial" w:cs="Arial"/>
          </w:rPr>
          <w:t>https://doi.org/10.1509/jm.15.0420</w:t>
        </w:r>
      </w:hyperlink>
      <w:r>
        <w:rPr>
          <w:rFonts w:ascii="Arial" w:hAnsi="Arial" w:cs="Arial"/>
        </w:rPr>
        <w:t xml:space="preserve"> </w:t>
      </w:r>
    </w:p>
    <w:p w14:paraId="57217315" w14:textId="77777777" w:rsidR="00415BDE" w:rsidRPr="00415BDE" w:rsidRDefault="00415BDE" w:rsidP="00415BDE">
      <w:pPr>
        <w:spacing w:line="360" w:lineRule="auto"/>
        <w:rPr>
          <w:rFonts w:ascii="Arial" w:hAnsi="Arial" w:cs="Arial"/>
        </w:rPr>
      </w:pPr>
      <w:proofErr w:type="spellStart"/>
      <w:r w:rsidRPr="00415BDE">
        <w:rPr>
          <w:rFonts w:ascii="Arial" w:hAnsi="Arial" w:cs="Arial"/>
        </w:rPr>
        <w:t>Mbama</w:t>
      </w:r>
      <w:proofErr w:type="spellEnd"/>
      <w:r w:rsidRPr="00415BDE">
        <w:rPr>
          <w:rFonts w:ascii="Arial" w:hAnsi="Arial" w:cs="Arial"/>
        </w:rPr>
        <w:t xml:space="preserve">, C.I. and </w:t>
      </w:r>
      <w:proofErr w:type="spellStart"/>
      <w:r w:rsidRPr="00415BDE">
        <w:rPr>
          <w:rFonts w:ascii="Arial" w:hAnsi="Arial" w:cs="Arial"/>
        </w:rPr>
        <w:t>Ezepue</w:t>
      </w:r>
      <w:proofErr w:type="spellEnd"/>
      <w:r w:rsidRPr="00415BDE">
        <w:rPr>
          <w:rFonts w:ascii="Arial" w:hAnsi="Arial" w:cs="Arial"/>
        </w:rPr>
        <w:t xml:space="preserve">, P.O. (2018) 'Digital banking, customer experience and bank financial performance: UK customers' perceptions', </w:t>
      </w:r>
      <w:r w:rsidRPr="00415BDE">
        <w:rPr>
          <w:rFonts w:ascii="Arial" w:hAnsi="Arial" w:cs="Arial"/>
          <w:i/>
          <w:iCs/>
        </w:rPr>
        <w:t>International Journal of Bank Marketing</w:t>
      </w:r>
      <w:r w:rsidRPr="00415BDE">
        <w:rPr>
          <w:rFonts w:ascii="Arial" w:hAnsi="Arial" w:cs="Arial"/>
        </w:rPr>
        <w:t>, 3</w:t>
      </w:r>
      <w:r>
        <w:rPr>
          <w:rFonts w:ascii="Arial" w:hAnsi="Arial" w:cs="Arial"/>
        </w:rPr>
        <w:t xml:space="preserve">6(2), pp. 230-255. </w:t>
      </w:r>
      <w:r w:rsidRPr="00415BDE">
        <w:rPr>
          <w:rFonts w:ascii="Arial" w:hAnsi="Arial" w:cs="Arial"/>
        </w:rPr>
        <w:t xml:space="preserve"> </w:t>
      </w:r>
      <w:hyperlink r:id="rId17" w:history="1">
        <w:r w:rsidRPr="00415BDE">
          <w:rPr>
            <w:rStyle w:val="Hyperlink"/>
            <w:rFonts w:ascii="Arial" w:hAnsi="Arial" w:cs="Arial"/>
          </w:rPr>
          <w:t>https://doi.org/10.1108/IJBM-11-2016-0181</w:t>
        </w:r>
      </w:hyperlink>
      <w:r>
        <w:rPr>
          <w:rFonts w:ascii="Arial" w:hAnsi="Arial" w:cs="Arial"/>
        </w:rPr>
        <w:t xml:space="preserve"> </w:t>
      </w:r>
    </w:p>
    <w:p w14:paraId="3948D83A" w14:textId="77777777" w:rsidR="00415BDE" w:rsidRPr="00415BDE" w:rsidRDefault="00415BDE" w:rsidP="00415BDE">
      <w:pPr>
        <w:spacing w:line="360" w:lineRule="auto"/>
        <w:rPr>
          <w:rFonts w:ascii="Arial" w:hAnsi="Arial" w:cs="Arial"/>
        </w:rPr>
      </w:pPr>
      <w:r w:rsidRPr="00415BDE">
        <w:rPr>
          <w:rFonts w:ascii="Arial" w:hAnsi="Arial" w:cs="Arial"/>
        </w:rPr>
        <w:t xml:space="preserve">Mention, A.L. (2020) 'The future of fintech', </w:t>
      </w:r>
      <w:r w:rsidRPr="00415BDE">
        <w:rPr>
          <w:rFonts w:ascii="Arial" w:hAnsi="Arial" w:cs="Arial"/>
          <w:i/>
          <w:iCs/>
        </w:rPr>
        <w:t>Research-Technology Management</w:t>
      </w:r>
      <w:r w:rsidRPr="00415BDE">
        <w:rPr>
          <w:rFonts w:ascii="Arial" w:hAnsi="Arial" w:cs="Arial"/>
        </w:rPr>
        <w:t>,</w:t>
      </w:r>
      <w:r>
        <w:rPr>
          <w:rFonts w:ascii="Arial" w:hAnsi="Arial" w:cs="Arial"/>
        </w:rPr>
        <w:t xml:space="preserve"> 62(4), pp. 59-63.</w:t>
      </w:r>
      <w:r w:rsidRPr="00415BDE">
        <w:rPr>
          <w:rFonts w:ascii="Arial" w:hAnsi="Arial" w:cs="Arial"/>
        </w:rPr>
        <w:t xml:space="preserve"> </w:t>
      </w:r>
      <w:hyperlink r:id="rId18" w:history="1">
        <w:r w:rsidRPr="00415BDE">
          <w:rPr>
            <w:rStyle w:val="Hyperlink"/>
            <w:rFonts w:ascii="Arial" w:hAnsi="Arial" w:cs="Arial"/>
          </w:rPr>
          <w:t>https://doi.org/10.1080/08956308.2019.1613123</w:t>
        </w:r>
      </w:hyperlink>
      <w:r>
        <w:rPr>
          <w:rFonts w:ascii="Arial" w:hAnsi="Arial" w:cs="Arial"/>
        </w:rPr>
        <w:t xml:space="preserve"> </w:t>
      </w:r>
    </w:p>
    <w:p w14:paraId="3A9BFC9E" w14:textId="77777777" w:rsidR="00415BDE" w:rsidRPr="00415BDE" w:rsidRDefault="00415BDE" w:rsidP="00415BDE">
      <w:pPr>
        <w:spacing w:line="360" w:lineRule="auto"/>
        <w:rPr>
          <w:rFonts w:ascii="Arial" w:hAnsi="Arial" w:cs="Arial"/>
        </w:rPr>
      </w:pPr>
      <w:proofErr w:type="spellStart"/>
      <w:r w:rsidRPr="00415BDE">
        <w:rPr>
          <w:rFonts w:ascii="Arial" w:hAnsi="Arial" w:cs="Arial"/>
        </w:rPr>
        <w:t>Nagji</w:t>
      </w:r>
      <w:proofErr w:type="spellEnd"/>
      <w:r w:rsidRPr="00415BDE">
        <w:rPr>
          <w:rFonts w:ascii="Arial" w:hAnsi="Arial" w:cs="Arial"/>
        </w:rPr>
        <w:t xml:space="preserve">, B. and Tuff, G. (2012) 'Managing your innovation portfolio', </w:t>
      </w:r>
      <w:r w:rsidRPr="00415BDE">
        <w:rPr>
          <w:rFonts w:ascii="Arial" w:hAnsi="Arial" w:cs="Arial"/>
          <w:i/>
          <w:iCs/>
        </w:rPr>
        <w:t>Harvard Business Review</w:t>
      </w:r>
      <w:r w:rsidRPr="00415BDE">
        <w:rPr>
          <w:rFonts w:ascii="Arial" w:hAnsi="Arial" w:cs="Arial"/>
        </w:rPr>
        <w:t>,</w:t>
      </w:r>
      <w:r>
        <w:rPr>
          <w:rFonts w:ascii="Arial" w:hAnsi="Arial" w:cs="Arial"/>
        </w:rPr>
        <w:t xml:space="preserve"> 90(5), pp. 66-74.</w:t>
      </w:r>
      <w:r w:rsidRPr="00415BDE">
        <w:rPr>
          <w:rFonts w:ascii="Arial" w:hAnsi="Arial" w:cs="Arial"/>
        </w:rPr>
        <w:t xml:space="preserve"> </w:t>
      </w:r>
      <w:hyperlink r:id="rId19" w:history="1">
        <w:r w:rsidRPr="00415BDE">
          <w:rPr>
            <w:rStyle w:val="Hyperlink"/>
            <w:rFonts w:ascii="Arial" w:hAnsi="Arial" w:cs="Arial"/>
          </w:rPr>
          <w:t>https://hbr.org/2012/05/managing-your-innovation-portfolio</w:t>
        </w:r>
      </w:hyperlink>
      <w:r>
        <w:rPr>
          <w:rFonts w:ascii="Arial" w:hAnsi="Arial" w:cs="Arial"/>
        </w:rPr>
        <w:t xml:space="preserve"> </w:t>
      </w:r>
    </w:p>
    <w:p w14:paraId="0D37012F" w14:textId="77777777" w:rsidR="00415BDE" w:rsidRPr="00415BDE" w:rsidRDefault="00415BDE" w:rsidP="00415BDE">
      <w:pPr>
        <w:spacing w:line="360" w:lineRule="auto"/>
        <w:rPr>
          <w:rFonts w:ascii="Arial" w:hAnsi="Arial" w:cs="Arial"/>
        </w:rPr>
      </w:pPr>
      <w:proofErr w:type="spellStart"/>
      <w:r w:rsidRPr="00415BDE">
        <w:rPr>
          <w:rFonts w:ascii="Arial" w:hAnsi="Arial" w:cs="Arial"/>
        </w:rPr>
        <w:lastRenderedPageBreak/>
        <w:t>Omarini</w:t>
      </w:r>
      <w:proofErr w:type="spellEnd"/>
      <w:r w:rsidRPr="00415BDE">
        <w:rPr>
          <w:rFonts w:ascii="Arial" w:hAnsi="Arial" w:cs="Arial"/>
        </w:rPr>
        <w:t xml:space="preserve">, A.E. (2021) 'Banks and </w:t>
      </w:r>
      <w:proofErr w:type="spellStart"/>
      <w:r w:rsidRPr="00415BDE">
        <w:rPr>
          <w:rFonts w:ascii="Arial" w:hAnsi="Arial" w:cs="Arial"/>
        </w:rPr>
        <w:t>fintechs</w:t>
      </w:r>
      <w:proofErr w:type="spellEnd"/>
      <w:r w:rsidRPr="00415BDE">
        <w:rPr>
          <w:rFonts w:ascii="Arial" w:hAnsi="Arial" w:cs="Arial"/>
        </w:rPr>
        <w:t xml:space="preserve">: How to develop a digital open banking approach for the bank's future', </w:t>
      </w:r>
      <w:r w:rsidRPr="00415BDE">
        <w:rPr>
          <w:rFonts w:ascii="Arial" w:hAnsi="Arial" w:cs="Arial"/>
          <w:i/>
          <w:iCs/>
        </w:rPr>
        <w:t>International Business Research</w:t>
      </w:r>
      <w:r w:rsidRPr="00415BDE">
        <w:rPr>
          <w:rFonts w:ascii="Arial" w:hAnsi="Arial" w:cs="Arial"/>
        </w:rPr>
        <w:t xml:space="preserve">, </w:t>
      </w:r>
      <w:r>
        <w:rPr>
          <w:rFonts w:ascii="Arial" w:hAnsi="Arial" w:cs="Arial"/>
        </w:rPr>
        <w:t xml:space="preserve">11(9), pp. 23-36. </w:t>
      </w:r>
      <w:hyperlink r:id="rId20" w:history="1">
        <w:r w:rsidRPr="00415BDE">
          <w:rPr>
            <w:rStyle w:val="Hyperlink"/>
            <w:rFonts w:ascii="Arial" w:hAnsi="Arial" w:cs="Arial"/>
          </w:rPr>
          <w:t>https://doi.org/10.5539/ibr.v11n9p23</w:t>
        </w:r>
      </w:hyperlink>
      <w:r>
        <w:rPr>
          <w:rFonts w:ascii="Arial" w:hAnsi="Arial" w:cs="Arial"/>
        </w:rPr>
        <w:t xml:space="preserve"> </w:t>
      </w:r>
    </w:p>
    <w:p w14:paraId="12351C01" w14:textId="77777777" w:rsidR="00415BDE" w:rsidRPr="00415BDE" w:rsidRDefault="00415BDE" w:rsidP="00415BDE">
      <w:pPr>
        <w:spacing w:line="360" w:lineRule="auto"/>
        <w:rPr>
          <w:rFonts w:ascii="Arial" w:hAnsi="Arial" w:cs="Arial"/>
        </w:rPr>
      </w:pPr>
      <w:r w:rsidRPr="00415BDE">
        <w:rPr>
          <w:rFonts w:ascii="Arial" w:hAnsi="Arial" w:cs="Arial"/>
        </w:rPr>
        <w:t xml:space="preserve">UK Finance (2023) </w:t>
      </w:r>
      <w:r w:rsidRPr="00415BDE">
        <w:rPr>
          <w:rFonts w:ascii="Arial" w:hAnsi="Arial" w:cs="Arial"/>
          <w:i/>
          <w:iCs/>
        </w:rPr>
        <w:t>UK Payment Markets Summary 2023</w:t>
      </w:r>
      <w:r>
        <w:rPr>
          <w:rFonts w:ascii="Arial" w:hAnsi="Arial" w:cs="Arial"/>
        </w:rPr>
        <w:t>.</w:t>
      </w:r>
      <w:hyperlink r:id="rId21" w:history="1">
        <w:r w:rsidRPr="00415BDE">
          <w:rPr>
            <w:rStyle w:val="Hyperlink"/>
            <w:rFonts w:ascii="Arial" w:hAnsi="Arial" w:cs="Arial"/>
          </w:rPr>
          <w:t>https://www.ukfinance.org.uk/policy-and-guidance/reports-and-publications</w:t>
        </w:r>
      </w:hyperlink>
      <w:r>
        <w:rPr>
          <w:rFonts w:ascii="Arial" w:hAnsi="Arial" w:cs="Arial"/>
        </w:rPr>
        <w:t xml:space="preserve"> </w:t>
      </w:r>
    </w:p>
    <w:p w14:paraId="1A80011F" w14:textId="77777777" w:rsidR="00415BDE" w:rsidRPr="00415BDE" w:rsidRDefault="00415BDE" w:rsidP="00415BDE">
      <w:pPr>
        <w:spacing w:line="360" w:lineRule="auto"/>
        <w:rPr>
          <w:rFonts w:ascii="Arial" w:hAnsi="Arial" w:cs="Arial"/>
        </w:rPr>
      </w:pPr>
      <w:r w:rsidRPr="00415BDE">
        <w:rPr>
          <w:rFonts w:ascii="Arial" w:hAnsi="Arial" w:cs="Arial"/>
        </w:rPr>
        <w:t xml:space="preserve">UK Finance (2024) </w:t>
      </w:r>
      <w:r w:rsidRPr="00415BDE">
        <w:rPr>
          <w:rFonts w:ascii="Arial" w:hAnsi="Arial" w:cs="Arial"/>
          <w:i/>
          <w:iCs/>
        </w:rPr>
        <w:t>Banking Statistics and Trends Report 2024</w:t>
      </w:r>
      <w:r>
        <w:rPr>
          <w:rFonts w:ascii="Arial" w:hAnsi="Arial" w:cs="Arial"/>
        </w:rPr>
        <w:t xml:space="preserve">. </w:t>
      </w:r>
      <w:hyperlink r:id="rId22" w:history="1">
        <w:r w:rsidRPr="00415BDE">
          <w:rPr>
            <w:rStyle w:val="Hyperlink"/>
            <w:rFonts w:ascii="Arial" w:hAnsi="Arial" w:cs="Arial"/>
          </w:rPr>
          <w:t>https://www.ukfinance.org.uk/data-and-research</w:t>
        </w:r>
      </w:hyperlink>
      <w:r>
        <w:rPr>
          <w:rFonts w:ascii="Arial" w:hAnsi="Arial" w:cs="Arial"/>
        </w:rPr>
        <w:t xml:space="preserve"> </w:t>
      </w:r>
    </w:p>
    <w:p w14:paraId="3BB7C2ED" w14:textId="77777777" w:rsidR="00415BDE" w:rsidRPr="00415BDE" w:rsidRDefault="00415BDE" w:rsidP="00415BDE">
      <w:pPr>
        <w:spacing w:line="360" w:lineRule="auto"/>
        <w:rPr>
          <w:rFonts w:ascii="Arial" w:hAnsi="Arial" w:cs="Arial"/>
        </w:rPr>
      </w:pPr>
      <w:r w:rsidRPr="00415BDE">
        <w:rPr>
          <w:rFonts w:ascii="Arial" w:hAnsi="Arial" w:cs="Arial"/>
        </w:rPr>
        <w:t xml:space="preserve">Weber, O. and </w:t>
      </w:r>
      <w:proofErr w:type="spellStart"/>
      <w:r w:rsidRPr="00415BDE">
        <w:rPr>
          <w:rFonts w:ascii="Arial" w:hAnsi="Arial" w:cs="Arial"/>
        </w:rPr>
        <w:t>Feltmate</w:t>
      </w:r>
      <w:proofErr w:type="spellEnd"/>
      <w:r w:rsidRPr="00415BDE">
        <w:rPr>
          <w:rFonts w:ascii="Arial" w:hAnsi="Arial" w:cs="Arial"/>
        </w:rPr>
        <w:t xml:space="preserve">, B. (2020) </w:t>
      </w:r>
      <w:r w:rsidRPr="00415BDE">
        <w:rPr>
          <w:rFonts w:ascii="Arial" w:hAnsi="Arial" w:cs="Arial"/>
          <w:i/>
          <w:iCs/>
        </w:rPr>
        <w:t>Sustainable Banking: Managing the Social and Environmental Impact of Financial Institutions</w:t>
      </w:r>
      <w:r w:rsidRPr="00415BDE">
        <w:rPr>
          <w:rFonts w:ascii="Arial" w:hAnsi="Arial" w:cs="Arial"/>
        </w:rPr>
        <w:t xml:space="preserve">. 2nd </w:t>
      </w:r>
      <w:proofErr w:type="spellStart"/>
      <w:proofErr w:type="gramStart"/>
      <w:r w:rsidRPr="00415BDE">
        <w:rPr>
          <w:rFonts w:ascii="Arial" w:hAnsi="Arial" w:cs="Arial"/>
        </w:rPr>
        <w:t>edn</w:t>
      </w:r>
      <w:proofErr w:type="spellEnd"/>
      <w:proofErr w:type="gramEnd"/>
      <w:r w:rsidRPr="00415BDE">
        <w:rPr>
          <w:rFonts w:ascii="Arial" w:hAnsi="Arial" w:cs="Arial"/>
        </w:rPr>
        <w:t>. Toronto: University</w:t>
      </w:r>
      <w:r>
        <w:rPr>
          <w:rFonts w:ascii="Arial" w:hAnsi="Arial" w:cs="Arial"/>
        </w:rPr>
        <w:t xml:space="preserve"> of Toronto Press.</w:t>
      </w:r>
      <w:r w:rsidRPr="00415BDE">
        <w:rPr>
          <w:rFonts w:ascii="Arial" w:hAnsi="Arial" w:cs="Arial"/>
        </w:rPr>
        <w:t xml:space="preserve"> </w:t>
      </w:r>
      <w:hyperlink r:id="rId23" w:history="1">
        <w:r w:rsidRPr="00415BDE">
          <w:rPr>
            <w:rStyle w:val="Hyperlink"/>
            <w:rFonts w:ascii="Arial" w:hAnsi="Arial" w:cs="Arial"/>
          </w:rPr>
          <w:t>https://doi.org/10.3138/9781487531485</w:t>
        </w:r>
      </w:hyperlink>
      <w:r>
        <w:rPr>
          <w:rFonts w:ascii="Arial" w:hAnsi="Arial" w:cs="Arial"/>
        </w:rPr>
        <w:t xml:space="preserve"> </w:t>
      </w:r>
    </w:p>
    <w:p w14:paraId="13BDCE93" w14:textId="77777777" w:rsidR="00415BDE" w:rsidRPr="00DE6730" w:rsidRDefault="00415BDE" w:rsidP="00415BDE">
      <w:pPr>
        <w:spacing w:line="360" w:lineRule="auto"/>
        <w:rPr>
          <w:rFonts w:ascii="Arial" w:hAnsi="Arial" w:cs="Arial"/>
        </w:rPr>
      </w:pPr>
      <w:r w:rsidRPr="00415BDE">
        <w:rPr>
          <w:rFonts w:ascii="Arial" w:hAnsi="Arial" w:cs="Arial"/>
        </w:rPr>
        <w:t xml:space="preserve">Zachariadis, M. and Ozcan, P. (2017) 'The API economy and digital transformation in financial services: The case of open banking', </w:t>
      </w:r>
      <w:r w:rsidRPr="00415BDE">
        <w:rPr>
          <w:rFonts w:ascii="Arial" w:hAnsi="Arial" w:cs="Arial"/>
          <w:i/>
          <w:iCs/>
        </w:rPr>
        <w:t>Journal of Strategic Information Systems</w:t>
      </w:r>
      <w:r w:rsidRPr="00415BDE">
        <w:rPr>
          <w:rFonts w:ascii="Arial" w:hAnsi="Arial" w:cs="Arial"/>
        </w:rPr>
        <w:t>, 2</w:t>
      </w:r>
      <w:r>
        <w:rPr>
          <w:rFonts w:ascii="Arial" w:hAnsi="Arial" w:cs="Arial"/>
        </w:rPr>
        <w:t>6(4), pp. 329-348.</w:t>
      </w:r>
      <w:r w:rsidRPr="00415BDE">
        <w:rPr>
          <w:rFonts w:ascii="Arial" w:hAnsi="Arial" w:cs="Arial"/>
        </w:rPr>
        <w:t xml:space="preserve"> </w:t>
      </w:r>
      <w:hyperlink r:id="rId24" w:history="1">
        <w:r w:rsidRPr="00415BDE">
          <w:rPr>
            <w:rStyle w:val="Hyperlink"/>
            <w:rFonts w:ascii="Arial" w:hAnsi="Arial" w:cs="Arial"/>
          </w:rPr>
          <w:t>https://doi.org/10.1016/j.jsis.2016.10.001</w:t>
        </w:r>
      </w:hyperlink>
      <w:r>
        <w:rPr>
          <w:rFonts w:ascii="Arial" w:hAnsi="Arial" w:cs="Arial"/>
        </w:rPr>
        <w:t xml:space="preserve"> </w:t>
      </w:r>
    </w:p>
    <w:sectPr w:rsidR="00415BDE" w:rsidRPr="00DE6730">
      <w:head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A0807F" w14:textId="77777777" w:rsidR="007F1D8D" w:rsidRDefault="007F1D8D" w:rsidP="00E252E4">
      <w:pPr>
        <w:spacing w:after="0" w:line="240" w:lineRule="auto"/>
      </w:pPr>
      <w:r>
        <w:separator/>
      </w:r>
    </w:p>
  </w:endnote>
  <w:endnote w:type="continuationSeparator" w:id="0">
    <w:p w14:paraId="7B46A7D2" w14:textId="77777777" w:rsidR="007F1D8D" w:rsidRDefault="007F1D8D" w:rsidP="00E252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0D445B" w14:textId="77777777" w:rsidR="007F1D8D" w:rsidRDefault="007F1D8D" w:rsidP="00E252E4">
      <w:pPr>
        <w:spacing w:after="0" w:line="240" w:lineRule="auto"/>
      </w:pPr>
      <w:r>
        <w:separator/>
      </w:r>
    </w:p>
  </w:footnote>
  <w:footnote w:type="continuationSeparator" w:id="0">
    <w:p w14:paraId="1EDA78F8" w14:textId="77777777" w:rsidR="007F1D8D" w:rsidRDefault="007F1D8D" w:rsidP="00E252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11605" w14:textId="77777777" w:rsidR="00E252E4" w:rsidRDefault="00E252E4">
    <w:pPr>
      <w:pStyle w:val="Header"/>
      <w:jc w:val="right"/>
    </w:pPr>
    <w:r>
      <w:t>INNOVATION AND CUSTOMER JOURNEY ANALYSIS</w:t>
    </w:r>
    <w:r>
      <w:tab/>
    </w:r>
    <w:r>
      <w:tab/>
    </w:r>
    <w:sdt>
      <w:sdtPr>
        <w:id w:val="-2067708767"/>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43038A">
          <w:rPr>
            <w:noProof/>
          </w:rPr>
          <w:t>18</w:t>
        </w:r>
        <w:r>
          <w:rPr>
            <w:noProof/>
          </w:rPr>
          <w:fldChar w:fldCharType="end"/>
        </w:r>
      </w:sdtContent>
    </w:sdt>
  </w:p>
  <w:p w14:paraId="6BD68479" w14:textId="77777777" w:rsidR="00E252E4" w:rsidRDefault="00E252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8C2C4F"/>
    <w:multiLevelType w:val="hybridMultilevel"/>
    <w:tmpl w:val="2398F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11064A"/>
    <w:multiLevelType w:val="hybridMultilevel"/>
    <w:tmpl w:val="C8062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F8643F"/>
    <w:multiLevelType w:val="hybridMultilevel"/>
    <w:tmpl w:val="47DE6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0AD275E"/>
    <w:multiLevelType w:val="hybridMultilevel"/>
    <w:tmpl w:val="D220D6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679119770">
    <w:abstractNumId w:val="2"/>
  </w:num>
  <w:num w:numId="2" w16cid:durableId="1490901487">
    <w:abstractNumId w:val="0"/>
  </w:num>
  <w:num w:numId="3" w16cid:durableId="275068693">
    <w:abstractNumId w:val="1"/>
  </w:num>
  <w:num w:numId="4" w16cid:durableId="15964032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5CA8"/>
    <w:rsid w:val="000716DF"/>
    <w:rsid w:val="000B016F"/>
    <w:rsid w:val="00105CA8"/>
    <w:rsid w:val="001D34F3"/>
    <w:rsid w:val="00295591"/>
    <w:rsid w:val="00415BDE"/>
    <w:rsid w:val="0043038A"/>
    <w:rsid w:val="004420E9"/>
    <w:rsid w:val="006E2C55"/>
    <w:rsid w:val="007644CF"/>
    <w:rsid w:val="007F1D8D"/>
    <w:rsid w:val="00847506"/>
    <w:rsid w:val="008846CA"/>
    <w:rsid w:val="00906D8F"/>
    <w:rsid w:val="0091159E"/>
    <w:rsid w:val="009B7870"/>
    <w:rsid w:val="00C01652"/>
    <w:rsid w:val="00D31447"/>
    <w:rsid w:val="00D5404F"/>
    <w:rsid w:val="00D76A04"/>
    <w:rsid w:val="00DE6730"/>
    <w:rsid w:val="00DF7DC9"/>
    <w:rsid w:val="00E252E4"/>
    <w:rsid w:val="00ED376A"/>
    <w:rsid w:val="00FA00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818D7"/>
  <w15:chartTrackingRefBased/>
  <w15:docId w15:val="{3837CB79-E775-49AD-A267-64E3E4ACE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05C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644CF"/>
    <w:pPr>
      <w:ind w:left="720"/>
      <w:contextualSpacing/>
    </w:pPr>
  </w:style>
  <w:style w:type="paragraph" w:styleId="Header">
    <w:name w:val="header"/>
    <w:basedOn w:val="Normal"/>
    <w:link w:val="HeaderChar"/>
    <w:uiPriority w:val="99"/>
    <w:unhideWhenUsed/>
    <w:rsid w:val="00E252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52E4"/>
  </w:style>
  <w:style w:type="paragraph" w:styleId="Footer">
    <w:name w:val="footer"/>
    <w:basedOn w:val="Normal"/>
    <w:link w:val="FooterChar"/>
    <w:uiPriority w:val="99"/>
    <w:unhideWhenUsed/>
    <w:rsid w:val="00E252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52E4"/>
  </w:style>
  <w:style w:type="character" w:styleId="Hyperlink">
    <w:name w:val="Hyperlink"/>
    <w:basedOn w:val="DefaultParagraphFont"/>
    <w:uiPriority w:val="99"/>
    <w:unhideWhenUsed/>
    <w:rsid w:val="00415BD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30898">
      <w:bodyDiv w:val="1"/>
      <w:marLeft w:val="0"/>
      <w:marRight w:val="0"/>
      <w:marTop w:val="0"/>
      <w:marBottom w:val="0"/>
      <w:divBdr>
        <w:top w:val="none" w:sz="0" w:space="0" w:color="auto"/>
        <w:left w:val="none" w:sz="0" w:space="0" w:color="auto"/>
        <w:bottom w:val="none" w:sz="0" w:space="0" w:color="auto"/>
        <w:right w:val="none" w:sz="0" w:space="0" w:color="auto"/>
      </w:divBdr>
      <w:divsChild>
        <w:div w:id="644507775">
          <w:marLeft w:val="0"/>
          <w:marRight w:val="0"/>
          <w:marTop w:val="0"/>
          <w:marBottom w:val="0"/>
          <w:divBdr>
            <w:top w:val="none" w:sz="0" w:space="0" w:color="auto"/>
            <w:left w:val="none" w:sz="0" w:space="0" w:color="auto"/>
            <w:bottom w:val="none" w:sz="0" w:space="0" w:color="auto"/>
            <w:right w:val="none" w:sz="0" w:space="0" w:color="auto"/>
          </w:divBdr>
        </w:div>
      </w:divsChild>
    </w:div>
    <w:div w:id="458573164">
      <w:bodyDiv w:val="1"/>
      <w:marLeft w:val="0"/>
      <w:marRight w:val="0"/>
      <w:marTop w:val="0"/>
      <w:marBottom w:val="0"/>
      <w:divBdr>
        <w:top w:val="none" w:sz="0" w:space="0" w:color="auto"/>
        <w:left w:val="none" w:sz="0" w:space="0" w:color="auto"/>
        <w:bottom w:val="none" w:sz="0" w:space="0" w:color="auto"/>
        <w:right w:val="none" w:sz="0" w:space="0" w:color="auto"/>
      </w:divBdr>
    </w:div>
    <w:div w:id="1055859784">
      <w:bodyDiv w:val="1"/>
      <w:marLeft w:val="0"/>
      <w:marRight w:val="0"/>
      <w:marTop w:val="0"/>
      <w:marBottom w:val="0"/>
      <w:divBdr>
        <w:top w:val="none" w:sz="0" w:space="0" w:color="auto"/>
        <w:left w:val="none" w:sz="0" w:space="0" w:color="auto"/>
        <w:bottom w:val="none" w:sz="0" w:space="0" w:color="auto"/>
        <w:right w:val="none" w:sz="0" w:space="0" w:color="auto"/>
      </w:divBdr>
    </w:div>
    <w:div w:id="1097096290">
      <w:bodyDiv w:val="1"/>
      <w:marLeft w:val="0"/>
      <w:marRight w:val="0"/>
      <w:marTop w:val="0"/>
      <w:marBottom w:val="0"/>
      <w:divBdr>
        <w:top w:val="none" w:sz="0" w:space="0" w:color="auto"/>
        <w:left w:val="none" w:sz="0" w:space="0" w:color="auto"/>
        <w:bottom w:val="none" w:sz="0" w:space="0" w:color="auto"/>
        <w:right w:val="none" w:sz="0" w:space="0" w:color="auto"/>
      </w:divBdr>
      <w:divsChild>
        <w:div w:id="939069079">
          <w:marLeft w:val="0"/>
          <w:marRight w:val="0"/>
          <w:marTop w:val="0"/>
          <w:marBottom w:val="0"/>
          <w:divBdr>
            <w:top w:val="none" w:sz="0" w:space="0" w:color="auto"/>
            <w:left w:val="none" w:sz="0" w:space="0" w:color="auto"/>
            <w:bottom w:val="none" w:sz="0" w:space="0" w:color="auto"/>
            <w:right w:val="none" w:sz="0" w:space="0" w:color="auto"/>
          </w:divBdr>
        </w:div>
      </w:divsChild>
    </w:div>
    <w:div w:id="1996958360">
      <w:bodyDiv w:val="1"/>
      <w:marLeft w:val="0"/>
      <w:marRight w:val="0"/>
      <w:marTop w:val="0"/>
      <w:marBottom w:val="0"/>
      <w:divBdr>
        <w:top w:val="none" w:sz="0" w:space="0" w:color="auto"/>
        <w:left w:val="none" w:sz="0" w:space="0" w:color="auto"/>
        <w:bottom w:val="none" w:sz="0" w:space="0" w:color="auto"/>
        <w:right w:val="none" w:sz="0" w:space="0" w:color="auto"/>
      </w:divBdr>
      <w:divsChild>
        <w:div w:id="1977222110">
          <w:marLeft w:val="0"/>
          <w:marRight w:val="0"/>
          <w:marTop w:val="0"/>
          <w:marBottom w:val="0"/>
          <w:divBdr>
            <w:top w:val="none" w:sz="0" w:space="0" w:color="auto"/>
            <w:left w:val="none" w:sz="0" w:space="0" w:color="auto"/>
            <w:bottom w:val="none" w:sz="0" w:space="0" w:color="auto"/>
            <w:right w:val="none" w:sz="0" w:space="0" w:color="auto"/>
          </w:divBdr>
        </w:div>
      </w:divsChild>
    </w:div>
    <w:div w:id="2058628776">
      <w:bodyDiv w:val="1"/>
      <w:marLeft w:val="0"/>
      <w:marRight w:val="0"/>
      <w:marTop w:val="0"/>
      <w:marBottom w:val="0"/>
      <w:divBdr>
        <w:top w:val="none" w:sz="0" w:space="0" w:color="auto"/>
        <w:left w:val="none" w:sz="0" w:space="0" w:color="auto"/>
        <w:bottom w:val="none" w:sz="0" w:space="0" w:color="auto"/>
        <w:right w:val="none" w:sz="0" w:space="0" w:color="auto"/>
      </w:divBdr>
      <w:divsChild>
        <w:div w:id="1206983101">
          <w:marLeft w:val="0"/>
          <w:marRight w:val="0"/>
          <w:marTop w:val="0"/>
          <w:marBottom w:val="0"/>
          <w:divBdr>
            <w:top w:val="none" w:sz="0" w:space="0" w:color="auto"/>
            <w:left w:val="none" w:sz="0" w:space="0" w:color="auto"/>
            <w:bottom w:val="none" w:sz="0" w:space="0" w:color="auto"/>
            <w:right w:val="none" w:sz="0" w:space="0" w:color="auto"/>
          </w:divBdr>
        </w:div>
      </w:divsChild>
    </w:div>
    <w:div w:id="2058777939">
      <w:bodyDiv w:val="1"/>
      <w:marLeft w:val="0"/>
      <w:marRight w:val="0"/>
      <w:marTop w:val="0"/>
      <w:marBottom w:val="0"/>
      <w:divBdr>
        <w:top w:val="none" w:sz="0" w:space="0" w:color="auto"/>
        <w:left w:val="none" w:sz="0" w:space="0" w:color="auto"/>
        <w:bottom w:val="none" w:sz="0" w:space="0" w:color="auto"/>
        <w:right w:val="none" w:sz="0" w:space="0" w:color="auto"/>
      </w:divBdr>
      <w:divsChild>
        <w:div w:id="1841236165">
          <w:marLeft w:val="0"/>
          <w:marRight w:val="0"/>
          <w:marTop w:val="0"/>
          <w:marBottom w:val="0"/>
          <w:divBdr>
            <w:top w:val="none" w:sz="0" w:space="0" w:color="auto"/>
            <w:left w:val="none" w:sz="0" w:space="0" w:color="auto"/>
            <w:bottom w:val="none" w:sz="0" w:space="0" w:color="auto"/>
            <w:right w:val="none" w:sz="0" w:space="0" w:color="auto"/>
          </w:divBdr>
        </w:div>
      </w:divsChild>
    </w:div>
    <w:div w:id="2144880390">
      <w:bodyDiv w:val="1"/>
      <w:marLeft w:val="0"/>
      <w:marRight w:val="0"/>
      <w:marTop w:val="0"/>
      <w:marBottom w:val="0"/>
      <w:divBdr>
        <w:top w:val="none" w:sz="0" w:space="0" w:color="auto"/>
        <w:left w:val="none" w:sz="0" w:space="0" w:color="auto"/>
        <w:bottom w:val="none" w:sz="0" w:space="0" w:color="auto"/>
        <w:right w:val="none" w:sz="0" w:space="0" w:color="auto"/>
      </w:divBdr>
      <w:divsChild>
        <w:div w:id="423368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centure.com/gb-en/insights/banking/customer-research-banking" TargetMode="External"/><Relationship Id="rId13" Type="http://schemas.openxmlformats.org/officeDocument/2006/relationships/hyperlink" Target="https://www.deloitte.com/uk/en/issues/work/gen-z-millennial-survey.html" TargetMode="External"/><Relationship Id="rId18" Type="http://schemas.openxmlformats.org/officeDocument/2006/relationships/hyperlink" Target="https://doi.org/10.1080/08956308.2019.1613123"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ukfinance.org.uk/policy-and-guidance/reports-and-publications" TargetMode="External"/><Relationship Id="rId7" Type="http://schemas.openxmlformats.org/officeDocument/2006/relationships/chart" Target="charts/chart1.xml"/><Relationship Id="rId12" Type="http://schemas.openxmlformats.org/officeDocument/2006/relationships/hyperlink" Target="https://www.gov.uk/cma-cases/review-of-banking-for-small-and-medium-sized-businesses-smes-in-the-uk" TargetMode="External"/><Relationship Id="rId17" Type="http://schemas.openxmlformats.org/officeDocument/2006/relationships/hyperlink" Target="https://doi.org/10.1108/IJBM-11-2016-0181"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doi.org/10.1509/jm.15.0420" TargetMode="External"/><Relationship Id="rId20" Type="http://schemas.openxmlformats.org/officeDocument/2006/relationships/hyperlink" Target="https://doi.org/10.5539/ibr.v11n9p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ome.barclays/investor-relations/" TargetMode="External"/><Relationship Id="rId24" Type="http://schemas.openxmlformats.org/officeDocument/2006/relationships/hyperlink" Target="https://doi.org/10.1016/j.jsis.2016.10.001" TargetMode="External"/><Relationship Id="rId5" Type="http://schemas.openxmlformats.org/officeDocument/2006/relationships/footnotes" Target="footnotes.xml"/><Relationship Id="rId15" Type="http://schemas.openxmlformats.org/officeDocument/2006/relationships/hyperlink" Target="https://doi.org/10.1016/j.bushor.2017.09.003" TargetMode="External"/><Relationship Id="rId23" Type="http://schemas.openxmlformats.org/officeDocument/2006/relationships/hyperlink" Target="https://doi.org/10.3138/9781487531485" TargetMode="External"/><Relationship Id="rId10" Type="http://schemas.openxmlformats.org/officeDocument/2006/relationships/hyperlink" Target="https://home.barclays/investor-relations/reports-and-events/annual-reports/" TargetMode="External"/><Relationship Id="rId19" Type="http://schemas.openxmlformats.org/officeDocument/2006/relationships/hyperlink" Target="https://hbr.org/2012/05/managing-your-innovation-portfolio" TargetMode="External"/><Relationship Id="rId4" Type="http://schemas.openxmlformats.org/officeDocument/2006/relationships/webSettings" Target="webSettings.xml"/><Relationship Id="rId9" Type="http://schemas.openxmlformats.org/officeDocument/2006/relationships/hyperlink" Target="https://www.bankofengland.co.uk/financial-stability/climate-change" TargetMode="External"/><Relationship Id="rId14" Type="http://schemas.openxmlformats.org/officeDocument/2006/relationships/hyperlink" Target="https://www.fca.org.uk/publications/research/financial-lives-survey-2024" TargetMode="External"/><Relationship Id="rId22" Type="http://schemas.openxmlformats.org/officeDocument/2006/relationships/hyperlink" Target="https://www.ukfinance.org.uk/data-and-research" TargetMode="Externa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Digital</a:t>
            </a:r>
            <a:r>
              <a:rPr lang="en-US" b="1" baseline="0"/>
              <a:t> Banking Channel Preference by Age Group</a:t>
            </a:r>
            <a:endParaRPr lang="en-US"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MOBILE APP</c:v>
                </c:pt>
              </c:strCache>
            </c:strRef>
          </c:tx>
          <c:spPr>
            <a:solidFill>
              <a:schemeClr val="accent1"/>
            </a:solidFill>
            <a:ln>
              <a:noFill/>
            </a:ln>
            <a:effectLst/>
          </c:spPr>
          <c:invertIfNegative val="0"/>
          <c:cat>
            <c:strRef>
              <c:f>Sheet1!$A$2:$A$7</c:f>
              <c:strCache>
                <c:ptCount val="6"/>
                <c:pt idx="0">
                  <c:v>18-24 yrs</c:v>
                </c:pt>
                <c:pt idx="1">
                  <c:v>25-34 yrs</c:v>
                </c:pt>
                <c:pt idx="2">
                  <c:v>35-44 yrs</c:v>
                </c:pt>
                <c:pt idx="3">
                  <c:v>45-54 yrs</c:v>
                </c:pt>
                <c:pt idx="4">
                  <c:v>55-64 yrs</c:v>
                </c:pt>
                <c:pt idx="5">
                  <c:v>65+ yrs</c:v>
                </c:pt>
              </c:strCache>
            </c:strRef>
          </c:cat>
          <c:val>
            <c:numRef>
              <c:f>Sheet1!$B$2:$B$7</c:f>
              <c:numCache>
                <c:formatCode>0%</c:formatCode>
                <c:ptCount val="6"/>
                <c:pt idx="0">
                  <c:v>0.89</c:v>
                </c:pt>
                <c:pt idx="1">
                  <c:v>0.94</c:v>
                </c:pt>
                <c:pt idx="2">
                  <c:v>0.82</c:v>
                </c:pt>
                <c:pt idx="3">
                  <c:v>0.71</c:v>
                </c:pt>
                <c:pt idx="4">
                  <c:v>0.57999999999999996</c:v>
                </c:pt>
                <c:pt idx="5">
                  <c:v>0.34</c:v>
                </c:pt>
              </c:numCache>
            </c:numRef>
          </c:val>
          <c:extLst>
            <c:ext xmlns:c16="http://schemas.microsoft.com/office/drawing/2014/chart" uri="{C3380CC4-5D6E-409C-BE32-E72D297353CC}">
              <c16:uniqueId val="{00000000-2872-44B3-B16E-3EF9E3840C5C}"/>
            </c:ext>
          </c:extLst>
        </c:ser>
        <c:ser>
          <c:idx val="1"/>
          <c:order val="1"/>
          <c:tx>
            <c:strRef>
              <c:f>Sheet1!$C$1</c:f>
              <c:strCache>
                <c:ptCount val="1"/>
                <c:pt idx="0">
                  <c:v>ONLINE BANKING</c:v>
                </c:pt>
              </c:strCache>
            </c:strRef>
          </c:tx>
          <c:spPr>
            <a:solidFill>
              <a:schemeClr val="accent2"/>
            </a:solidFill>
            <a:ln>
              <a:noFill/>
            </a:ln>
            <a:effectLst/>
          </c:spPr>
          <c:invertIfNegative val="0"/>
          <c:cat>
            <c:strRef>
              <c:f>Sheet1!$A$2:$A$7</c:f>
              <c:strCache>
                <c:ptCount val="6"/>
                <c:pt idx="0">
                  <c:v>18-24 yrs</c:v>
                </c:pt>
                <c:pt idx="1">
                  <c:v>25-34 yrs</c:v>
                </c:pt>
                <c:pt idx="2">
                  <c:v>35-44 yrs</c:v>
                </c:pt>
                <c:pt idx="3">
                  <c:v>45-54 yrs</c:v>
                </c:pt>
                <c:pt idx="4">
                  <c:v>55-64 yrs</c:v>
                </c:pt>
                <c:pt idx="5">
                  <c:v>65+ yrs</c:v>
                </c:pt>
              </c:strCache>
            </c:strRef>
          </c:cat>
          <c:val>
            <c:numRef>
              <c:f>Sheet1!$C$2:$C$7</c:f>
              <c:numCache>
                <c:formatCode>0%</c:formatCode>
                <c:ptCount val="6"/>
                <c:pt idx="0">
                  <c:v>0.45</c:v>
                </c:pt>
                <c:pt idx="1">
                  <c:v>0.57999999999999996</c:v>
                </c:pt>
                <c:pt idx="2">
                  <c:v>0.67</c:v>
                </c:pt>
                <c:pt idx="3">
                  <c:v>0.72</c:v>
                </c:pt>
                <c:pt idx="4">
                  <c:v>0.65</c:v>
                </c:pt>
                <c:pt idx="5">
                  <c:v>0.51</c:v>
                </c:pt>
              </c:numCache>
            </c:numRef>
          </c:val>
          <c:extLst>
            <c:ext xmlns:c16="http://schemas.microsoft.com/office/drawing/2014/chart" uri="{C3380CC4-5D6E-409C-BE32-E72D297353CC}">
              <c16:uniqueId val="{00000001-2872-44B3-B16E-3EF9E3840C5C}"/>
            </c:ext>
          </c:extLst>
        </c:ser>
        <c:ser>
          <c:idx val="2"/>
          <c:order val="2"/>
          <c:tx>
            <c:strRef>
              <c:f>Sheet1!$D$1</c:f>
              <c:strCache>
                <c:ptCount val="1"/>
                <c:pt idx="0">
                  <c:v>BRANCH</c:v>
                </c:pt>
              </c:strCache>
            </c:strRef>
          </c:tx>
          <c:spPr>
            <a:solidFill>
              <a:schemeClr val="accent3"/>
            </a:solidFill>
            <a:ln>
              <a:noFill/>
            </a:ln>
            <a:effectLst/>
          </c:spPr>
          <c:invertIfNegative val="0"/>
          <c:cat>
            <c:strRef>
              <c:f>Sheet1!$A$2:$A$7</c:f>
              <c:strCache>
                <c:ptCount val="6"/>
                <c:pt idx="0">
                  <c:v>18-24 yrs</c:v>
                </c:pt>
                <c:pt idx="1">
                  <c:v>25-34 yrs</c:v>
                </c:pt>
                <c:pt idx="2">
                  <c:v>35-44 yrs</c:v>
                </c:pt>
                <c:pt idx="3">
                  <c:v>45-54 yrs</c:v>
                </c:pt>
                <c:pt idx="4">
                  <c:v>55-64 yrs</c:v>
                </c:pt>
                <c:pt idx="5">
                  <c:v>65+ yrs</c:v>
                </c:pt>
              </c:strCache>
            </c:strRef>
          </c:cat>
          <c:val>
            <c:numRef>
              <c:f>Sheet1!$D$2:$D$7</c:f>
              <c:numCache>
                <c:formatCode>0%</c:formatCode>
                <c:ptCount val="6"/>
                <c:pt idx="0">
                  <c:v>0.12</c:v>
                </c:pt>
                <c:pt idx="1">
                  <c:v>0.15</c:v>
                </c:pt>
                <c:pt idx="2">
                  <c:v>0.23</c:v>
                </c:pt>
                <c:pt idx="3">
                  <c:v>0.31</c:v>
                </c:pt>
                <c:pt idx="4">
                  <c:v>0.45</c:v>
                </c:pt>
                <c:pt idx="5">
                  <c:v>0.62</c:v>
                </c:pt>
              </c:numCache>
            </c:numRef>
          </c:val>
          <c:extLst>
            <c:ext xmlns:c16="http://schemas.microsoft.com/office/drawing/2014/chart" uri="{C3380CC4-5D6E-409C-BE32-E72D297353CC}">
              <c16:uniqueId val="{00000002-2872-44B3-B16E-3EF9E3840C5C}"/>
            </c:ext>
          </c:extLst>
        </c:ser>
        <c:ser>
          <c:idx val="3"/>
          <c:order val="3"/>
          <c:tx>
            <c:strRef>
              <c:f>Sheet1!$E$1</c:f>
              <c:strCache>
                <c:ptCount val="1"/>
                <c:pt idx="0">
                  <c:v>PHONE</c:v>
                </c:pt>
              </c:strCache>
            </c:strRef>
          </c:tx>
          <c:spPr>
            <a:solidFill>
              <a:schemeClr val="accent4"/>
            </a:solidFill>
            <a:ln>
              <a:noFill/>
            </a:ln>
            <a:effectLst/>
          </c:spPr>
          <c:invertIfNegative val="0"/>
          <c:cat>
            <c:strRef>
              <c:f>Sheet1!$A$2:$A$7</c:f>
              <c:strCache>
                <c:ptCount val="6"/>
                <c:pt idx="0">
                  <c:v>18-24 yrs</c:v>
                </c:pt>
                <c:pt idx="1">
                  <c:v>25-34 yrs</c:v>
                </c:pt>
                <c:pt idx="2">
                  <c:v>35-44 yrs</c:v>
                </c:pt>
                <c:pt idx="3">
                  <c:v>45-54 yrs</c:v>
                </c:pt>
                <c:pt idx="4">
                  <c:v>55-64 yrs</c:v>
                </c:pt>
                <c:pt idx="5">
                  <c:v>65+ yrs</c:v>
                </c:pt>
              </c:strCache>
            </c:strRef>
          </c:cat>
          <c:val>
            <c:numRef>
              <c:f>Sheet1!$E$2:$E$7</c:f>
              <c:numCache>
                <c:formatCode>0%</c:formatCode>
                <c:ptCount val="6"/>
                <c:pt idx="0">
                  <c:v>0.08</c:v>
                </c:pt>
                <c:pt idx="1">
                  <c:v>0.11</c:v>
                </c:pt>
                <c:pt idx="2">
                  <c:v>0.14000000000000001</c:v>
                </c:pt>
                <c:pt idx="3">
                  <c:v>0.22</c:v>
                </c:pt>
                <c:pt idx="4">
                  <c:v>0.28000000000000003</c:v>
                </c:pt>
                <c:pt idx="5">
                  <c:v>0.38</c:v>
                </c:pt>
              </c:numCache>
            </c:numRef>
          </c:val>
          <c:extLst>
            <c:ext xmlns:c16="http://schemas.microsoft.com/office/drawing/2014/chart" uri="{C3380CC4-5D6E-409C-BE32-E72D297353CC}">
              <c16:uniqueId val="{00000003-2872-44B3-B16E-3EF9E3840C5C}"/>
            </c:ext>
          </c:extLst>
        </c:ser>
        <c:dLbls>
          <c:showLegendKey val="0"/>
          <c:showVal val="0"/>
          <c:showCatName val="0"/>
          <c:showSerName val="0"/>
          <c:showPercent val="0"/>
          <c:showBubbleSize val="0"/>
        </c:dLbls>
        <c:gapWidth val="219"/>
        <c:overlap val="-27"/>
        <c:axId val="171733103"/>
        <c:axId val="233591279"/>
      </c:barChart>
      <c:catAx>
        <c:axId val="17173310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3591279"/>
        <c:crosses val="autoZero"/>
        <c:auto val="1"/>
        <c:lblAlgn val="ctr"/>
        <c:lblOffset val="100"/>
        <c:noMultiLvlLbl val="0"/>
      </c:catAx>
      <c:valAx>
        <c:axId val="233591279"/>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73310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19</Pages>
  <Words>5439</Words>
  <Characters>31004</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Henna Nazir</cp:lastModifiedBy>
  <cp:revision>2</cp:revision>
  <dcterms:created xsi:type="dcterms:W3CDTF">2026-02-23T12:37:00Z</dcterms:created>
  <dcterms:modified xsi:type="dcterms:W3CDTF">2026-02-23T12:37:00Z</dcterms:modified>
</cp:coreProperties>
</file>