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t xml:space="preserve">What does 1 Maccabees 1 tell us about the persecution of Jews by Antiochus IV Epiphanes?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Maccabees 1 was written by a Jewish author in the second century BCE and it contains the troubled history of the period 175-134 BCE of the Jews, with the first chapter describing the hardship under the authority of Antiochus IV Epiphanes.</w:t>
      </w:r>
      <w:r w:rsidDel="00000000" w:rsidR="00000000" w:rsidRPr="00000000">
        <w:rPr>
          <w:vertAlign w:val="superscript"/>
        </w:rPr>
        <w:footnoteReference w:customMarkFollows="0" w:id="0"/>
      </w:r>
      <w:r w:rsidDel="00000000" w:rsidR="00000000" w:rsidRPr="00000000">
        <w:rPr>
          <w:rtl w:val="0"/>
        </w:rPr>
        <w:t xml:space="preserve"> </w:t>
      </w:r>
      <w:r w:rsidDel="00000000" w:rsidR="00000000" w:rsidRPr="00000000">
        <w:rPr>
          <w:b w:val="1"/>
          <w:highlight w:val="white"/>
          <w:rtl w:val="0"/>
        </w:rPr>
        <w:t xml:space="preserve">‘</w:t>
      </w:r>
      <w:r w:rsidDel="00000000" w:rsidR="00000000" w:rsidRPr="00000000">
        <w:rPr>
          <w:highlight w:val="white"/>
          <w:rtl w:val="0"/>
        </w:rPr>
        <w:t xml:space="preserve">He went up against Israel and came to Jerusalem with a strong force.’</w:t>
      </w:r>
      <w:r w:rsidDel="00000000" w:rsidR="00000000" w:rsidRPr="00000000">
        <w:rPr>
          <w:highlight w:val="white"/>
          <w:vertAlign w:val="superscript"/>
        </w:rPr>
        <w:footnoteReference w:customMarkFollows="0" w:id="1"/>
      </w:r>
      <w:r w:rsidDel="00000000" w:rsidR="00000000" w:rsidRPr="00000000">
        <w:rPr>
          <w:highlight w:val="white"/>
          <w:rtl w:val="0"/>
        </w:rPr>
        <w:t xml:space="preserve"> Sections of the first chapter </w:t>
      </w:r>
      <w:r w:rsidDel="00000000" w:rsidR="00000000" w:rsidRPr="00000000">
        <w:rPr>
          <w:rtl w:val="0"/>
        </w:rPr>
        <w:t xml:space="preserve">details the persecution of the Jews by Antiochus and his forces as he tried to make them conform to his rule. This report examines what Maccabees 1 can tell us about the forms of persecution suffered by the Jews at this time. Antiochus IV Epiphanes was the son of Antiochus the King of Syria, after the death of Alexander the Great. The book was written from the perspective of the Jews that lived in Jerusalem/Judea at that time. This report provides a textual analysis of Maccabees 1 focusing on the descriptions of persecution and explores how this persecution impacted on Jewish worship, beliefs and identity. Maccabees 1 was written in the second century BCE which was the same century that the persecution occurred.</w:t>
      </w:r>
      <w:r w:rsidDel="00000000" w:rsidR="00000000" w:rsidRPr="00000000">
        <w:rPr>
          <w:vertAlign w:val="superscript"/>
        </w:rPr>
        <w:footnoteReference w:customMarkFollows="0" w:id="2"/>
      </w:r>
      <w:r w:rsidDel="00000000" w:rsidR="00000000" w:rsidRPr="00000000">
        <w:rPr>
          <w:rtl w:val="0"/>
        </w:rPr>
        <w:t xml:space="preserve"> The events are given in much detail making it a very important piece of evidence when looking at Jewish struggle to maintain their beliefs and identity under an oppressive regime.   </w:t>
      </w:r>
    </w:p>
    <w:p w:rsidR="00000000" w:rsidDel="00000000" w:rsidP="00000000" w:rsidRDefault="00000000" w:rsidRPr="00000000" w14:paraId="00000004">
      <w:pPr>
        <w:ind w:left="0" w:firstLine="0"/>
        <w:rPr/>
      </w:pPr>
      <w:r w:rsidDel="00000000" w:rsidR="00000000" w:rsidRPr="00000000">
        <w:rPr>
          <w:rtl w:val="0"/>
        </w:rPr>
      </w:r>
    </w:p>
    <w:p w:rsidR="00000000" w:rsidDel="00000000" w:rsidP="00000000" w:rsidRDefault="00000000" w:rsidRPr="00000000" w14:paraId="00000005">
      <w:pPr>
        <w:rPr>
          <w:u w:val="single"/>
        </w:rPr>
      </w:pPr>
      <w:r w:rsidDel="00000000" w:rsidR="00000000" w:rsidRPr="00000000">
        <w:rPr>
          <w:u w:val="single"/>
          <w:rtl w:val="0"/>
        </w:rPr>
        <w:t xml:space="preserve">Circumcision</w:t>
      </w:r>
    </w:p>
    <w:p w:rsidR="00000000" w:rsidDel="00000000" w:rsidP="00000000" w:rsidRDefault="00000000" w:rsidRPr="00000000" w14:paraId="00000006">
      <w:pPr>
        <w:rPr>
          <w:highlight w:val="white"/>
        </w:rPr>
      </w:pPr>
      <w:r w:rsidDel="00000000" w:rsidR="00000000" w:rsidRPr="00000000">
        <w:rPr>
          <w:rtl w:val="0"/>
        </w:rPr>
        <w:t xml:space="preserve">The common definition of circumcision is the removal of the foreskin. Although it is not known why this is very important to the Jewish people. In the Hellenistic period under the rule of the syrian power, this right to circumcise their young boys was taken away from the Jews. As told in 1 Maccabees,‘...</w:t>
      </w:r>
      <w:r w:rsidDel="00000000" w:rsidR="00000000" w:rsidRPr="00000000">
        <w:rPr>
          <w:highlight w:val="white"/>
          <w:rtl w:val="0"/>
        </w:rPr>
        <w:t xml:space="preserve"> to leave their sons uncircumcised’, was the order given from Antiochus Epiphanes to the practicing Jews.</w:t>
      </w:r>
      <w:r w:rsidDel="00000000" w:rsidR="00000000" w:rsidRPr="00000000">
        <w:rPr>
          <w:highlight w:val="white"/>
          <w:vertAlign w:val="superscript"/>
        </w:rPr>
        <w:footnoteReference w:customMarkFollows="0" w:id="3"/>
      </w:r>
      <w:r w:rsidDel="00000000" w:rsidR="00000000" w:rsidRPr="00000000">
        <w:rPr>
          <w:highlight w:val="white"/>
          <w:rtl w:val="0"/>
        </w:rPr>
        <w:t xml:space="preserve"> Taking this right from the Jews was another form of persecution of the Jews from Antiochus IV. The result of this persecution was the formed belief that if they gave in to the order then they would become gentiles themselves. With the belief of becoming gentiles it gave way to the belief that they had, ‘sold themselves to do evil.’</w:t>
      </w:r>
      <w:r w:rsidDel="00000000" w:rsidR="00000000" w:rsidRPr="00000000">
        <w:rPr>
          <w:highlight w:val="white"/>
          <w:vertAlign w:val="superscript"/>
        </w:rPr>
        <w:footnoteReference w:customMarkFollows="0" w:id="4"/>
      </w:r>
      <w:r w:rsidDel="00000000" w:rsidR="00000000" w:rsidRPr="00000000">
        <w:rPr>
          <w:highlight w:val="white"/>
          <w:rtl w:val="0"/>
        </w:rPr>
        <w:t xml:space="preserve">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u w:val="single"/>
        </w:rPr>
      </w:pPr>
      <w:r w:rsidDel="00000000" w:rsidR="00000000" w:rsidRPr="00000000">
        <w:rPr>
          <w:u w:val="single"/>
          <w:rtl w:val="0"/>
        </w:rPr>
        <w:t xml:space="preserve">Gymnasium</w:t>
      </w:r>
    </w:p>
    <w:p w:rsidR="00000000" w:rsidDel="00000000" w:rsidP="00000000" w:rsidRDefault="00000000" w:rsidRPr="00000000" w14:paraId="00000009">
      <w:pPr>
        <w:rPr/>
      </w:pPr>
      <w:r w:rsidDel="00000000" w:rsidR="00000000" w:rsidRPr="00000000">
        <w:rPr>
          <w:highlight w:val="white"/>
          <w:rtl w:val="0"/>
        </w:rPr>
        <w:t xml:space="preserve">A gymnasium has its origins in Greece and was built as a place that could hold athletic activities.</w:t>
      </w:r>
      <w:r w:rsidDel="00000000" w:rsidR="00000000" w:rsidRPr="00000000">
        <w:rPr>
          <w:highlight w:val="white"/>
          <w:vertAlign w:val="superscript"/>
        </w:rPr>
        <w:footnoteReference w:customMarkFollows="0" w:id="5"/>
      </w:r>
      <w:r w:rsidDel="00000000" w:rsidR="00000000" w:rsidRPr="00000000">
        <w:rPr>
          <w:highlight w:val="white"/>
          <w:rtl w:val="0"/>
        </w:rPr>
        <w:t xml:space="preserve"> As Antiochus IV came after the rule of Alexander the Great who brought most of the known world together this tradition was common practice. This meant that when Antiochus IV started to have influence over Jerusalem and surrounding areas, he gave orders to have one built. This is evident from 1 Maccabees, </w:t>
      </w:r>
      <w:r w:rsidDel="00000000" w:rsidR="00000000" w:rsidRPr="00000000">
        <w:rPr>
          <w:b w:val="1"/>
          <w:highlight w:val="white"/>
          <w:rtl w:val="0"/>
        </w:rPr>
        <w:t xml:space="preserve">‘</w:t>
      </w:r>
      <w:r w:rsidDel="00000000" w:rsidR="00000000" w:rsidRPr="00000000">
        <w:rPr>
          <w:highlight w:val="white"/>
          <w:rtl w:val="0"/>
        </w:rPr>
        <w:t xml:space="preserve">So they built a gymnasium in Jerusalem, according to Gentile custom,...’, which once again was a form of persecution and forced change by Antiochus IV.</w:t>
      </w:r>
      <w:r w:rsidDel="00000000" w:rsidR="00000000" w:rsidRPr="00000000">
        <w:rPr>
          <w:highlight w:val="white"/>
          <w:vertAlign w:val="superscript"/>
        </w:rPr>
        <w:footnoteReference w:customMarkFollows="0" w:id="6"/>
      </w:r>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u w:val="single"/>
        </w:rPr>
      </w:pPr>
      <w:r w:rsidDel="00000000" w:rsidR="00000000" w:rsidRPr="00000000">
        <w:rPr>
          <w:u w:val="single"/>
          <w:rtl w:val="0"/>
        </w:rPr>
        <w:t xml:space="preserve">Food taboos/divine law</w:t>
      </w:r>
    </w:p>
    <w:p w:rsidR="00000000" w:rsidDel="00000000" w:rsidP="00000000" w:rsidRDefault="00000000" w:rsidRPr="00000000" w14:paraId="0000000C">
      <w:pPr>
        <w:rPr/>
      </w:pPr>
      <w:r w:rsidDel="00000000" w:rsidR="00000000" w:rsidRPr="00000000">
        <w:rPr>
          <w:rtl w:val="0"/>
        </w:rPr>
        <w:t xml:space="preserve">As part of the religious practices of the Jewish people, they were not permitted to consume some forms of meat. Once again despite the importance of this to the Jewish culture, Antiochus IV chose to persecute this practice as well. </w:t>
      </w:r>
      <w:r w:rsidDel="00000000" w:rsidR="00000000" w:rsidRPr="00000000">
        <w:rPr>
          <w:rtl w:val="0"/>
        </w:rPr>
        <w:t xml:space="preserve">‘</w:t>
      </w:r>
      <w:r w:rsidDel="00000000" w:rsidR="00000000" w:rsidRPr="00000000">
        <w:rPr>
          <w:highlight w:val="white"/>
          <w:rtl w:val="0"/>
        </w:rPr>
        <w:t xml:space="preserve">B</w:t>
      </w:r>
      <w:r w:rsidDel="00000000" w:rsidR="00000000" w:rsidRPr="00000000">
        <w:rPr>
          <w:highlight w:val="white"/>
          <w:rtl w:val="0"/>
        </w:rPr>
        <w:t xml:space="preserve">ut many in Israel stood firm and were resolved in their hearts not to eat unclean food.’ </w:t>
      </w:r>
      <w:r w:rsidDel="00000000" w:rsidR="00000000" w:rsidRPr="00000000">
        <w:rPr>
          <w:highlight w:val="white"/>
          <w:vertAlign w:val="superscript"/>
        </w:rPr>
        <w:footnoteReference w:customMarkFollows="0" w:id="7"/>
      </w:r>
      <w:r w:rsidDel="00000000" w:rsidR="00000000" w:rsidRPr="00000000">
        <w:rPr>
          <w:highlight w:val="white"/>
          <w:rtl w:val="0"/>
        </w:rPr>
        <w:t xml:space="preserve"> From this it can be suggested that there was some resistance from the Jewish people, although by doing this they would be at serious risk of being killed. </w:t>
      </w: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u w:val="single"/>
        </w:rPr>
      </w:pPr>
      <w:r w:rsidDel="00000000" w:rsidR="00000000" w:rsidRPr="00000000">
        <w:rPr>
          <w:u w:val="single"/>
          <w:rtl w:val="0"/>
        </w:rPr>
        <w:t xml:space="preserve">The Holy Covenant</w:t>
      </w:r>
    </w:p>
    <w:p w:rsidR="00000000" w:rsidDel="00000000" w:rsidP="00000000" w:rsidRDefault="00000000" w:rsidRPr="00000000" w14:paraId="0000000F">
      <w:pPr>
        <w:rPr/>
      </w:pPr>
      <w:r w:rsidDel="00000000" w:rsidR="00000000" w:rsidRPr="00000000">
        <w:rPr>
          <w:rtl w:val="0"/>
        </w:rPr>
        <w:t xml:space="preserve">Part of the holy covenant the reading, speaking and listening to prayers, hymns and stories in the temple was practiced by the Jews. However, as part of the persecution of Jews, </w:t>
      </w:r>
      <w:r w:rsidDel="00000000" w:rsidR="00000000" w:rsidRPr="00000000">
        <w:rPr>
          <w:rtl w:val="0"/>
        </w:rPr>
        <w:t xml:space="preserve">‘</w:t>
      </w:r>
      <w:r w:rsidDel="00000000" w:rsidR="00000000" w:rsidRPr="00000000">
        <w:rPr>
          <w:highlight w:val="white"/>
          <w:rtl w:val="0"/>
        </w:rPr>
        <w:t xml:space="preserve">The books of the law that they found they tore to pieces and burned with fire.’ and ‘Anyone found possessing the book of the covenant, or anyone who adhered to the law, was condemned to death by decree of the king.’ </w:t>
      </w:r>
      <w:r w:rsidDel="00000000" w:rsidR="00000000" w:rsidRPr="00000000">
        <w:rPr>
          <w:highlight w:val="white"/>
          <w:vertAlign w:val="superscript"/>
        </w:rPr>
        <w:footnoteReference w:customMarkFollows="0" w:id="8"/>
      </w:r>
      <w:r w:rsidDel="00000000" w:rsidR="00000000" w:rsidRPr="00000000">
        <w:rPr>
          <w:highlight w:val="white"/>
          <w:rtl w:val="0"/>
        </w:rPr>
        <w:t xml:space="preserve"> Being put to death was a very severe consequence for the people of Jersulem who just wanted to worship the way they had done for years. Death was the most extreme form of persecution that Antiochus IV inflicted.</w:t>
      </w: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u w:val="single"/>
        </w:rPr>
      </w:pPr>
      <w:r w:rsidDel="00000000" w:rsidR="00000000" w:rsidRPr="00000000">
        <w:rPr>
          <w:u w:val="single"/>
          <w:rtl w:val="0"/>
        </w:rPr>
        <w:t xml:space="preserve">Worship in the Temple</w:t>
      </w:r>
    </w:p>
    <w:p w:rsidR="00000000" w:rsidDel="00000000" w:rsidP="00000000" w:rsidRDefault="00000000" w:rsidRPr="00000000" w14:paraId="00000012">
      <w:pPr>
        <w:rPr/>
      </w:pPr>
      <w:r w:rsidDel="00000000" w:rsidR="00000000" w:rsidRPr="00000000">
        <w:rPr>
          <w:rtl w:val="0"/>
        </w:rPr>
        <w:t xml:space="preserve">Linked to the holy covenant and the holy books, worshiping in the temple was arguably the most important aspect of Jewish religion. Once again the right to worship the way they were used to was taken from them. 1 Maccabees accounts the many changes in detail including Antiochus IV, </w:t>
      </w:r>
      <w:r w:rsidDel="00000000" w:rsidR="00000000" w:rsidRPr="00000000">
        <w:rPr>
          <w:rtl w:val="0"/>
        </w:rPr>
        <w:t xml:space="preserve">‘</w:t>
      </w:r>
      <w:r w:rsidDel="00000000" w:rsidR="00000000" w:rsidRPr="00000000">
        <w:rPr>
          <w:highlight w:val="white"/>
          <w:rtl w:val="0"/>
        </w:rPr>
        <w:t xml:space="preserve">...</w:t>
      </w:r>
      <w:r w:rsidDel="00000000" w:rsidR="00000000" w:rsidRPr="00000000">
        <w:rPr>
          <w:highlight w:val="white"/>
          <w:rtl w:val="0"/>
        </w:rPr>
        <w:t xml:space="preserve">forbid burnt offerings and sacrifices and drink offerings in the sanctuary, to profane sabbaths and festivals,</w:t>
      </w:r>
      <w:r w:rsidDel="00000000" w:rsidR="00000000" w:rsidRPr="00000000">
        <w:rPr>
          <w:b w:val="1"/>
          <w:highlight w:val="white"/>
          <w:rtl w:val="0"/>
        </w:rPr>
        <w:t xml:space="preserve"> </w:t>
      </w:r>
      <w:r w:rsidDel="00000000" w:rsidR="00000000" w:rsidRPr="00000000">
        <w:rPr>
          <w:highlight w:val="white"/>
          <w:rtl w:val="0"/>
        </w:rPr>
        <w:t xml:space="preserve">to defile the sanctuary and the priests, to build altars and sacred precincts and shrines for idols, to sacrifice swine and other unclean animals,...’ </w:t>
      </w:r>
      <w:r w:rsidDel="00000000" w:rsidR="00000000" w:rsidRPr="00000000">
        <w:rPr>
          <w:highlight w:val="white"/>
          <w:vertAlign w:val="superscript"/>
        </w:rPr>
        <w:footnoteReference w:customMarkFollows="0" w:id="9"/>
      </w:r>
      <w:r w:rsidDel="00000000" w:rsidR="00000000" w:rsidRPr="00000000">
        <w:rPr>
          <w:highlight w:val="white"/>
          <w:rtl w:val="0"/>
        </w:rPr>
        <w:t xml:space="preserve"> All of the changes were very disrespectful towards the Jews and were a form of religious persecution by Antiochus IV.</w:t>
      </w: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u w:val="single"/>
          <w:rtl w:val="0"/>
        </w:rPr>
        <w:t xml:space="preserve">Taking of sacred items </w:t>
      </w:r>
      <w:r w:rsidDel="00000000" w:rsidR="00000000" w:rsidRPr="00000000">
        <w:rPr>
          <w:rtl w:val="0"/>
        </w:rPr>
        <w:t xml:space="preserve"> </w:t>
      </w:r>
    </w:p>
    <w:p w:rsidR="00000000" w:rsidDel="00000000" w:rsidP="00000000" w:rsidRDefault="00000000" w:rsidRPr="00000000" w14:paraId="00000015">
      <w:pPr>
        <w:rPr>
          <w:highlight w:val="white"/>
        </w:rPr>
      </w:pPr>
      <w:r w:rsidDel="00000000" w:rsidR="00000000" w:rsidRPr="00000000">
        <w:rPr>
          <w:highlight w:val="white"/>
          <w:rtl w:val="0"/>
        </w:rPr>
        <w:t xml:space="preserve">As part of the changes to the way the temple was to be used, Antiochus Epiphanes disrespectfully entered the sanctuary and </w:t>
      </w:r>
      <w:r w:rsidDel="00000000" w:rsidR="00000000" w:rsidRPr="00000000">
        <w:rPr>
          <w:b w:val="1"/>
          <w:highlight w:val="white"/>
          <w:rtl w:val="0"/>
        </w:rPr>
        <w:t xml:space="preserve">‘</w:t>
      </w:r>
      <w:r w:rsidDel="00000000" w:rsidR="00000000" w:rsidRPr="00000000">
        <w:rPr>
          <w:highlight w:val="white"/>
          <w:rtl w:val="0"/>
        </w:rPr>
        <w:t xml:space="preserve">...</w:t>
      </w:r>
      <w:r w:rsidDel="00000000" w:rsidR="00000000" w:rsidRPr="00000000">
        <w:rPr>
          <w:highlight w:val="white"/>
          <w:rtl w:val="0"/>
        </w:rPr>
        <w:t xml:space="preserve">took the golden altar, the lampstand for the light, and all its utensils.’</w:t>
      </w:r>
      <w:r w:rsidDel="00000000" w:rsidR="00000000" w:rsidRPr="00000000">
        <w:rPr>
          <w:highlight w:val="white"/>
          <w:vertAlign w:val="superscript"/>
        </w:rPr>
        <w:footnoteReference w:customMarkFollows="0" w:id="10"/>
      </w:r>
      <w:r w:rsidDel="00000000" w:rsidR="00000000" w:rsidRPr="00000000">
        <w:rPr>
          <w:highlight w:val="white"/>
          <w:rtl w:val="0"/>
        </w:rPr>
        <w:t xml:space="preserve"> He also took </w:t>
      </w:r>
      <w:r w:rsidDel="00000000" w:rsidR="00000000" w:rsidRPr="00000000">
        <w:rPr>
          <w:b w:val="1"/>
          <w:highlight w:val="white"/>
          <w:rtl w:val="0"/>
        </w:rPr>
        <w:t xml:space="preserve">‘</w:t>
      </w:r>
      <w:r w:rsidDel="00000000" w:rsidR="00000000" w:rsidRPr="00000000">
        <w:rPr>
          <w:highlight w:val="white"/>
          <w:rtl w:val="0"/>
        </w:rPr>
        <w:t xml:space="preserve">...</w:t>
      </w:r>
      <w:r w:rsidDel="00000000" w:rsidR="00000000" w:rsidRPr="00000000">
        <w:rPr>
          <w:highlight w:val="white"/>
          <w:rtl w:val="0"/>
        </w:rPr>
        <w:t xml:space="preserve">the silver and the gold...’ and anything of religious or monetary value as well as everything that was hidden, he took it all.</w:t>
      </w:r>
      <w:r w:rsidDel="00000000" w:rsidR="00000000" w:rsidRPr="00000000">
        <w:rPr>
          <w:highlight w:val="white"/>
          <w:vertAlign w:val="superscript"/>
        </w:rPr>
        <w:footnoteReference w:customMarkFollows="0" w:id="11"/>
      </w: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To conclude everything that contributed to jewish identity, worship and beliefs were taken from them by Antiochus IV Epiphanes in his persecution of Judaism. Also this shows that 1 Maccabees is a very important source that details this time.</w:t>
      </w:r>
      <w:r w:rsidDel="00000000" w:rsidR="00000000" w:rsidRPr="00000000">
        <w:rPr>
          <w:rtl w:val="0"/>
        </w:rPr>
      </w:r>
    </w:p>
    <w:p w:rsidR="00000000" w:rsidDel="00000000" w:rsidP="00000000" w:rsidRDefault="00000000" w:rsidRPr="00000000" w14:paraId="00000018">
      <w:pPr>
        <w:rPr>
          <w:u w:val="single"/>
        </w:rPr>
      </w:pPr>
      <w:r w:rsidDel="00000000" w:rsidR="00000000" w:rsidRPr="00000000">
        <w:rPr>
          <w:rtl w:val="0"/>
        </w:rPr>
      </w:r>
    </w:p>
    <w:p w:rsidR="00000000" w:rsidDel="00000000" w:rsidP="00000000" w:rsidRDefault="00000000" w:rsidRPr="00000000" w14:paraId="00000019">
      <w:pPr>
        <w:rPr>
          <w:highlight w:val="white"/>
          <w:u w:val="single"/>
        </w:rPr>
      </w:pPr>
      <w:r w:rsidDel="00000000" w:rsidR="00000000" w:rsidRPr="00000000">
        <w:rPr>
          <w:u w:val="single"/>
          <w:rtl w:val="0"/>
        </w:rPr>
        <w:t xml:space="preserve">Bibliography </w:t>
      </w:r>
      <w:r w:rsidDel="00000000" w:rsidR="00000000" w:rsidRPr="00000000">
        <w:rPr>
          <w:rtl w:val="0"/>
        </w:rPr>
      </w:r>
    </w:p>
    <w:p w:rsidR="00000000" w:rsidDel="00000000" w:rsidP="00000000" w:rsidRDefault="00000000" w:rsidRPr="00000000" w14:paraId="0000001A">
      <w:pPr>
        <w:rPr>
          <w:highlight w:val="white"/>
        </w:rPr>
      </w:pPr>
      <w:r w:rsidDel="00000000" w:rsidR="00000000" w:rsidRPr="00000000">
        <w:rPr>
          <w:highlight w:val="white"/>
          <w:rtl w:val="0"/>
        </w:rPr>
        <w:t xml:space="preserve">1 Maccabees 1 (NRSV) found online at: </w:t>
      </w:r>
      <w:r w:rsidDel="00000000" w:rsidR="00000000" w:rsidRPr="00000000">
        <w:rPr>
          <w:highlight w:val="white"/>
          <w:rtl w:val="0"/>
        </w:rPr>
        <w:t xml:space="preserve">https://www.biblegateway.com/passage/?search=1+Maccabees+1&amp;vers</w:t>
      </w:r>
      <w:r w:rsidDel="00000000" w:rsidR="00000000" w:rsidRPr="00000000">
        <w:rPr>
          <w:highlight w:val="white"/>
          <w:rtl w:val="0"/>
        </w:rPr>
        <w:t xml:space="preserve">ion=NRSV</w:t>
      </w:r>
      <w:r w:rsidDel="00000000" w:rsidR="00000000" w:rsidRPr="00000000">
        <w:rPr>
          <w:rtl w:val="0"/>
        </w:rPr>
      </w:r>
    </w:p>
    <w:p w:rsidR="00000000" w:rsidDel="00000000" w:rsidP="00000000" w:rsidRDefault="00000000" w:rsidRPr="00000000" w14:paraId="0000001B">
      <w:pPr>
        <w:rPr>
          <w:highlight w:val="white"/>
        </w:rPr>
      </w:pPr>
      <w:r w:rsidDel="00000000" w:rsidR="00000000" w:rsidRPr="00000000">
        <w:rPr>
          <w:highlight w:val="white"/>
          <w:rtl w:val="0"/>
        </w:rPr>
        <w:t xml:space="preserve">Cartwright, M. 09 May 2016. </w:t>
      </w:r>
      <w:hyperlink r:id="rId7">
        <w:r w:rsidDel="00000000" w:rsidR="00000000" w:rsidRPr="00000000">
          <w:rPr>
            <w:i w:val="1"/>
            <w:highlight w:val="white"/>
            <w:rtl w:val="0"/>
          </w:rPr>
          <w:t xml:space="preserve">Gymnasium</w:t>
        </w:r>
      </w:hyperlink>
      <w:r w:rsidDel="00000000" w:rsidR="00000000" w:rsidRPr="00000000">
        <w:rPr>
          <w:highlight w:val="white"/>
          <w:rtl w:val="0"/>
        </w:rPr>
        <w:t xml:space="preserve">. </w:t>
      </w:r>
      <w:r w:rsidDel="00000000" w:rsidR="00000000" w:rsidRPr="00000000">
        <w:rPr>
          <w:highlight w:val="white"/>
          <w:rtl w:val="0"/>
        </w:rPr>
        <w:t xml:space="preserve">Ancient History Encyclopedia</w:t>
      </w:r>
      <w:r w:rsidDel="00000000" w:rsidR="00000000" w:rsidRPr="00000000">
        <w:rPr>
          <w:highlight w:val="white"/>
          <w:rtl w:val="0"/>
        </w:rPr>
        <w:t xml:space="preserve">. Retrieved from https://www.ancient.eu/Gymnasium</w:t>
      </w:r>
      <w:r w:rsidDel="00000000" w:rsidR="00000000" w:rsidRPr="00000000">
        <w:rPr>
          <w:rtl w:val="0"/>
        </w:rPr>
      </w:r>
    </w:p>
    <w:p w:rsidR="00000000" w:rsidDel="00000000" w:rsidP="00000000" w:rsidRDefault="00000000" w:rsidRPr="00000000" w14:paraId="0000001C">
      <w:pPr>
        <w:rPr>
          <w:highlight w:val="white"/>
        </w:rPr>
      </w:pPr>
      <w:r w:rsidDel="00000000" w:rsidR="00000000" w:rsidRPr="00000000">
        <w:rPr>
          <w:highlight w:val="white"/>
          <w:rtl w:val="0"/>
        </w:rPr>
        <w:t xml:space="preserve">Johnson, Paul. 2013. </w:t>
      </w:r>
      <w:r w:rsidDel="00000000" w:rsidR="00000000" w:rsidRPr="00000000">
        <w:rPr>
          <w:i w:val="1"/>
          <w:highlight w:val="white"/>
          <w:rtl w:val="0"/>
        </w:rPr>
        <w:t xml:space="preserve">A History of the Jews. </w:t>
      </w:r>
      <w:r w:rsidDel="00000000" w:rsidR="00000000" w:rsidRPr="00000000">
        <w:rPr>
          <w:highlight w:val="white"/>
          <w:rtl w:val="0"/>
        </w:rPr>
        <w:t xml:space="preserve">Hachette UK. pp 170-71.</w:t>
      </w:r>
      <w:r w:rsidDel="00000000" w:rsidR="00000000" w:rsidRPr="00000000">
        <w:rPr>
          <w:rtl w:val="0"/>
        </w:rPr>
      </w:r>
    </w:p>
    <w:p w:rsidR="00000000" w:rsidDel="00000000" w:rsidP="00000000" w:rsidRDefault="00000000" w:rsidRPr="00000000" w14:paraId="0000001D">
      <w:pPr>
        <w:rPr>
          <w:b w:val="1"/>
          <w:highlight w:val="white"/>
        </w:rPr>
      </w:pPr>
      <w:r w:rsidDel="00000000" w:rsidR="00000000" w:rsidRPr="00000000">
        <w:rPr>
          <w:rtl w:val="0"/>
        </w:rPr>
      </w:r>
    </w:p>
    <w:p w:rsidR="00000000" w:rsidDel="00000000" w:rsidP="00000000" w:rsidRDefault="00000000" w:rsidRPr="00000000" w14:paraId="0000001E">
      <w:pPr>
        <w:rPr>
          <w:highlight w:val="white"/>
        </w:rPr>
      </w:pPr>
      <w:r w:rsidDel="00000000" w:rsidR="00000000" w:rsidRPr="00000000">
        <w:rPr>
          <w:highlight w:val="white"/>
          <w:u w:val="single"/>
          <w:rtl w:val="0"/>
        </w:rPr>
        <w:t xml:space="preserve">Images on the poster</w:t>
      </w:r>
      <w:r w:rsidDel="00000000" w:rsidR="00000000" w:rsidRPr="00000000">
        <w:rPr>
          <w:highlight w:val="white"/>
          <w:rtl w:val="0"/>
        </w:rPr>
        <w:t xml:space="preserve"> </w:t>
      </w:r>
    </w:p>
    <w:p w:rsidR="00000000" w:rsidDel="00000000" w:rsidP="00000000" w:rsidRDefault="00000000" w:rsidRPr="00000000" w14:paraId="0000001F">
      <w:pPr>
        <w:rPr/>
      </w:pPr>
      <w:r w:rsidDel="00000000" w:rsidR="00000000" w:rsidRPr="00000000">
        <w:rPr>
          <w:rtl w:val="0"/>
        </w:rPr>
        <w:t xml:space="preserve">Bust of Antiochus IV at the </w:t>
      </w:r>
      <w:hyperlink r:id="rId8">
        <w:r w:rsidDel="00000000" w:rsidR="00000000" w:rsidRPr="00000000">
          <w:rPr>
            <w:rtl w:val="0"/>
          </w:rPr>
          <w:t xml:space="preserve">Altes Museum</w:t>
        </w:r>
      </w:hyperlink>
      <w:r w:rsidDel="00000000" w:rsidR="00000000" w:rsidRPr="00000000">
        <w:rPr>
          <w:rtl w:val="0"/>
        </w:rPr>
        <w:t xml:space="preserve"> in </w:t>
      </w:r>
      <w:hyperlink r:id="rId9">
        <w:r w:rsidDel="00000000" w:rsidR="00000000" w:rsidRPr="00000000">
          <w:rPr>
            <w:rtl w:val="0"/>
          </w:rPr>
          <w:t xml:space="preserve">Berlin</w:t>
        </w:r>
      </w:hyperlink>
      <w:r w:rsidDel="00000000" w:rsidR="00000000" w:rsidRPr="00000000">
        <w:rPr>
          <w:rtl w:val="0"/>
        </w:rPr>
        <w:t xml:space="preserve">. Taken from Wikipedia page found from Google images.</w:t>
      </w:r>
    </w:p>
    <w:p w:rsidR="00000000" w:rsidDel="00000000" w:rsidP="00000000" w:rsidRDefault="00000000" w:rsidRPr="00000000" w14:paraId="00000020">
      <w:pPr>
        <w:rPr/>
      </w:pPr>
      <w:r w:rsidDel="00000000" w:rsidR="00000000" w:rsidRPr="00000000">
        <w:rPr>
          <w:rtl w:val="0"/>
        </w:rPr>
        <w:t xml:space="preserve">Cover of the translation of 1 Maccabees by John Raymond</w:t>
      </w:r>
      <w:r w:rsidDel="00000000" w:rsidR="00000000" w:rsidRPr="00000000">
        <w:rPr>
          <w:rtl w:val="0"/>
        </w:rPr>
      </w:r>
    </w:p>
    <w:p w:rsidR="00000000" w:rsidDel="00000000" w:rsidP="00000000" w:rsidRDefault="00000000" w:rsidRPr="00000000" w14:paraId="00000021">
      <w:pPr>
        <w:rPr>
          <w:sz w:val="24"/>
          <w:szCs w:val="24"/>
          <w:highlight w:val="white"/>
        </w:rPr>
      </w:pPr>
      <w:r w:rsidDel="00000000" w:rsidR="00000000" w:rsidRPr="00000000">
        <w:rPr>
          <w:rtl w:val="0"/>
        </w:rPr>
      </w:r>
    </w:p>
    <w:p w:rsidR="00000000" w:rsidDel="00000000" w:rsidP="00000000" w:rsidRDefault="00000000" w:rsidRPr="00000000" w14:paraId="00000022">
      <w:pPr>
        <w:rPr>
          <w:sz w:val="24"/>
          <w:szCs w:val="24"/>
          <w:highlight w:val="white"/>
        </w:rPr>
      </w:pPr>
      <w:r w:rsidDel="00000000" w:rsidR="00000000" w:rsidRPr="00000000">
        <w:rPr>
          <w:rtl w:val="0"/>
        </w:rPr>
      </w:r>
    </w:p>
    <w:p w:rsidR="00000000" w:rsidDel="00000000" w:rsidP="00000000" w:rsidRDefault="00000000" w:rsidRPr="00000000" w14:paraId="00000023">
      <w:pPr>
        <w:jc w:val="left"/>
        <w:rPr>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rtl w:val="0"/>
        </w:rPr>
      </w:r>
    </w:p>
    <w:sectPr>
      <w:headerReference r:id="rId10" w:type="default"/>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
    <w:p w:rsidR="00000000" w:rsidDel="00000000" w:rsidP="00000000" w:rsidRDefault="00000000" w:rsidRPr="00000000" w14:paraId="00000025">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1 Macc. 1:20</w:t>
      </w:r>
      <w:r w:rsidDel="00000000" w:rsidR="00000000" w:rsidRPr="00000000">
        <w:rPr>
          <w:rtl w:val="0"/>
        </w:rPr>
      </w:r>
    </w:p>
  </w:footnote>
  <w:footnote w:id="0">
    <w:p w:rsidR="00000000" w:rsidDel="00000000" w:rsidP="00000000" w:rsidRDefault="00000000" w:rsidRPr="00000000" w14:paraId="00000026">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sz w:val="20"/>
            <w:szCs w:val="20"/>
            <w:rtl w:val="0"/>
          </w:rPr>
          <w:t xml:space="preserve">Paul Johnso</w:t>
        </w:r>
      </w:hyperlink>
      <w:r w:rsidDel="00000000" w:rsidR="00000000" w:rsidRPr="00000000">
        <w:rPr>
          <w:sz w:val="20"/>
          <w:szCs w:val="20"/>
          <w:rtl w:val="0"/>
        </w:rPr>
        <w:t xml:space="preserve">n. 2013.</w:t>
      </w:r>
      <w:r w:rsidDel="00000000" w:rsidR="00000000" w:rsidRPr="00000000">
        <w:rPr>
          <w:sz w:val="20"/>
          <w:szCs w:val="20"/>
          <w:rtl w:val="0"/>
        </w:rPr>
        <w:t xml:space="preserve"> pp. 170–71</w:t>
      </w:r>
      <w:r w:rsidDel="00000000" w:rsidR="00000000" w:rsidRPr="00000000">
        <w:rPr>
          <w:color w:val="202122"/>
          <w:sz w:val="20"/>
          <w:szCs w:val="20"/>
          <w:rtl w:val="0"/>
        </w:rPr>
        <w:t xml:space="preserve">.</w:t>
      </w:r>
      <w:r w:rsidDel="00000000" w:rsidR="00000000" w:rsidRPr="00000000">
        <w:rPr>
          <w:rtl w:val="0"/>
        </w:rPr>
      </w:r>
    </w:p>
  </w:footnote>
  <w:footnote w:id="6">
    <w:p w:rsidR="00000000" w:rsidDel="00000000" w:rsidP="00000000" w:rsidRDefault="00000000" w:rsidRPr="00000000" w14:paraId="00000027">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1 Macc. 1:14</w:t>
      </w:r>
      <w:r w:rsidDel="00000000" w:rsidR="00000000" w:rsidRPr="00000000">
        <w:rPr>
          <w:rtl w:val="0"/>
        </w:rPr>
      </w:r>
    </w:p>
  </w:footnote>
  <w:footnote w:id="7">
    <w:p w:rsidR="00000000" w:rsidDel="00000000" w:rsidP="00000000" w:rsidRDefault="00000000" w:rsidRPr="00000000" w14:paraId="00000028">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1 Macc. 1:62</w:t>
      </w:r>
      <w:r w:rsidDel="00000000" w:rsidR="00000000" w:rsidRPr="00000000">
        <w:rPr>
          <w:rtl w:val="0"/>
        </w:rPr>
      </w:r>
    </w:p>
  </w:footnote>
  <w:footnote w:id="8">
    <w:p w:rsidR="00000000" w:rsidDel="00000000" w:rsidP="00000000" w:rsidRDefault="00000000" w:rsidRPr="00000000" w14:paraId="00000029">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1 Macc. 1:56 and 57</w:t>
      </w:r>
      <w:r w:rsidDel="00000000" w:rsidR="00000000" w:rsidRPr="00000000">
        <w:rPr>
          <w:rtl w:val="0"/>
        </w:rPr>
      </w:r>
    </w:p>
  </w:footnote>
  <w:footnote w:id="9">
    <w:p w:rsidR="00000000" w:rsidDel="00000000" w:rsidP="00000000" w:rsidRDefault="00000000" w:rsidRPr="00000000" w14:paraId="0000002A">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1 Macc. 1:44-47</w:t>
      </w:r>
      <w:r w:rsidDel="00000000" w:rsidR="00000000" w:rsidRPr="00000000">
        <w:rPr>
          <w:rtl w:val="0"/>
        </w:rPr>
      </w:r>
    </w:p>
  </w:footnote>
  <w:footnote w:id="10">
    <w:p w:rsidR="00000000" w:rsidDel="00000000" w:rsidP="00000000" w:rsidRDefault="00000000" w:rsidRPr="00000000" w14:paraId="0000002B">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1 Macc. 1:21</w:t>
      </w:r>
      <w:r w:rsidDel="00000000" w:rsidR="00000000" w:rsidRPr="00000000">
        <w:rPr>
          <w:rtl w:val="0"/>
        </w:rPr>
      </w:r>
    </w:p>
  </w:footnote>
  <w:footnote w:id="11">
    <w:p w:rsidR="00000000" w:rsidDel="00000000" w:rsidP="00000000" w:rsidRDefault="00000000" w:rsidRPr="00000000" w14:paraId="0000002C">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1 Macc. 1:23</w:t>
      </w:r>
      <w:r w:rsidDel="00000000" w:rsidR="00000000" w:rsidRPr="00000000">
        <w:rPr>
          <w:rtl w:val="0"/>
        </w:rPr>
      </w:r>
    </w:p>
  </w:footnote>
  <w:footnote w:id="3">
    <w:p w:rsidR="00000000" w:rsidDel="00000000" w:rsidP="00000000" w:rsidRDefault="00000000" w:rsidRPr="00000000" w14:paraId="0000002D">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1 Macc. 1:48</w:t>
      </w:r>
      <w:r w:rsidDel="00000000" w:rsidR="00000000" w:rsidRPr="00000000">
        <w:rPr>
          <w:rtl w:val="0"/>
        </w:rPr>
      </w:r>
    </w:p>
  </w:footnote>
  <w:footnote w:id="4">
    <w:p w:rsidR="00000000" w:rsidDel="00000000" w:rsidP="00000000" w:rsidRDefault="00000000" w:rsidRPr="00000000" w14:paraId="0000002E">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1 Macc. 1:15</w:t>
      </w:r>
      <w:r w:rsidDel="00000000" w:rsidR="00000000" w:rsidRPr="00000000">
        <w:rPr>
          <w:rtl w:val="0"/>
        </w:rPr>
      </w:r>
    </w:p>
  </w:footnote>
  <w:footnote w:id="5">
    <w:p w:rsidR="00000000" w:rsidDel="00000000" w:rsidP="00000000" w:rsidRDefault="00000000" w:rsidRPr="00000000" w14:paraId="0000002F">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Cartwright, M. 2016. </w:t>
      </w:r>
    </w:p>
  </w:footnote>
  <w:footnote w:id="2">
    <w:p w:rsidR="00000000" w:rsidDel="00000000" w:rsidP="00000000" w:rsidRDefault="00000000" w:rsidRPr="00000000" w14:paraId="00000030">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
        <w:r w:rsidDel="00000000" w:rsidR="00000000" w:rsidRPr="00000000">
          <w:rPr>
            <w:sz w:val="20"/>
            <w:szCs w:val="20"/>
            <w:rtl w:val="0"/>
          </w:rPr>
          <w:t xml:space="preserve">Paul Johnso</w:t>
        </w:r>
      </w:hyperlink>
      <w:r w:rsidDel="00000000" w:rsidR="00000000" w:rsidRPr="00000000">
        <w:rPr>
          <w:sz w:val="20"/>
          <w:szCs w:val="20"/>
          <w:rtl w:val="0"/>
        </w:rPr>
        <w:t xml:space="preserve">n. 2013. pp. 170–71</w:t>
      </w:r>
      <w:r w:rsidDel="00000000" w:rsidR="00000000" w:rsidRPr="00000000">
        <w:rPr>
          <w:color w:val="202122"/>
          <w:sz w:val="20"/>
          <w:szCs w:val="20"/>
          <w:rtl w:val="0"/>
        </w:rPr>
        <w:t xml:space="preserve">.</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1">
    <w:pPr>
      <w:rPr/>
    </w:pPr>
    <w:r w:rsidDel="00000000" w:rsidR="00000000" w:rsidRPr="00000000">
      <w:rPr>
        <w:rtl w:val="0"/>
      </w:rPr>
      <w:t xml:space="preserve">858 words not include bibliography and main title.</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highlight w:val="white"/>
        <w:lang w:val="en-GB"/>
      </w:rPr>
    </w:rPrDefault>
    <w:pPrDefault>
      <w:pPr>
        <w:spacing w:after="160" w:line="36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header" Target="header1.xml"/><Relationship Id="rId9" Type="http://schemas.openxmlformats.org/officeDocument/2006/relationships/hyperlink" Target="https://en.wikipedia.org/wiki/Berlin"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ancient.eu/Gymnasium/" TargetMode="External"/><Relationship Id="rId8" Type="http://schemas.openxmlformats.org/officeDocument/2006/relationships/hyperlink" Target="https://en.wikipedia.org/wiki/Altes_Museu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en.wikipedia.org/wiki/Paul_Johnson_(writer)" TargetMode="External"/><Relationship Id="rId2" Type="http://schemas.openxmlformats.org/officeDocument/2006/relationships/hyperlink" Target="https://en.wikipedia.org/wiki/Paul_Johnson_(wri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