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3524C" w14:textId="77777777" w:rsidR="00ED3CFF" w:rsidRDefault="00ED3CFF" w:rsidP="00484552">
      <w:pPr>
        <w:rPr>
          <w:rFonts w:ascii="Arial" w:hAnsi="Arial" w:cs="Arial"/>
          <w:b/>
          <w:bCs/>
          <w:sz w:val="52"/>
          <w:szCs w:val="52"/>
          <w:u w:val="single"/>
        </w:rPr>
      </w:pPr>
    </w:p>
    <w:p w14:paraId="02739C97" w14:textId="77777777" w:rsidR="00ED3CFF" w:rsidRDefault="00ED3CFF" w:rsidP="00484552">
      <w:pPr>
        <w:rPr>
          <w:rFonts w:ascii="Arial" w:hAnsi="Arial" w:cs="Arial"/>
          <w:b/>
          <w:bCs/>
          <w:sz w:val="52"/>
          <w:szCs w:val="52"/>
          <w:u w:val="single"/>
        </w:rPr>
      </w:pPr>
    </w:p>
    <w:p w14:paraId="62CB325C" w14:textId="77777777" w:rsidR="00ED3CFF" w:rsidRDefault="00ED3CFF" w:rsidP="00484552">
      <w:pPr>
        <w:rPr>
          <w:rFonts w:ascii="Arial" w:hAnsi="Arial" w:cs="Arial"/>
          <w:b/>
          <w:bCs/>
          <w:sz w:val="52"/>
          <w:szCs w:val="52"/>
          <w:u w:val="single"/>
        </w:rPr>
      </w:pPr>
    </w:p>
    <w:p w14:paraId="4C6469C3" w14:textId="77777777" w:rsidR="00ED3CFF" w:rsidRDefault="00ED3CFF" w:rsidP="00484552">
      <w:pPr>
        <w:rPr>
          <w:rFonts w:ascii="Arial" w:hAnsi="Arial" w:cs="Arial"/>
          <w:b/>
          <w:bCs/>
          <w:sz w:val="52"/>
          <w:szCs w:val="52"/>
          <w:u w:val="single"/>
        </w:rPr>
      </w:pPr>
    </w:p>
    <w:p w14:paraId="2968D78D" w14:textId="77777777" w:rsidR="00ED3CFF" w:rsidRDefault="00ED3CFF" w:rsidP="00484552">
      <w:pPr>
        <w:rPr>
          <w:rFonts w:ascii="Arial" w:hAnsi="Arial" w:cs="Arial"/>
          <w:b/>
          <w:bCs/>
          <w:sz w:val="52"/>
          <w:szCs w:val="52"/>
          <w:u w:val="single"/>
        </w:rPr>
      </w:pPr>
    </w:p>
    <w:p w14:paraId="57147345" w14:textId="77777777" w:rsidR="00964BFA" w:rsidRPr="008D7E0E" w:rsidRDefault="00964BFA" w:rsidP="00964BFA">
      <w:pPr>
        <w:rPr>
          <w:rFonts w:ascii="Arial" w:hAnsi="Arial" w:cs="Arial"/>
          <w:b/>
          <w:bCs/>
          <w:color w:val="215E99" w:themeColor="text2" w:themeTint="BF"/>
          <w:sz w:val="52"/>
          <w:szCs w:val="52"/>
        </w:rPr>
      </w:pPr>
      <w:r w:rsidRPr="008D7E0E">
        <w:rPr>
          <w:rFonts w:ascii="Arial" w:hAnsi="Arial" w:cs="Arial"/>
          <w:b/>
          <w:bCs/>
          <w:color w:val="215E99" w:themeColor="text2" w:themeTint="BF"/>
          <w:sz w:val="52"/>
          <w:szCs w:val="52"/>
        </w:rPr>
        <w:t>Name: semira Zeinu (2427863)</w:t>
      </w:r>
    </w:p>
    <w:p w14:paraId="46970BE9" w14:textId="34907661" w:rsidR="00964BFA" w:rsidRPr="008D7E0E" w:rsidRDefault="00964BFA" w:rsidP="00964BFA">
      <w:pPr>
        <w:rPr>
          <w:rFonts w:ascii="Arial" w:hAnsi="Arial" w:cs="Arial"/>
          <w:b/>
          <w:bCs/>
          <w:color w:val="215E99" w:themeColor="text2" w:themeTint="BF"/>
          <w:sz w:val="52"/>
          <w:szCs w:val="52"/>
        </w:rPr>
      </w:pPr>
      <w:r w:rsidRPr="008D7E0E">
        <w:rPr>
          <w:rFonts w:ascii="Arial" w:hAnsi="Arial" w:cs="Arial"/>
          <w:b/>
          <w:bCs/>
          <w:color w:val="215E99" w:themeColor="text2" w:themeTint="BF"/>
          <w:sz w:val="52"/>
          <w:szCs w:val="52"/>
        </w:rPr>
        <w:t>Model code: BMHP50</w:t>
      </w:r>
      <w:r w:rsidRPr="008D7E0E">
        <w:rPr>
          <w:rFonts w:ascii="Arial" w:hAnsi="Arial" w:cs="Arial"/>
          <w:b/>
          <w:bCs/>
          <w:color w:val="215E99" w:themeColor="text2" w:themeTint="BF"/>
          <w:sz w:val="52"/>
          <w:szCs w:val="52"/>
        </w:rPr>
        <w:t>16</w:t>
      </w:r>
    </w:p>
    <w:p w14:paraId="2BB0CE6D" w14:textId="3477BC88" w:rsidR="00964BFA" w:rsidRPr="008D7E0E" w:rsidRDefault="00964BFA" w:rsidP="00964BFA">
      <w:pPr>
        <w:rPr>
          <w:rFonts w:ascii="Arial" w:hAnsi="Arial" w:cs="Arial"/>
          <w:b/>
          <w:bCs/>
          <w:color w:val="215E99" w:themeColor="text2" w:themeTint="BF"/>
          <w:sz w:val="52"/>
          <w:szCs w:val="52"/>
        </w:rPr>
      </w:pPr>
      <w:r w:rsidRPr="008D7E0E">
        <w:rPr>
          <w:rFonts w:ascii="Arial" w:hAnsi="Arial" w:cs="Arial"/>
          <w:b/>
          <w:bCs/>
          <w:color w:val="215E99" w:themeColor="text2" w:themeTint="BF"/>
          <w:sz w:val="52"/>
          <w:szCs w:val="52"/>
        </w:rPr>
        <w:t xml:space="preserve">Lecture: </w:t>
      </w:r>
      <w:r w:rsidR="00CB0E45" w:rsidRPr="008D7E0E">
        <w:rPr>
          <w:rFonts w:ascii="Arial" w:hAnsi="Arial" w:cs="Arial"/>
          <w:b/>
          <w:bCs/>
          <w:color w:val="215E99" w:themeColor="text2" w:themeTint="BF"/>
          <w:sz w:val="52"/>
          <w:szCs w:val="52"/>
        </w:rPr>
        <w:t>Aishat Bakre</w:t>
      </w:r>
    </w:p>
    <w:p w14:paraId="38EBEAD7" w14:textId="151FF393" w:rsidR="00964BFA" w:rsidRPr="008D7E0E" w:rsidRDefault="00964BFA" w:rsidP="00964BFA">
      <w:pPr>
        <w:rPr>
          <w:rFonts w:ascii="Arial" w:hAnsi="Arial" w:cs="Arial"/>
          <w:b/>
          <w:bCs/>
          <w:color w:val="215E99" w:themeColor="text2" w:themeTint="BF"/>
          <w:sz w:val="52"/>
          <w:szCs w:val="52"/>
        </w:rPr>
      </w:pPr>
      <w:r w:rsidRPr="008D7E0E">
        <w:rPr>
          <w:rFonts w:ascii="Arial" w:hAnsi="Arial" w:cs="Arial"/>
          <w:b/>
          <w:bCs/>
          <w:color w:val="215E99" w:themeColor="text2" w:themeTint="BF"/>
          <w:sz w:val="52"/>
          <w:szCs w:val="52"/>
        </w:rPr>
        <w:t xml:space="preserve">Titel: Component </w:t>
      </w:r>
      <w:r w:rsidR="0061422B" w:rsidRPr="008D7E0E">
        <w:rPr>
          <w:rFonts w:ascii="Arial" w:hAnsi="Arial" w:cs="Arial"/>
          <w:b/>
          <w:bCs/>
          <w:color w:val="215E99" w:themeColor="text2" w:themeTint="BF"/>
          <w:sz w:val="52"/>
          <w:szCs w:val="52"/>
        </w:rPr>
        <w:t>2</w:t>
      </w:r>
      <w:r w:rsidRPr="008D7E0E">
        <w:rPr>
          <w:rFonts w:ascii="Arial" w:hAnsi="Arial" w:cs="Arial"/>
          <w:b/>
          <w:bCs/>
          <w:color w:val="215E99" w:themeColor="text2" w:themeTint="BF"/>
          <w:sz w:val="52"/>
          <w:szCs w:val="52"/>
        </w:rPr>
        <w:t xml:space="preserve">: Written Assignment (Report) </w:t>
      </w:r>
    </w:p>
    <w:p w14:paraId="4D9CF945" w14:textId="77777777" w:rsidR="00964BFA" w:rsidRPr="00964BFA" w:rsidRDefault="00964BFA" w:rsidP="00964BFA">
      <w:pPr>
        <w:rPr>
          <w:rFonts w:ascii="Arial" w:hAnsi="Arial" w:cs="Arial"/>
          <w:b/>
          <w:bCs/>
          <w:sz w:val="52"/>
          <w:szCs w:val="52"/>
          <w:u w:val="single"/>
        </w:rPr>
      </w:pPr>
    </w:p>
    <w:p w14:paraId="52ACECE4" w14:textId="77777777" w:rsidR="00ED3CFF" w:rsidRDefault="00ED3CFF" w:rsidP="00484552">
      <w:pPr>
        <w:rPr>
          <w:rFonts w:ascii="Arial" w:hAnsi="Arial" w:cs="Arial"/>
          <w:b/>
          <w:bCs/>
          <w:sz w:val="52"/>
          <w:szCs w:val="52"/>
          <w:u w:val="single"/>
        </w:rPr>
      </w:pPr>
    </w:p>
    <w:p w14:paraId="204F7537" w14:textId="77777777" w:rsidR="00ED3CFF" w:rsidRDefault="00ED3CFF" w:rsidP="00484552">
      <w:pPr>
        <w:rPr>
          <w:rFonts w:ascii="Arial" w:hAnsi="Arial" w:cs="Arial"/>
          <w:b/>
          <w:bCs/>
          <w:sz w:val="52"/>
          <w:szCs w:val="52"/>
          <w:u w:val="single"/>
        </w:rPr>
      </w:pPr>
    </w:p>
    <w:p w14:paraId="61B0D3C0" w14:textId="77777777" w:rsidR="00ED3CFF" w:rsidRDefault="00ED3CFF" w:rsidP="00484552">
      <w:pPr>
        <w:rPr>
          <w:rFonts w:ascii="Arial" w:hAnsi="Arial" w:cs="Arial"/>
          <w:b/>
          <w:bCs/>
          <w:sz w:val="52"/>
          <w:szCs w:val="52"/>
          <w:u w:val="single"/>
        </w:rPr>
      </w:pPr>
    </w:p>
    <w:p w14:paraId="42F815AC" w14:textId="77777777" w:rsidR="000F255D" w:rsidRDefault="000F255D" w:rsidP="00484552">
      <w:pPr>
        <w:rPr>
          <w:rFonts w:ascii="Arial" w:hAnsi="Arial" w:cs="Arial"/>
          <w:b/>
          <w:bCs/>
          <w:sz w:val="52"/>
          <w:szCs w:val="52"/>
          <w:u w:val="single"/>
        </w:rPr>
      </w:pPr>
    </w:p>
    <w:p w14:paraId="44D72750" w14:textId="4FF69D29" w:rsidR="000F255D" w:rsidRPr="001A072C" w:rsidRDefault="00484552" w:rsidP="00484552">
      <w:pPr>
        <w:rPr>
          <w:rFonts w:ascii="Arial" w:hAnsi="Arial" w:cs="Arial"/>
          <w:b/>
          <w:bCs/>
          <w:color w:val="215E99" w:themeColor="text2" w:themeTint="BF"/>
          <w:sz w:val="52"/>
          <w:szCs w:val="52"/>
          <w:u w:val="single"/>
        </w:rPr>
      </w:pPr>
      <w:r w:rsidRPr="001A072C">
        <w:rPr>
          <w:rFonts w:ascii="Arial" w:hAnsi="Arial" w:cs="Arial"/>
          <w:b/>
          <w:bCs/>
          <w:color w:val="215E99" w:themeColor="text2" w:themeTint="BF"/>
          <w:sz w:val="52"/>
          <w:szCs w:val="52"/>
          <w:u w:val="single"/>
        </w:rPr>
        <w:lastRenderedPageBreak/>
        <w:t>Evaluation of Person-Centred Care and Partnership Working in Health and Social Care</w:t>
      </w:r>
    </w:p>
    <w:p w14:paraId="77540449" w14:textId="7813732F" w:rsidR="00484552" w:rsidRPr="0054276D" w:rsidRDefault="00484552" w:rsidP="00484552">
      <w:pPr>
        <w:rPr>
          <w:rFonts w:ascii="Arial" w:hAnsi="Arial" w:cs="Arial"/>
          <w:b/>
          <w:bCs/>
          <w:color w:val="4C94D8" w:themeColor="text2" w:themeTint="80"/>
          <w:sz w:val="28"/>
          <w:szCs w:val="28"/>
        </w:rPr>
      </w:pPr>
      <w:r w:rsidRPr="0054276D">
        <w:rPr>
          <w:rFonts w:ascii="Arial" w:hAnsi="Arial" w:cs="Arial"/>
          <w:b/>
          <w:bCs/>
          <w:color w:val="4C94D8" w:themeColor="text2" w:themeTint="80"/>
          <w:sz w:val="28"/>
          <w:szCs w:val="28"/>
        </w:rPr>
        <w:t>Introduction</w:t>
      </w:r>
    </w:p>
    <w:p w14:paraId="3174C0D7" w14:textId="2CBB1D08" w:rsidR="00484552" w:rsidRPr="00402A21" w:rsidRDefault="00484552" w:rsidP="00484552">
      <w:pPr>
        <w:rPr>
          <w:rFonts w:ascii="Arial" w:hAnsi="Arial" w:cs="Arial"/>
          <w:sz w:val="22"/>
          <w:szCs w:val="22"/>
        </w:rPr>
      </w:pPr>
      <w:r w:rsidRPr="00402A21">
        <w:rPr>
          <w:rFonts w:ascii="Arial" w:hAnsi="Arial" w:cs="Arial"/>
          <w:sz w:val="22"/>
          <w:szCs w:val="22"/>
        </w:rPr>
        <w:t>Person-centred care (PCC) and partnership working (PW) are fundamental principles in contemporary health and social care practice in the United Kingdom. These approaches aim to enhance the quality of care by focusing on the individual’s needs, preferences, and values while promoting collaboration between professionals and organisations. In recent years, there has been increasing emphasis on integrated and personalised care, particularly within services such as cancer care, mental health, and elderly care.</w:t>
      </w:r>
    </w:p>
    <w:p w14:paraId="6D92EFD9" w14:textId="73631031" w:rsidR="00484552" w:rsidRPr="00402A21" w:rsidRDefault="00484552" w:rsidP="00484552">
      <w:pPr>
        <w:rPr>
          <w:rFonts w:ascii="Arial" w:hAnsi="Arial" w:cs="Arial"/>
          <w:sz w:val="22"/>
          <w:szCs w:val="22"/>
        </w:rPr>
      </w:pPr>
      <w:r w:rsidRPr="00402A21">
        <w:rPr>
          <w:rFonts w:ascii="Arial" w:hAnsi="Arial" w:cs="Arial"/>
          <w:sz w:val="22"/>
          <w:szCs w:val="22"/>
        </w:rPr>
        <w:t>This report evaluates person-centred care and partnership working by defining PCC and examining its benefits and limitations. It critically analyses a key theory underpinning PCC, explores ethical principles, and evaluates partnership working in health and social care. Furthermore, it examines the application of PW in practice and discusses relevant UK policies and legislation. Finally, recommendations are provided for the future development of these approaches.</w:t>
      </w:r>
    </w:p>
    <w:p w14:paraId="0DC4BE70" w14:textId="521DC82B" w:rsidR="00484552" w:rsidRPr="0054276D" w:rsidRDefault="00484552" w:rsidP="00484552">
      <w:pPr>
        <w:rPr>
          <w:rFonts w:ascii="Arial" w:hAnsi="Arial" w:cs="Arial"/>
          <w:b/>
          <w:bCs/>
          <w:color w:val="4C94D8" w:themeColor="text2" w:themeTint="80"/>
          <w:sz w:val="28"/>
          <w:szCs w:val="28"/>
        </w:rPr>
      </w:pPr>
      <w:r w:rsidRPr="0054276D">
        <w:rPr>
          <w:rFonts w:ascii="Arial" w:hAnsi="Arial" w:cs="Arial"/>
          <w:b/>
          <w:bCs/>
          <w:color w:val="4C94D8" w:themeColor="text2" w:themeTint="80"/>
          <w:sz w:val="28"/>
          <w:szCs w:val="28"/>
        </w:rPr>
        <w:t>Person-Centred Care: Definition, Benefits and Limitations</w:t>
      </w:r>
    </w:p>
    <w:p w14:paraId="10146CE3" w14:textId="03C3CE3C" w:rsidR="00B717F5" w:rsidRPr="00B717F5" w:rsidRDefault="00B717F5" w:rsidP="00B717F5">
      <w:pPr>
        <w:rPr>
          <w:rFonts w:ascii="Arial" w:hAnsi="Arial" w:cs="Arial"/>
          <w:color w:val="000000" w:themeColor="text1"/>
          <w:sz w:val="22"/>
          <w:szCs w:val="22"/>
        </w:rPr>
      </w:pPr>
      <w:r w:rsidRPr="00B717F5">
        <w:rPr>
          <w:rFonts w:ascii="Arial" w:hAnsi="Arial" w:cs="Arial"/>
          <w:color w:val="000000" w:themeColor="text1"/>
          <w:sz w:val="22"/>
          <w:szCs w:val="22"/>
        </w:rPr>
        <w:t>Person-Centred Care (PCC) is an approach to health and social care that places the individual at the centre of all decisions regarding their care and support. It focuses on respecting a person’s values, preferences, needs, and beliefs, ensuring that they are actively involved in decisions about their own health. According to the NHS, person-centred care involves treating individuals with dignity, compassion, and respect, while also promoting independence and choice. This approach recognises that each individual is unique and that care should be tailored to meet their specific circumstances rather than adopting a ‘one-size-fits-all’ model.</w:t>
      </w:r>
    </w:p>
    <w:p w14:paraId="3212767C" w14:textId="006B1E40" w:rsidR="00B717F5" w:rsidRPr="00B717F5" w:rsidRDefault="00B717F5" w:rsidP="00B717F5">
      <w:pPr>
        <w:rPr>
          <w:rFonts w:ascii="Arial" w:hAnsi="Arial" w:cs="Arial"/>
          <w:color w:val="000000" w:themeColor="text1"/>
          <w:sz w:val="22"/>
          <w:szCs w:val="22"/>
        </w:rPr>
      </w:pPr>
      <w:r w:rsidRPr="00B717F5">
        <w:rPr>
          <w:rFonts w:ascii="Arial" w:hAnsi="Arial" w:cs="Arial"/>
          <w:color w:val="000000" w:themeColor="text1"/>
          <w:sz w:val="22"/>
          <w:szCs w:val="22"/>
        </w:rPr>
        <w:t>There are several benefits associated with person-centred care. Firstly, it improves patient satisfaction, as individuals feel listened to and valued in the decision-making process. Secondly, it can lead to better health outcomes because care plans are designed around the individual’s actual needs and preferences, increasing the likelihood of adherence to treatment. Additionally, PCC helps to build trust and strengthen relationships between service users and healthcare professionals. It also promotes independence and empowerment, enabling individuals to take control of their own health and wellbeing.</w:t>
      </w:r>
    </w:p>
    <w:p w14:paraId="0AFB6DCA" w14:textId="49C70993" w:rsidR="005B26D8" w:rsidRDefault="00B717F5" w:rsidP="00B717F5">
      <w:pPr>
        <w:rPr>
          <w:rFonts w:ascii="Arial" w:hAnsi="Arial" w:cs="Arial"/>
          <w:color w:val="000000" w:themeColor="text1"/>
          <w:sz w:val="22"/>
          <w:szCs w:val="22"/>
        </w:rPr>
      </w:pPr>
      <w:r w:rsidRPr="00B717F5">
        <w:rPr>
          <w:rFonts w:ascii="Arial" w:hAnsi="Arial" w:cs="Arial"/>
          <w:color w:val="000000" w:themeColor="text1"/>
          <w:sz w:val="22"/>
          <w:szCs w:val="22"/>
        </w:rPr>
        <w:t xml:space="preserve">However, there are also limitations to person-centred care. One major challenge is that it can be time-consuming, as healthcare professionals must spend additional time understanding </w:t>
      </w:r>
      <w:r w:rsidR="005B26D8" w:rsidRPr="00B717F5">
        <w:rPr>
          <w:rFonts w:ascii="Arial" w:hAnsi="Arial" w:cs="Arial"/>
          <w:color w:val="000000" w:themeColor="text1"/>
          <w:sz w:val="22"/>
          <w:szCs w:val="22"/>
        </w:rPr>
        <w:t xml:space="preserve">each </w:t>
      </w:r>
      <w:r w:rsidR="005B26D8">
        <w:rPr>
          <w:rFonts w:ascii="Arial" w:hAnsi="Arial" w:cs="Arial"/>
          <w:color w:val="000000" w:themeColor="text1"/>
          <w:sz w:val="22"/>
          <w:szCs w:val="22"/>
        </w:rPr>
        <w:t>individual’s</w:t>
      </w:r>
      <w:r w:rsidRPr="00B717F5">
        <w:rPr>
          <w:rFonts w:ascii="Arial" w:hAnsi="Arial" w:cs="Arial"/>
          <w:color w:val="000000" w:themeColor="text1"/>
          <w:sz w:val="22"/>
          <w:szCs w:val="22"/>
        </w:rPr>
        <w:t xml:space="preserve"> needs. This can be difficult in busy healthcare settings where staff shortages are common. Furthermore, PCC requires a high level of training and</w:t>
      </w:r>
    </w:p>
    <w:p w14:paraId="59CDC37F" w14:textId="196D2399" w:rsidR="005B26D8" w:rsidRDefault="00B717F5" w:rsidP="00B717F5">
      <w:pPr>
        <w:rPr>
          <w:rFonts w:ascii="Arial" w:hAnsi="Arial" w:cs="Arial"/>
          <w:color w:val="000000" w:themeColor="text1"/>
          <w:sz w:val="22"/>
          <w:szCs w:val="22"/>
        </w:rPr>
      </w:pPr>
      <w:r w:rsidRPr="00B717F5">
        <w:rPr>
          <w:rFonts w:ascii="Arial" w:hAnsi="Arial" w:cs="Arial"/>
          <w:color w:val="000000" w:themeColor="text1"/>
          <w:sz w:val="22"/>
          <w:szCs w:val="22"/>
        </w:rPr>
        <w:t>communication skills, which not all professionals may possess. In emergency situations, it may also be impractical to fully implement person-centred approaches due to the urgency of care. Therefore, while PCC offers significant advantages, its implementation can be challenging within resource-limited healthcare systems.</w:t>
      </w:r>
    </w:p>
    <w:p w14:paraId="6D853F30" w14:textId="76C0B431" w:rsidR="00484552" w:rsidRPr="0054276D" w:rsidRDefault="00484552" w:rsidP="00B717F5">
      <w:pPr>
        <w:rPr>
          <w:rFonts w:ascii="Arial" w:hAnsi="Arial" w:cs="Arial"/>
          <w:b/>
          <w:bCs/>
          <w:color w:val="4C94D8" w:themeColor="text2" w:themeTint="80"/>
          <w:sz w:val="28"/>
          <w:szCs w:val="28"/>
        </w:rPr>
      </w:pPr>
      <w:r w:rsidRPr="0054276D">
        <w:rPr>
          <w:rFonts w:ascii="Arial" w:hAnsi="Arial" w:cs="Arial"/>
          <w:b/>
          <w:bCs/>
          <w:color w:val="4C94D8" w:themeColor="text2" w:themeTint="80"/>
          <w:sz w:val="28"/>
          <w:szCs w:val="28"/>
        </w:rPr>
        <w:t>Theoretical Framework: Carl Rogers’ Person-Centred Theory</w:t>
      </w:r>
    </w:p>
    <w:p w14:paraId="4AEED6D9" w14:textId="4F57C75F" w:rsidR="00484552" w:rsidRPr="00402A21" w:rsidRDefault="00484552" w:rsidP="00484552">
      <w:pPr>
        <w:rPr>
          <w:rFonts w:ascii="Arial" w:hAnsi="Arial" w:cs="Arial"/>
          <w:sz w:val="22"/>
          <w:szCs w:val="22"/>
        </w:rPr>
      </w:pPr>
      <w:r w:rsidRPr="00402A21">
        <w:rPr>
          <w:rFonts w:ascii="Arial" w:hAnsi="Arial" w:cs="Arial"/>
          <w:sz w:val="22"/>
          <w:szCs w:val="22"/>
        </w:rPr>
        <w:t>A key theory underpinning PCC is Carl Rogers’ person-centred approach, which emphasises empathy, unconditional positive regard, and congruence. Rogers argued that individuals should be treated as unique and valued, and that supportive relationships are essential for personal growth.</w:t>
      </w:r>
    </w:p>
    <w:p w14:paraId="09FFE553" w14:textId="30078AA0" w:rsidR="00484552" w:rsidRPr="00402A21" w:rsidRDefault="00484552" w:rsidP="00484552">
      <w:pPr>
        <w:rPr>
          <w:rFonts w:ascii="Arial" w:hAnsi="Arial" w:cs="Arial"/>
          <w:sz w:val="22"/>
          <w:szCs w:val="22"/>
        </w:rPr>
      </w:pPr>
      <w:r w:rsidRPr="00402A21">
        <w:rPr>
          <w:rFonts w:ascii="Arial" w:hAnsi="Arial" w:cs="Arial"/>
          <w:sz w:val="22"/>
          <w:szCs w:val="22"/>
        </w:rPr>
        <w:t>Empathy involves understanding the patient’s feelings and experiences from their perspective. This is crucial in healthcare, as it helps professionals build trust and communicate effectively. Unconditional positive regard refers to accepting individuals without judgement, regardless of their condition or behaviour. Congruence means being honest and genuine in interactions.</w:t>
      </w:r>
    </w:p>
    <w:p w14:paraId="4F325922" w14:textId="317F651A" w:rsidR="00484552" w:rsidRPr="00402A21" w:rsidRDefault="00484552" w:rsidP="00484552">
      <w:pPr>
        <w:rPr>
          <w:rFonts w:ascii="Arial" w:hAnsi="Arial" w:cs="Arial"/>
          <w:sz w:val="22"/>
          <w:szCs w:val="22"/>
        </w:rPr>
      </w:pPr>
      <w:r w:rsidRPr="00402A21">
        <w:rPr>
          <w:rFonts w:ascii="Arial" w:hAnsi="Arial" w:cs="Arial"/>
          <w:sz w:val="22"/>
          <w:szCs w:val="22"/>
        </w:rPr>
        <w:t>This theory strongly supports PCC, as it encourages professionals to focus on the individual rather than just their illness. It promotes a holistic approach to care, which is essential in modern healthcare.</w:t>
      </w:r>
    </w:p>
    <w:p w14:paraId="5E657614" w14:textId="32571DC4" w:rsidR="00484552" w:rsidRPr="00402A21" w:rsidRDefault="00484552" w:rsidP="00484552">
      <w:pPr>
        <w:rPr>
          <w:rFonts w:ascii="Arial" w:hAnsi="Arial" w:cs="Arial"/>
          <w:sz w:val="22"/>
          <w:szCs w:val="22"/>
        </w:rPr>
      </w:pPr>
      <w:r w:rsidRPr="00402A21">
        <w:rPr>
          <w:rFonts w:ascii="Arial" w:hAnsi="Arial" w:cs="Arial"/>
          <w:sz w:val="22"/>
          <w:szCs w:val="22"/>
        </w:rPr>
        <w:t>However, this theory can be criticised for being idealistic. In real-world healthcare settings, professionals often face time constraints, high workloads, and organisational pressures. This makes it difficult to consistently apply Rogers’ principles.</w:t>
      </w:r>
    </w:p>
    <w:p w14:paraId="5E178735" w14:textId="6110BD4B" w:rsidR="00484552" w:rsidRPr="00402A21" w:rsidRDefault="00484552" w:rsidP="00484552">
      <w:pPr>
        <w:rPr>
          <w:rFonts w:ascii="Arial" w:hAnsi="Arial" w:cs="Arial"/>
          <w:sz w:val="22"/>
          <w:szCs w:val="22"/>
        </w:rPr>
      </w:pPr>
      <w:r w:rsidRPr="00402A21">
        <w:rPr>
          <w:rFonts w:ascii="Arial" w:hAnsi="Arial" w:cs="Arial"/>
          <w:sz w:val="22"/>
          <w:szCs w:val="22"/>
        </w:rPr>
        <w:t>Moreover, the theory primarily focuses on emotional and psychological aspects of care, which may not fully address the complexities of medical treatment. For example, clinical decision-making often requires technical knowledge and evidence-based practice, which are not central to Rogers’ model.</w:t>
      </w:r>
    </w:p>
    <w:p w14:paraId="00402442" w14:textId="7E33E24E" w:rsidR="00484552" w:rsidRPr="00402A21" w:rsidRDefault="00484552" w:rsidP="00484552">
      <w:pPr>
        <w:rPr>
          <w:rFonts w:ascii="Arial" w:hAnsi="Arial" w:cs="Arial"/>
          <w:sz w:val="22"/>
          <w:szCs w:val="22"/>
        </w:rPr>
      </w:pPr>
      <w:r w:rsidRPr="00402A21">
        <w:rPr>
          <w:rFonts w:ascii="Arial" w:hAnsi="Arial" w:cs="Arial"/>
          <w:sz w:val="22"/>
          <w:szCs w:val="22"/>
        </w:rPr>
        <w:t>Therefore, while the theory provides a strong foundation for PCC, it must be adapted to suit practical healthcare environments.</w:t>
      </w:r>
    </w:p>
    <w:p w14:paraId="3318308F" w14:textId="4C7C21F6" w:rsidR="00484552" w:rsidRPr="0054276D" w:rsidRDefault="00484552" w:rsidP="00484552">
      <w:pPr>
        <w:rPr>
          <w:rFonts w:ascii="Arial" w:hAnsi="Arial" w:cs="Arial"/>
          <w:b/>
          <w:bCs/>
          <w:color w:val="4C94D8" w:themeColor="text2" w:themeTint="80"/>
          <w:sz w:val="28"/>
          <w:szCs w:val="28"/>
        </w:rPr>
      </w:pPr>
      <w:r w:rsidRPr="0054276D">
        <w:rPr>
          <w:rFonts w:ascii="Arial" w:hAnsi="Arial" w:cs="Arial"/>
          <w:b/>
          <w:bCs/>
          <w:color w:val="4C94D8" w:themeColor="text2" w:themeTint="80"/>
          <w:sz w:val="28"/>
          <w:szCs w:val="28"/>
        </w:rPr>
        <w:t>Ethical Principles in Health and Social Care</w:t>
      </w:r>
    </w:p>
    <w:p w14:paraId="56FE0D66" w14:textId="5E85A6D4" w:rsidR="00484552" w:rsidRPr="00402A21" w:rsidRDefault="00484552" w:rsidP="00484552">
      <w:pPr>
        <w:rPr>
          <w:rFonts w:ascii="Arial" w:hAnsi="Arial" w:cs="Arial"/>
          <w:sz w:val="22"/>
          <w:szCs w:val="22"/>
        </w:rPr>
      </w:pPr>
      <w:r w:rsidRPr="00402A21">
        <w:rPr>
          <w:rFonts w:ascii="Arial" w:hAnsi="Arial" w:cs="Arial"/>
          <w:sz w:val="22"/>
          <w:szCs w:val="22"/>
        </w:rPr>
        <w:t>Ethical principles play a crucial role in guiding decision-making in health and social care. The four main principles are autonomy, beneficence, non-maleficence, and justice.</w:t>
      </w:r>
    </w:p>
    <w:p w14:paraId="2F969569" w14:textId="77777777" w:rsidR="003622FA" w:rsidRPr="00402A21" w:rsidRDefault="00484552" w:rsidP="00484552">
      <w:pPr>
        <w:rPr>
          <w:rFonts w:ascii="Arial" w:hAnsi="Arial" w:cs="Arial"/>
          <w:sz w:val="22"/>
          <w:szCs w:val="22"/>
        </w:rPr>
      </w:pPr>
      <w:r w:rsidRPr="00402A21">
        <w:rPr>
          <w:rFonts w:ascii="Arial" w:hAnsi="Arial" w:cs="Arial"/>
          <w:sz w:val="22"/>
          <w:szCs w:val="22"/>
        </w:rPr>
        <w:t>Autonomy refers to respecting the individual’s right to make their own decisions. This is a key aspect of PCC, as it ensures that patients have control over their care. However, autonomy can be challenging when individuals lack capacity or make decisions that may harm themselves.</w:t>
      </w:r>
    </w:p>
    <w:p w14:paraId="00DADBA6" w14:textId="128C1F99" w:rsidR="00484552" w:rsidRPr="00402A21" w:rsidRDefault="00484552" w:rsidP="00484552">
      <w:pPr>
        <w:rPr>
          <w:rFonts w:ascii="Arial" w:hAnsi="Arial" w:cs="Arial"/>
          <w:sz w:val="22"/>
          <w:szCs w:val="22"/>
        </w:rPr>
      </w:pPr>
      <w:r w:rsidRPr="00402A21">
        <w:rPr>
          <w:rFonts w:ascii="Arial" w:hAnsi="Arial" w:cs="Arial"/>
          <w:sz w:val="22"/>
          <w:szCs w:val="22"/>
        </w:rPr>
        <w:t>Beneficence involves acting in the best interests of the patient. Healthcare professionals must ensure that their actions promote wellbeing and improve outcomes. However, this may conflict with autonomy if a patient refuses treatment.</w:t>
      </w:r>
    </w:p>
    <w:p w14:paraId="2FD7A7F4" w14:textId="6D6DF8F9" w:rsidR="00484552" w:rsidRPr="00402A21" w:rsidRDefault="00484552" w:rsidP="00484552">
      <w:pPr>
        <w:rPr>
          <w:rFonts w:ascii="Arial" w:hAnsi="Arial" w:cs="Arial"/>
          <w:sz w:val="22"/>
          <w:szCs w:val="22"/>
        </w:rPr>
      </w:pPr>
      <w:r w:rsidRPr="00402A21">
        <w:rPr>
          <w:rFonts w:ascii="Arial" w:hAnsi="Arial" w:cs="Arial"/>
          <w:sz w:val="22"/>
          <w:szCs w:val="22"/>
        </w:rPr>
        <w:t>Non-maleficence means avoiding harm. Professionals must ensure that their actions do not cause unnecessary harm to patients. This principle is essential in maintaining patient safety.</w:t>
      </w:r>
    </w:p>
    <w:p w14:paraId="2D5E300B" w14:textId="3FEF7808" w:rsidR="00484552" w:rsidRPr="00402A21" w:rsidRDefault="00484552" w:rsidP="00484552">
      <w:pPr>
        <w:rPr>
          <w:rFonts w:ascii="Arial" w:hAnsi="Arial" w:cs="Arial"/>
          <w:sz w:val="22"/>
          <w:szCs w:val="22"/>
        </w:rPr>
      </w:pPr>
      <w:r w:rsidRPr="00402A21">
        <w:rPr>
          <w:rFonts w:ascii="Arial" w:hAnsi="Arial" w:cs="Arial"/>
          <w:sz w:val="22"/>
          <w:szCs w:val="22"/>
        </w:rPr>
        <w:t>Justice refers to fairness and equality in care. All individuals should have equal access to healthcare services, regardless of their background. This is particularly important in the UK, where healthcare aims to be inclusive and non-discriminatory.</w:t>
      </w:r>
    </w:p>
    <w:p w14:paraId="0D5B85AE" w14:textId="5AB28CC5" w:rsidR="00484552" w:rsidRPr="00402A21" w:rsidRDefault="00484552" w:rsidP="00484552">
      <w:pPr>
        <w:rPr>
          <w:rFonts w:ascii="Arial" w:hAnsi="Arial" w:cs="Arial"/>
          <w:sz w:val="22"/>
          <w:szCs w:val="22"/>
        </w:rPr>
      </w:pPr>
      <w:r w:rsidRPr="00402A21">
        <w:rPr>
          <w:rFonts w:ascii="Arial" w:hAnsi="Arial" w:cs="Arial"/>
          <w:sz w:val="22"/>
          <w:szCs w:val="22"/>
        </w:rPr>
        <w:t>These principles are interconnected, but conflicts can arise. For example, respecting autonomy may conflict with beneficence, creating ethical dilemmas. Therefore, professionals must carefully balance these principles in practice.</w:t>
      </w:r>
    </w:p>
    <w:p w14:paraId="00BF22DC" w14:textId="437C9B2F" w:rsidR="00484552" w:rsidRPr="0054276D" w:rsidRDefault="00484552" w:rsidP="00484552">
      <w:pPr>
        <w:rPr>
          <w:rFonts w:ascii="Arial" w:hAnsi="Arial" w:cs="Arial"/>
          <w:b/>
          <w:bCs/>
          <w:color w:val="4C94D8" w:themeColor="text2" w:themeTint="80"/>
          <w:sz w:val="28"/>
          <w:szCs w:val="28"/>
        </w:rPr>
      </w:pPr>
      <w:r w:rsidRPr="0054276D">
        <w:rPr>
          <w:rFonts w:ascii="Arial" w:hAnsi="Arial" w:cs="Arial"/>
          <w:b/>
          <w:bCs/>
          <w:color w:val="4C94D8" w:themeColor="text2" w:themeTint="80"/>
          <w:sz w:val="28"/>
          <w:szCs w:val="28"/>
        </w:rPr>
        <w:t>Evaluation of Partnership Working</w:t>
      </w:r>
    </w:p>
    <w:p w14:paraId="4F2D4F2A" w14:textId="66ECC4C3" w:rsidR="00484552" w:rsidRPr="00402A21" w:rsidRDefault="00484552" w:rsidP="00484552">
      <w:pPr>
        <w:rPr>
          <w:rFonts w:ascii="Arial" w:hAnsi="Arial" w:cs="Arial"/>
          <w:sz w:val="22"/>
          <w:szCs w:val="22"/>
        </w:rPr>
      </w:pPr>
      <w:r w:rsidRPr="00402A21">
        <w:rPr>
          <w:rFonts w:ascii="Arial" w:hAnsi="Arial" w:cs="Arial"/>
          <w:sz w:val="22"/>
          <w:szCs w:val="22"/>
        </w:rPr>
        <w:t>Partnership working involves collaboration between different professionals, organisations, and service users to deliver coordinated care. It is essential in addressing complex health and social care needs.</w:t>
      </w:r>
    </w:p>
    <w:p w14:paraId="55CDFB3F" w14:textId="758E1C3A" w:rsidR="00484552" w:rsidRPr="00402A21" w:rsidRDefault="00484552" w:rsidP="00484552">
      <w:pPr>
        <w:rPr>
          <w:rFonts w:ascii="Arial" w:hAnsi="Arial" w:cs="Arial"/>
          <w:sz w:val="22"/>
          <w:szCs w:val="22"/>
        </w:rPr>
      </w:pPr>
      <w:r w:rsidRPr="00402A21">
        <w:rPr>
          <w:rFonts w:ascii="Arial" w:hAnsi="Arial" w:cs="Arial"/>
          <w:sz w:val="22"/>
          <w:szCs w:val="22"/>
        </w:rPr>
        <w:t>One major benefit of partnership working is improved quality of care. By working together, professionals can share knowledge and expertise, leading to more comprehensive care plans. This suggests that PW can enhance outcomes, particularly for individuals with multiple needs.</w:t>
      </w:r>
    </w:p>
    <w:p w14:paraId="79492F17" w14:textId="2AD1F754" w:rsidR="00484552" w:rsidRPr="00402A21" w:rsidRDefault="00484552" w:rsidP="00484552">
      <w:pPr>
        <w:rPr>
          <w:rFonts w:ascii="Arial" w:hAnsi="Arial" w:cs="Arial"/>
          <w:sz w:val="22"/>
          <w:szCs w:val="22"/>
        </w:rPr>
      </w:pPr>
      <w:r w:rsidRPr="00402A21">
        <w:rPr>
          <w:rFonts w:ascii="Arial" w:hAnsi="Arial" w:cs="Arial"/>
          <w:sz w:val="22"/>
          <w:szCs w:val="22"/>
        </w:rPr>
        <w:t>Another advantage is continuity of care. Patients receive consistent support across different services, reducing gaps in care. For example, collaboration between hospitals and community services ensures smooth transitions for patients.</w:t>
      </w:r>
    </w:p>
    <w:p w14:paraId="32CF0087" w14:textId="29BE5467" w:rsidR="00484552" w:rsidRPr="00402A21" w:rsidRDefault="00484552" w:rsidP="00484552">
      <w:pPr>
        <w:rPr>
          <w:rFonts w:ascii="Arial" w:hAnsi="Arial" w:cs="Arial"/>
          <w:sz w:val="22"/>
          <w:szCs w:val="22"/>
        </w:rPr>
      </w:pPr>
      <w:r w:rsidRPr="00402A21">
        <w:rPr>
          <w:rFonts w:ascii="Arial" w:hAnsi="Arial" w:cs="Arial"/>
          <w:sz w:val="22"/>
          <w:szCs w:val="22"/>
        </w:rPr>
        <w:t>However, partnership working also has challenges. Communication barriers are a significant issue, as different organisations may use different systems or have different priorities. This can lead to misunderstandings and delays in care.</w:t>
      </w:r>
    </w:p>
    <w:p w14:paraId="17DA0675" w14:textId="2E83391A" w:rsidR="00484552" w:rsidRPr="00402A21" w:rsidRDefault="00484552" w:rsidP="00484552">
      <w:pPr>
        <w:rPr>
          <w:rFonts w:ascii="Arial" w:hAnsi="Arial" w:cs="Arial"/>
          <w:sz w:val="22"/>
          <w:szCs w:val="22"/>
        </w:rPr>
      </w:pPr>
      <w:r w:rsidRPr="00402A21">
        <w:rPr>
          <w:rFonts w:ascii="Arial" w:hAnsi="Arial" w:cs="Arial"/>
          <w:sz w:val="22"/>
          <w:szCs w:val="22"/>
        </w:rPr>
        <w:t>Additionally, there may be conflicts between professionals due to differences in values, roles, and responsibilities. This can affect teamwork and reduce the effectiveness of collaboration.</w:t>
      </w:r>
    </w:p>
    <w:p w14:paraId="1C1C78E7" w14:textId="5E74B166" w:rsidR="00484552" w:rsidRPr="00402A21" w:rsidRDefault="00484552" w:rsidP="00484552">
      <w:pPr>
        <w:rPr>
          <w:rFonts w:ascii="Arial" w:hAnsi="Arial" w:cs="Arial"/>
          <w:sz w:val="22"/>
          <w:szCs w:val="22"/>
        </w:rPr>
      </w:pPr>
      <w:r w:rsidRPr="00402A21">
        <w:rPr>
          <w:rFonts w:ascii="Arial" w:hAnsi="Arial" w:cs="Arial"/>
          <w:sz w:val="22"/>
          <w:szCs w:val="22"/>
        </w:rPr>
        <w:t>Confidentiality is another challenge. Sharing information between organisations must be done carefully to protect patient privacy, which can sometimes limit effective communication.</w:t>
      </w:r>
    </w:p>
    <w:p w14:paraId="214A2D99" w14:textId="0CEDCD9A" w:rsidR="00484552" w:rsidRPr="00402A21" w:rsidRDefault="00484552" w:rsidP="00484552">
      <w:pPr>
        <w:rPr>
          <w:rFonts w:ascii="Arial" w:hAnsi="Arial" w:cs="Arial"/>
          <w:sz w:val="22"/>
          <w:szCs w:val="22"/>
        </w:rPr>
      </w:pPr>
      <w:r w:rsidRPr="00402A21">
        <w:rPr>
          <w:rFonts w:ascii="Arial" w:hAnsi="Arial" w:cs="Arial"/>
          <w:sz w:val="22"/>
          <w:szCs w:val="22"/>
        </w:rPr>
        <w:t>Therefore, while partnership working is essential, it requires strong coordination and clear communication to be effective.</w:t>
      </w:r>
    </w:p>
    <w:p w14:paraId="73A0B646" w14:textId="77777777" w:rsidR="003622FA" w:rsidRDefault="003622FA" w:rsidP="00484552">
      <w:pPr>
        <w:rPr>
          <w:rFonts w:ascii="Arial" w:hAnsi="Arial" w:cs="Arial"/>
        </w:rPr>
      </w:pPr>
    </w:p>
    <w:p w14:paraId="2579DDB9" w14:textId="77777777" w:rsidR="003622FA" w:rsidRPr="00C13B5A" w:rsidRDefault="003622FA" w:rsidP="00484552">
      <w:pPr>
        <w:rPr>
          <w:rFonts w:ascii="Arial" w:hAnsi="Arial" w:cs="Arial"/>
        </w:rPr>
      </w:pPr>
    </w:p>
    <w:p w14:paraId="3B963506" w14:textId="3FEFABFB" w:rsidR="00484552" w:rsidRPr="0054276D" w:rsidRDefault="00484552" w:rsidP="00484552">
      <w:pPr>
        <w:rPr>
          <w:rFonts w:ascii="Arial" w:hAnsi="Arial" w:cs="Arial"/>
          <w:b/>
          <w:bCs/>
          <w:color w:val="4C94D8" w:themeColor="text2" w:themeTint="80"/>
          <w:sz w:val="28"/>
          <w:szCs w:val="28"/>
        </w:rPr>
      </w:pPr>
      <w:r w:rsidRPr="0054276D">
        <w:rPr>
          <w:rFonts w:ascii="Arial" w:hAnsi="Arial" w:cs="Arial"/>
          <w:b/>
          <w:bCs/>
          <w:color w:val="4C94D8" w:themeColor="text2" w:themeTint="80"/>
          <w:sz w:val="28"/>
          <w:szCs w:val="28"/>
        </w:rPr>
        <w:t>Application of Partnership Working in Practice (Cancer Care)</w:t>
      </w:r>
    </w:p>
    <w:p w14:paraId="3437FBFF" w14:textId="14C1E4FB" w:rsidR="00484552" w:rsidRPr="00402A21" w:rsidRDefault="00484552" w:rsidP="00484552">
      <w:pPr>
        <w:rPr>
          <w:rFonts w:ascii="Arial" w:hAnsi="Arial" w:cs="Arial"/>
          <w:sz w:val="22"/>
          <w:szCs w:val="22"/>
        </w:rPr>
      </w:pPr>
      <w:r w:rsidRPr="00402A21">
        <w:rPr>
          <w:rFonts w:ascii="Arial" w:hAnsi="Arial" w:cs="Arial"/>
          <w:sz w:val="22"/>
          <w:szCs w:val="22"/>
        </w:rPr>
        <w:t>Partnership working is clearly demonstrated in cancer care through multidisciplinary teams (MDTs). These teams include doctors, nurses, social workers, psychologists, and other specialists who work together to provide holistic care.</w:t>
      </w:r>
    </w:p>
    <w:p w14:paraId="2829F5B2" w14:textId="45A79A7C" w:rsidR="00484552" w:rsidRPr="00402A21" w:rsidRDefault="00484552" w:rsidP="00484552">
      <w:pPr>
        <w:rPr>
          <w:rFonts w:ascii="Arial" w:hAnsi="Arial" w:cs="Arial"/>
          <w:sz w:val="22"/>
          <w:szCs w:val="22"/>
        </w:rPr>
      </w:pPr>
      <w:r w:rsidRPr="00402A21">
        <w:rPr>
          <w:rFonts w:ascii="Arial" w:hAnsi="Arial" w:cs="Arial"/>
          <w:sz w:val="22"/>
          <w:szCs w:val="22"/>
        </w:rPr>
        <w:t>For example, a cancer patient may receive medical treatment from oncologists, emotional support from counsellors, and practical assistance from social workers. This ensures that all aspects of the patient’s needs are addressed.</w:t>
      </w:r>
    </w:p>
    <w:p w14:paraId="215AF242" w14:textId="120C4097" w:rsidR="00484552" w:rsidRPr="00402A21" w:rsidRDefault="00484552" w:rsidP="00484552">
      <w:pPr>
        <w:rPr>
          <w:rFonts w:ascii="Arial" w:hAnsi="Arial" w:cs="Arial"/>
          <w:sz w:val="22"/>
          <w:szCs w:val="22"/>
        </w:rPr>
      </w:pPr>
      <w:r w:rsidRPr="00402A21">
        <w:rPr>
          <w:rFonts w:ascii="Arial" w:hAnsi="Arial" w:cs="Arial"/>
          <w:sz w:val="22"/>
          <w:szCs w:val="22"/>
        </w:rPr>
        <w:t>This approach reflects both PCC and PW, as it involves collaboration while focusing on the individual’s needs. It also improves patient outcomes by providing coordinated and comprehensive care.</w:t>
      </w:r>
    </w:p>
    <w:p w14:paraId="30C645B1" w14:textId="744BA424" w:rsidR="00484552" w:rsidRPr="00402A21" w:rsidRDefault="00484552" w:rsidP="00484552">
      <w:pPr>
        <w:rPr>
          <w:rFonts w:ascii="Arial" w:hAnsi="Arial" w:cs="Arial"/>
          <w:sz w:val="22"/>
          <w:szCs w:val="22"/>
        </w:rPr>
      </w:pPr>
      <w:r w:rsidRPr="00402A21">
        <w:rPr>
          <w:rFonts w:ascii="Arial" w:hAnsi="Arial" w:cs="Arial"/>
          <w:sz w:val="22"/>
          <w:szCs w:val="22"/>
        </w:rPr>
        <w:t>However, challenges can arise in MDTs. Poor communication or lack of coordination can lead to delays in treatment or duplication of services. This highlights the importance of effective teamwork and leadership.</w:t>
      </w:r>
    </w:p>
    <w:p w14:paraId="76CD544D" w14:textId="504DCD9F" w:rsidR="00484552" w:rsidRPr="00402A21" w:rsidRDefault="00484552" w:rsidP="00484552">
      <w:pPr>
        <w:rPr>
          <w:rFonts w:ascii="Arial" w:hAnsi="Arial" w:cs="Arial"/>
          <w:sz w:val="22"/>
          <w:szCs w:val="22"/>
        </w:rPr>
      </w:pPr>
      <w:r w:rsidRPr="00402A21">
        <w:rPr>
          <w:rFonts w:ascii="Arial" w:hAnsi="Arial" w:cs="Arial"/>
          <w:sz w:val="22"/>
          <w:szCs w:val="22"/>
        </w:rPr>
        <w:t>Overall, partnership working in cancer care demonstrates the benefits of collaboration, but also the need for effective management.</w:t>
      </w:r>
    </w:p>
    <w:p w14:paraId="2033776D" w14:textId="3B866633" w:rsidR="00484552" w:rsidRPr="0054276D" w:rsidRDefault="00484552" w:rsidP="00484552">
      <w:pPr>
        <w:rPr>
          <w:rFonts w:ascii="Arial" w:hAnsi="Arial" w:cs="Arial"/>
          <w:b/>
          <w:bCs/>
          <w:color w:val="4C94D8" w:themeColor="text2" w:themeTint="80"/>
          <w:sz w:val="28"/>
          <w:szCs w:val="28"/>
        </w:rPr>
      </w:pPr>
      <w:r w:rsidRPr="0054276D">
        <w:rPr>
          <w:rFonts w:ascii="Arial" w:hAnsi="Arial" w:cs="Arial"/>
          <w:b/>
          <w:bCs/>
          <w:color w:val="4C94D8" w:themeColor="text2" w:themeTint="80"/>
          <w:sz w:val="28"/>
          <w:szCs w:val="28"/>
        </w:rPr>
        <w:t>Policy and Legislation in the UK</w:t>
      </w:r>
    </w:p>
    <w:p w14:paraId="57741933" w14:textId="0FFA7DA9" w:rsidR="00484552" w:rsidRPr="00402A21" w:rsidRDefault="00484552" w:rsidP="00484552">
      <w:pPr>
        <w:rPr>
          <w:rFonts w:ascii="Arial" w:hAnsi="Arial" w:cs="Arial"/>
          <w:sz w:val="22"/>
          <w:szCs w:val="22"/>
        </w:rPr>
      </w:pPr>
      <w:r w:rsidRPr="00402A21">
        <w:rPr>
          <w:rFonts w:ascii="Arial" w:hAnsi="Arial" w:cs="Arial"/>
          <w:sz w:val="22"/>
          <w:szCs w:val="22"/>
        </w:rPr>
        <w:t>Several UK policies and laws support PCC and partnership working.</w:t>
      </w:r>
    </w:p>
    <w:p w14:paraId="038CD272" w14:textId="004C21DA" w:rsidR="00484552" w:rsidRPr="00402A21" w:rsidRDefault="00484552" w:rsidP="00484552">
      <w:pPr>
        <w:rPr>
          <w:rFonts w:ascii="Arial" w:hAnsi="Arial" w:cs="Arial"/>
          <w:sz w:val="22"/>
          <w:szCs w:val="22"/>
        </w:rPr>
      </w:pPr>
      <w:r w:rsidRPr="00402A21">
        <w:rPr>
          <w:rFonts w:ascii="Arial" w:hAnsi="Arial" w:cs="Arial"/>
          <w:sz w:val="22"/>
          <w:szCs w:val="22"/>
        </w:rPr>
        <w:t>The Care Act 2014 promotes wellbeing and requires individuals to be involved in decisions about their care. It emphasises the importance of personalised care and safeguarding.</w:t>
      </w:r>
    </w:p>
    <w:p w14:paraId="4F45C6C2" w14:textId="2E17D897" w:rsidR="00484552" w:rsidRPr="00402A21" w:rsidRDefault="00484552" w:rsidP="00484552">
      <w:pPr>
        <w:rPr>
          <w:rFonts w:ascii="Arial" w:hAnsi="Arial" w:cs="Arial"/>
          <w:sz w:val="22"/>
          <w:szCs w:val="22"/>
        </w:rPr>
      </w:pPr>
      <w:r w:rsidRPr="00402A21">
        <w:rPr>
          <w:rFonts w:ascii="Arial" w:hAnsi="Arial" w:cs="Arial"/>
          <w:sz w:val="22"/>
          <w:szCs w:val="22"/>
        </w:rPr>
        <w:t xml:space="preserve">The Health and Social Care Act 2012 </w:t>
      </w:r>
      <w:r w:rsidR="001101FC" w:rsidRPr="00402A21">
        <w:rPr>
          <w:rFonts w:ascii="Arial" w:hAnsi="Arial" w:cs="Arial"/>
          <w:sz w:val="22"/>
          <w:szCs w:val="22"/>
        </w:rPr>
        <w:t>encourage</w:t>
      </w:r>
      <w:r w:rsidRPr="00402A21">
        <w:rPr>
          <w:rFonts w:ascii="Arial" w:hAnsi="Arial" w:cs="Arial"/>
          <w:sz w:val="22"/>
          <w:szCs w:val="22"/>
        </w:rPr>
        <w:t xml:space="preserve"> integration between services, supporting partnership working across organisations.</w:t>
      </w:r>
    </w:p>
    <w:p w14:paraId="2E7D19A6" w14:textId="33F35617" w:rsidR="00484552" w:rsidRPr="00402A21" w:rsidRDefault="00484552" w:rsidP="00484552">
      <w:pPr>
        <w:rPr>
          <w:rFonts w:ascii="Arial" w:hAnsi="Arial" w:cs="Arial"/>
          <w:sz w:val="22"/>
          <w:szCs w:val="22"/>
        </w:rPr>
      </w:pPr>
      <w:r w:rsidRPr="00402A21">
        <w:rPr>
          <w:rFonts w:ascii="Arial" w:hAnsi="Arial" w:cs="Arial"/>
          <w:sz w:val="22"/>
          <w:szCs w:val="22"/>
        </w:rPr>
        <w:t>The Equality Act 2010 ensures that individuals are not discriminated against and promotes equal access to healthcare services.</w:t>
      </w:r>
    </w:p>
    <w:p w14:paraId="13025C46" w14:textId="56869662" w:rsidR="00484552" w:rsidRPr="00402A21" w:rsidRDefault="00484552" w:rsidP="00484552">
      <w:pPr>
        <w:rPr>
          <w:rFonts w:ascii="Arial" w:hAnsi="Arial" w:cs="Arial"/>
          <w:sz w:val="22"/>
          <w:szCs w:val="22"/>
        </w:rPr>
      </w:pPr>
      <w:r w:rsidRPr="00402A21">
        <w:rPr>
          <w:rFonts w:ascii="Arial" w:hAnsi="Arial" w:cs="Arial"/>
          <w:sz w:val="22"/>
          <w:szCs w:val="22"/>
        </w:rPr>
        <w:t>Additionally, the NHS Long Term Plan focuses on personalised care and integrated services, highlighting the importance of PCC and PW in improving outcomes.</w:t>
      </w:r>
    </w:p>
    <w:p w14:paraId="3300BC44" w14:textId="4AB135B0" w:rsidR="00484552" w:rsidRPr="002E381E" w:rsidRDefault="00484552" w:rsidP="002E381E">
      <w:pPr>
        <w:pStyle w:val="ListParagraph"/>
        <w:numPr>
          <w:ilvl w:val="0"/>
          <w:numId w:val="2"/>
        </w:numPr>
        <w:rPr>
          <w:rFonts w:ascii="Arial" w:hAnsi="Arial" w:cs="Arial"/>
          <w:sz w:val="22"/>
          <w:szCs w:val="22"/>
        </w:rPr>
      </w:pPr>
      <w:r w:rsidRPr="002E381E">
        <w:rPr>
          <w:rFonts w:ascii="Arial" w:hAnsi="Arial" w:cs="Arial"/>
          <w:sz w:val="22"/>
          <w:szCs w:val="22"/>
        </w:rPr>
        <w:t>While these policies provide a strong framework, their implementation can be challenging due to funding constraints and workforce shortages. This suggests that policy alone is not sufficient, and practical improvements are also needed.</w:t>
      </w:r>
    </w:p>
    <w:p w14:paraId="341D550E" w14:textId="6E4792CF" w:rsidR="00484552" w:rsidRPr="00402A21" w:rsidRDefault="00484552" w:rsidP="00484552">
      <w:pPr>
        <w:rPr>
          <w:rFonts w:ascii="Arial" w:hAnsi="Arial" w:cs="Arial"/>
          <w:b/>
          <w:bCs/>
          <w:color w:val="4C94D8" w:themeColor="text2" w:themeTint="80"/>
          <w:sz w:val="28"/>
          <w:szCs w:val="28"/>
        </w:rPr>
      </w:pPr>
      <w:r w:rsidRPr="00402A21">
        <w:rPr>
          <w:rFonts w:ascii="Arial" w:hAnsi="Arial" w:cs="Arial"/>
          <w:b/>
          <w:bCs/>
          <w:color w:val="4C94D8" w:themeColor="text2" w:themeTint="80"/>
          <w:sz w:val="28"/>
          <w:szCs w:val="28"/>
        </w:rPr>
        <w:t xml:space="preserve">Recommendations for Future </w:t>
      </w:r>
      <w:r w:rsidR="00C050FE" w:rsidRPr="00402A21">
        <w:rPr>
          <w:rFonts w:ascii="Arial" w:hAnsi="Arial" w:cs="Arial"/>
          <w:b/>
          <w:bCs/>
          <w:color w:val="4C94D8" w:themeColor="text2" w:themeTint="80"/>
          <w:sz w:val="28"/>
          <w:szCs w:val="28"/>
        </w:rPr>
        <w:t>Development</w:t>
      </w:r>
    </w:p>
    <w:p w14:paraId="3CA26E55" w14:textId="77777777" w:rsidR="00D00A61" w:rsidRPr="008614BD" w:rsidRDefault="00D00A61" w:rsidP="00D00A61">
      <w:pPr>
        <w:rPr>
          <w:rFonts w:ascii="Arial" w:hAnsi="Arial" w:cs="Arial"/>
          <w:sz w:val="22"/>
          <w:szCs w:val="22"/>
        </w:rPr>
      </w:pPr>
      <w:r w:rsidRPr="008614BD">
        <w:rPr>
          <w:rFonts w:ascii="Arial" w:hAnsi="Arial" w:cs="Arial"/>
          <w:sz w:val="22"/>
          <w:szCs w:val="22"/>
        </w:rPr>
        <w:t>To strengthen the integration of Person-Centred Care (PCC) and Partnership Working (PW) within Health and Social Care, several strategic actions are recommended:</w:t>
      </w:r>
    </w:p>
    <w:p w14:paraId="3E6F7591" w14:textId="77777777" w:rsidR="00D00A61" w:rsidRPr="008614BD" w:rsidRDefault="00D00A61" w:rsidP="00D00A61">
      <w:pPr>
        <w:rPr>
          <w:rFonts w:ascii="Arial" w:hAnsi="Arial" w:cs="Arial"/>
          <w:sz w:val="22"/>
          <w:szCs w:val="22"/>
        </w:rPr>
      </w:pPr>
    </w:p>
    <w:p w14:paraId="54FE087A" w14:textId="77777777" w:rsidR="00D00A61" w:rsidRPr="00E80410" w:rsidRDefault="00D00A61" w:rsidP="00E80410">
      <w:pPr>
        <w:pStyle w:val="ListParagraph"/>
        <w:numPr>
          <w:ilvl w:val="0"/>
          <w:numId w:val="1"/>
        </w:numPr>
        <w:rPr>
          <w:rFonts w:ascii="Arial" w:hAnsi="Arial" w:cs="Arial"/>
          <w:sz w:val="22"/>
          <w:szCs w:val="22"/>
        </w:rPr>
      </w:pPr>
      <w:r w:rsidRPr="00E80410">
        <w:rPr>
          <w:rFonts w:ascii="Arial" w:hAnsi="Arial" w:cs="Arial"/>
          <w:sz w:val="22"/>
          <w:szCs w:val="22"/>
        </w:rPr>
        <w:t>Enhanced Workforce Training and Development</w:t>
      </w:r>
    </w:p>
    <w:p w14:paraId="30981121" w14:textId="77777777" w:rsidR="00D00A61" w:rsidRPr="008614BD" w:rsidRDefault="00D00A61" w:rsidP="00D00A61">
      <w:pPr>
        <w:rPr>
          <w:rFonts w:ascii="Arial" w:hAnsi="Arial" w:cs="Arial"/>
          <w:sz w:val="22"/>
          <w:szCs w:val="22"/>
        </w:rPr>
      </w:pPr>
      <w:r w:rsidRPr="008614BD">
        <w:rPr>
          <w:rFonts w:ascii="Arial" w:hAnsi="Arial" w:cs="Arial"/>
          <w:sz w:val="22"/>
          <w:szCs w:val="22"/>
        </w:rPr>
        <w:t>Implement mandatory, ongoing training in PCC principles and collaborative practice for all health and social care professionals.</w:t>
      </w:r>
    </w:p>
    <w:p w14:paraId="54D5EC8A" w14:textId="77777777" w:rsidR="00D00A61" w:rsidRPr="008614BD" w:rsidRDefault="00D00A61" w:rsidP="00D00A61">
      <w:pPr>
        <w:rPr>
          <w:rFonts w:ascii="Arial" w:hAnsi="Arial" w:cs="Arial"/>
          <w:sz w:val="22"/>
          <w:szCs w:val="22"/>
        </w:rPr>
      </w:pPr>
      <w:r w:rsidRPr="008614BD">
        <w:rPr>
          <w:rFonts w:ascii="Arial" w:hAnsi="Arial" w:cs="Arial"/>
          <w:sz w:val="22"/>
          <w:szCs w:val="22"/>
        </w:rPr>
        <w:t>Include modules on cultural competence, communication skills, and shared decision-making to ensure inclusivity and equity.</w:t>
      </w:r>
    </w:p>
    <w:p w14:paraId="2DE043E6" w14:textId="77777777" w:rsidR="00D00A61" w:rsidRPr="00E80410" w:rsidRDefault="00D00A61" w:rsidP="00E80410">
      <w:pPr>
        <w:pStyle w:val="ListParagraph"/>
        <w:numPr>
          <w:ilvl w:val="0"/>
          <w:numId w:val="1"/>
        </w:numPr>
        <w:rPr>
          <w:rFonts w:ascii="Arial" w:hAnsi="Arial" w:cs="Arial"/>
          <w:sz w:val="22"/>
          <w:szCs w:val="22"/>
        </w:rPr>
      </w:pPr>
      <w:r w:rsidRPr="00E80410">
        <w:rPr>
          <w:rFonts w:ascii="Arial" w:hAnsi="Arial" w:cs="Arial"/>
          <w:sz w:val="22"/>
          <w:szCs w:val="22"/>
        </w:rPr>
        <w:t>Investment in Integrated Digital Systems</w:t>
      </w:r>
    </w:p>
    <w:p w14:paraId="0F999943" w14:textId="77777777" w:rsidR="00D00A61" w:rsidRPr="008614BD" w:rsidRDefault="00D00A61" w:rsidP="00D00A61">
      <w:pPr>
        <w:rPr>
          <w:rFonts w:ascii="Arial" w:hAnsi="Arial" w:cs="Arial"/>
          <w:sz w:val="22"/>
          <w:szCs w:val="22"/>
        </w:rPr>
      </w:pPr>
      <w:r w:rsidRPr="008614BD">
        <w:rPr>
          <w:rFonts w:ascii="Arial" w:hAnsi="Arial" w:cs="Arial"/>
          <w:sz w:val="22"/>
          <w:szCs w:val="22"/>
        </w:rPr>
        <w:t>Develop secure, interoperable digital platforms that allow real-time information sharing between agencies, professionals, and service users.</w:t>
      </w:r>
    </w:p>
    <w:p w14:paraId="1299567D" w14:textId="77777777" w:rsidR="00D00A61" w:rsidRPr="008614BD" w:rsidRDefault="00D00A61" w:rsidP="00D00A61">
      <w:pPr>
        <w:rPr>
          <w:rFonts w:ascii="Arial" w:hAnsi="Arial" w:cs="Arial"/>
          <w:sz w:val="22"/>
          <w:szCs w:val="22"/>
        </w:rPr>
      </w:pPr>
      <w:r w:rsidRPr="008614BD">
        <w:rPr>
          <w:rFonts w:ascii="Arial" w:hAnsi="Arial" w:cs="Arial"/>
          <w:sz w:val="22"/>
          <w:szCs w:val="22"/>
        </w:rPr>
        <w:t>Use digital tools to support personalised care planning and remote monitoring, particularly for individuals with complex needs.</w:t>
      </w:r>
    </w:p>
    <w:p w14:paraId="1F97C743" w14:textId="79C2F853" w:rsidR="00D00A61" w:rsidRPr="00A01AD9" w:rsidRDefault="00D00A61" w:rsidP="00A01AD9">
      <w:pPr>
        <w:pStyle w:val="ListParagraph"/>
        <w:numPr>
          <w:ilvl w:val="0"/>
          <w:numId w:val="1"/>
        </w:numPr>
        <w:rPr>
          <w:rFonts w:ascii="Arial" w:hAnsi="Arial" w:cs="Arial"/>
          <w:sz w:val="22"/>
          <w:szCs w:val="22"/>
        </w:rPr>
      </w:pPr>
      <w:r w:rsidRPr="00A01AD9">
        <w:rPr>
          <w:rFonts w:ascii="Arial" w:hAnsi="Arial" w:cs="Arial"/>
          <w:sz w:val="22"/>
          <w:szCs w:val="22"/>
        </w:rPr>
        <w:t>Stronger Community and Service User Involvement</w:t>
      </w:r>
    </w:p>
    <w:p w14:paraId="1CC4249E" w14:textId="77777777" w:rsidR="00D00A61" w:rsidRPr="008614BD" w:rsidRDefault="00D00A61" w:rsidP="00D00A61">
      <w:pPr>
        <w:rPr>
          <w:rFonts w:ascii="Arial" w:hAnsi="Arial" w:cs="Arial"/>
          <w:sz w:val="22"/>
          <w:szCs w:val="22"/>
        </w:rPr>
      </w:pPr>
      <w:r w:rsidRPr="008614BD">
        <w:rPr>
          <w:rFonts w:ascii="Arial" w:hAnsi="Arial" w:cs="Arial"/>
          <w:sz w:val="22"/>
          <w:szCs w:val="22"/>
        </w:rPr>
        <w:t>Establish co-production forums where service users, carers, and community representatives actively shape service design and evaluation.</w:t>
      </w:r>
    </w:p>
    <w:p w14:paraId="2BBD7B9F" w14:textId="77777777" w:rsidR="00D00A61" w:rsidRPr="008614BD" w:rsidRDefault="00D00A61" w:rsidP="00D00A61">
      <w:pPr>
        <w:rPr>
          <w:rFonts w:ascii="Arial" w:hAnsi="Arial" w:cs="Arial"/>
          <w:sz w:val="22"/>
          <w:szCs w:val="22"/>
        </w:rPr>
      </w:pPr>
      <w:r w:rsidRPr="008614BD">
        <w:rPr>
          <w:rFonts w:ascii="Arial" w:hAnsi="Arial" w:cs="Arial"/>
          <w:sz w:val="22"/>
          <w:szCs w:val="22"/>
        </w:rPr>
        <w:t>Provide resources and training to empower individuals to participate meaningfully in decision-making processes.</w:t>
      </w:r>
    </w:p>
    <w:p w14:paraId="1F3C3B69" w14:textId="747E3D49" w:rsidR="00D00A61" w:rsidRPr="00E42605" w:rsidRDefault="00D00A61" w:rsidP="00E42605">
      <w:pPr>
        <w:pStyle w:val="ListParagraph"/>
        <w:numPr>
          <w:ilvl w:val="0"/>
          <w:numId w:val="1"/>
        </w:numPr>
        <w:rPr>
          <w:rFonts w:ascii="Arial" w:hAnsi="Arial" w:cs="Arial"/>
          <w:sz w:val="22"/>
          <w:szCs w:val="22"/>
        </w:rPr>
      </w:pPr>
      <w:r w:rsidRPr="00E42605">
        <w:rPr>
          <w:rFonts w:ascii="Arial" w:hAnsi="Arial" w:cs="Arial"/>
          <w:sz w:val="22"/>
          <w:szCs w:val="22"/>
        </w:rPr>
        <w:t>Policy Alignment and Accountability</w:t>
      </w:r>
    </w:p>
    <w:p w14:paraId="64BFEAE8" w14:textId="77777777" w:rsidR="00D00A61" w:rsidRPr="008614BD" w:rsidRDefault="00D00A61" w:rsidP="00D00A61">
      <w:pPr>
        <w:rPr>
          <w:rFonts w:ascii="Arial" w:hAnsi="Arial" w:cs="Arial"/>
          <w:sz w:val="22"/>
          <w:szCs w:val="22"/>
        </w:rPr>
      </w:pPr>
      <w:r w:rsidRPr="008614BD">
        <w:rPr>
          <w:rFonts w:ascii="Arial" w:hAnsi="Arial" w:cs="Arial"/>
          <w:sz w:val="22"/>
          <w:szCs w:val="22"/>
        </w:rPr>
        <w:t>Ensure national and local policies explicitly link PCC and PW objectives, with measurable performance indicators.</w:t>
      </w:r>
    </w:p>
    <w:p w14:paraId="31A3B63A" w14:textId="77777777" w:rsidR="00D00A61" w:rsidRPr="008614BD" w:rsidRDefault="00D00A61" w:rsidP="00D00A61">
      <w:pPr>
        <w:rPr>
          <w:rFonts w:ascii="Arial" w:hAnsi="Arial" w:cs="Arial"/>
          <w:sz w:val="22"/>
          <w:szCs w:val="22"/>
        </w:rPr>
      </w:pPr>
      <w:r w:rsidRPr="008614BD">
        <w:rPr>
          <w:rFonts w:ascii="Arial" w:hAnsi="Arial" w:cs="Arial"/>
          <w:sz w:val="22"/>
          <w:szCs w:val="22"/>
        </w:rPr>
        <w:t>Introduce regular audits and feedback loops to monitor progress and address gaps in implementation.</w:t>
      </w:r>
    </w:p>
    <w:p w14:paraId="709290C8" w14:textId="0C5FB69F" w:rsidR="00D00A61" w:rsidRPr="00E42605" w:rsidRDefault="00D00A61" w:rsidP="00E42605">
      <w:pPr>
        <w:pStyle w:val="ListParagraph"/>
        <w:numPr>
          <w:ilvl w:val="0"/>
          <w:numId w:val="1"/>
        </w:numPr>
        <w:rPr>
          <w:rFonts w:ascii="Arial" w:hAnsi="Arial" w:cs="Arial"/>
          <w:sz w:val="22"/>
          <w:szCs w:val="22"/>
        </w:rPr>
      </w:pPr>
      <w:r w:rsidRPr="00E42605">
        <w:rPr>
          <w:rFonts w:ascii="Arial" w:hAnsi="Arial" w:cs="Arial"/>
          <w:sz w:val="22"/>
          <w:szCs w:val="22"/>
        </w:rPr>
        <w:t>Sustainable Funding Models</w:t>
      </w:r>
    </w:p>
    <w:p w14:paraId="41C92DF6" w14:textId="77777777" w:rsidR="00D00A61" w:rsidRPr="008614BD" w:rsidRDefault="00D00A61" w:rsidP="00D00A61">
      <w:pPr>
        <w:rPr>
          <w:rFonts w:ascii="Arial" w:hAnsi="Arial" w:cs="Arial"/>
          <w:sz w:val="22"/>
          <w:szCs w:val="22"/>
        </w:rPr>
      </w:pPr>
      <w:r w:rsidRPr="008614BD">
        <w:rPr>
          <w:rFonts w:ascii="Arial" w:hAnsi="Arial" w:cs="Arial"/>
          <w:sz w:val="22"/>
          <w:szCs w:val="22"/>
        </w:rPr>
        <w:t>Secure long-term investment to support integrated care initiatives, workforce stability, and innovation in service delivery.</w:t>
      </w:r>
    </w:p>
    <w:p w14:paraId="5DF50005" w14:textId="77777777" w:rsidR="00D00A61" w:rsidRPr="008614BD" w:rsidRDefault="00D00A61" w:rsidP="00D00A61">
      <w:pPr>
        <w:rPr>
          <w:rFonts w:ascii="Arial" w:hAnsi="Arial" w:cs="Arial"/>
          <w:sz w:val="22"/>
          <w:szCs w:val="22"/>
        </w:rPr>
      </w:pPr>
      <w:r w:rsidRPr="008614BD">
        <w:rPr>
          <w:rFonts w:ascii="Arial" w:hAnsi="Arial" w:cs="Arial"/>
          <w:sz w:val="22"/>
          <w:szCs w:val="22"/>
        </w:rPr>
        <w:t>Explore pooled budgets across health and social care sectors to reduce duplication and improve resource allocation.</w:t>
      </w:r>
    </w:p>
    <w:p w14:paraId="1B0EAEDD" w14:textId="072BF27D" w:rsidR="00D00A61" w:rsidRPr="00E42605" w:rsidRDefault="00D00A61" w:rsidP="00E42605">
      <w:pPr>
        <w:pStyle w:val="ListParagraph"/>
        <w:numPr>
          <w:ilvl w:val="0"/>
          <w:numId w:val="1"/>
        </w:numPr>
        <w:rPr>
          <w:rFonts w:ascii="Arial" w:hAnsi="Arial" w:cs="Arial"/>
          <w:sz w:val="22"/>
          <w:szCs w:val="22"/>
        </w:rPr>
      </w:pPr>
      <w:r w:rsidRPr="00E42605">
        <w:rPr>
          <w:rFonts w:ascii="Arial" w:hAnsi="Arial" w:cs="Arial"/>
          <w:sz w:val="22"/>
          <w:szCs w:val="22"/>
        </w:rPr>
        <w:t>Focus on Reducing Inequalities</w:t>
      </w:r>
    </w:p>
    <w:p w14:paraId="1D570F1B" w14:textId="77777777" w:rsidR="00D00A61" w:rsidRPr="008614BD" w:rsidRDefault="00D00A61" w:rsidP="00D00A61">
      <w:pPr>
        <w:rPr>
          <w:rFonts w:ascii="Arial" w:hAnsi="Arial" w:cs="Arial"/>
          <w:sz w:val="22"/>
          <w:szCs w:val="22"/>
        </w:rPr>
      </w:pPr>
      <w:r w:rsidRPr="008614BD">
        <w:rPr>
          <w:rFonts w:ascii="Arial" w:hAnsi="Arial" w:cs="Arial"/>
          <w:sz w:val="22"/>
          <w:szCs w:val="22"/>
        </w:rPr>
        <w:t>Target interventions to address disparities in access, experience, and outcomes for marginalised or underserved populations.</w:t>
      </w:r>
    </w:p>
    <w:p w14:paraId="2FEB48D7" w14:textId="2B0AD442" w:rsidR="00D00A61" w:rsidRPr="00E42605" w:rsidRDefault="00D00A61" w:rsidP="00E42605">
      <w:pPr>
        <w:pStyle w:val="ListParagraph"/>
        <w:numPr>
          <w:ilvl w:val="0"/>
          <w:numId w:val="1"/>
        </w:numPr>
        <w:rPr>
          <w:rFonts w:ascii="Arial" w:hAnsi="Arial" w:cs="Arial"/>
          <w:sz w:val="22"/>
          <w:szCs w:val="22"/>
        </w:rPr>
      </w:pPr>
      <w:r w:rsidRPr="00E42605">
        <w:rPr>
          <w:rFonts w:ascii="Arial" w:hAnsi="Arial" w:cs="Arial"/>
          <w:sz w:val="22"/>
          <w:szCs w:val="22"/>
        </w:rPr>
        <w:t>Embed equity impact assessments into all service planning and evaluation processes.</w:t>
      </w:r>
    </w:p>
    <w:p w14:paraId="33E06E48" w14:textId="7F69ECA7" w:rsidR="00D00A61" w:rsidRPr="008614BD" w:rsidRDefault="00D00A61" w:rsidP="00D00A61">
      <w:pPr>
        <w:rPr>
          <w:rFonts w:ascii="Arial" w:hAnsi="Arial" w:cs="Arial"/>
          <w:sz w:val="22"/>
          <w:szCs w:val="22"/>
        </w:rPr>
      </w:pPr>
      <w:r w:rsidRPr="008614BD">
        <w:rPr>
          <w:rFonts w:ascii="Arial" w:hAnsi="Arial" w:cs="Arial"/>
          <w:sz w:val="22"/>
          <w:szCs w:val="22"/>
        </w:rPr>
        <w:t xml:space="preserve">These recommendations aim to move PCC and PW from aspirational policy statements to consistent, measurable practice, ensuring that care is not only coordinated but also deeply responsive to the needs and values of </w:t>
      </w:r>
      <w:r w:rsidR="00E80410">
        <w:rPr>
          <w:rFonts w:ascii="Arial" w:hAnsi="Arial" w:cs="Arial"/>
          <w:sz w:val="22"/>
          <w:szCs w:val="22"/>
        </w:rPr>
        <w:t>each individual.</w:t>
      </w:r>
    </w:p>
    <w:p w14:paraId="4BFFEF7B" w14:textId="77777777" w:rsidR="00E223ED" w:rsidRPr="00C13B5A" w:rsidRDefault="00E223ED" w:rsidP="00484552">
      <w:pPr>
        <w:rPr>
          <w:rFonts w:ascii="Arial" w:hAnsi="Arial" w:cs="Arial"/>
        </w:rPr>
      </w:pPr>
    </w:p>
    <w:p w14:paraId="2D966ED0" w14:textId="0B2C47FD" w:rsidR="00484552" w:rsidRPr="008D7E0E" w:rsidRDefault="00484552" w:rsidP="00484552">
      <w:pPr>
        <w:rPr>
          <w:rFonts w:ascii="Arial" w:hAnsi="Arial" w:cs="Arial"/>
          <w:b/>
          <w:bCs/>
          <w:color w:val="4C94D8" w:themeColor="text2" w:themeTint="80"/>
          <w:sz w:val="28"/>
          <w:szCs w:val="28"/>
        </w:rPr>
      </w:pPr>
      <w:r w:rsidRPr="008D7E0E">
        <w:rPr>
          <w:rFonts w:ascii="Arial" w:hAnsi="Arial" w:cs="Arial"/>
          <w:b/>
          <w:bCs/>
          <w:color w:val="4C94D8" w:themeColor="text2" w:themeTint="80"/>
          <w:sz w:val="28"/>
          <w:szCs w:val="28"/>
        </w:rPr>
        <w:t>Conclusion</w:t>
      </w:r>
    </w:p>
    <w:p w14:paraId="2233954D" w14:textId="339142D4" w:rsidR="00477836" w:rsidRPr="006748E1" w:rsidRDefault="006748E1" w:rsidP="00477836">
      <w:pPr>
        <w:rPr>
          <w:rFonts w:ascii="Arial" w:hAnsi="Arial" w:cs="Arial"/>
          <w:sz w:val="22"/>
          <w:szCs w:val="22"/>
        </w:rPr>
      </w:pPr>
      <w:r w:rsidRPr="00477836">
        <w:t>In</w:t>
      </w:r>
      <w:r w:rsidR="00477836" w:rsidRPr="00477836">
        <w:rPr>
          <w:rFonts w:ascii="Arial" w:hAnsi="Arial" w:cs="Arial"/>
          <w:b/>
          <w:bCs/>
          <w:sz w:val="28"/>
          <w:szCs w:val="28"/>
        </w:rPr>
        <w:t xml:space="preserve"> </w:t>
      </w:r>
      <w:r w:rsidR="00477836" w:rsidRPr="006748E1">
        <w:rPr>
          <w:rFonts w:ascii="Arial" w:hAnsi="Arial" w:cs="Arial"/>
          <w:sz w:val="22"/>
          <w:szCs w:val="22"/>
        </w:rPr>
        <w:t>conclusion, person-centred care and partnership working are essential components of effective health and social care practice in the UK. Person-centred care ensures that individuals are treated with dignity, respect, and compassion, while also recognising their unique needs, preferences, and values. This approach not only improves patient satisfaction but also contributes to better health outcomes and greater independence. However, challenges such as time constraints, staff shortages, and the need for specialised training can limit its full implementation.</w:t>
      </w:r>
    </w:p>
    <w:p w14:paraId="2FF368B7" w14:textId="77777777" w:rsidR="00477836" w:rsidRPr="006748E1" w:rsidRDefault="00477836" w:rsidP="00477836">
      <w:pPr>
        <w:rPr>
          <w:rFonts w:ascii="Arial" w:hAnsi="Arial" w:cs="Arial"/>
          <w:sz w:val="22"/>
          <w:szCs w:val="22"/>
        </w:rPr>
      </w:pPr>
    </w:p>
    <w:p w14:paraId="280501BC" w14:textId="77777777" w:rsidR="00477836" w:rsidRPr="006748E1" w:rsidRDefault="00477836" w:rsidP="00477836">
      <w:pPr>
        <w:rPr>
          <w:rFonts w:ascii="Arial" w:hAnsi="Arial" w:cs="Arial"/>
          <w:sz w:val="22"/>
          <w:szCs w:val="22"/>
        </w:rPr>
      </w:pPr>
      <w:r w:rsidRPr="006748E1">
        <w:rPr>
          <w:rFonts w:ascii="Arial" w:hAnsi="Arial" w:cs="Arial"/>
          <w:sz w:val="22"/>
          <w:szCs w:val="22"/>
        </w:rPr>
        <w:t>Partnership working complements person-centred care by promoting collaboration between professionals, organisations, and service users. Through effective communication and shared decision-making, partnership working enables a more holistic and coordinated approach to care. UK policies such as the Care Act 2014 and the Health and Social Care Act 2012 further support the integration of these approaches in practice.</w:t>
      </w:r>
    </w:p>
    <w:p w14:paraId="63204730" w14:textId="77777777" w:rsidR="00477836" w:rsidRPr="006748E1" w:rsidRDefault="00477836" w:rsidP="00477836">
      <w:pPr>
        <w:rPr>
          <w:rFonts w:ascii="Arial" w:hAnsi="Arial" w:cs="Arial"/>
          <w:sz w:val="22"/>
          <w:szCs w:val="22"/>
        </w:rPr>
      </w:pPr>
    </w:p>
    <w:p w14:paraId="4AA69B56" w14:textId="6857D7A0" w:rsidR="00484552" w:rsidRDefault="00477836" w:rsidP="00477836">
      <w:pPr>
        <w:rPr>
          <w:rFonts w:ascii="Arial" w:hAnsi="Arial" w:cs="Arial"/>
          <w:sz w:val="22"/>
          <w:szCs w:val="22"/>
        </w:rPr>
      </w:pPr>
      <w:r w:rsidRPr="006748E1">
        <w:rPr>
          <w:rFonts w:ascii="Arial" w:hAnsi="Arial" w:cs="Arial"/>
          <w:sz w:val="22"/>
          <w:szCs w:val="22"/>
        </w:rPr>
        <w:t>Overall, combining person-centred care with strong partnership working can significantly enhance the quality of care delivered. Future improvements should focus on increasing resources, staff training, and interprofessional collaboration to ensure that these approaches are consistently applied across all health and social care settings.</w:t>
      </w:r>
    </w:p>
    <w:p w14:paraId="7CC08AF9" w14:textId="77777777" w:rsidR="00561152" w:rsidRDefault="00561152" w:rsidP="00477836">
      <w:pPr>
        <w:rPr>
          <w:rFonts w:ascii="Arial" w:hAnsi="Arial" w:cs="Arial"/>
          <w:sz w:val="22"/>
          <w:szCs w:val="22"/>
        </w:rPr>
      </w:pPr>
    </w:p>
    <w:p w14:paraId="0255FAD7" w14:textId="77777777" w:rsidR="00561152" w:rsidRDefault="00561152" w:rsidP="00477836">
      <w:pPr>
        <w:rPr>
          <w:rFonts w:ascii="Arial" w:hAnsi="Arial" w:cs="Arial"/>
          <w:sz w:val="22"/>
          <w:szCs w:val="22"/>
        </w:rPr>
      </w:pPr>
    </w:p>
    <w:p w14:paraId="790E09F2" w14:textId="77777777" w:rsidR="00561152" w:rsidRPr="006748E1" w:rsidRDefault="00561152" w:rsidP="00477836">
      <w:pPr>
        <w:rPr>
          <w:rFonts w:ascii="Arial" w:hAnsi="Arial" w:cs="Arial"/>
          <w:sz w:val="22"/>
          <w:szCs w:val="22"/>
        </w:rPr>
      </w:pPr>
    </w:p>
    <w:p w14:paraId="094EF7D4" w14:textId="77777777" w:rsidR="00561152" w:rsidRPr="00561152" w:rsidRDefault="00561152" w:rsidP="00484552">
      <w:pPr>
        <w:rPr>
          <w:rFonts w:ascii="Arial" w:hAnsi="Arial" w:cs="Arial"/>
          <w:b/>
          <w:bCs/>
          <w:color w:val="4C94D8" w:themeColor="text2" w:themeTint="80"/>
          <w:sz w:val="28"/>
          <w:szCs w:val="28"/>
        </w:rPr>
      </w:pPr>
      <w:r w:rsidRPr="00561152">
        <w:rPr>
          <w:rFonts w:ascii="Arial" w:hAnsi="Arial" w:cs="Arial"/>
          <w:b/>
          <w:bCs/>
          <w:color w:val="4C94D8" w:themeColor="text2" w:themeTint="80"/>
          <w:sz w:val="28"/>
          <w:szCs w:val="28"/>
        </w:rPr>
        <w:t xml:space="preserve">References (Harvard Style) </w:t>
      </w:r>
    </w:p>
    <w:p w14:paraId="74A21E49" w14:textId="110BB5ED" w:rsidR="00484552" w:rsidRPr="00C13B5A" w:rsidRDefault="00484552" w:rsidP="00484552">
      <w:pPr>
        <w:rPr>
          <w:rFonts w:ascii="Arial" w:hAnsi="Arial" w:cs="Arial"/>
        </w:rPr>
      </w:pPr>
      <w:r w:rsidRPr="00C13B5A">
        <w:rPr>
          <w:rFonts w:ascii="Arial" w:hAnsi="Arial" w:cs="Arial"/>
        </w:rPr>
        <w:t>NHS (2019) The NHS Long Term Plan.</w:t>
      </w:r>
    </w:p>
    <w:p w14:paraId="0A70D3E1" w14:textId="1EF3486B" w:rsidR="00484552" w:rsidRPr="00C13B5A" w:rsidRDefault="00484552" w:rsidP="00484552">
      <w:pPr>
        <w:rPr>
          <w:rFonts w:ascii="Arial" w:hAnsi="Arial" w:cs="Arial"/>
        </w:rPr>
      </w:pPr>
      <w:r w:rsidRPr="00C13B5A">
        <w:rPr>
          <w:rFonts w:ascii="Arial" w:hAnsi="Arial" w:cs="Arial"/>
        </w:rPr>
        <w:t>Rogers, C. (1951) Client-</w:t>
      </w:r>
      <w:r w:rsidR="00396C08" w:rsidRPr="00C13B5A">
        <w:rPr>
          <w:rFonts w:ascii="Arial" w:hAnsi="Arial" w:cs="Arial"/>
        </w:rPr>
        <w:t>Centred</w:t>
      </w:r>
      <w:r w:rsidRPr="00C13B5A">
        <w:rPr>
          <w:rFonts w:ascii="Arial" w:hAnsi="Arial" w:cs="Arial"/>
        </w:rPr>
        <w:t xml:space="preserve"> Therapy.</w:t>
      </w:r>
    </w:p>
    <w:p w14:paraId="257D0DDF" w14:textId="77777777" w:rsidR="00484552" w:rsidRPr="00C13B5A" w:rsidRDefault="00484552" w:rsidP="00484552">
      <w:pPr>
        <w:rPr>
          <w:rFonts w:ascii="Arial" w:hAnsi="Arial" w:cs="Arial"/>
        </w:rPr>
      </w:pPr>
      <w:r w:rsidRPr="00C13B5A">
        <w:rPr>
          <w:rFonts w:ascii="Arial" w:hAnsi="Arial" w:cs="Arial"/>
        </w:rPr>
        <w:t>Department of Health (2014) Care Act 2014.</w:t>
      </w:r>
    </w:p>
    <w:p w14:paraId="4989E127" w14:textId="77777777" w:rsidR="00484552" w:rsidRPr="00C13B5A" w:rsidRDefault="00484552" w:rsidP="00484552">
      <w:pPr>
        <w:rPr>
          <w:rFonts w:ascii="Arial" w:hAnsi="Arial" w:cs="Arial"/>
        </w:rPr>
      </w:pPr>
      <w:r w:rsidRPr="00C13B5A">
        <w:rPr>
          <w:rFonts w:ascii="Arial" w:hAnsi="Arial" w:cs="Arial"/>
        </w:rPr>
        <w:t>Department of Health (2012) Health and Social Care Act 2012.</w:t>
      </w:r>
    </w:p>
    <w:p w14:paraId="498F7766" w14:textId="77777777" w:rsidR="00484552" w:rsidRPr="00C13B5A" w:rsidRDefault="00484552" w:rsidP="00484552">
      <w:pPr>
        <w:rPr>
          <w:rFonts w:ascii="Arial" w:hAnsi="Arial" w:cs="Arial"/>
        </w:rPr>
      </w:pPr>
      <w:r w:rsidRPr="00C13B5A">
        <w:rPr>
          <w:rFonts w:ascii="Arial" w:hAnsi="Arial" w:cs="Arial"/>
        </w:rPr>
        <w:t>Equality Act (2010).</w:t>
      </w:r>
    </w:p>
    <w:p w14:paraId="1FE462EB" w14:textId="77777777" w:rsidR="00484552" w:rsidRPr="00C13B5A" w:rsidRDefault="00484552" w:rsidP="00484552">
      <w:pPr>
        <w:rPr>
          <w:rFonts w:ascii="Arial" w:hAnsi="Arial" w:cs="Arial"/>
        </w:rPr>
      </w:pPr>
      <w:r w:rsidRPr="00C13B5A">
        <w:rPr>
          <w:rFonts w:ascii="Arial" w:hAnsi="Arial" w:cs="Arial"/>
        </w:rPr>
        <w:t>Glasby, J. &amp; Dickinson, H. (2014) Partnership Working in Health and Social Care.</w:t>
      </w:r>
    </w:p>
    <w:p w14:paraId="17B38334" w14:textId="77777777" w:rsidR="00484552" w:rsidRPr="00C13B5A" w:rsidRDefault="00484552" w:rsidP="00484552">
      <w:pPr>
        <w:rPr>
          <w:rFonts w:ascii="Arial" w:hAnsi="Arial" w:cs="Arial"/>
        </w:rPr>
      </w:pPr>
      <w:r w:rsidRPr="00C13B5A">
        <w:rPr>
          <w:rFonts w:ascii="Arial" w:hAnsi="Arial" w:cs="Arial"/>
        </w:rPr>
        <w:t>NICE (2021) Person-centred care guidelines.</w:t>
      </w:r>
    </w:p>
    <w:p w14:paraId="5CBD0D59" w14:textId="77777777" w:rsidR="00484552" w:rsidRPr="00C13B5A" w:rsidRDefault="00484552" w:rsidP="00484552">
      <w:pPr>
        <w:rPr>
          <w:rFonts w:ascii="Arial" w:hAnsi="Arial" w:cs="Arial"/>
        </w:rPr>
      </w:pPr>
    </w:p>
    <w:p w14:paraId="66C23E2D" w14:textId="2B40E073" w:rsidR="000D3296" w:rsidRPr="00C13B5A" w:rsidRDefault="000D3296" w:rsidP="00484552">
      <w:pPr>
        <w:rPr>
          <w:rFonts w:ascii="Arial" w:hAnsi="Arial" w:cs="Arial"/>
        </w:rPr>
      </w:pPr>
    </w:p>
    <w:sectPr w:rsidR="000D3296" w:rsidRPr="00C13B5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EDBD84" w14:textId="77777777" w:rsidR="004F49DB" w:rsidRDefault="004F49DB" w:rsidP="008D7E0E">
      <w:pPr>
        <w:spacing w:after="0" w:line="240" w:lineRule="auto"/>
      </w:pPr>
      <w:r>
        <w:separator/>
      </w:r>
    </w:p>
  </w:endnote>
  <w:endnote w:type="continuationSeparator" w:id="0">
    <w:p w14:paraId="4C266802" w14:textId="77777777" w:rsidR="004F49DB" w:rsidRDefault="004F49DB" w:rsidP="008D7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840546"/>
      <w:docPartObj>
        <w:docPartGallery w:val="Page Numbers (Bottom of Page)"/>
        <w:docPartUnique/>
      </w:docPartObj>
    </w:sdtPr>
    <w:sdtContent>
      <w:p w14:paraId="30D08927" w14:textId="356F6D0F" w:rsidR="008D7E0E" w:rsidRDefault="008D7E0E">
        <w:pPr>
          <w:pStyle w:val="Footer"/>
          <w:jc w:val="center"/>
        </w:pPr>
        <w:r>
          <w:fldChar w:fldCharType="begin"/>
        </w:r>
        <w:r>
          <w:instrText>PAGE   \* MERGEFORMAT</w:instrText>
        </w:r>
        <w:r>
          <w:fldChar w:fldCharType="separate"/>
        </w:r>
        <w:r>
          <w:t>2</w:t>
        </w:r>
        <w:r>
          <w:fldChar w:fldCharType="end"/>
        </w:r>
      </w:p>
    </w:sdtContent>
  </w:sdt>
  <w:p w14:paraId="3B21AE90" w14:textId="77777777" w:rsidR="008D7E0E" w:rsidRDefault="008D7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AB60C" w14:textId="77777777" w:rsidR="004F49DB" w:rsidRDefault="004F49DB" w:rsidP="008D7E0E">
      <w:pPr>
        <w:spacing w:after="0" w:line="240" w:lineRule="auto"/>
      </w:pPr>
      <w:r>
        <w:separator/>
      </w:r>
    </w:p>
  </w:footnote>
  <w:footnote w:type="continuationSeparator" w:id="0">
    <w:p w14:paraId="2110D8B4" w14:textId="77777777" w:rsidR="004F49DB" w:rsidRDefault="004F49DB" w:rsidP="008D7E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43B3A"/>
    <w:multiLevelType w:val="hybridMultilevel"/>
    <w:tmpl w:val="B2AABA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1E6366"/>
    <w:multiLevelType w:val="hybridMultilevel"/>
    <w:tmpl w:val="6D76C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6F7C26"/>
    <w:multiLevelType w:val="hybridMultilevel"/>
    <w:tmpl w:val="30FEF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9296032">
    <w:abstractNumId w:val="1"/>
  </w:num>
  <w:num w:numId="2" w16cid:durableId="12268403">
    <w:abstractNumId w:val="2"/>
  </w:num>
  <w:num w:numId="3" w16cid:durableId="273027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296"/>
    <w:rsid w:val="000D3296"/>
    <w:rsid w:val="000F255D"/>
    <w:rsid w:val="001101FC"/>
    <w:rsid w:val="001A072C"/>
    <w:rsid w:val="002E381E"/>
    <w:rsid w:val="003622FA"/>
    <w:rsid w:val="003950FE"/>
    <w:rsid w:val="00396C08"/>
    <w:rsid w:val="00402A21"/>
    <w:rsid w:val="00477836"/>
    <w:rsid w:val="00484552"/>
    <w:rsid w:val="004F49DB"/>
    <w:rsid w:val="0054276D"/>
    <w:rsid w:val="00561152"/>
    <w:rsid w:val="005B26D8"/>
    <w:rsid w:val="0061422B"/>
    <w:rsid w:val="006748E1"/>
    <w:rsid w:val="006878E4"/>
    <w:rsid w:val="00727239"/>
    <w:rsid w:val="008614BD"/>
    <w:rsid w:val="008D7E0E"/>
    <w:rsid w:val="008E3B2A"/>
    <w:rsid w:val="00964BFA"/>
    <w:rsid w:val="00A01AD9"/>
    <w:rsid w:val="00B717F5"/>
    <w:rsid w:val="00C050FE"/>
    <w:rsid w:val="00C13B5A"/>
    <w:rsid w:val="00CB0E45"/>
    <w:rsid w:val="00CC0CC2"/>
    <w:rsid w:val="00D00A61"/>
    <w:rsid w:val="00DE00AC"/>
    <w:rsid w:val="00E223ED"/>
    <w:rsid w:val="00E42605"/>
    <w:rsid w:val="00E80410"/>
    <w:rsid w:val="00ED3CFF"/>
    <w:rsid w:val="00F12FEA"/>
    <w:rsid w:val="00FB1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64B4B"/>
  <w15:chartTrackingRefBased/>
  <w15:docId w15:val="{978176A0-3F42-4C7E-AB8F-27D338D1E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2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32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2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2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2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2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2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2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2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2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2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2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2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2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2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2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2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296"/>
    <w:rPr>
      <w:rFonts w:eastAsiaTheme="majorEastAsia" w:cstheme="majorBidi"/>
      <w:color w:val="272727" w:themeColor="text1" w:themeTint="D8"/>
    </w:rPr>
  </w:style>
  <w:style w:type="paragraph" w:styleId="Title">
    <w:name w:val="Title"/>
    <w:basedOn w:val="Normal"/>
    <w:next w:val="Normal"/>
    <w:link w:val="TitleChar"/>
    <w:uiPriority w:val="10"/>
    <w:qFormat/>
    <w:rsid w:val="000D32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2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2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2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296"/>
    <w:pPr>
      <w:spacing w:before="160"/>
      <w:jc w:val="center"/>
    </w:pPr>
    <w:rPr>
      <w:i/>
      <w:iCs/>
      <w:color w:val="404040" w:themeColor="text1" w:themeTint="BF"/>
    </w:rPr>
  </w:style>
  <w:style w:type="character" w:customStyle="1" w:styleId="QuoteChar">
    <w:name w:val="Quote Char"/>
    <w:basedOn w:val="DefaultParagraphFont"/>
    <w:link w:val="Quote"/>
    <w:uiPriority w:val="29"/>
    <w:rsid w:val="000D3296"/>
    <w:rPr>
      <w:i/>
      <w:iCs/>
      <w:color w:val="404040" w:themeColor="text1" w:themeTint="BF"/>
    </w:rPr>
  </w:style>
  <w:style w:type="paragraph" w:styleId="ListParagraph">
    <w:name w:val="List Paragraph"/>
    <w:basedOn w:val="Normal"/>
    <w:uiPriority w:val="34"/>
    <w:qFormat/>
    <w:rsid w:val="000D3296"/>
    <w:pPr>
      <w:ind w:left="720"/>
      <w:contextualSpacing/>
    </w:pPr>
  </w:style>
  <w:style w:type="character" w:styleId="IntenseEmphasis">
    <w:name w:val="Intense Emphasis"/>
    <w:basedOn w:val="DefaultParagraphFont"/>
    <w:uiPriority w:val="21"/>
    <w:qFormat/>
    <w:rsid w:val="000D3296"/>
    <w:rPr>
      <w:i/>
      <w:iCs/>
      <w:color w:val="0F4761" w:themeColor="accent1" w:themeShade="BF"/>
    </w:rPr>
  </w:style>
  <w:style w:type="paragraph" w:styleId="IntenseQuote">
    <w:name w:val="Intense Quote"/>
    <w:basedOn w:val="Normal"/>
    <w:next w:val="Normal"/>
    <w:link w:val="IntenseQuoteChar"/>
    <w:uiPriority w:val="30"/>
    <w:qFormat/>
    <w:rsid w:val="000D32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296"/>
    <w:rPr>
      <w:i/>
      <w:iCs/>
      <w:color w:val="0F4761" w:themeColor="accent1" w:themeShade="BF"/>
    </w:rPr>
  </w:style>
  <w:style w:type="character" w:styleId="IntenseReference">
    <w:name w:val="Intense Reference"/>
    <w:basedOn w:val="DefaultParagraphFont"/>
    <w:uiPriority w:val="32"/>
    <w:qFormat/>
    <w:rsid w:val="000D3296"/>
    <w:rPr>
      <w:b/>
      <w:bCs/>
      <w:smallCaps/>
      <w:color w:val="0F4761" w:themeColor="accent1" w:themeShade="BF"/>
      <w:spacing w:val="5"/>
    </w:rPr>
  </w:style>
  <w:style w:type="paragraph" w:styleId="Header">
    <w:name w:val="header"/>
    <w:basedOn w:val="Normal"/>
    <w:link w:val="HeaderChar"/>
    <w:uiPriority w:val="99"/>
    <w:unhideWhenUsed/>
    <w:rsid w:val="008D7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E0E"/>
  </w:style>
  <w:style w:type="paragraph" w:styleId="Footer">
    <w:name w:val="footer"/>
    <w:basedOn w:val="Normal"/>
    <w:link w:val="FooterChar"/>
    <w:uiPriority w:val="99"/>
    <w:unhideWhenUsed/>
    <w:rsid w:val="008D7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E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3cb2d18e71592635197a39eca33aa3bc">
  <xsd:schema xmlns:xsd="http://www.w3.org/2001/XMLSchema" xmlns:xs="http://www.w3.org/2001/XMLSchema" xmlns:p="http://schemas.microsoft.com/office/2006/metadata/properties" xmlns:ns3="ccfc14db-0f45-423b-b2f5-752f8f8a0ada" targetNamespace="http://schemas.microsoft.com/office/2006/metadata/properties" ma:root="true" ma:fieldsID="141cf4f77934fd6fe877cc94efe979c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BE58637A-DBCD-476D-95C6-D49D03C902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02B06B-3C78-4E14-926D-24F5CD145A64}">
  <ds:schemaRefs>
    <ds:schemaRef ds:uri="http://schemas.microsoft.com/sharepoint/v3/contenttype/forms"/>
  </ds:schemaRefs>
</ds:datastoreItem>
</file>

<file path=customXml/itemProps3.xml><?xml version="1.0" encoding="utf-8"?>
<ds:datastoreItem xmlns:ds="http://schemas.openxmlformats.org/officeDocument/2006/customXml" ds:itemID="{4CB4B930-C6E3-48CC-B5E6-3996A70E4FB4}">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7</Pages>
  <Words>1888</Words>
  <Characters>11558</Characters>
  <Application>Microsoft Office Word</Application>
  <DocSecurity>0</DocSecurity>
  <Lines>231</Lines>
  <Paragraphs>51</Paragraphs>
  <ScaleCrop>false</ScaleCrop>
  <Company/>
  <LinksUpToDate>false</LinksUpToDate>
  <CharactersWithSpaces>13395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Semira Abdelkerim Zeinu (2427863)</dc:creator>
  <cp:keywords/>
  <dc:description/>
  <cp:lastModifiedBy>Semira Abdelkerim Zeinu (2427863)</cp:lastModifiedBy>
  <cp:revision>35</cp:revision>
  <dcterms:created xsi:type="dcterms:W3CDTF">2026-03-29T01:44:00Z</dcterms:created>
  <dcterms:modified xsi:type="dcterms:W3CDTF">2026-03-29T02:57:00Z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