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04DDD6" w14:textId="77777777" w:rsidR="00FA74D5" w:rsidRDefault="00FA74D5" w:rsidP="001778BB">
      <w:pPr>
        <w:pStyle w:val="Titlu3"/>
      </w:pPr>
    </w:p>
    <w:p w14:paraId="3C2594B9" w14:textId="77777777" w:rsidR="00FA74D5" w:rsidRDefault="00FA74D5" w:rsidP="00ED3DF3">
      <w:pPr>
        <w:rPr>
          <w:b/>
          <w:bCs/>
          <w:sz w:val="36"/>
          <w:szCs w:val="32"/>
        </w:rPr>
      </w:pPr>
    </w:p>
    <w:p w14:paraId="5F63BB8F" w14:textId="77777777" w:rsidR="00FA74D5" w:rsidRDefault="00FA74D5" w:rsidP="00ED3DF3">
      <w:pPr>
        <w:rPr>
          <w:b/>
          <w:bCs/>
          <w:sz w:val="36"/>
          <w:szCs w:val="32"/>
        </w:rPr>
      </w:pPr>
    </w:p>
    <w:p w14:paraId="1C5FA8B3" w14:textId="77777777" w:rsidR="00FA74D5" w:rsidRDefault="00FA74D5" w:rsidP="00ED3DF3">
      <w:pPr>
        <w:rPr>
          <w:b/>
          <w:bCs/>
          <w:sz w:val="36"/>
          <w:szCs w:val="32"/>
        </w:rPr>
      </w:pPr>
    </w:p>
    <w:p w14:paraId="316D6558" w14:textId="04B74D97" w:rsidR="00ED3DF3" w:rsidRDefault="00DF33D4" w:rsidP="00FA74D5">
      <w:pPr>
        <w:jc w:val="center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Legal Process</w:t>
      </w:r>
      <w:r w:rsidR="00802D50">
        <w:rPr>
          <w:b/>
          <w:bCs/>
          <w:sz w:val="36"/>
          <w:szCs w:val="36"/>
        </w:rPr>
        <w:t xml:space="preserve"> </w:t>
      </w:r>
    </w:p>
    <w:p w14:paraId="1B61366E" w14:textId="00E31305" w:rsidR="0085477D" w:rsidRDefault="0085477D" w:rsidP="00FA74D5">
      <w:pPr>
        <w:jc w:val="center"/>
      </w:pPr>
      <w:r>
        <w:rPr>
          <w:b/>
          <w:bCs/>
          <w:sz w:val="36"/>
          <w:szCs w:val="36"/>
        </w:rPr>
        <w:t>Assessment 2</w:t>
      </w:r>
    </w:p>
    <w:p w14:paraId="53E107C1" w14:textId="7D58D0E5" w:rsidR="00F24406" w:rsidRDefault="00ED3DF3" w:rsidP="00FA74D5">
      <w:pPr>
        <w:jc w:val="center"/>
        <w:rPr>
          <w:b/>
          <w:bCs/>
        </w:rPr>
      </w:pPr>
      <w:r w:rsidRPr="00ED3DF3">
        <w:rPr>
          <w:b/>
          <w:bCs/>
        </w:rPr>
        <w:t xml:space="preserve">Student </w:t>
      </w:r>
      <w:r w:rsidR="00F24406">
        <w:rPr>
          <w:b/>
          <w:bCs/>
        </w:rPr>
        <w:t>Name:</w:t>
      </w:r>
      <w:r w:rsidR="009B0D68">
        <w:rPr>
          <w:b/>
          <w:bCs/>
        </w:rPr>
        <w:t xml:space="preserve"> </w:t>
      </w:r>
      <w:r w:rsidR="00802D50">
        <w:rPr>
          <w:b/>
          <w:bCs/>
        </w:rPr>
        <w:t>Ioana-Valentina Huluta</w:t>
      </w:r>
    </w:p>
    <w:p w14:paraId="4CD5AEAB" w14:textId="701E52E1" w:rsidR="00ED3DF3" w:rsidRDefault="00ED3DF3" w:rsidP="00FA74D5">
      <w:pPr>
        <w:jc w:val="center"/>
      </w:pPr>
      <w:r w:rsidRPr="00ED3DF3">
        <w:rPr>
          <w:b/>
          <w:bCs/>
        </w:rPr>
        <w:t>ID</w:t>
      </w:r>
      <w:r>
        <w:t>:</w:t>
      </w:r>
      <w:r w:rsidR="006E29B1">
        <w:t>2134231</w:t>
      </w:r>
    </w:p>
    <w:p w14:paraId="6613E24E" w14:textId="26DB407A" w:rsidR="00CE5B69" w:rsidRDefault="00CE5B69" w:rsidP="00CE5B69">
      <w:pPr>
        <w:pStyle w:val="Titlu"/>
      </w:pPr>
      <w:r>
        <w:t>The Magistracy</w:t>
      </w:r>
    </w:p>
    <w:p w14:paraId="4599515C" w14:textId="4E1F9150" w:rsidR="00ED3DF3" w:rsidRDefault="00ED3DF3" w:rsidP="00FA74D5">
      <w:pPr>
        <w:jc w:val="center"/>
      </w:pPr>
    </w:p>
    <w:p w14:paraId="2C1676DE" w14:textId="74DADD17" w:rsidR="00FA74D5" w:rsidRDefault="00FA74D5" w:rsidP="00ED3DF3"/>
    <w:p w14:paraId="0B60AF46" w14:textId="1730C3E9" w:rsidR="00FA74D5" w:rsidRDefault="00FA74D5" w:rsidP="00ED3DF3"/>
    <w:p w14:paraId="44D86CF4" w14:textId="3DD8A608" w:rsidR="00FA74D5" w:rsidRDefault="00FA74D5" w:rsidP="00ED3DF3"/>
    <w:p w14:paraId="3B664F22" w14:textId="5EF6971A" w:rsidR="00FA74D5" w:rsidRDefault="00FA74D5" w:rsidP="00ED3DF3"/>
    <w:p w14:paraId="350FB2C9" w14:textId="364AA9E7" w:rsidR="00FA74D5" w:rsidRDefault="00FA74D5" w:rsidP="00ED3DF3"/>
    <w:p w14:paraId="6964D76F" w14:textId="5CA9B954" w:rsidR="00FA74D5" w:rsidRDefault="00FA74D5" w:rsidP="00ED3DF3"/>
    <w:p w14:paraId="7637BCF4" w14:textId="5358DCFE" w:rsidR="00FA74D5" w:rsidRDefault="00FA74D5" w:rsidP="00ED3DF3"/>
    <w:p w14:paraId="1322DBF6" w14:textId="3B5D1E1F" w:rsidR="00FA74D5" w:rsidRDefault="00FA74D5" w:rsidP="00ED3DF3"/>
    <w:p w14:paraId="7E59561D" w14:textId="444981FB" w:rsidR="00FA74D5" w:rsidRDefault="00FA74D5" w:rsidP="00ED3DF3"/>
    <w:p w14:paraId="530C664E" w14:textId="1DBD9C4C" w:rsidR="00FA74D5" w:rsidRDefault="00FA74D5" w:rsidP="00ED3DF3"/>
    <w:p w14:paraId="0E21E0E9" w14:textId="44BE0131" w:rsidR="00FA74D5" w:rsidRDefault="00FA74D5" w:rsidP="00ED3DF3"/>
    <w:p w14:paraId="218CE509" w14:textId="37BE3235" w:rsidR="00367B1F" w:rsidRPr="004B315D" w:rsidRDefault="00C748E2" w:rsidP="006E3380">
      <w:pPr>
        <w:spacing w:after="0" w:line="240" w:lineRule="auto"/>
        <w:jc w:val="left"/>
        <w:rPr>
          <w:rFonts w:ascii="Arial" w:eastAsiaTheme="minorEastAsia" w:hAnsi="Arial" w:cs="Arial"/>
          <w:sz w:val="26"/>
          <w:szCs w:val="26"/>
          <w:lang w:val="ro-RO" w:eastAsia="ro-RO"/>
        </w:rPr>
      </w:pPr>
      <w:r w:rsidRPr="004B315D">
        <w:rPr>
          <w:rFonts w:ascii="Arial" w:eastAsiaTheme="minorEastAsia" w:hAnsi="Arial" w:cs="Arial"/>
          <w:sz w:val="26"/>
          <w:szCs w:val="26"/>
          <w:lang w:val="ro-RO" w:eastAsia="ro-RO"/>
        </w:rPr>
        <w:lastRenderedPageBreak/>
        <w:t>The</w:t>
      </w:r>
      <w:r w:rsidR="00AD0534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term of Magistrate </w:t>
      </w:r>
      <w:r w:rsidR="00293856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have </w:t>
      </w:r>
      <w:r w:rsidR="0062686A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evolved</w:t>
      </w:r>
      <w:r w:rsidR="00AD0534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650 years ago</w:t>
      </w:r>
      <w:r w:rsidR="00F873CA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during the reign of</w:t>
      </w:r>
      <w:r w:rsidR="00EF1AF8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King </w:t>
      </w:r>
      <w:r w:rsidR="00F873CA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Edward III</w:t>
      </w:r>
      <w:r w:rsidR="00CE742D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when he</w:t>
      </w:r>
      <w:r w:rsidR="00587E2E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</w:t>
      </w:r>
      <w:r w:rsidR="00EF1AF8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appointe</w:t>
      </w:r>
      <w:r w:rsidR="00944449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d ,</w:t>
      </w:r>
      <w:r w:rsidR="00AA0C08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good and lawful me</w:t>
      </w:r>
      <w:r w:rsidR="00587E2E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n</w:t>
      </w:r>
      <w:r w:rsidR="00AA0C08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’</w:t>
      </w:r>
      <w:r w:rsidR="00944449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</w:t>
      </w:r>
      <w:r w:rsidR="00AA0C08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</w:t>
      </w:r>
      <w:r w:rsidR="00F86CC1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in every county of the</w:t>
      </w:r>
      <w:r w:rsidR="00944449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land </w:t>
      </w:r>
      <w:r w:rsidR="00F86CC1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t</w:t>
      </w:r>
      <w:r w:rsidR="007612A0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o</w:t>
      </w:r>
      <w:r w:rsidR="00944449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,</w:t>
      </w:r>
      <w:r w:rsidR="007612A0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</w:t>
      </w:r>
      <w:r w:rsidR="00F86CC1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guard</w:t>
      </w:r>
      <w:r w:rsidR="00944449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and m</w:t>
      </w:r>
      <w:r w:rsidR="00FD5987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aintain</w:t>
      </w:r>
      <w:r w:rsidR="00F86CC1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the peace’</w:t>
      </w:r>
      <w:r w:rsidR="000A05EB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(</w:t>
      </w:r>
      <w:r w:rsidR="000A05EB" w:rsidRPr="000A05EB">
        <w:rPr>
          <w:rFonts w:ascii="Arial" w:eastAsiaTheme="minorEastAsia" w:hAnsi="Arial" w:cs="Arial"/>
          <w:sz w:val="26"/>
          <w:szCs w:val="26"/>
          <w:lang w:val="ro-RO" w:eastAsia="ro-RO"/>
        </w:rPr>
        <w:t>Recent Book: Before the Magistrates: Magistrates’ Court Guide</w:t>
      </w:r>
      <w:r w:rsidR="000A05EB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, </w:t>
      </w:r>
      <w:r w:rsidR="000A05EB" w:rsidRPr="000A05EB">
        <w:rPr>
          <w:rFonts w:ascii="Arial" w:eastAsiaTheme="minorEastAsia" w:hAnsi="Arial" w:cs="Arial"/>
          <w:sz w:val="26"/>
          <w:szCs w:val="26"/>
          <w:lang w:val="ro-RO" w:eastAsia="ro-RO"/>
        </w:rPr>
        <w:t>1967)</w:t>
      </w:r>
      <w:r w:rsidR="000A05EB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 .</w:t>
      </w:r>
      <w:r w:rsidR="00D3128D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The 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magistrates are </w:t>
      </w:r>
      <w:r w:rsidR="00BD78C3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defined as 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ordinary persons </w:t>
      </w:r>
      <w:r w:rsidR="00655480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that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comes from dif</w:t>
      </w:r>
      <w:r w:rsidR="007612A0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ferent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backgrounds and</w:t>
      </w:r>
      <w:r w:rsidR="007612A0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are cap</w:t>
      </w:r>
      <w:r w:rsidR="007612A0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able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to make </w:t>
      </w:r>
      <w:r w:rsidR="00172980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a 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fair decision</w:t>
      </w:r>
      <w:r w:rsidR="00E74812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. </w:t>
      </w:r>
      <w:r w:rsidR="00D3128D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</w:t>
      </w:r>
      <w:r w:rsidR="00E74812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The</w:t>
      </w:r>
      <w:r w:rsidR="00172980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y</w:t>
      </w:r>
      <w:r w:rsidR="00E74812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, 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mostly</w:t>
      </w:r>
      <w:r w:rsidR="00E74812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, are</w:t>
      </w:r>
      <w:r w:rsidR="00172980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dealing with minor offences and hear the preliminary hearings for the most serious criminal ofences before they are passed to the crown court</w:t>
      </w:r>
      <w:r w:rsidR="00031326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(Jones, 2012)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.</w:t>
      </w:r>
    </w:p>
    <w:p w14:paraId="49FC56CB" w14:textId="40A7D77A" w:rsidR="006E3380" w:rsidRPr="004B315D" w:rsidRDefault="00EB683C" w:rsidP="006E3380">
      <w:pPr>
        <w:spacing w:after="0" w:line="240" w:lineRule="auto"/>
        <w:jc w:val="left"/>
        <w:rPr>
          <w:rFonts w:ascii="Arial" w:eastAsiaTheme="minorEastAsia" w:hAnsi="Arial" w:cs="Arial"/>
          <w:sz w:val="26"/>
          <w:szCs w:val="26"/>
          <w:lang w:val="ro-RO" w:eastAsia="ro-RO"/>
        </w:rPr>
      </w:pPr>
      <w:r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Within</w:t>
      </w:r>
      <w:r w:rsidR="00367B1F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Englan</w:t>
      </w:r>
      <w:r w:rsidR="00587E2E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d and </w:t>
      </w:r>
      <w:r w:rsidR="00B1054F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Wales</w:t>
      </w:r>
      <w:r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, there are around 14000 persons who had volunteered for at least </w:t>
      </w:r>
      <w:r w:rsidR="00D3128D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13 </w:t>
      </w:r>
      <w:r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days </w:t>
      </w:r>
      <w:r w:rsidR="00172980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a </w:t>
      </w:r>
      <w:r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year to become magistrates</w:t>
      </w:r>
      <w:r w:rsidR="00431553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(Nazzini, 2020)</w:t>
      </w:r>
      <w:r w:rsidR="00D3128D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. </w:t>
      </w:r>
      <w:r w:rsidR="006E3380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They </w:t>
      </w:r>
      <w:r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are also called justice of peace and are vital for </w:t>
      </w:r>
      <w:r w:rsidR="00172980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the </w:t>
      </w:r>
      <w:r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justice system to operate properly</w:t>
      </w:r>
      <w:r w:rsidR="00B1054F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</w:t>
      </w:r>
      <w:r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as they makes up 85% of the judiciary in</w:t>
      </w:r>
      <w:r w:rsidR="00D31AC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England an</w:t>
      </w:r>
      <w:r w:rsidR="002D3639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d Wales</w:t>
      </w:r>
      <w:r w:rsidR="00D3128D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. </w:t>
      </w:r>
      <w:r w:rsidR="006E3380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The </w:t>
      </w:r>
      <w:r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magistrate work part-time on the voluntary ba</w:t>
      </w:r>
      <w:r w:rsidR="002D3639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sis</w:t>
      </w:r>
      <w:r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, although the employers must offer them time off to attend cases</w:t>
      </w:r>
      <w:r w:rsidR="00280747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(Forrester, 2018)</w:t>
      </w:r>
      <w:r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.</w:t>
      </w:r>
      <w:r w:rsidR="00D3128D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 </w:t>
      </w:r>
    </w:p>
    <w:p w14:paraId="51DE2FD2" w14:textId="5F9900D4" w:rsidR="003361C8" w:rsidRPr="004B315D" w:rsidRDefault="006E3380" w:rsidP="006E3380">
      <w:pPr>
        <w:spacing w:after="0" w:line="240" w:lineRule="auto"/>
        <w:jc w:val="left"/>
        <w:rPr>
          <w:rFonts w:ascii="Arial" w:eastAsiaTheme="minorEastAsia" w:hAnsi="Arial" w:cs="Arial"/>
          <w:sz w:val="26"/>
          <w:szCs w:val="26"/>
          <w:lang w:val="ro-RO" w:eastAsia="ro-RO"/>
        </w:rPr>
      </w:pPr>
      <w:r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Magistrates 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are aged between 18 to 70 years old, however it will not be accepted persons over 65 years old because magistrates are expected to serve at least five years</w:t>
      </w:r>
      <w:r w:rsidR="002956E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(Pincombe, 2011) </w:t>
      </w:r>
      <w:r w:rsidR="00E84284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. However, the young </w:t>
      </w:r>
      <w:r w:rsidR="00ED3197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mens </w:t>
      </w:r>
      <w:r w:rsidR="00E84284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are not interested </w:t>
      </w:r>
      <w:r w:rsidR="00E410CE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in jobs that are not paid</w:t>
      </w:r>
      <w:r w:rsidR="00ED3197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, therefore the </w:t>
      </w:r>
      <w:r w:rsidR="000520B6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percentage of old magistrates is higher than the young</w:t>
      </w:r>
      <w:r w:rsidR="000E7440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magistrates, this </w:t>
      </w:r>
      <w:r w:rsidR="00B03BD2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discrepancy being seen as a minus for some</w:t>
      </w:r>
      <w:r w:rsidR="00D9364A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young</w:t>
      </w:r>
      <w:r w:rsidR="00B03BD2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defendants </w:t>
      </w:r>
      <w:r w:rsidR="00D9364A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which consider that the </w:t>
      </w:r>
      <w:r w:rsidR="0030217B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eldery people would not understand their actions or behaviour</w:t>
      </w:r>
      <w:r w:rsidR="00D9364A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. </w:t>
      </w:r>
      <w:r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The 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candidates do not need to have a legal degree, knowledge or training to become a magistrate, however they must have a common sense and capability to make fair decisions</w:t>
      </w:r>
      <w:r w:rsidR="00897C56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(Donoghue, 2014)</w:t>
      </w:r>
      <w:r w:rsidR="00AF24D1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. F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urthermore, the</w:t>
      </w:r>
      <w:r w:rsidR="00D11F47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candidates 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will be </w:t>
      </w:r>
      <w:r w:rsidR="00A30DBF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rejected 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if they have any serious criminal convictions or multiple minor convictions</w:t>
      </w:r>
      <w:r w:rsidR="00556521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advantagin</w:t>
      </w:r>
      <w:r w:rsidR="00C4745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g the</w:t>
      </w:r>
      <w:r w:rsidR="00D539A3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magistrates as they can </w:t>
      </w:r>
      <w:r w:rsidR="002711BA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gain the people’s trus</w:t>
      </w:r>
      <w:r w:rsidR="00C4745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t</w:t>
      </w:r>
      <w:r w:rsidR="002711BA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.</w:t>
      </w:r>
      <w:r w:rsidR="007B6A69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</w:t>
      </w:r>
      <w:r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Once 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a magistrate will be appointed he will be properly trained to undertake the necessary skills to sit in a court.</w:t>
      </w:r>
      <w:r w:rsidR="00133414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Durin</w:t>
      </w:r>
      <w:r w:rsidR="00491FBA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g</w:t>
      </w:r>
      <w:r w:rsidR="00133414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the training the magistrates will comprehend important informations regarding legal matters or important case laws that they are expected to hear within a court</w:t>
      </w:r>
      <w:r w:rsidR="00641B4C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(Morrow, 2011)</w:t>
      </w:r>
      <w:r w:rsidR="00133414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.</w:t>
      </w:r>
    </w:p>
    <w:p w14:paraId="746EAF60" w14:textId="1E506FC7" w:rsidR="006E3380" w:rsidRPr="004B315D" w:rsidRDefault="00133414" w:rsidP="006E3380">
      <w:pPr>
        <w:spacing w:after="0" w:line="240" w:lineRule="auto"/>
        <w:jc w:val="left"/>
        <w:rPr>
          <w:rFonts w:ascii="Arial" w:eastAsiaTheme="minorEastAsia" w:hAnsi="Arial" w:cs="Arial"/>
          <w:sz w:val="26"/>
          <w:szCs w:val="26"/>
          <w:lang w:val="ro-RO" w:eastAsia="ro-RO"/>
        </w:rPr>
      </w:pPr>
      <w:r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Within a court</w:t>
      </w:r>
      <w:r w:rsidR="00D3128D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, 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they sit in b</w:t>
      </w:r>
      <w:r w:rsidR="00141E24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enches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of three that</w:t>
      </w:r>
      <w:r w:rsidR="00141E24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include two</w:t>
      </w:r>
      <w:r w:rsidR="008373B1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wingers and the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presiding justices</w:t>
      </w:r>
      <w:r w:rsidR="00D3128D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, 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also reffered as chairperson who will receive aditionall training</w:t>
      </w:r>
      <w:r w:rsidR="0067020E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</w:t>
      </w:r>
      <w:r w:rsidR="00E60A6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and</w:t>
      </w:r>
      <w:r w:rsidR="0067020E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sits in the mi</w:t>
      </w:r>
      <w:r w:rsidR="00E60A6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ddle during proceeding</w:t>
      </w:r>
      <w:r w:rsidR="00DF38D9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s</w:t>
      </w:r>
      <w:r w:rsidR="00A10B53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(Hosteller, 2009)</w:t>
      </w:r>
      <w:r w:rsidR="00DF38D9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. The magistrates  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have to listen carefully to case course and all evidences brought in the family, criminal or youth court, and at one point they are advised by a legal adviser, which is also reffred as justices’ clerck</w:t>
      </w:r>
      <w:r w:rsidR="00D3128D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, 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so they can follow the right procedure</w:t>
      </w:r>
      <w:r w:rsidR="004E23E2">
        <w:rPr>
          <w:rFonts w:ascii="Arial" w:eastAsiaTheme="minorEastAsia" w:hAnsi="Arial" w:cs="Arial"/>
          <w:sz w:val="26"/>
          <w:szCs w:val="26"/>
          <w:lang w:val="ro-RO" w:eastAsia="ro-RO"/>
        </w:rPr>
        <w:t>s (The Magistracy, 2021)</w:t>
      </w:r>
      <w:r w:rsidR="00D3128D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. 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They all are equal in terms of decission making</w:t>
      </w:r>
      <w:r w:rsidR="00D3128D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, 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and the reason why the presiding of j</w:t>
      </w:r>
      <w:r w:rsidR="000B12C0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ustice </w:t>
      </w:r>
      <w:r w:rsidR="00E474EB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sits</w:t>
      </w:r>
      <w:r w:rsidR="00465AC0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in the middle and </w:t>
      </w:r>
      <w:r w:rsidR="000B12C0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receive additional training 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is because  he speaks on behalf of magistrates</w:t>
      </w:r>
      <w:r w:rsidR="00D3128D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. </w:t>
      </w:r>
    </w:p>
    <w:p w14:paraId="353FCC80" w14:textId="7B4D3FAD" w:rsidR="006E3380" w:rsidRPr="004B315D" w:rsidRDefault="00EB683C" w:rsidP="006E3380">
      <w:pPr>
        <w:spacing w:after="0" w:line="240" w:lineRule="auto"/>
        <w:jc w:val="left"/>
        <w:rPr>
          <w:rFonts w:ascii="Arial" w:eastAsiaTheme="minorEastAsia" w:hAnsi="Arial" w:cs="Arial"/>
          <w:sz w:val="26"/>
          <w:szCs w:val="26"/>
          <w:lang w:val="ro-RO" w:eastAsia="ro-RO"/>
        </w:rPr>
      </w:pPr>
      <w:r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The magistrates have some keys atributes that are crucial in the</w:t>
      </w:r>
      <w:r w:rsidR="00465AC0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court</w:t>
      </w:r>
      <w:r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proceedings such as making fair</w:t>
      </w:r>
      <w:r w:rsidR="00D3128D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, </w:t>
      </w:r>
      <w:r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impartial or transparent decisions</w:t>
      </w:r>
      <w:r w:rsidR="00D3128D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. </w:t>
      </w:r>
      <w:r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They have to assimilate a large amount of information and identify the relevant issue</w:t>
      </w:r>
      <w:r w:rsidR="00D3128D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, </w:t>
      </w:r>
      <w:r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furthermore when they gain experience they can deal with cases in the youth </w:t>
      </w:r>
      <w:r w:rsidRPr="004B315D">
        <w:rPr>
          <w:rFonts w:ascii="Arial" w:eastAsiaTheme="minorEastAsia" w:hAnsi="Arial" w:cs="Arial"/>
          <w:sz w:val="26"/>
          <w:szCs w:val="26"/>
          <w:lang w:val="ro-RO" w:eastAsia="ro-RO"/>
        </w:rPr>
        <w:lastRenderedPageBreak/>
        <w:t>court</w:t>
      </w:r>
      <w:r w:rsidR="00422106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</w:t>
      </w:r>
      <w:r w:rsidR="00B5555E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(Gibbon And Watkins, 2009) </w:t>
      </w:r>
      <w:r w:rsidR="00D3128D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.</w:t>
      </w:r>
      <w:r w:rsidR="00B90E1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</w:t>
      </w:r>
      <w:r w:rsidR="00EF0285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The role of magistrates in judicial process </w:t>
      </w:r>
      <w:r w:rsidR="00AD6E57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are multiple andvarious, they can issue different warrants, arrest, </w:t>
      </w:r>
      <w:r w:rsidR="00EA09F8">
        <w:rPr>
          <w:rFonts w:ascii="Arial" w:eastAsiaTheme="minorEastAsia" w:hAnsi="Arial" w:cs="Arial"/>
          <w:sz w:val="26"/>
          <w:szCs w:val="26"/>
          <w:lang w:val="ro-RO" w:eastAsia="ro-RO"/>
        </w:rPr>
        <w:t>custody orders</w:t>
      </w:r>
      <w:r w:rsidR="00E740CD">
        <w:rPr>
          <w:rFonts w:ascii="Arial" w:eastAsiaTheme="minorEastAsia" w:hAnsi="Arial" w:cs="Arial"/>
          <w:sz w:val="26"/>
          <w:szCs w:val="26"/>
          <w:lang w:val="ro-RO" w:eastAsia="ro-RO"/>
        </w:rPr>
        <w:t>, detention orders</w:t>
      </w:r>
      <w:r w:rsidR="00524E8D">
        <w:rPr>
          <w:rFonts w:ascii="Arial" w:eastAsiaTheme="minorEastAsia" w:hAnsi="Arial" w:cs="Arial"/>
          <w:sz w:val="26"/>
          <w:szCs w:val="26"/>
          <w:lang w:val="ro-RO" w:eastAsia="ro-RO"/>
        </w:rPr>
        <w:t>, protective orders,etc.</w:t>
      </w:r>
      <w:r w:rsidR="00AD6E57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</w:t>
      </w:r>
      <w:r w:rsidR="00D3128D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</w:t>
      </w:r>
      <w:r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When an appeal is heard against a conviction or a sentence the magistrates may also sit with a judge in the crown court</w:t>
      </w:r>
      <w:r w:rsidR="00116BC2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(</w:t>
      </w:r>
      <w:r w:rsidR="006F1EE7">
        <w:rPr>
          <w:rFonts w:ascii="Arial" w:eastAsiaTheme="minorEastAsia" w:hAnsi="Arial" w:cs="Arial"/>
          <w:sz w:val="26"/>
          <w:szCs w:val="26"/>
          <w:lang w:val="ro-RO" w:eastAsia="ro-RO"/>
        </w:rPr>
        <w:t>Donoghue, 2014)</w:t>
      </w:r>
      <w:r w:rsidR="00D3128D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.</w:t>
      </w:r>
      <w:r w:rsidR="00DC2F2A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</w:t>
      </w:r>
      <w:r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The magistrates characteristics are outlined by a good chararcter</w:t>
      </w:r>
      <w:r w:rsidR="00D3128D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, </w:t>
      </w:r>
      <w:r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commitment and reliability</w:t>
      </w:r>
      <w:r w:rsidR="00D3128D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, </w:t>
      </w:r>
      <w:r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social awarness</w:t>
      </w:r>
      <w:r w:rsidR="00D3128D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,</w:t>
      </w:r>
      <w:r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understanding and communication</w:t>
      </w:r>
      <w:r w:rsidR="00A82855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, maturity and</w:t>
      </w:r>
      <w:r w:rsidR="00EB76CF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expressive </w:t>
      </w:r>
      <w:r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temperament</w:t>
      </w:r>
      <w:r w:rsidR="00D3128D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.</w:t>
      </w:r>
      <w:r w:rsidR="00EB76CF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These virtues </w:t>
      </w:r>
      <w:r w:rsidR="00BA1E62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strengthen their credibility and co</w:t>
      </w:r>
      <w:r w:rsidR="003D04E2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nnexion with people </w:t>
      </w:r>
      <w:r w:rsidR="00CE311B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gaining the people’s respect, trust and admiration</w:t>
      </w:r>
      <w:r w:rsidR="00E06C9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. </w:t>
      </w:r>
    </w:p>
    <w:p w14:paraId="7EC88844" w14:textId="3B839A79" w:rsidR="002636F9" w:rsidRPr="004B315D" w:rsidRDefault="00F4731D" w:rsidP="006E3380">
      <w:pPr>
        <w:spacing w:after="0" w:line="240" w:lineRule="auto"/>
        <w:jc w:val="left"/>
        <w:rPr>
          <w:rFonts w:ascii="Arial" w:eastAsiaTheme="minorEastAsia" w:hAnsi="Arial" w:cs="Arial"/>
          <w:sz w:val="26"/>
          <w:szCs w:val="26"/>
          <w:lang w:val="ro-RO" w:eastAsia="ro-RO"/>
        </w:rPr>
      </w:pPr>
      <w:r>
        <w:rPr>
          <w:rFonts w:ascii="Arial" w:eastAsiaTheme="minorEastAsia" w:hAnsi="Arial" w:cs="Arial"/>
          <w:sz w:val="26"/>
          <w:szCs w:val="26"/>
          <w:lang w:val="ro-RO" w:eastAsia="ro-RO"/>
        </w:rPr>
        <w:t>The Government Digital Service (201</w:t>
      </w:r>
      <w:r w:rsidR="00964324">
        <w:rPr>
          <w:rFonts w:ascii="Arial" w:eastAsiaTheme="minorEastAsia" w:hAnsi="Arial" w:cs="Arial"/>
          <w:sz w:val="26"/>
          <w:szCs w:val="26"/>
          <w:lang w:val="ro-RO" w:eastAsia="ro-RO"/>
        </w:rPr>
        <w:t>9</w:t>
      </w:r>
      <w:r>
        <w:rPr>
          <w:rFonts w:ascii="Arial" w:eastAsiaTheme="minorEastAsia" w:hAnsi="Arial" w:cs="Arial"/>
          <w:sz w:val="26"/>
          <w:szCs w:val="26"/>
          <w:lang w:val="ro-RO" w:eastAsia="ro-RO"/>
        </w:rPr>
        <w:t>) published on their offic</w:t>
      </w:r>
      <w:r w:rsidR="0015479B">
        <w:rPr>
          <w:rFonts w:ascii="Arial" w:eastAsiaTheme="minorEastAsia" w:hAnsi="Arial" w:cs="Arial"/>
          <w:sz w:val="26"/>
          <w:szCs w:val="26"/>
          <w:lang w:val="ro-RO" w:eastAsia="ro-RO"/>
        </w:rPr>
        <w:t>ial website, gov.uk, information relating</w:t>
      </w:r>
      <w:r w:rsidR="003C18AB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the court estate reform programme 2010-2014</w:t>
      </w:r>
      <w:r w:rsidR="00902811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,</w:t>
      </w:r>
      <w:r w:rsidR="00671140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and started that</w:t>
      </w:r>
      <w:r w:rsidR="00902811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</w:t>
      </w:r>
      <w:r w:rsidR="003C18AB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93 magistrates court has been closed, furthermore the government</w:t>
      </w:r>
      <w:r w:rsidR="00F0597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</w:t>
      </w:r>
      <w:r w:rsidR="00686F84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proposed for closure </w:t>
      </w:r>
      <w:r w:rsidR="003C18AB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in 2015  many other courts. The government </w:t>
      </w:r>
      <w:r w:rsidR="00B34159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reform</w:t>
      </w:r>
      <w:r w:rsidR="00C05DDA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</w:t>
      </w:r>
      <w:r w:rsidR="003C18AB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also stated that they need to fund into </w:t>
      </w:r>
      <w:r w:rsidR="00902811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HMTC </w:t>
      </w:r>
      <w:r w:rsidR="003C18AB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programme </w:t>
      </w:r>
      <w:r w:rsidR="007E5107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which it’s fundamental aim was </w:t>
      </w:r>
      <w:r w:rsidR="003C18AB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to deliver modernisation of working practices thru the use o</w:t>
      </w:r>
      <w:r w:rsidR="003F4DB0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f digital</w:t>
      </w:r>
      <w:r w:rsidR="003C18AB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technology. This reform has reduced the number of magistrates from 29.841 in 2007 to 18.857 in 2015 because it needed to match the number of work available in the courts.</w:t>
      </w:r>
      <w:r w:rsidR="0016731D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According to </w:t>
      </w:r>
      <w:r w:rsidR="00AC33A4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Graeme </w:t>
      </w:r>
      <w:r w:rsidR="00D3128D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(2019) 162</w:t>
      </w:r>
      <w:r w:rsidR="001E285F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out of 323 </w:t>
      </w:r>
      <w:r w:rsidR="00D3128D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magistrates courts have</w:t>
      </w:r>
      <w:r w:rsidR="009D3891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currently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closed</w:t>
      </w:r>
      <w:r w:rsidR="009D3891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</w:t>
      </w:r>
      <w:r w:rsidR="00D3128D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because the government considered that the acces to justice did not depend on the acccess to physical courts and the utilisation rates were very low</w:t>
      </w:r>
      <w:r w:rsidR="00D3128D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. 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However</w:t>
      </w:r>
      <w:r w:rsidR="00D3128D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, </w:t>
      </w:r>
      <w:r w:rsidR="00C2122E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HM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</w:t>
      </w:r>
      <w:r w:rsidR="00BA5801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C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ourts and </w:t>
      </w:r>
      <w:r w:rsidR="00BA5801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T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ribunals service  reform improve</w:t>
      </w:r>
      <w:r w:rsidR="00377C57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d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the courts and tribunals by modernising their justice system</w:t>
      </w:r>
      <w:r w:rsidR="00D3128D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.</w:t>
      </w:r>
    </w:p>
    <w:p w14:paraId="51AEA5A6" w14:textId="0715E20F" w:rsidR="006E3380" w:rsidRPr="004B315D" w:rsidRDefault="002636F9" w:rsidP="006E3380">
      <w:pPr>
        <w:spacing w:after="0" w:line="240" w:lineRule="auto"/>
        <w:jc w:val="left"/>
        <w:rPr>
          <w:rFonts w:ascii="Arial" w:eastAsiaTheme="minorEastAsia" w:hAnsi="Arial" w:cs="Arial"/>
          <w:sz w:val="26"/>
          <w:szCs w:val="26"/>
          <w:lang w:val="ro-RO" w:eastAsia="ro-RO"/>
        </w:rPr>
      </w:pPr>
      <w:r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During 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the pandemic many institutions has closed and citizens would not feel safe to travel in crouded places. </w:t>
      </w:r>
      <w:r w:rsidR="006E3380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This 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critical situation has required urgent solutions</w:t>
      </w:r>
      <w:r w:rsidR="002A5D17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which </w:t>
      </w:r>
      <w:r w:rsidR="00021373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HMCTS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ha</w:t>
      </w:r>
      <w:r w:rsidR="00F30DF4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d to consider carefully</w:t>
      </w:r>
      <w:r w:rsidR="005C7477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, therefore, </w:t>
      </w:r>
      <w:r w:rsidR="00152A0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this public body 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improved the project that had been created in 2016</w:t>
      </w:r>
      <w:r w:rsidR="00947B9E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</w:t>
      </w:r>
      <w:r w:rsidR="00E3691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and continues</w:t>
      </w:r>
      <w:r w:rsidR="003A37FD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to</w:t>
      </w:r>
      <w:r w:rsidR="00947B9E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offer</w:t>
      </w:r>
      <w:r w:rsidR="00A416F6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modernised services online to enable those who </w:t>
      </w:r>
      <w:r w:rsidR="00A416F6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seek 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to access </w:t>
      </w:r>
      <w:r w:rsidR="00A416F6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the 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justice</w:t>
      </w:r>
      <w:r w:rsidR="00A416F6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system 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to access it</w:t>
      </w:r>
      <w:r w:rsidR="00A416F6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eas</w:t>
      </w:r>
      <w:r w:rsidR="00B57DAD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ier</w:t>
      </w:r>
      <w:r w:rsidR="00DB6B3E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(Hosking, 2020)</w:t>
      </w:r>
      <w:r w:rsidR="00B57DAD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. </w:t>
      </w:r>
    </w:p>
    <w:p w14:paraId="536A05A0" w14:textId="387E9E91" w:rsidR="00912CAB" w:rsidRPr="004B315D" w:rsidRDefault="006E3380" w:rsidP="006E3380">
      <w:pPr>
        <w:spacing w:after="0" w:line="240" w:lineRule="auto"/>
        <w:jc w:val="left"/>
        <w:rPr>
          <w:rFonts w:ascii="Arial" w:eastAsiaTheme="minorEastAsia" w:hAnsi="Arial" w:cs="Arial"/>
          <w:sz w:val="26"/>
          <w:szCs w:val="26"/>
          <w:lang w:val="ro-RO" w:eastAsia="ro-RO"/>
        </w:rPr>
      </w:pPr>
      <w:r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The 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advantages of magistrates are outlined by some important key facts such as the</w:t>
      </w:r>
      <w:r w:rsidR="00B57DAD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some important economic savings which UK ha</w:t>
      </w:r>
      <w:r w:rsidR="00B35EF4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d redeeme</w:t>
      </w:r>
      <w:r w:rsidR="00F950E0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d, accordingly, UK had saved over </w:t>
      </w:r>
      <w:r w:rsidR="00D3128D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£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100 million because of the unpaid cost of magistrates</w:t>
      </w:r>
      <w:r w:rsidR="00F74144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</w:t>
      </w:r>
      <w:r w:rsidR="00FB6CF0">
        <w:rPr>
          <w:rFonts w:ascii="Arial" w:eastAsiaTheme="minorEastAsia" w:hAnsi="Arial" w:cs="Arial"/>
          <w:sz w:val="26"/>
          <w:szCs w:val="26"/>
          <w:lang w:val="ro-RO" w:eastAsia="ro-RO"/>
        </w:rPr>
        <w:t>(Government Digital Service, 2019)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. </w:t>
      </w:r>
      <w:r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If 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there would not exist magistrates, the </w:t>
      </w:r>
      <w:r w:rsidR="002D5EA6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UK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would need approximately 1000 judges which are paid 90,000 </w:t>
      </w:r>
      <w:r w:rsidR="00D3128D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£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yearly</w:t>
      </w:r>
      <w:r w:rsidR="002D5EA6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that 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have to be</w:t>
      </w:r>
      <w:r w:rsidR="002D5EA6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properly 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trained and educated </w:t>
      </w:r>
      <w:r w:rsidR="003936EB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adequately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.</w:t>
      </w:r>
      <w:r w:rsidR="00C27512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Even if they do not have a salary as a judge</w:t>
      </w:r>
      <w:r w:rsidR="003936EB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has, </w:t>
      </w:r>
      <w:r w:rsidR="00C27512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they are not entirely free because the training offered to them is expensive and they can also claim some expenses such as travel. However</w:t>
      </w:r>
      <w:r w:rsidR="0053287A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, </w:t>
      </w:r>
      <w:r w:rsidR="00C27512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these cost are lower than replacing a magistrate with a judge.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</w:t>
      </w:r>
      <w:r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Furthermore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, the magistrates comes from local backgrounds and this might help the speed of court proceedings because they know the local news</w:t>
      </w:r>
      <w:r w:rsidR="005A0145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;  a representative case for this fact is </w:t>
      </w:r>
      <w:r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Paul 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v dpp- kerb crawling. </w:t>
      </w:r>
      <w:r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Additionally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, they are representatives of society, as the</w:t>
      </w:r>
      <w:r w:rsidR="00831736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</w:t>
      </w:r>
      <w:r w:rsidR="00BF2F18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candidates for magistracy </w:t>
      </w:r>
      <w:r w:rsidR="00831736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are </w:t>
      </w:r>
      <w:r w:rsidR="00BF2F18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welcome </w:t>
      </w:r>
      <w:r w:rsidR="00831736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to 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come from different ethnic</w:t>
      </w:r>
      <w:r w:rsidR="007D0C14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and social</w:t>
      </w:r>
      <w:r w:rsidR="000E58B4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backgrounds; they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gained the public 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lastRenderedPageBreak/>
        <w:t>confidence</w:t>
      </w:r>
      <w:r w:rsidR="000E58B4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and trust multiple times </w:t>
      </w:r>
      <w:r w:rsidR="00A915B1">
        <w:rPr>
          <w:rFonts w:ascii="Arial" w:eastAsiaTheme="minorEastAsia" w:hAnsi="Arial" w:cs="Arial"/>
          <w:sz w:val="26"/>
          <w:szCs w:val="26"/>
          <w:lang w:val="ro-RO" w:eastAsia="ro-RO"/>
        </w:rPr>
        <w:t>after they proved they strong and fair judgment</w:t>
      </w:r>
      <w:r w:rsidR="005A0145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,</w:t>
      </w:r>
      <w:r w:rsidR="000A7596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</w:t>
      </w:r>
      <w:r w:rsidR="00EB683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as a survey shows that public would not lessen the magistrate's role.</w:t>
      </w:r>
      <w:r w:rsidR="00D3128D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 </w:t>
      </w:r>
    </w:p>
    <w:p w14:paraId="3415C12C" w14:textId="32120EBD" w:rsidR="006E3380" w:rsidRPr="004B315D" w:rsidRDefault="00912CAB" w:rsidP="006E3380">
      <w:pPr>
        <w:spacing w:after="0" w:line="240" w:lineRule="auto"/>
        <w:jc w:val="left"/>
        <w:rPr>
          <w:rFonts w:ascii="Arial" w:eastAsiaTheme="minorEastAsia" w:hAnsi="Arial" w:cs="Arial"/>
          <w:sz w:val="26"/>
          <w:szCs w:val="26"/>
          <w:lang w:val="ro-RO" w:eastAsia="ro-RO"/>
        </w:rPr>
      </w:pPr>
      <w:r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Due to the fact that </w:t>
      </w:r>
      <w:r w:rsidR="00625E8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>they are usually three magistrates sitting into a court</w:t>
      </w:r>
      <w:r w:rsidR="004E21B6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, </w:t>
      </w:r>
      <w:r w:rsidR="00625E8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they can have multiple or different views and perspectives about a matter during the case and this can lead to a more balanced decision</w:t>
      </w:r>
      <w:r w:rsidR="0081088A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 and a better diversity and inclusion</w:t>
      </w:r>
      <w:r w:rsidR="00625E8C" w:rsidRPr="004B315D">
        <w:rPr>
          <w:rFonts w:ascii="Arial" w:eastAsiaTheme="minorEastAsia" w:hAnsi="Arial" w:cs="Arial"/>
          <w:sz w:val="26"/>
          <w:szCs w:val="26"/>
          <w:lang w:val="ro-RO" w:eastAsia="ro-RO"/>
        </w:rPr>
        <w:t xml:space="preserve">. </w:t>
      </w:r>
    </w:p>
    <w:p w14:paraId="2BAB814E" w14:textId="2C311E9E" w:rsidR="00640A62" w:rsidRPr="004B315D" w:rsidRDefault="006E3380" w:rsidP="00975E03">
      <w:pPr>
        <w:spacing w:after="0" w:line="240" w:lineRule="auto"/>
        <w:jc w:val="left"/>
        <w:rPr>
          <w:rFonts w:ascii="Arial" w:eastAsia="Times New Roman" w:hAnsi="Arial" w:cs="Arial"/>
          <w:color w:val="000000" w:themeColor="text1"/>
          <w:kern w:val="2"/>
          <w:sz w:val="26"/>
          <w:szCs w:val="26"/>
          <w:shd w:val="clear" w:color="auto" w:fill="FFFFFF"/>
          <w:lang w:val="ro-RO" w:eastAsia="ro-RO"/>
          <w14:ligatures w14:val="standardContextual"/>
        </w:rPr>
      </w:pPr>
      <w:r w:rsidRPr="004B315D">
        <w:rPr>
          <w:rFonts w:ascii="Arial" w:eastAsiaTheme="minorEastAsia" w:hAnsi="Arial" w:cs="Arial"/>
          <w:color w:val="000000" w:themeColor="text1"/>
          <w:kern w:val="2"/>
          <w:sz w:val="26"/>
          <w:szCs w:val="26"/>
          <w:lang w:val="ro-RO" w:eastAsia="ro-RO"/>
          <w14:ligatures w14:val="standardContextual"/>
        </w:rPr>
        <w:t xml:space="preserve">On </w:t>
      </w:r>
      <w:r w:rsidR="00EB683C" w:rsidRPr="004B315D">
        <w:rPr>
          <w:rFonts w:ascii="Arial" w:eastAsiaTheme="minorEastAsia" w:hAnsi="Arial" w:cs="Arial"/>
          <w:color w:val="000000" w:themeColor="text1"/>
          <w:kern w:val="2"/>
          <w:sz w:val="26"/>
          <w:szCs w:val="26"/>
          <w:lang w:val="ro-RO" w:eastAsia="ro-RO"/>
          <w14:ligatures w14:val="standardContextual"/>
        </w:rPr>
        <w:t>the other hand</w:t>
      </w:r>
      <w:r w:rsidR="008B79C0" w:rsidRPr="004B315D">
        <w:rPr>
          <w:rFonts w:ascii="Arial" w:eastAsiaTheme="minorEastAsia" w:hAnsi="Arial" w:cs="Arial"/>
          <w:color w:val="000000" w:themeColor="text1"/>
          <w:kern w:val="2"/>
          <w:sz w:val="26"/>
          <w:szCs w:val="26"/>
          <w:lang w:val="ro-RO" w:eastAsia="ro-RO"/>
          <w14:ligatures w14:val="standardContextual"/>
        </w:rPr>
        <w:t xml:space="preserve">, the </w:t>
      </w:r>
      <w:r w:rsidR="00EB683C" w:rsidRPr="004B315D">
        <w:rPr>
          <w:rFonts w:ascii="Arial" w:eastAsiaTheme="minorEastAsia" w:hAnsi="Arial" w:cs="Arial"/>
          <w:color w:val="000000" w:themeColor="text1"/>
          <w:kern w:val="2"/>
          <w:sz w:val="26"/>
          <w:szCs w:val="26"/>
          <w:lang w:val="ro-RO" w:eastAsia="ro-RO"/>
          <w14:ligatures w14:val="standardContextual"/>
        </w:rPr>
        <w:t xml:space="preserve">magistrates’ disadvantages can not be unnoticed and there are some important factors that impact a magistrate’ reputation. </w:t>
      </w:r>
      <w:r w:rsidRPr="004B315D">
        <w:rPr>
          <w:rFonts w:ascii="Arial" w:eastAsiaTheme="minorEastAsia" w:hAnsi="Arial" w:cs="Arial"/>
          <w:color w:val="000000" w:themeColor="text1"/>
          <w:kern w:val="2"/>
          <w:sz w:val="26"/>
          <w:szCs w:val="26"/>
          <w:lang w:val="ro-RO" w:eastAsia="ro-RO"/>
          <w14:ligatures w14:val="standardContextual"/>
        </w:rPr>
        <w:t xml:space="preserve">An </w:t>
      </w:r>
      <w:r w:rsidR="00EB683C" w:rsidRPr="004B315D">
        <w:rPr>
          <w:rFonts w:ascii="Arial" w:eastAsiaTheme="minorEastAsia" w:hAnsi="Arial" w:cs="Arial"/>
          <w:color w:val="000000" w:themeColor="text1"/>
          <w:kern w:val="2"/>
          <w:sz w:val="26"/>
          <w:szCs w:val="26"/>
          <w:lang w:val="ro-RO" w:eastAsia="ro-RO"/>
          <w14:ligatures w14:val="standardContextual"/>
        </w:rPr>
        <w:t xml:space="preserve">important disadvantage is that often magistrates may side with the prosecution, as they do not have a degree in law their judgments might be influenced by the police leading to a biased prosecution; for example </w:t>
      </w:r>
      <w:r w:rsidR="00EB683C" w:rsidRPr="004B315D">
        <w:rPr>
          <w:rFonts w:ascii="Arial" w:eastAsia="Times New Roman" w:hAnsi="Arial" w:cs="Arial"/>
          <w:color w:val="000000" w:themeColor="text1"/>
          <w:kern w:val="2"/>
          <w:sz w:val="26"/>
          <w:szCs w:val="26"/>
          <w:shd w:val="clear" w:color="auto" w:fill="FFFFFF"/>
          <w:lang w:val="ro-RO" w:eastAsia="ro-RO"/>
          <w14:ligatures w14:val="standardContextual"/>
        </w:rPr>
        <w:t xml:space="preserve">r v bingham ex parte jowitt, </w:t>
      </w:r>
      <w:r w:rsidR="0006319E">
        <w:rPr>
          <w:rFonts w:ascii="Arial" w:eastAsia="Times New Roman" w:hAnsi="Arial" w:cs="Arial"/>
          <w:color w:val="000000" w:themeColor="text1"/>
          <w:kern w:val="2"/>
          <w:sz w:val="26"/>
          <w:szCs w:val="26"/>
          <w:shd w:val="clear" w:color="auto" w:fill="FFFFFF"/>
          <w:lang w:val="ro-RO" w:eastAsia="ro-RO"/>
          <w14:ligatures w14:val="standardContextual"/>
        </w:rPr>
        <w:t xml:space="preserve">Where </w:t>
      </w:r>
      <w:r w:rsidR="00EB683C" w:rsidRPr="004B315D">
        <w:rPr>
          <w:rFonts w:ascii="Arial" w:eastAsia="Times New Roman" w:hAnsi="Arial" w:cs="Arial"/>
          <w:color w:val="000000" w:themeColor="text1"/>
          <w:kern w:val="2"/>
          <w:sz w:val="26"/>
          <w:szCs w:val="26"/>
          <w:shd w:val="clear" w:color="auto" w:fill="FFFFFF"/>
          <w:lang w:val="ro-RO" w:eastAsia="ro-RO"/>
          <w14:ligatures w14:val="standardContextual"/>
        </w:rPr>
        <w:t>one mans word against police and magistrates sided with the police</w:t>
      </w:r>
      <w:r w:rsidR="001152DF" w:rsidRPr="004B315D">
        <w:rPr>
          <w:rFonts w:ascii="Arial" w:eastAsia="Times New Roman" w:hAnsi="Arial" w:cs="Arial"/>
          <w:color w:val="000000" w:themeColor="text1"/>
          <w:kern w:val="2"/>
          <w:sz w:val="26"/>
          <w:szCs w:val="26"/>
          <w:shd w:val="clear" w:color="auto" w:fill="FFFFFF"/>
          <w:lang w:val="ro-RO" w:eastAsia="ro-RO"/>
          <w14:ligatures w14:val="standardContextual"/>
        </w:rPr>
        <w:t xml:space="preserve">. Moreover, </w:t>
      </w:r>
      <w:r w:rsidR="00EB683C" w:rsidRPr="004B315D">
        <w:rPr>
          <w:rFonts w:ascii="Arial" w:eastAsiaTheme="minorEastAsia" w:hAnsi="Arial" w:cs="Arial"/>
          <w:color w:val="000000" w:themeColor="text1"/>
          <w:kern w:val="2"/>
          <w:sz w:val="26"/>
          <w:szCs w:val="26"/>
          <w:lang w:val="ro-RO" w:eastAsia="ro-RO"/>
          <w14:ligatures w14:val="standardContextual"/>
        </w:rPr>
        <w:t xml:space="preserve">the magistrates may be found inconsistent as they can forget the sentencing guidelines because they are working only 13 days a year. </w:t>
      </w:r>
      <w:r w:rsidRPr="004B315D">
        <w:rPr>
          <w:rFonts w:ascii="Arial" w:eastAsiaTheme="minorEastAsia" w:hAnsi="Arial" w:cs="Arial"/>
          <w:color w:val="000000" w:themeColor="text1"/>
          <w:kern w:val="2"/>
          <w:sz w:val="26"/>
          <w:szCs w:val="26"/>
          <w:lang w:val="ro-RO" w:eastAsia="ro-RO"/>
          <w14:ligatures w14:val="standardContextual"/>
        </w:rPr>
        <w:t>Furthermore</w:t>
      </w:r>
      <w:r w:rsidR="00EB683C" w:rsidRPr="004B315D">
        <w:rPr>
          <w:rFonts w:ascii="Arial" w:eastAsiaTheme="minorEastAsia" w:hAnsi="Arial" w:cs="Arial"/>
          <w:color w:val="000000" w:themeColor="text1"/>
          <w:kern w:val="2"/>
          <w:sz w:val="26"/>
          <w:szCs w:val="26"/>
          <w:lang w:val="ro-RO" w:eastAsia="ro-RO"/>
          <w14:ligatures w14:val="standardContextual"/>
        </w:rPr>
        <w:t xml:space="preserve">, the magistrates are tempted to judge a defendant based on a previous case without making their own judgment leading to a hardened case; for example </w:t>
      </w:r>
      <w:r w:rsidR="00EB683C" w:rsidRPr="004B315D">
        <w:rPr>
          <w:rFonts w:ascii="Arial" w:eastAsia="Times New Roman" w:hAnsi="Arial" w:cs="Arial"/>
          <w:color w:val="000000" w:themeColor="text1"/>
          <w:kern w:val="2"/>
          <w:sz w:val="26"/>
          <w:szCs w:val="26"/>
          <w:shd w:val="clear" w:color="auto" w:fill="FFFFFF"/>
          <w:lang w:val="ro-RO" w:eastAsia="ro-RO"/>
          <w14:ligatures w14:val="standardContextual"/>
        </w:rPr>
        <w:t xml:space="preserve">r v bingham ex parte jowitt </w:t>
      </w:r>
      <w:r w:rsidR="00D3128D" w:rsidRPr="004B315D">
        <w:rPr>
          <w:rFonts w:ascii="Arial" w:eastAsia="Times New Roman" w:hAnsi="Arial" w:cs="Arial"/>
          <w:color w:val="000000" w:themeColor="text1"/>
          <w:kern w:val="2"/>
          <w:sz w:val="26"/>
          <w:szCs w:val="26"/>
          <w:shd w:val="clear" w:color="auto" w:fill="FFFFFF"/>
          <w:lang w:val="ro-RO" w:eastAsia="ro-RO"/>
          <w14:ligatures w14:val="standardContextual"/>
        </w:rPr>
        <w:t xml:space="preserve">1974. </w:t>
      </w:r>
    </w:p>
    <w:p w14:paraId="1D0C7C46" w14:textId="6A2AAD4E" w:rsidR="006E3380" w:rsidRPr="004B315D" w:rsidRDefault="006E3380" w:rsidP="00975E03">
      <w:pPr>
        <w:spacing w:after="0" w:line="240" w:lineRule="auto"/>
        <w:jc w:val="left"/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</w:pPr>
      <w:r w:rsidRPr="004B315D">
        <w:rPr>
          <w:rFonts w:ascii="Arial" w:eastAsia="Times New Roman" w:hAnsi="Arial" w:cs="Arial"/>
          <w:color w:val="000000" w:themeColor="text1"/>
          <w:kern w:val="2"/>
          <w:sz w:val="26"/>
          <w:szCs w:val="26"/>
          <w:shd w:val="clear" w:color="auto" w:fill="FFFFFF"/>
          <w:lang w:val="ro-RO" w:eastAsia="ro-RO"/>
          <w14:ligatures w14:val="standardContextual"/>
        </w:rPr>
        <w:t xml:space="preserve">Another </w:t>
      </w:r>
      <w:r w:rsidR="00EB683C" w:rsidRPr="004B315D">
        <w:rPr>
          <w:rFonts w:ascii="Arial" w:eastAsia="Times New Roman" w:hAnsi="Arial" w:cs="Arial"/>
          <w:color w:val="000000" w:themeColor="text1"/>
          <w:kern w:val="2"/>
          <w:sz w:val="26"/>
          <w:szCs w:val="26"/>
          <w:shd w:val="clear" w:color="auto" w:fill="FFFFFF"/>
          <w:lang w:val="ro-RO" w:eastAsia="ro-RO"/>
          <w14:ligatures w14:val="standardContextual"/>
        </w:rPr>
        <w:t xml:space="preserve">disadvantage magistrates can be the fact that most of them are middle-aged, as the </w:t>
      </w:r>
      <w:r w:rsidR="00F02369">
        <w:rPr>
          <w:rFonts w:ascii="Arial" w:eastAsia="Times New Roman" w:hAnsi="Arial" w:cs="Arial"/>
          <w:color w:val="000000" w:themeColor="text1"/>
          <w:kern w:val="2"/>
          <w:sz w:val="26"/>
          <w:szCs w:val="26"/>
          <w:shd w:val="clear" w:color="auto" w:fill="FFFFFF"/>
          <w:lang w:val="ro-RO" w:eastAsia="ro-RO"/>
          <w14:ligatures w14:val="standardContextual"/>
        </w:rPr>
        <w:t>introspections</w:t>
      </w:r>
      <w:r w:rsidR="00EB683C" w:rsidRPr="004B315D">
        <w:rPr>
          <w:rFonts w:ascii="Arial" w:eastAsia="Times New Roman" w:hAnsi="Arial" w:cs="Arial"/>
          <w:color w:val="000000" w:themeColor="text1"/>
          <w:kern w:val="2"/>
          <w:sz w:val="26"/>
          <w:szCs w:val="26"/>
          <w:shd w:val="clear" w:color="auto" w:fill="FFFFFF"/>
          <w:lang w:val="ro-RO" w:eastAsia="ro-RO"/>
          <w14:ligatures w14:val="standardContextual"/>
        </w:rPr>
        <w:t xml:space="preserve"> showed that 50% of magistrates are above 60 </w:t>
      </w:r>
      <w:r w:rsidR="00F02369">
        <w:rPr>
          <w:rFonts w:ascii="Arial" w:eastAsia="Times New Roman" w:hAnsi="Arial" w:cs="Arial"/>
          <w:color w:val="000000" w:themeColor="text1"/>
          <w:kern w:val="2"/>
          <w:sz w:val="26"/>
          <w:szCs w:val="26"/>
          <w:shd w:val="clear" w:color="auto" w:fill="FFFFFF"/>
          <w:lang w:val="ro-RO" w:eastAsia="ro-RO"/>
          <w14:ligatures w14:val="standardContextual"/>
        </w:rPr>
        <w:t xml:space="preserve">and most of </w:t>
      </w:r>
      <w:r w:rsidR="00EB683C" w:rsidRPr="004B315D">
        <w:rPr>
          <w:rFonts w:ascii="Arial" w:eastAsia="Times New Roman" w:hAnsi="Arial" w:cs="Arial"/>
          <w:color w:val="000000" w:themeColor="text1"/>
          <w:kern w:val="2"/>
          <w:sz w:val="26"/>
          <w:szCs w:val="26"/>
          <w:shd w:val="clear" w:color="auto" w:fill="FFFFFF"/>
          <w:lang w:val="ro-RO" w:eastAsia="ro-RO"/>
          <w14:ligatures w14:val="standardContextual"/>
        </w:rPr>
        <w:t>defendants are 25</w:t>
      </w:r>
      <w:r w:rsidR="00A66BF9">
        <w:rPr>
          <w:rFonts w:ascii="Arial" w:eastAsia="Times New Roman" w:hAnsi="Arial" w:cs="Arial"/>
          <w:color w:val="000000" w:themeColor="text1"/>
          <w:kern w:val="2"/>
          <w:sz w:val="26"/>
          <w:szCs w:val="26"/>
          <w:shd w:val="clear" w:color="auto" w:fill="FFFFFF"/>
          <w:lang w:val="ro-RO" w:eastAsia="ro-RO"/>
          <w14:ligatures w14:val="standardContextual"/>
        </w:rPr>
        <w:t xml:space="preserve"> (Welsh, 2022)</w:t>
      </w:r>
      <w:r w:rsidR="00EB683C" w:rsidRPr="004B315D">
        <w:rPr>
          <w:rFonts w:ascii="Arial" w:eastAsia="Times New Roman" w:hAnsi="Arial" w:cs="Arial"/>
          <w:color w:val="000000" w:themeColor="text1"/>
          <w:kern w:val="2"/>
          <w:sz w:val="26"/>
          <w:szCs w:val="26"/>
          <w:shd w:val="clear" w:color="auto" w:fill="FFFFFF"/>
          <w:lang w:val="ro-RO" w:eastAsia="ro-RO"/>
          <w14:ligatures w14:val="standardContextual"/>
        </w:rPr>
        <w:t xml:space="preserve">. </w:t>
      </w:r>
      <w:r w:rsidRPr="004B315D">
        <w:rPr>
          <w:rFonts w:ascii="Arial" w:eastAsia="Times New Roman" w:hAnsi="Arial" w:cs="Arial"/>
          <w:color w:val="000000" w:themeColor="text1"/>
          <w:kern w:val="2"/>
          <w:sz w:val="26"/>
          <w:szCs w:val="26"/>
          <w:shd w:val="clear" w:color="auto" w:fill="FFFFFF"/>
          <w:lang w:val="ro-RO" w:eastAsia="ro-RO"/>
          <w14:ligatures w14:val="standardContextual"/>
        </w:rPr>
        <w:t xml:space="preserve">The </w:t>
      </w:r>
      <w:r w:rsidR="00EB683C" w:rsidRPr="004B315D">
        <w:rPr>
          <w:rFonts w:ascii="Arial" w:eastAsia="Times New Roman" w:hAnsi="Arial" w:cs="Arial"/>
          <w:color w:val="000000" w:themeColor="text1"/>
          <w:kern w:val="2"/>
          <w:sz w:val="26"/>
          <w:szCs w:val="26"/>
          <w:shd w:val="clear" w:color="auto" w:fill="FFFFFF"/>
          <w:lang w:val="ro-RO" w:eastAsia="ro-RO"/>
          <w14:ligatures w14:val="standardContextual"/>
        </w:rPr>
        <w:t>young defendants might be adjudicated by old judgemental thinking, as the eldery magistrates do not</w:t>
      </w:r>
      <w:r w:rsidR="00A95090">
        <w:rPr>
          <w:rFonts w:ascii="Arial" w:eastAsia="Times New Roman" w:hAnsi="Arial" w:cs="Arial"/>
          <w:color w:val="000000" w:themeColor="text1"/>
          <w:kern w:val="2"/>
          <w:sz w:val="26"/>
          <w:szCs w:val="26"/>
          <w:shd w:val="clear" w:color="auto" w:fill="FFFFFF"/>
          <w:lang w:val="ro-RO" w:eastAsia="ro-RO"/>
          <w14:ligatures w14:val="standardContextual"/>
        </w:rPr>
        <w:t xml:space="preserve"> usually</w:t>
      </w:r>
      <w:r w:rsidR="00EB683C" w:rsidRPr="004B315D">
        <w:rPr>
          <w:rFonts w:ascii="Arial" w:eastAsia="Times New Roman" w:hAnsi="Arial" w:cs="Arial"/>
          <w:color w:val="000000" w:themeColor="text1"/>
          <w:kern w:val="2"/>
          <w:sz w:val="26"/>
          <w:szCs w:val="26"/>
          <w:shd w:val="clear" w:color="auto" w:fill="FFFFFF"/>
          <w:lang w:val="ro-RO" w:eastAsia="ro-RO"/>
          <w14:ligatures w14:val="standardContextual"/>
        </w:rPr>
        <w:t xml:space="preserve"> emphatise with them.  </w:t>
      </w:r>
      <w:r w:rsidR="00BC6955" w:rsidRPr="004B315D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 xml:space="preserve">Another </w:t>
      </w:r>
      <w:r w:rsidR="00EB683C" w:rsidRPr="004B315D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>obvious disadvantage of a magistrate is that it is not a representative of society, as they usually tend to be white,old and from a professional</w:t>
      </w:r>
      <w:r w:rsidR="00D3128D" w:rsidRPr="004B315D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> </w:t>
      </w:r>
      <w:r w:rsidR="00EB683C" w:rsidRPr="004B315D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>backgroundd, which is not the same for most of the defendants</w:t>
      </w:r>
      <w:r w:rsidR="00C85F34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 xml:space="preserve"> (Fa</w:t>
      </w:r>
      <w:r w:rsidR="004F1CF1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>ulkner, Dikinson, 2012)</w:t>
      </w:r>
      <w:r w:rsidR="00EB683C" w:rsidRPr="004B315D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 xml:space="preserve">. </w:t>
      </w:r>
      <w:r w:rsidRPr="004B315D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 xml:space="preserve">As </w:t>
      </w:r>
      <w:r w:rsidR="00EB683C" w:rsidRPr="004B315D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>a result of this fact is that the defendants consider that the magistrates are not trustworthy because they think that if they</w:t>
      </w:r>
      <w:r w:rsidR="00D3128D" w:rsidRPr="004B315D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> </w:t>
      </w:r>
      <w:r w:rsidR="00EB683C" w:rsidRPr="004B315D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>comes</w:t>
      </w:r>
      <w:r w:rsidR="00D3128D" w:rsidRPr="004B315D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> </w:t>
      </w:r>
      <w:r w:rsidR="00EB683C" w:rsidRPr="004B315D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 xml:space="preserve">from </w:t>
      </w:r>
      <w:r w:rsidR="0017769F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 xml:space="preserve">a </w:t>
      </w:r>
      <w:r w:rsidR="00EB683C" w:rsidRPr="004B315D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>different</w:t>
      </w:r>
      <w:r w:rsidR="00D3128D" w:rsidRPr="004B315D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> </w:t>
      </w:r>
      <w:r w:rsidR="00EB683C" w:rsidRPr="004B315D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>backround</w:t>
      </w:r>
      <w:r w:rsidR="00D3128D" w:rsidRPr="004B315D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> </w:t>
      </w:r>
      <w:r w:rsidR="00EB683C" w:rsidRPr="004B315D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>will not be judged impartially or fair.</w:t>
      </w:r>
      <w:r w:rsidR="00975E03" w:rsidRPr="004B315D">
        <w:rPr>
          <w:rFonts w:ascii="Arial" w:eastAsia="Times New Roman" w:hAnsi="Arial" w:cs="Arial"/>
          <w:color w:val="000000" w:themeColor="text1"/>
          <w:kern w:val="2"/>
          <w:sz w:val="26"/>
          <w:szCs w:val="26"/>
          <w:shd w:val="clear" w:color="auto" w:fill="FFFFFF"/>
          <w:lang w:val="ro-RO" w:eastAsia="ro-RO"/>
          <w14:ligatures w14:val="standardContextual"/>
        </w:rPr>
        <w:t xml:space="preserve"> Furthermore, </w:t>
      </w:r>
      <w:r w:rsidR="00975E03" w:rsidRPr="004B315D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 xml:space="preserve">the </w:t>
      </w:r>
      <w:r w:rsidR="00EB683C" w:rsidRPr="004B315D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>magistr</w:t>
      </w:r>
      <w:r w:rsidR="00D3128D" w:rsidRPr="004B315D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>at</w:t>
      </w:r>
      <w:r w:rsidR="00EF004C" w:rsidRPr="004B315D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>e</w:t>
      </w:r>
      <w:r w:rsidR="004A4EC4" w:rsidRPr="004B315D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>s’</w:t>
      </w:r>
      <w:r w:rsidR="00EF004C" w:rsidRPr="004B315D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 xml:space="preserve"> credibility </w:t>
      </w:r>
      <w:r w:rsidR="004A4EC4" w:rsidRPr="004B315D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>erode</w:t>
      </w:r>
      <w:r w:rsidR="00EB683C" w:rsidRPr="004B315D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 xml:space="preserve"> when they hear similar cases and start analysing all the cases the same without taking into account the essentials elements of the case brought before them. </w:t>
      </w:r>
      <w:r w:rsidRPr="004B315D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 xml:space="preserve">This </w:t>
      </w:r>
      <w:r w:rsidR="00EB683C" w:rsidRPr="004B315D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>can lead the conviction to be</w:t>
      </w:r>
      <w:r w:rsidR="00D3128D" w:rsidRPr="004B315D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> </w:t>
      </w:r>
      <w:r w:rsidR="00EB683C" w:rsidRPr="004B315D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>to</w:t>
      </w:r>
      <w:r w:rsidR="00D3128D" w:rsidRPr="004B315D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> </w:t>
      </w:r>
      <w:r w:rsidR="00EB683C" w:rsidRPr="004B315D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>harshly for some defendants or to light for other defendants, causing people to lose trust into magistrates</w:t>
      </w:r>
      <w:r w:rsidR="004F1CF1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 xml:space="preserve"> </w:t>
      </w:r>
      <w:r w:rsidR="00A516C5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>(Archer and Hatfield, 2016)</w:t>
      </w:r>
      <w:r w:rsidR="00EB683C" w:rsidRPr="004B315D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>.</w:t>
      </w:r>
      <w:r w:rsidR="00D3128D" w:rsidRPr="004B315D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> </w:t>
      </w:r>
    </w:p>
    <w:p w14:paraId="3BC41906" w14:textId="7C2ACEF1" w:rsidR="00640A62" w:rsidRPr="004B315D" w:rsidRDefault="00640A62" w:rsidP="00975E03">
      <w:pPr>
        <w:spacing w:after="0" w:line="240" w:lineRule="auto"/>
        <w:jc w:val="left"/>
        <w:rPr>
          <w:rFonts w:ascii="Arial" w:eastAsia="Times New Roman" w:hAnsi="Arial" w:cs="Arial"/>
          <w:color w:val="000000" w:themeColor="text1"/>
          <w:kern w:val="2"/>
          <w:sz w:val="26"/>
          <w:szCs w:val="26"/>
          <w:shd w:val="clear" w:color="auto" w:fill="FFFFFF"/>
          <w:lang w:val="ro-RO" w:eastAsia="ro-RO"/>
          <w14:ligatures w14:val="standardContextual"/>
        </w:rPr>
      </w:pPr>
      <w:r w:rsidRPr="004B315D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 xml:space="preserve">In conclusion, the magistrates constitutes a </w:t>
      </w:r>
      <w:r w:rsidR="0033438C" w:rsidRPr="004B315D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>veritable and significant component of the justice system in United Kin</w:t>
      </w:r>
      <w:r w:rsidR="002326AE" w:rsidRPr="004B315D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 xml:space="preserve">gdom. Their </w:t>
      </w:r>
      <w:r w:rsidR="00BE6F87" w:rsidRPr="004B315D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>are working really hard</w:t>
      </w:r>
      <w:r w:rsidR="00F34A3E" w:rsidRPr="004B315D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 xml:space="preserve"> for free </w:t>
      </w:r>
      <w:r w:rsidR="00BE6F87" w:rsidRPr="004B315D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 xml:space="preserve"> to keep the </w:t>
      </w:r>
      <w:r w:rsidR="00F34A3E" w:rsidRPr="004B315D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>peace and the judic</w:t>
      </w:r>
      <w:r w:rsidR="00EE642C" w:rsidRPr="004B315D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>iary system at the highest standards</w:t>
      </w:r>
      <w:r w:rsidR="00751355" w:rsidRPr="004B315D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 xml:space="preserve">. They had proved </w:t>
      </w:r>
      <w:r w:rsidR="003F103F" w:rsidRPr="004B315D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 xml:space="preserve">multiple </w:t>
      </w:r>
      <w:r w:rsidR="00751355" w:rsidRPr="004B315D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>times that they are worthy to trust and</w:t>
      </w:r>
      <w:r w:rsidR="009042F8" w:rsidRPr="004B315D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 xml:space="preserve"> their role are</w:t>
      </w:r>
      <w:r w:rsidR="005D2649" w:rsidRPr="004B315D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 xml:space="preserve"> vital for </w:t>
      </w:r>
      <w:r w:rsidR="00201879" w:rsidRPr="004B315D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 xml:space="preserve">an adequate </w:t>
      </w:r>
      <w:r w:rsidR="005D2649" w:rsidRPr="004B315D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 xml:space="preserve">operating justice. </w:t>
      </w:r>
      <w:r w:rsidR="001B300B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 xml:space="preserve">They </w:t>
      </w:r>
      <w:r w:rsidR="004F2520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 xml:space="preserve">commitment to do right </w:t>
      </w:r>
      <w:r w:rsidR="0090075A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 xml:space="preserve">all people according the laws </w:t>
      </w:r>
      <w:r w:rsidR="000F5CC1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 xml:space="preserve">without any favour is what </w:t>
      </w:r>
      <w:r w:rsidR="00DA5CEC">
        <w:rPr>
          <w:rFonts w:ascii="Arial" w:eastAsiaTheme="minorEastAsia" w:hAnsi="Arial" w:cs="Arial"/>
          <w:color w:val="000000"/>
          <w:sz w:val="27"/>
          <w:szCs w:val="27"/>
          <w:lang w:val="ro-RO" w:eastAsia="ro-RO"/>
        </w:rPr>
        <w:t xml:space="preserve">ensures the proper justice in United Kingdom. </w:t>
      </w:r>
    </w:p>
    <w:p w14:paraId="26DE9803" w14:textId="619A83F7" w:rsidR="006E3380" w:rsidRPr="00770216" w:rsidRDefault="00D3128D" w:rsidP="00770216">
      <w:pPr>
        <w:spacing w:after="0" w:line="324" w:lineRule="atLeast"/>
        <w:jc w:val="left"/>
        <w:rPr>
          <w:rFonts w:ascii="-webkit-standard" w:eastAsiaTheme="minorEastAsia" w:hAnsi="-webkit-standard" w:cs="Times New Roman"/>
          <w:color w:val="000000"/>
          <w:sz w:val="27"/>
          <w:szCs w:val="27"/>
          <w:lang w:val="ro-RO" w:eastAsia="ro-RO"/>
        </w:rPr>
      </w:pPr>
      <w:r w:rsidRPr="006E3380">
        <w:rPr>
          <w:rFonts w:ascii="-webkit-standard" w:eastAsiaTheme="minorEastAsia" w:hAnsi="-webkit-standard" w:cs="Times New Roman" w:hint="eastAsia"/>
          <w:color w:val="000000"/>
          <w:sz w:val="27"/>
          <w:szCs w:val="27"/>
          <w:lang w:val="ro-RO" w:eastAsia="ro-RO"/>
        </w:rPr>
        <w:t> </w:t>
      </w:r>
      <w:bookmarkStart w:id="0" w:name="_Toc132988858"/>
    </w:p>
    <w:p w14:paraId="2A505B63" w14:textId="77777777" w:rsidR="006E3380" w:rsidRDefault="006E3380" w:rsidP="00DA6B16">
      <w:pPr>
        <w:pStyle w:val="Titlu1"/>
        <w:rPr>
          <w:noProof/>
          <w:bdr w:val="none" w:sz="0" w:space="0" w:color="auto" w:frame="1"/>
        </w:rPr>
      </w:pPr>
    </w:p>
    <w:p w14:paraId="7DA6829B" w14:textId="77777777" w:rsidR="006E3380" w:rsidRDefault="006E3380" w:rsidP="00DA6B16">
      <w:pPr>
        <w:pStyle w:val="Titlu1"/>
        <w:rPr>
          <w:noProof/>
          <w:bdr w:val="none" w:sz="0" w:space="0" w:color="auto" w:frame="1"/>
        </w:rPr>
      </w:pPr>
    </w:p>
    <w:p w14:paraId="4F54B40D" w14:textId="77777777" w:rsidR="006E3380" w:rsidRDefault="006E3380" w:rsidP="00DA6B16">
      <w:pPr>
        <w:pStyle w:val="Titlu1"/>
        <w:rPr>
          <w:noProof/>
          <w:bdr w:val="none" w:sz="0" w:space="0" w:color="auto" w:frame="1"/>
        </w:rPr>
      </w:pPr>
    </w:p>
    <w:p w14:paraId="71F7C8D9" w14:textId="028F524B" w:rsidR="0085477D" w:rsidRPr="0085477D" w:rsidRDefault="00DA6B16" w:rsidP="00DA6B16">
      <w:pPr>
        <w:pStyle w:val="Titlu1"/>
        <w:rPr>
          <w:rFonts w:eastAsia="Times New Roman"/>
        </w:rPr>
      </w:pPr>
      <w:r>
        <w:rPr>
          <w:noProof/>
          <w:bdr w:val="none" w:sz="0" w:space="0" w:color="auto" w:frame="1"/>
        </w:rPr>
        <w:t>References</w:t>
      </w:r>
      <w:bookmarkEnd w:id="0"/>
      <w:r>
        <w:rPr>
          <w:noProof/>
          <w:bdr w:val="none" w:sz="0" w:space="0" w:color="auto" w:frame="1"/>
        </w:rPr>
        <w:t xml:space="preserve"> </w:t>
      </w:r>
    </w:p>
    <w:p w14:paraId="704C1BEB" w14:textId="77777777" w:rsidR="00602EB4" w:rsidRPr="00F41C8B" w:rsidRDefault="00602EB4" w:rsidP="00F41C8B">
      <w:pPr>
        <w:pStyle w:val="Listparagraf"/>
        <w:numPr>
          <w:ilvl w:val="0"/>
          <w:numId w:val="17"/>
        </w:numPr>
        <w:shd w:val="clear" w:color="auto" w:fill="FFFFFF"/>
        <w:spacing w:after="0" w:line="360" w:lineRule="atLeast"/>
        <w:jc w:val="left"/>
        <w:divId w:val="1878929325"/>
        <w:rPr>
          <w:rFonts w:ascii="Calibri" w:eastAsiaTheme="minorEastAsia" w:hAnsi="Calibri" w:cs="Times New Roman"/>
          <w:color w:val="000000"/>
          <w:sz w:val="27"/>
          <w:szCs w:val="27"/>
          <w:lang w:val="ro-RO" w:eastAsia="ro-RO"/>
        </w:rPr>
      </w:pPr>
      <w:r w:rsidRPr="00F41C8B">
        <w:rPr>
          <w:rFonts w:ascii="Calibri" w:eastAsiaTheme="minorEastAsia" w:hAnsi="Calibri" w:cs="Times New Roman"/>
          <w:color w:val="000000"/>
          <w:sz w:val="27"/>
          <w:szCs w:val="27"/>
          <w:lang w:val="ro-RO" w:eastAsia="ro-RO"/>
        </w:rPr>
        <w:t>Recent Book: Before the Magistrates: Magistrates’ Court Guide. (1967). </w:t>
      </w:r>
      <w:r w:rsidRPr="00F41C8B">
        <w:rPr>
          <w:rFonts w:ascii="Calibri" w:eastAsiaTheme="minorEastAsia" w:hAnsi="Calibri" w:cs="Times New Roman"/>
          <w:i/>
          <w:iCs/>
          <w:color w:val="000000"/>
          <w:sz w:val="27"/>
          <w:szCs w:val="27"/>
          <w:lang w:val="ro-RO" w:eastAsia="ro-RO"/>
        </w:rPr>
        <w:t>The Police Journal: Theory, Practice and Principles</w:t>
      </w:r>
      <w:r w:rsidRPr="00F41C8B">
        <w:rPr>
          <w:rFonts w:ascii="Calibri" w:eastAsiaTheme="minorEastAsia" w:hAnsi="Calibri" w:cs="Times New Roman"/>
          <w:color w:val="000000"/>
          <w:sz w:val="27"/>
          <w:szCs w:val="27"/>
          <w:lang w:val="ro-RO" w:eastAsia="ro-RO"/>
        </w:rPr>
        <w:t>, 40(1), pp.43–43. doi:https://doi.org/10.1177/0032258x6704000111.</w:t>
      </w:r>
    </w:p>
    <w:p w14:paraId="08AA6B2C" w14:textId="654BF386" w:rsidR="00224999" w:rsidRDefault="00602EB4" w:rsidP="00F41C8B">
      <w:pPr>
        <w:pStyle w:val="NormalWeb"/>
        <w:numPr>
          <w:ilvl w:val="0"/>
          <w:numId w:val="17"/>
        </w:numPr>
        <w:shd w:val="clear" w:color="auto" w:fill="FFFFFF"/>
        <w:spacing w:before="0" w:beforeAutospacing="0" w:after="0" w:afterAutospacing="0" w:line="360" w:lineRule="atLeast"/>
        <w:divId w:val="862978344"/>
        <w:rPr>
          <w:rFonts w:ascii="Calibri" w:eastAsiaTheme="minorEastAsia" w:hAnsi="Calibri"/>
          <w:color w:val="000000"/>
          <w:sz w:val="27"/>
          <w:szCs w:val="27"/>
          <w:lang w:val="ro-RO" w:eastAsia="ro-RO"/>
        </w:rPr>
      </w:pPr>
      <w:r w:rsidRPr="00602EB4">
        <w:rPr>
          <w:rFonts w:ascii="Calibri" w:eastAsiaTheme="minorEastAsia" w:hAnsi="Calibri"/>
          <w:color w:val="000000"/>
          <w:lang w:val="ro-RO" w:eastAsia="ro-RO"/>
        </w:rPr>
        <w:t>‌</w:t>
      </w:r>
      <w:r w:rsidR="00224999" w:rsidRPr="00224999">
        <w:rPr>
          <w:rFonts w:ascii="Calibri" w:eastAsiaTheme="minorEastAsia" w:hAnsi="Calibri"/>
          <w:color w:val="000000"/>
          <w:sz w:val="27"/>
          <w:szCs w:val="27"/>
          <w:lang w:val="ro-RO" w:eastAsia="ro-RO"/>
        </w:rPr>
        <w:t xml:space="preserve"> JONES</w:t>
      </w:r>
      <w:r w:rsidR="0071766A">
        <w:rPr>
          <w:rFonts w:ascii="Calibri" w:eastAsiaTheme="minorEastAsia" w:hAnsi="Calibri"/>
          <w:color w:val="000000"/>
          <w:sz w:val="27"/>
          <w:szCs w:val="27"/>
          <w:lang w:val="ro-RO" w:eastAsia="ro-RO"/>
        </w:rPr>
        <w:t xml:space="preserve"> J.</w:t>
      </w:r>
      <w:r w:rsidR="00224999" w:rsidRPr="00224999">
        <w:rPr>
          <w:rFonts w:ascii="Calibri" w:eastAsiaTheme="minorEastAsia" w:hAnsi="Calibri"/>
          <w:color w:val="000000"/>
          <w:sz w:val="27"/>
          <w:szCs w:val="27"/>
          <w:lang w:val="ro-RO" w:eastAsia="ro-RO"/>
        </w:rPr>
        <w:t xml:space="preserve"> (2012). Opinions of the public, conservationists and magistrates on sentencing wildlife trade crimes in the UK. </w:t>
      </w:r>
      <w:r w:rsidR="00224999" w:rsidRPr="00224999">
        <w:rPr>
          <w:rFonts w:ascii="Calibri" w:eastAsiaTheme="minorEastAsia" w:hAnsi="Calibri"/>
          <w:i/>
          <w:iCs/>
          <w:color w:val="000000"/>
          <w:sz w:val="27"/>
          <w:szCs w:val="27"/>
          <w:lang w:val="ro-RO" w:eastAsia="ro-RO"/>
        </w:rPr>
        <w:t>Environmental Conservation</w:t>
      </w:r>
      <w:r w:rsidR="00224999" w:rsidRPr="00224999">
        <w:rPr>
          <w:rFonts w:ascii="Calibri" w:eastAsiaTheme="minorEastAsia" w:hAnsi="Calibri"/>
          <w:color w:val="000000"/>
          <w:sz w:val="27"/>
          <w:szCs w:val="27"/>
          <w:lang w:val="ro-RO" w:eastAsia="ro-RO"/>
        </w:rPr>
        <w:t>, 39(2), pp.154–161. doi:https://doi.org/10.1017/s037689291200001x.</w:t>
      </w:r>
    </w:p>
    <w:p w14:paraId="28306362" w14:textId="4E2F839D" w:rsidR="00D6072B" w:rsidRPr="00F41C8B" w:rsidRDefault="00D6072B" w:rsidP="00F41C8B">
      <w:pPr>
        <w:pStyle w:val="Listparagraf"/>
        <w:numPr>
          <w:ilvl w:val="0"/>
          <w:numId w:val="17"/>
        </w:numPr>
        <w:shd w:val="clear" w:color="auto" w:fill="FFFFFF"/>
        <w:spacing w:after="0" w:line="360" w:lineRule="atLeast"/>
        <w:jc w:val="left"/>
        <w:divId w:val="1556044199"/>
        <w:rPr>
          <w:rFonts w:ascii="Calibri" w:eastAsiaTheme="minorEastAsia" w:hAnsi="Calibri" w:cs="Times New Roman"/>
          <w:color w:val="000000"/>
          <w:sz w:val="27"/>
          <w:szCs w:val="27"/>
          <w:lang w:val="ro-RO" w:eastAsia="ro-RO"/>
        </w:rPr>
      </w:pPr>
      <w:r w:rsidRPr="00F41C8B">
        <w:rPr>
          <w:rFonts w:ascii="Calibri" w:eastAsiaTheme="minorEastAsia" w:hAnsi="Calibri" w:cs="Times New Roman"/>
          <w:color w:val="000000"/>
          <w:sz w:val="27"/>
          <w:szCs w:val="27"/>
          <w:lang w:val="ro-RO" w:eastAsia="ro-RO"/>
        </w:rPr>
        <w:t>P</w:t>
      </w:r>
      <w:r w:rsidR="00280747">
        <w:rPr>
          <w:rFonts w:ascii="Calibri" w:eastAsiaTheme="minorEastAsia" w:hAnsi="Calibri" w:cs="Times New Roman"/>
          <w:color w:val="000000"/>
          <w:sz w:val="27"/>
          <w:szCs w:val="27"/>
          <w:lang w:val="ro-RO" w:eastAsia="ro-RO"/>
        </w:rPr>
        <w:t xml:space="preserve">incombe </w:t>
      </w:r>
      <w:r w:rsidRPr="00F41C8B">
        <w:rPr>
          <w:rFonts w:ascii="Calibri" w:eastAsiaTheme="minorEastAsia" w:hAnsi="Calibri" w:cs="Times New Roman"/>
          <w:color w:val="000000"/>
          <w:sz w:val="27"/>
          <w:szCs w:val="27"/>
          <w:lang w:val="ro-RO" w:eastAsia="ro-RO"/>
        </w:rPr>
        <w:t>M. (2011). William Baldwin andA Mirror for Magistrates. </w:t>
      </w:r>
      <w:r w:rsidRPr="00F41C8B">
        <w:rPr>
          <w:rFonts w:ascii="Calibri" w:eastAsiaTheme="minorEastAsia" w:hAnsi="Calibri" w:cs="Times New Roman"/>
          <w:i/>
          <w:iCs/>
          <w:color w:val="000000"/>
          <w:sz w:val="27"/>
          <w:szCs w:val="27"/>
          <w:lang w:val="ro-RO" w:eastAsia="ro-RO"/>
        </w:rPr>
        <w:t>Renaissance Studies</w:t>
      </w:r>
      <w:r w:rsidRPr="00F41C8B">
        <w:rPr>
          <w:rFonts w:ascii="Calibri" w:eastAsiaTheme="minorEastAsia" w:hAnsi="Calibri" w:cs="Times New Roman"/>
          <w:color w:val="000000"/>
          <w:sz w:val="27"/>
          <w:szCs w:val="27"/>
          <w:lang w:val="ro-RO" w:eastAsia="ro-RO"/>
        </w:rPr>
        <w:t>, 27(2), pp.183–198. doi:https://doi.org/10.1111/j.1477-4658.2011.00795.x.</w:t>
      </w:r>
    </w:p>
    <w:p w14:paraId="03491BBD" w14:textId="77777777" w:rsidR="002245B6" w:rsidRPr="002245B6" w:rsidRDefault="00D6072B" w:rsidP="00F41C8B">
      <w:pPr>
        <w:pStyle w:val="NormalWeb"/>
        <w:numPr>
          <w:ilvl w:val="0"/>
          <w:numId w:val="17"/>
        </w:numPr>
        <w:shd w:val="clear" w:color="auto" w:fill="FFFFFF"/>
        <w:spacing w:before="0" w:beforeAutospacing="0" w:after="0" w:afterAutospacing="0" w:line="360" w:lineRule="atLeast"/>
        <w:divId w:val="558518041"/>
        <w:rPr>
          <w:rFonts w:ascii="Calibri" w:eastAsiaTheme="minorEastAsia" w:hAnsi="Calibri"/>
          <w:color w:val="000000"/>
          <w:sz w:val="27"/>
          <w:szCs w:val="27"/>
          <w:lang w:val="ro-RO" w:eastAsia="ro-RO"/>
        </w:rPr>
      </w:pPr>
      <w:r w:rsidRPr="00D6072B">
        <w:rPr>
          <w:rFonts w:ascii="Calibri" w:eastAsiaTheme="minorEastAsia" w:hAnsi="Calibri"/>
          <w:color w:val="000000"/>
          <w:lang w:val="ro-RO" w:eastAsia="ro-RO"/>
        </w:rPr>
        <w:t>‌</w:t>
      </w:r>
      <w:r w:rsidR="002245B6" w:rsidRPr="002245B6">
        <w:rPr>
          <w:rFonts w:ascii="Calibri" w:eastAsiaTheme="minorEastAsia" w:hAnsi="Calibri"/>
          <w:color w:val="000000"/>
          <w:sz w:val="27"/>
          <w:szCs w:val="27"/>
          <w:lang w:val="ro-RO" w:eastAsia="ro-RO"/>
        </w:rPr>
        <w:t>Nazzini, R. (2020). A Reform Too Few or a Reform Too Many: Judicial Review, Appeals or a Prosecutorial System under the UK Competition Act 1998? </w:t>
      </w:r>
      <w:r w:rsidR="002245B6" w:rsidRPr="002245B6">
        <w:rPr>
          <w:rFonts w:ascii="Calibri" w:eastAsiaTheme="minorEastAsia" w:hAnsi="Calibri"/>
          <w:i/>
          <w:iCs/>
          <w:color w:val="000000"/>
          <w:sz w:val="27"/>
          <w:szCs w:val="27"/>
          <w:lang w:val="ro-RO" w:eastAsia="ro-RO"/>
        </w:rPr>
        <w:t>SSRN Electronic Journal</w:t>
      </w:r>
      <w:r w:rsidR="002245B6" w:rsidRPr="002245B6">
        <w:rPr>
          <w:rFonts w:ascii="Calibri" w:eastAsiaTheme="minorEastAsia" w:hAnsi="Calibri"/>
          <w:color w:val="000000"/>
          <w:sz w:val="27"/>
          <w:szCs w:val="27"/>
          <w:lang w:val="ro-RO" w:eastAsia="ro-RO"/>
        </w:rPr>
        <w:t>. doi:https://doi.org/10.2139/ssrn.3544305.</w:t>
      </w:r>
    </w:p>
    <w:p w14:paraId="76361E9C" w14:textId="77777777" w:rsidR="005B6C05" w:rsidRPr="005B6C05" w:rsidRDefault="002245B6" w:rsidP="00F41C8B">
      <w:pPr>
        <w:pStyle w:val="NormalWeb"/>
        <w:numPr>
          <w:ilvl w:val="0"/>
          <w:numId w:val="17"/>
        </w:numPr>
        <w:shd w:val="clear" w:color="auto" w:fill="FFFFFF"/>
        <w:spacing w:before="0" w:beforeAutospacing="0" w:after="0" w:afterAutospacing="0" w:line="360" w:lineRule="atLeast"/>
        <w:divId w:val="1922055510"/>
        <w:rPr>
          <w:rFonts w:ascii="Calibri" w:eastAsiaTheme="minorEastAsia" w:hAnsi="Calibri"/>
          <w:color w:val="000000"/>
          <w:sz w:val="27"/>
          <w:szCs w:val="27"/>
          <w:lang w:val="ro-RO" w:eastAsia="ro-RO"/>
        </w:rPr>
      </w:pPr>
      <w:r w:rsidRPr="002245B6">
        <w:rPr>
          <w:rFonts w:ascii="Calibri" w:eastAsiaTheme="minorEastAsia" w:hAnsi="Calibri"/>
          <w:color w:val="000000"/>
          <w:lang w:val="ro-RO" w:eastAsia="ro-RO"/>
        </w:rPr>
        <w:t>‌</w:t>
      </w:r>
      <w:r w:rsidR="005B6C05" w:rsidRPr="005B6C05">
        <w:rPr>
          <w:rFonts w:ascii="Calibri" w:eastAsiaTheme="minorEastAsia" w:hAnsi="Calibri"/>
          <w:color w:val="000000"/>
          <w:sz w:val="27"/>
          <w:szCs w:val="27"/>
          <w:lang w:val="ro-RO" w:eastAsia="ro-RO"/>
        </w:rPr>
        <w:t>Forrester, J.I. (2018). European Union Law in the UK after Brexit. </w:t>
      </w:r>
      <w:r w:rsidR="005B6C05" w:rsidRPr="005B6C05">
        <w:rPr>
          <w:rFonts w:ascii="Calibri" w:eastAsiaTheme="minorEastAsia" w:hAnsi="Calibri"/>
          <w:i/>
          <w:iCs/>
          <w:color w:val="000000"/>
          <w:sz w:val="27"/>
          <w:szCs w:val="27"/>
          <w:lang w:val="ro-RO" w:eastAsia="ro-RO"/>
        </w:rPr>
        <w:t>Judicial Review</w:t>
      </w:r>
      <w:r w:rsidR="005B6C05" w:rsidRPr="005B6C05">
        <w:rPr>
          <w:rFonts w:ascii="Calibri" w:eastAsiaTheme="minorEastAsia" w:hAnsi="Calibri"/>
          <w:color w:val="000000"/>
          <w:sz w:val="27"/>
          <w:szCs w:val="27"/>
          <w:lang w:val="ro-RO" w:eastAsia="ro-RO"/>
        </w:rPr>
        <w:t>, 23(1), pp.45–64. doi:https://doi.org/10.1080/10854681.2018.1438975.</w:t>
      </w:r>
    </w:p>
    <w:p w14:paraId="5AEA1244" w14:textId="77777777" w:rsidR="00BD73EC" w:rsidRPr="00BD73EC" w:rsidRDefault="005B6C05" w:rsidP="00F41C8B">
      <w:pPr>
        <w:pStyle w:val="NormalWeb"/>
        <w:numPr>
          <w:ilvl w:val="0"/>
          <w:numId w:val="17"/>
        </w:numPr>
        <w:shd w:val="clear" w:color="auto" w:fill="FFFFFF"/>
        <w:spacing w:before="0" w:beforeAutospacing="0" w:after="0" w:afterAutospacing="0" w:line="360" w:lineRule="atLeast"/>
        <w:divId w:val="2027056408"/>
        <w:rPr>
          <w:rFonts w:ascii="Calibri" w:eastAsiaTheme="minorEastAsia" w:hAnsi="Calibri"/>
          <w:color w:val="000000"/>
          <w:sz w:val="27"/>
          <w:szCs w:val="27"/>
          <w:lang w:val="ro-RO" w:eastAsia="ro-RO"/>
        </w:rPr>
      </w:pPr>
      <w:r w:rsidRPr="005B6C05">
        <w:rPr>
          <w:rFonts w:ascii="Calibri" w:eastAsiaTheme="minorEastAsia" w:hAnsi="Calibri"/>
          <w:color w:val="000000"/>
          <w:lang w:val="ro-RO" w:eastAsia="ro-RO"/>
        </w:rPr>
        <w:t>‌</w:t>
      </w:r>
      <w:r w:rsidR="00BD73EC" w:rsidRPr="00BD73EC">
        <w:rPr>
          <w:rFonts w:ascii="Calibri" w:eastAsiaTheme="minorEastAsia" w:hAnsi="Calibri"/>
          <w:color w:val="000000"/>
          <w:sz w:val="27"/>
          <w:szCs w:val="27"/>
          <w:lang w:val="ro-RO" w:eastAsia="ro-RO"/>
        </w:rPr>
        <w:t>Drake, S. and Hunt, J. (2021). Clarifying the Duties of the UK Judiciary Post‐Brexit: : Lipton and Anr v BA City Flyer Ltd. </w:t>
      </w:r>
      <w:r w:rsidR="00BD73EC" w:rsidRPr="00BD73EC">
        <w:rPr>
          <w:rFonts w:ascii="Calibri" w:eastAsiaTheme="minorEastAsia" w:hAnsi="Calibri"/>
          <w:i/>
          <w:iCs/>
          <w:color w:val="000000"/>
          <w:sz w:val="27"/>
          <w:szCs w:val="27"/>
          <w:lang w:val="ro-RO" w:eastAsia="ro-RO"/>
        </w:rPr>
        <w:t>The Modern Law Review</w:t>
      </w:r>
      <w:r w:rsidR="00BD73EC" w:rsidRPr="00BD73EC">
        <w:rPr>
          <w:rFonts w:ascii="Calibri" w:eastAsiaTheme="minorEastAsia" w:hAnsi="Calibri"/>
          <w:color w:val="000000"/>
          <w:sz w:val="27"/>
          <w:szCs w:val="27"/>
          <w:lang w:val="ro-RO" w:eastAsia="ro-RO"/>
        </w:rPr>
        <w:t>. doi:https://doi.org/10.1111/1468-2230.12705.</w:t>
      </w:r>
    </w:p>
    <w:p w14:paraId="07068D1D" w14:textId="77777777" w:rsidR="00244DAF" w:rsidRPr="00244DAF" w:rsidRDefault="00BD73EC" w:rsidP="00134E9A">
      <w:pPr>
        <w:pStyle w:val="NormalWeb"/>
        <w:numPr>
          <w:ilvl w:val="0"/>
          <w:numId w:val="17"/>
        </w:numPr>
        <w:shd w:val="clear" w:color="auto" w:fill="FFFFFF"/>
        <w:spacing w:before="0" w:beforeAutospacing="0" w:after="0" w:afterAutospacing="0" w:line="360" w:lineRule="atLeast"/>
        <w:divId w:val="2031370406"/>
        <w:rPr>
          <w:rFonts w:ascii="Calibri" w:eastAsiaTheme="minorEastAsia" w:hAnsi="Calibri"/>
          <w:color w:val="000000"/>
          <w:sz w:val="27"/>
          <w:szCs w:val="27"/>
          <w:lang w:val="ro-RO" w:eastAsia="ro-RO"/>
        </w:rPr>
      </w:pPr>
      <w:r w:rsidRPr="00BD73EC">
        <w:rPr>
          <w:rFonts w:ascii="Calibri" w:eastAsiaTheme="minorEastAsia" w:hAnsi="Calibri"/>
          <w:color w:val="000000"/>
          <w:lang w:val="ro-RO" w:eastAsia="ro-RO"/>
        </w:rPr>
        <w:t>‌</w:t>
      </w:r>
      <w:r w:rsidR="00244DAF" w:rsidRPr="00244DAF">
        <w:rPr>
          <w:rFonts w:ascii="Calibri" w:eastAsiaTheme="minorEastAsia" w:hAnsi="Calibri"/>
          <w:color w:val="000000"/>
          <w:sz w:val="27"/>
          <w:szCs w:val="27"/>
          <w:lang w:val="ro-RO" w:eastAsia="ro-RO"/>
        </w:rPr>
        <w:t>Hunter, G. and Radcliffe, P. (2013). Are magistrates doing justice to women? </w:t>
      </w:r>
      <w:r w:rsidR="00244DAF" w:rsidRPr="00244DAF">
        <w:rPr>
          <w:rFonts w:ascii="Calibri" w:eastAsiaTheme="minorEastAsia" w:hAnsi="Calibri"/>
          <w:i/>
          <w:iCs/>
          <w:color w:val="000000"/>
          <w:sz w:val="27"/>
          <w:szCs w:val="27"/>
          <w:lang w:val="ro-RO" w:eastAsia="ro-RO"/>
        </w:rPr>
        <w:t>Criminal Justice Matters</w:t>
      </w:r>
      <w:r w:rsidR="00244DAF" w:rsidRPr="00244DAF">
        <w:rPr>
          <w:rFonts w:ascii="Calibri" w:eastAsiaTheme="minorEastAsia" w:hAnsi="Calibri"/>
          <w:color w:val="000000"/>
          <w:sz w:val="27"/>
          <w:szCs w:val="27"/>
          <w:lang w:val="ro-RO" w:eastAsia="ro-RO"/>
        </w:rPr>
        <w:t>, 92(1), pp.34–35. doi:https://doi.org/10.1080/09627251.2013.805376.</w:t>
      </w:r>
    </w:p>
    <w:p w14:paraId="6110C467" w14:textId="77777777" w:rsidR="002D5F71" w:rsidRPr="002D5F71" w:rsidRDefault="00244DAF" w:rsidP="00134E9A">
      <w:pPr>
        <w:pStyle w:val="NormalWeb"/>
        <w:numPr>
          <w:ilvl w:val="0"/>
          <w:numId w:val="17"/>
        </w:numPr>
        <w:shd w:val="clear" w:color="auto" w:fill="FFFFFF"/>
        <w:spacing w:before="0" w:beforeAutospacing="0" w:after="0" w:afterAutospacing="0" w:line="360" w:lineRule="atLeast"/>
        <w:divId w:val="1021275616"/>
        <w:rPr>
          <w:rFonts w:ascii="Calibri" w:eastAsiaTheme="minorEastAsia" w:hAnsi="Calibri"/>
          <w:color w:val="000000"/>
          <w:sz w:val="27"/>
          <w:szCs w:val="27"/>
          <w:lang w:val="ro-RO" w:eastAsia="ro-RO"/>
        </w:rPr>
      </w:pPr>
      <w:r w:rsidRPr="00244DAF">
        <w:rPr>
          <w:rFonts w:ascii="Calibri" w:eastAsiaTheme="minorEastAsia" w:hAnsi="Calibri"/>
          <w:color w:val="000000"/>
          <w:lang w:val="ro-RO" w:eastAsia="ro-RO"/>
        </w:rPr>
        <w:t>‌</w:t>
      </w:r>
      <w:r w:rsidR="002D5F71" w:rsidRPr="002D5F71">
        <w:rPr>
          <w:rFonts w:ascii="Calibri" w:eastAsiaTheme="minorEastAsia" w:hAnsi="Calibri"/>
          <w:color w:val="000000"/>
          <w:sz w:val="27"/>
          <w:szCs w:val="27"/>
          <w:lang w:val="ro-RO" w:eastAsia="ro-RO"/>
        </w:rPr>
        <w:t>Donoghue, J.C. (2014). Reforming the Role of Magistrates: Implications for Summary Justice in England and Wales. </w:t>
      </w:r>
      <w:r w:rsidR="002D5F71" w:rsidRPr="002D5F71">
        <w:rPr>
          <w:rFonts w:ascii="Calibri" w:eastAsiaTheme="minorEastAsia" w:hAnsi="Calibri"/>
          <w:i/>
          <w:iCs/>
          <w:color w:val="000000"/>
          <w:sz w:val="27"/>
          <w:szCs w:val="27"/>
          <w:lang w:val="ro-RO" w:eastAsia="ro-RO"/>
        </w:rPr>
        <w:t>The Modern Law Review</w:t>
      </w:r>
      <w:r w:rsidR="002D5F71" w:rsidRPr="002D5F71">
        <w:rPr>
          <w:rFonts w:ascii="Calibri" w:eastAsiaTheme="minorEastAsia" w:hAnsi="Calibri"/>
          <w:color w:val="000000"/>
          <w:sz w:val="27"/>
          <w:szCs w:val="27"/>
          <w:lang w:val="ro-RO" w:eastAsia="ro-RO"/>
        </w:rPr>
        <w:t>, 77(6), pp.928–963. doi:https://doi.org/10.1111/1468-2230.12097.</w:t>
      </w:r>
    </w:p>
    <w:p w14:paraId="5B4B9B14" w14:textId="77777777" w:rsidR="002D5F71" w:rsidRPr="002D5F71" w:rsidRDefault="002D5F71" w:rsidP="002D5F71">
      <w:pPr>
        <w:shd w:val="clear" w:color="auto" w:fill="FFFFFF"/>
        <w:spacing w:before="100" w:beforeAutospacing="1" w:after="100" w:afterAutospacing="1" w:line="240" w:lineRule="auto"/>
        <w:jc w:val="left"/>
        <w:divId w:val="1021275616"/>
        <w:rPr>
          <w:rFonts w:ascii="Calibri" w:eastAsiaTheme="minorEastAsia" w:hAnsi="Calibri" w:cs="Times New Roman"/>
          <w:color w:val="000000"/>
          <w:szCs w:val="24"/>
          <w:lang w:val="ro-RO" w:eastAsia="ro-RO"/>
        </w:rPr>
      </w:pPr>
      <w:r w:rsidRPr="002D5F71">
        <w:rPr>
          <w:rFonts w:ascii="Calibri" w:eastAsiaTheme="minorEastAsia" w:hAnsi="Calibri" w:cs="Times New Roman"/>
          <w:color w:val="000000"/>
          <w:szCs w:val="24"/>
          <w:lang w:val="ro-RO" w:eastAsia="ro-RO"/>
        </w:rPr>
        <w:t>‌</w:t>
      </w:r>
    </w:p>
    <w:p w14:paraId="759A10D5" w14:textId="77777777" w:rsidR="00213B88" w:rsidRDefault="00213B88" w:rsidP="00134E9A">
      <w:pPr>
        <w:pStyle w:val="Listparagraf"/>
        <w:numPr>
          <w:ilvl w:val="0"/>
          <w:numId w:val="17"/>
        </w:numPr>
        <w:shd w:val="clear" w:color="auto" w:fill="FFFFFF"/>
        <w:spacing w:after="0" w:line="360" w:lineRule="atLeast"/>
        <w:jc w:val="left"/>
        <w:divId w:val="30418606"/>
        <w:rPr>
          <w:rFonts w:ascii="Calibri" w:eastAsiaTheme="minorEastAsia" w:hAnsi="Calibri" w:cs="Times New Roman"/>
          <w:color w:val="000000"/>
          <w:sz w:val="27"/>
          <w:szCs w:val="27"/>
          <w:lang w:val="ro-RO" w:eastAsia="ro-RO"/>
        </w:rPr>
      </w:pPr>
      <w:r w:rsidRPr="00134E9A">
        <w:rPr>
          <w:rFonts w:ascii="Calibri" w:eastAsiaTheme="minorEastAsia" w:hAnsi="Calibri" w:cs="Times New Roman"/>
          <w:color w:val="000000"/>
          <w:sz w:val="27"/>
          <w:szCs w:val="27"/>
          <w:lang w:val="ro-RO" w:eastAsia="ro-RO"/>
        </w:rPr>
        <w:lastRenderedPageBreak/>
        <w:t>Morrow, W.J. (2011). Book Review: The Magistrates’ Court: An Introduction. </w:t>
      </w:r>
      <w:r w:rsidRPr="00134E9A">
        <w:rPr>
          <w:rFonts w:ascii="Calibri" w:eastAsiaTheme="minorEastAsia" w:hAnsi="Calibri" w:cs="Times New Roman"/>
          <w:i/>
          <w:iCs/>
          <w:color w:val="000000"/>
          <w:sz w:val="27"/>
          <w:szCs w:val="27"/>
          <w:lang w:val="ro-RO" w:eastAsia="ro-RO"/>
        </w:rPr>
        <w:t>International Criminal Justice Review</w:t>
      </w:r>
      <w:r w:rsidRPr="00134E9A">
        <w:rPr>
          <w:rFonts w:ascii="Calibri" w:eastAsiaTheme="minorEastAsia" w:hAnsi="Calibri" w:cs="Times New Roman"/>
          <w:color w:val="000000"/>
          <w:sz w:val="27"/>
          <w:szCs w:val="27"/>
          <w:lang w:val="ro-RO" w:eastAsia="ro-RO"/>
        </w:rPr>
        <w:t>, 21(3), pp.319–321. doi:https://doi.org/10.1177/1057567711415264.</w:t>
      </w:r>
    </w:p>
    <w:p w14:paraId="35918B82" w14:textId="77777777" w:rsidR="0062065E" w:rsidRPr="0062065E" w:rsidRDefault="0062065E" w:rsidP="0062065E">
      <w:pPr>
        <w:pStyle w:val="Listparagraf"/>
        <w:numPr>
          <w:ilvl w:val="0"/>
          <w:numId w:val="17"/>
        </w:numPr>
        <w:shd w:val="clear" w:color="auto" w:fill="FFFFFF"/>
        <w:spacing w:after="0" w:line="360" w:lineRule="atLeast"/>
        <w:jc w:val="left"/>
        <w:divId w:val="83191644"/>
        <w:rPr>
          <w:rFonts w:ascii="Calibri" w:eastAsiaTheme="minorEastAsia" w:hAnsi="Calibri" w:cs="Times New Roman"/>
          <w:color w:val="000000"/>
          <w:sz w:val="27"/>
          <w:szCs w:val="27"/>
          <w:lang w:val="ro-RO" w:eastAsia="ro-RO"/>
        </w:rPr>
      </w:pPr>
      <w:r w:rsidRPr="0062065E">
        <w:rPr>
          <w:rFonts w:ascii="Calibri" w:eastAsiaTheme="minorEastAsia" w:hAnsi="Calibri" w:cs="Times New Roman"/>
          <w:color w:val="000000"/>
          <w:sz w:val="27"/>
          <w:szCs w:val="27"/>
          <w:lang w:val="ro-RO" w:eastAsia="ro-RO"/>
        </w:rPr>
        <w:t>Hostettler, J. (2009). </w:t>
      </w:r>
      <w:r w:rsidRPr="0062065E">
        <w:rPr>
          <w:rFonts w:ascii="Calibri" w:eastAsiaTheme="minorEastAsia" w:hAnsi="Calibri" w:cs="Times New Roman"/>
          <w:i/>
          <w:iCs/>
          <w:color w:val="000000"/>
          <w:sz w:val="27"/>
          <w:szCs w:val="27"/>
          <w:lang w:val="ro-RO" w:eastAsia="ro-RO"/>
        </w:rPr>
        <w:t>A history of criminal justice in England and Wales [electronic resourc.</w:t>
      </w:r>
      <w:r w:rsidRPr="0062065E">
        <w:rPr>
          <w:rFonts w:ascii="Calibri" w:eastAsiaTheme="minorEastAsia" w:hAnsi="Calibri" w:cs="Times New Roman"/>
          <w:color w:val="000000"/>
          <w:sz w:val="27"/>
          <w:szCs w:val="27"/>
          <w:lang w:val="ro-RO" w:eastAsia="ro-RO"/>
        </w:rPr>
        <w:t> Hook: Waterside.</w:t>
      </w:r>
    </w:p>
    <w:p w14:paraId="58F332EF" w14:textId="7B503232" w:rsidR="0062065E" w:rsidRDefault="0062065E" w:rsidP="00CA03FF">
      <w:pPr>
        <w:pStyle w:val="NormalWeb"/>
        <w:numPr>
          <w:ilvl w:val="0"/>
          <w:numId w:val="17"/>
        </w:numPr>
        <w:shd w:val="clear" w:color="auto" w:fill="FFFFFF"/>
        <w:spacing w:before="0" w:beforeAutospacing="0" w:after="0" w:afterAutospacing="0" w:line="360" w:lineRule="atLeast"/>
        <w:divId w:val="443811476"/>
        <w:rPr>
          <w:rFonts w:ascii="Calibri" w:eastAsiaTheme="minorEastAsia" w:hAnsi="Calibri"/>
          <w:color w:val="000000"/>
          <w:sz w:val="27"/>
          <w:szCs w:val="27"/>
          <w:lang w:val="ro-RO" w:eastAsia="ro-RO"/>
        </w:rPr>
      </w:pPr>
      <w:r w:rsidRPr="0062065E">
        <w:rPr>
          <w:rFonts w:ascii="Calibri" w:eastAsiaTheme="minorEastAsia" w:hAnsi="Calibri"/>
          <w:color w:val="000000"/>
          <w:lang w:val="ro-RO" w:eastAsia="ro-RO"/>
        </w:rPr>
        <w:t>‌</w:t>
      </w:r>
      <w:r w:rsidR="00406FCB" w:rsidRPr="00406FCB">
        <w:rPr>
          <w:rFonts w:ascii="Calibri" w:eastAsiaTheme="minorEastAsia" w:hAnsi="Calibri"/>
          <w:color w:val="000000"/>
          <w:sz w:val="27"/>
          <w:szCs w:val="27"/>
          <w:lang w:val="ro-RO" w:eastAsia="ro-RO"/>
        </w:rPr>
        <w:t>Hosking, J. (2020). </w:t>
      </w:r>
      <w:r w:rsidR="00406FCB" w:rsidRPr="00406FCB">
        <w:rPr>
          <w:rFonts w:ascii="Calibri" w:eastAsiaTheme="minorEastAsia" w:hAnsi="Calibri"/>
          <w:i/>
          <w:iCs/>
          <w:color w:val="000000"/>
          <w:sz w:val="27"/>
          <w:szCs w:val="27"/>
          <w:lang w:val="ro-RO" w:eastAsia="ro-RO"/>
        </w:rPr>
        <w:t>Our Magistracy</w:t>
      </w:r>
      <w:r w:rsidR="00406FCB" w:rsidRPr="00406FCB">
        <w:rPr>
          <w:rFonts w:ascii="Calibri" w:eastAsiaTheme="minorEastAsia" w:hAnsi="Calibri"/>
          <w:color w:val="000000"/>
          <w:sz w:val="27"/>
          <w:szCs w:val="27"/>
          <w:lang w:val="ro-RO" w:eastAsia="ro-RO"/>
        </w:rPr>
        <w:t>. Waterside Press.</w:t>
      </w:r>
    </w:p>
    <w:p w14:paraId="3A0A314E" w14:textId="77777777" w:rsidR="00FB399B" w:rsidRPr="00FB399B" w:rsidRDefault="00FB399B" w:rsidP="00FB399B">
      <w:pPr>
        <w:pStyle w:val="Listparagraf"/>
        <w:numPr>
          <w:ilvl w:val="0"/>
          <w:numId w:val="17"/>
        </w:numPr>
        <w:shd w:val="clear" w:color="auto" w:fill="FFFFFF"/>
        <w:spacing w:after="0" w:line="360" w:lineRule="atLeast"/>
        <w:jc w:val="left"/>
        <w:divId w:val="767703084"/>
        <w:rPr>
          <w:rFonts w:ascii="Calibri" w:eastAsiaTheme="minorEastAsia" w:hAnsi="Calibri" w:cs="Times New Roman"/>
          <w:color w:val="000000"/>
          <w:sz w:val="27"/>
          <w:szCs w:val="27"/>
          <w:lang w:val="ro-RO" w:eastAsia="ro-RO"/>
        </w:rPr>
      </w:pPr>
      <w:r w:rsidRPr="00FB399B">
        <w:rPr>
          <w:rFonts w:ascii="Calibri" w:eastAsiaTheme="minorEastAsia" w:hAnsi="Calibri" w:cs="Times New Roman"/>
          <w:color w:val="000000"/>
          <w:sz w:val="27"/>
          <w:szCs w:val="27"/>
          <w:lang w:val="ro-RO" w:eastAsia="ro-RO"/>
        </w:rPr>
        <w:t>Gibson, B. and Watkins, M. (2009). </w:t>
      </w:r>
      <w:r w:rsidRPr="00FB399B">
        <w:rPr>
          <w:rFonts w:ascii="Calibri" w:eastAsiaTheme="minorEastAsia" w:hAnsi="Calibri" w:cs="Times New Roman"/>
          <w:i/>
          <w:iCs/>
          <w:color w:val="000000"/>
          <w:sz w:val="27"/>
          <w:szCs w:val="27"/>
          <w:lang w:val="ro-RO" w:eastAsia="ro-RO"/>
        </w:rPr>
        <w:t>The Magistrates’ Court : an introduction</w:t>
      </w:r>
      <w:r w:rsidRPr="00FB399B">
        <w:rPr>
          <w:rFonts w:ascii="Calibri" w:eastAsiaTheme="minorEastAsia" w:hAnsi="Calibri" w:cs="Times New Roman"/>
          <w:color w:val="000000"/>
          <w:sz w:val="27"/>
          <w:szCs w:val="27"/>
          <w:lang w:val="ro-RO" w:eastAsia="ro-RO"/>
        </w:rPr>
        <w:t>. Hook, Hampshire Uk: Waterside Press, Cop.</w:t>
      </w:r>
    </w:p>
    <w:p w14:paraId="294044A3" w14:textId="77777777" w:rsidR="00DD47C3" w:rsidRPr="00DD47C3" w:rsidRDefault="00DD47C3" w:rsidP="00DD47C3">
      <w:pPr>
        <w:pStyle w:val="Listparagraf"/>
        <w:numPr>
          <w:ilvl w:val="0"/>
          <w:numId w:val="17"/>
        </w:numPr>
        <w:shd w:val="clear" w:color="auto" w:fill="FFFFFF"/>
        <w:spacing w:after="0" w:line="360" w:lineRule="atLeast"/>
        <w:jc w:val="left"/>
        <w:divId w:val="1503005979"/>
        <w:rPr>
          <w:rFonts w:ascii="Calibri" w:eastAsiaTheme="minorEastAsia" w:hAnsi="Calibri" w:cs="Times New Roman"/>
          <w:color w:val="000000"/>
          <w:sz w:val="27"/>
          <w:szCs w:val="27"/>
          <w:lang w:val="ro-RO" w:eastAsia="ro-RO"/>
        </w:rPr>
      </w:pPr>
      <w:r w:rsidRPr="00DD47C3">
        <w:rPr>
          <w:rFonts w:ascii="Calibri" w:eastAsiaTheme="minorEastAsia" w:hAnsi="Calibri" w:cs="Times New Roman"/>
          <w:color w:val="000000"/>
          <w:sz w:val="27"/>
          <w:szCs w:val="27"/>
          <w:lang w:val="ro-RO" w:eastAsia="ro-RO"/>
        </w:rPr>
        <w:t>Welsh, L. (2022). </w:t>
      </w:r>
      <w:r w:rsidRPr="00DD47C3">
        <w:rPr>
          <w:rFonts w:ascii="Calibri" w:eastAsiaTheme="minorEastAsia" w:hAnsi="Calibri" w:cs="Times New Roman"/>
          <w:i/>
          <w:iCs/>
          <w:color w:val="000000"/>
          <w:sz w:val="27"/>
          <w:szCs w:val="27"/>
          <w:lang w:val="ro-RO" w:eastAsia="ro-RO"/>
        </w:rPr>
        <w:t>Access to Justice in Magistrates’ Courts</w:t>
      </w:r>
      <w:r w:rsidRPr="00DD47C3">
        <w:rPr>
          <w:rFonts w:ascii="Calibri" w:eastAsiaTheme="minorEastAsia" w:hAnsi="Calibri" w:cs="Times New Roman"/>
          <w:color w:val="000000"/>
          <w:sz w:val="27"/>
          <w:szCs w:val="27"/>
          <w:lang w:val="ro-RO" w:eastAsia="ro-RO"/>
        </w:rPr>
        <w:t>. Bloomsbury Publishing.</w:t>
      </w:r>
    </w:p>
    <w:p w14:paraId="12AFB7F0" w14:textId="77777777" w:rsidR="00C37A0D" w:rsidRPr="00C37A0D" w:rsidRDefault="00C37A0D" w:rsidP="00C37A0D">
      <w:pPr>
        <w:pStyle w:val="Listparagraf"/>
        <w:numPr>
          <w:ilvl w:val="0"/>
          <w:numId w:val="17"/>
        </w:numPr>
        <w:shd w:val="clear" w:color="auto" w:fill="FFFFFF"/>
        <w:spacing w:after="0" w:line="360" w:lineRule="atLeast"/>
        <w:jc w:val="left"/>
        <w:divId w:val="36780776"/>
        <w:rPr>
          <w:rFonts w:ascii="Calibri" w:eastAsiaTheme="minorEastAsia" w:hAnsi="Calibri" w:cs="Times New Roman"/>
          <w:color w:val="000000"/>
          <w:sz w:val="27"/>
          <w:szCs w:val="27"/>
          <w:lang w:val="ro-RO" w:eastAsia="ro-RO"/>
        </w:rPr>
      </w:pPr>
      <w:r w:rsidRPr="00C37A0D">
        <w:rPr>
          <w:rFonts w:ascii="Calibri" w:eastAsiaTheme="minorEastAsia" w:hAnsi="Calibri" w:cs="Times New Roman"/>
          <w:color w:val="000000"/>
          <w:sz w:val="27"/>
          <w:szCs w:val="27"/>
          <w:lang w:val="ro-RO" w:eastAsia="ro-RO"/>
        </w:rPr>
        <w:t>Archer, H. and Hadfield, A. (2016). </w:t>
      </w:r>
      <w:r w:rsidRPr="00C37A0D">
        <w:rPr>
          <w:rFonts w:ascii="Calibri" w:eastAsiaTheme="minorEastAsia" w:hAnsi="Calibri" w:cs="Times New Roman"/>
          <w:i/>
          <w:iCs/>
          <w:color w:val="000000"/>
          <w:sz w:val="27"/>
          <w:szCs w:val="27"/>
          <w:lang w:val="ro-RO" w:eastAsia="ro-RO"/>
        </w:rPr>
        <w:t>A Mirror for Magistrates in Context</w:t>
      </w:r>
      <w:r w:rsidRPr="00C37A0D">
        <w:rPr>
          <w:rFonts w:ascii="Calibri" w:eastAsiaTheme="minorEastAsia" w:hAnsi="Calibri" w:cs="Times New Roman"/>
          <w:color w:val="000000"/>
          <w:sz w:val="27"/>
          <w:szCs w:val="27"/>
          <w:lang w:val="ro-RO" w:eastAsia="ro-RO"/>
        </w:rPr>
        <w:t>. Cambridge University Press.</w:t>
      </w:r>
    </w:p>
    <w:p w14:paraId="6B3C8E38" w14:textId="77777777" w:rsidR="00FE5349" w:rsidRPr="00FE5349" w:rsidRDefault="00FE5349" w:rsidP="00FE5349">
      <w:pPr>
        <w:pStyle w:val="Listparagraf"/>
        <w:numPr>
          <w:ilvl w:val="0"/>
          <w:numId w:val="17"/>
        </w:numPr>
        <w:shd w:val="clear" w:color="auto" w:fill="FFFFFF"/>
        <w:spacing w:after="0" w:line="360" w:lineRule="atLeast"/>
        <w:jc w:val="left"/>
        <w:divId w:val="418722433"/>
        <w:rPr>
          <w:rFonts w:ascii="Calibri" w:eastAsiaTheme="minorEastAsia" w:hAnsi="Calibri" w:cs="Times New Roman"/>
          <w:color w:val="000000"/>
          <w:sz w:val="27"/>
          <w:szCs w:val="27"/>
          <w:lang w:val="ro-RO" w:eastAsia="ro-RO"/>
        </w:rPr>
      </w:pPr>
      <w:r w:rsidRPr="00FE5349">
        <w:rPr>
          <w:rFonts w:ascii="Calibri" w:eastAsiaTheme="minorEastAsia" w:hAnsi="Calibri" w:cs="Times New Roman"/>
          <w:color w:val="000000"/>
          <w:sz w:val="27"/>
          <w:szCs w:val="27"/>
          <w:lang w:val="ro-RO" w:eastAsia="ro-RO"/>
        </w:rPr>
        <w:t>Faulkner, D. and Dickinson, S. (2012). </w:t>
      </w:r>
      <w:r w:rsidRPr="00FE5349">
        <w:rPr>
          <w:rFonts w:ascii="Calibri" w:eastAsiaTheme="minorEastAsia" w:hAnsi="Calibri" w:cs="Times New Roman"/>
          <w:i/>
          <w:iCs/>
          <w:color w:val="000000"/>
          <w:sz w:val="27"/>
          <w:szCs w:val="27"/>
          <w:lang w:val="ro-RO" w:eastAsia="ro-RO"/>
        </w:rPr>
        <w:t>The magistracy at the crossroads</w:t>
      </w:r>
      <w:r w:rsidRPr="00FE5349">
        <w:rPr>
          <w:rFonts w:ascii="Calibri" w:eastAsiaTheme="minorEastAsia" w:hAnsi="Calibri" w:cs="Times New Roman"/>
          <w:color w:val="000000"/>
          <w:sz w:val="27"/>
          <w:szCs w:val="27"/>
          <w:lang w:val="ro-RO" w:eastAsia="ro-RO"/>
        </w:rPr>
        <w:t>. Hook, Hampshire, U.K.: Waterside Press.</w:t>
      </w:r>
    </w:p>
    <w:p w14:paraId="2CDB4A57" w14:textId="573E2044" w:rsidR="00EF50A6" w:rsidRPr="00EF50A6" w:rsidRDefault="00FE5349" w:rsidP="00826B08">
      <w:pPr>
        <w:pStyle w:val="NormalWeb"/>
        <w:numPr>
          <w:ilvl w:val="0"/>
          <w:numId w:val="17"/>
        </w:numPr>
        <w:shd w:val="clear" w:color="auto" w:fill="FFFFFF"/>
        <w:spacing w:before="0" w:beforeAutospacing="0" w:after="0" w:afterAutospacing="0" w:line="360" w:lineRule="atLeast"/>
        <w:divId w:val="1547721244"/>
        <w:rPr>
          <w:rFonts w:ascii="Calibri" w:eastAsiaTheme="minorEastAsia" w:hAnsi="Calibri"/>
          <w:color w:val="000000"/>
          <w:sz w:val="27"/>
          <w:szCs w:val="27"/>
          <w:lang w:val="ro-RO" w:eastAsia="ro-RO"/>
        </w:rPr>
      </w:pPr>
      <w:r w:rsidRPr="00FE5349">
        <w:rPr>
          <w:rFonts w:ascii="Calibri" w:eastAsiaTheme="minorEastAsia" w:hAnsi="Calibri"/>
          <w:color w:val="000000"/>
          <w:lang w:val="ro-RO" w:eastAsia="ro-RO"/>
        </w:rPr>
        <w:t>‌</w:t>
      </w:r>
      <w:r w:rsidR="00EF50A6" w:rsidRPr="00EF50A6">
        <w:rPr>
          <w:rFonts w:ascii="Calibri" w:eastAsiaTheme="minorEastAsia" w:hAnsi="Calibri"/>
          <w:color w:val="000000"/>
          <w:sz w:val="27"/>
          <w:szCs w:val="27"/>
          <w:lang w:val="ro-RO" w:eastAsia="ro-RO"/>
        </w:rPr>
        <w:t>Cambridge Dictionary (2023). </w:t>
      </w:r>
      <w:r w:rsidR="00EF50A6" w:rsidRPr="00EF50A6">
        <w:rPr>
          <w:rFonts w:ascii="Calibri" w:eastAsiaTheme="minorEastAsia" w:hAnsi="Calibri"/>
          <w:i/>
          <w:iCs/>
          <w:color w:val="000000"/>
          <w:sz w:val="27"/>
          <w:szCs w:val="27"/>
          <w:lang w:val="ro-RO" w:eastAsia="ro-RO"/>
        </w:rPr>
        <w:t>magistracy</w:t>
      </w:r>
      <w:r w:rsidR="00EF50A6" w:rsidRPr="00EF50A6">
        <w:rPr>
          <w:rFonts w:ascii="Calibri" w:eastAsiaTheme="minorEastAsia" w:hAnsi="Calibri"/>
          <w:color w:val="000000"/>
          <w:sz w:val="27"/>
          <w:szCs w:val="27"/>
          <w:lang w:val="ro-RO" w:eastAsia="ro-RO"/>
        </w:rPr>
        <w:t>. [online] @CambridgeWords. Available at: https://dictionary.cambridge.org/dictionary/english/magistracy [Accessed 5 May 2023].</w:t>
      </w:r>
    </w:p>
    <w:p w14:paraId="20826847" w14:textId="6D4C894F" w:rsidR="00F4021C" w:rsidRPr="00F4021C" w:rsidRDefault="00F4021C" w:rsidP="00F4021C">
      <w:pPr>
        <w:pStyle w:val="Listparagraf"/>
        <w:numPr>
          <w:ilvl w:val="0"/>
          <w:numId w:val="17"/>
        </w:numPr>
        <w:shd w:val="clear" w:color="auto" w:fill="FFFFFF"/>
        <w:spacing w:after="0" w:line="360" w:lineRule="atLeast"/>
        <w:jc w:val="left"/>
        <w:divId w:val="523370665"/>
        <w:rPr>
          <w:rFonts w:ascii="Calibri" w:eastAsiaTheme="minorEastAsia" w:hAnsi="Calibri" w:cs="Times New Roman"/>
          <w:color w:val="000000"/>
          <w:sz w:val="27"/>
          <w:szCs w:val="27"/>
          <w:lang w:val="ro-RO" w:eastAsia="ro-RO"/>
        </w:rPr>
      </w:pPr>
      <w:r w:rsidRPr="00F4021C">
        <w:rPr>
          <w:rFonts w:ascii="Calibri" w:eastAsiaTheme="minorEastAsia" w:hAnsi="Calibri" w:cs="Times New Roman"/>
          <w:color w:val="000000"/>
          <w:sz w:val="27"/>
          <w:szCs w:val="27"/>
          <w:lang w:val="ro-RO" w:eastAsia="ro-RO"/>
        </w:rPr>
        <w:t>The Magistracy. (</w:t>
      </w:r>
      <w:r w:rsidR="000F6C88">
        <w:rPr>
          <w:rFonts w:ascii="Calibri" w:eastAsiaTheme="minorEastAsia" w:hAnsi="Calibri" w:cs="Times New Roman"/>
          <w:color w:val="000000"/>
          <w:sz w:val="27"/>
          <w:szCs w:val="27"/>
          <w:lang w:val="ro-RO" w:eastAsia="ro-RO"/>
        </w:rPr>
        <w:t>2021).</w:t>
      </w:r>
      <w:r w:rsidRPr="00F4021C">
        <w:rPr>
          <w:rFonts w:ascii="Calibri" w:eastAsiaTheme="minorEastAsia" w:hAnsi="Calibri" w:cs="Times New Roman"/>
          <w:color w:val="000000"/>
          <w:sz w:val="27"/>
          <w:szCs w:val="27"/>
          <w:lang w:val="ro-RO" w:eastAsia="ro-RO"/>
        </w:rPr>
        <w:t> </w:t>
      </w:r>
      <w:r w:rsidRPr="00F4021C">
        <w:rPr>
          <w:rFonts w:ascii="Calibri" w:eastAsiaTheme="minorEastAsia" w:hAnsi="Calibri" w:cs="Times New Roman"/>
          <w:i/>
          <w:iCs/>
          <w:color w:val="000000"/>
          <w:sz w:val="27"/>
          <w:szCs w:val="27"/>
          <w:lang w:val="ro-RO" w:eastAsia="ro-RO"/>
        </w:rPr>
        <w:t>The Magistracy | Hong Kong</w:t>
      </w:r>
      <w:r w:rsidRPr="00F4021C">
        <w:rPr>
          <w:rFonts w:ascii="Calibri" w:eastAsiaTheme="minorEastAsia" w:hAnsi="Calibri" w:cs="Times New Roman"/>
          <w:color w:val="000000"/>
          <w:sz w:val="27"/>
          <w:szCs w:val="27"/>
          <w:lang w:val="ro-RO" w:eastAsia="ro-RO"/>
        </w:rPr>
        <w:t>. [online] Available at: https://www.themagistracyhongkong.com/ [Accessed 5 May 2023].</w:t>
      </w:r>
    </w:p>
    <w:p w14:paraId="4F1A3395" w14:textId="5946EAAD" w:rsidR="00177DE3" w:rsidRPr="00177DE3" w:rsidRDefault="00F4021C" w:rsidP="00553C5E">
      <w:pPr>
        <w:pStyle w:val="NormalWeb"/>
        <w:numPr>
          <w:ilvl w:val="0"/>
          <w:numId w:val="17"/>
        </w:numPr>
        <w:shd w:val="clear" w:color="auto" w:fill="FFFFFF"/>
        <w:spacing w:before="0" w:beforeAutospacing="0" w:after="0" w:afterAutospacing="0" w:line="360" w:lineRule="atLeast"/>
        <w:divId w:val="1806122284"/>
        <w:rPr>
          <w:rFonts w:ascii="Calibri" w:eastAsiaTheme="minorEastAsia" w:hAnsi="Calibri"/>
          <w:color w:val="000000"/>
          <w:sz w:val="27"/>
          <w:szCs w:val="27"/>
          <w:lang w:val="ro-RO" w:eastAsia="ro-RO"/>
        </w:rPr>
      </w:pPr>
      <w:r w:rsidRPr="00F4021C">
        <w:rPr>
          <w:rFonts w:ascii="Calibri" w:eastAsiaTheme="minorEastAsia" w:hAnsi="Calibri"/>
          <w:color w:val="000000"/>
          <w:lang w:val="ro-RO" w:eastAsia="ro-RO"/>
        </w:rPr>
        <w:t>‌</w:t>
      </w:r>
      <w:r w:rsidR="00177DE3" w:rsidRPr="00177DE3">
        <w:rPr>
          <w:rFonts w:ascii="Calibri" w:eastAsiaTheme="minorEastAsia" w:hAnsi="Calibri"/>
          <w:color w:val="000000"/>
          <w:sz w:val="27"/>
          <w:szCs w:val="27"/>
          <w:lang w:val="ro-RO" w:eastAsia="ro-RO"/>
        </w:rPr>
        <w:t>Government Digital Service (201</w:t>
      </w:r>
      <w:r w:rsidR="00964324">
        <w:rPr>
          <w:rFonts w:ascii="Calibri" w:eastAsiaTheme="minorEastAsia" w:hAnsi="Calibri"/>
          <w:color w:val="000000"/>
          <w:sz w:val="27"/>
          <w:szCs w:val="27"/>
          <w:lang w:val="ro-RO" w:eastAsia="ro-RO"/>
        </w:rPr>
        <w:t>9</w:t>
      </w:r>
      <w:r w:rsidR="00177DE3" w:rsidRPr="00177DE3">
        <w:rPr>
          <w:rFonts w:ascii="Calibri" w:eastAsiaTheme="minorEastAsia" w:hAnsi="Calibri"/>
          <w:color w:val="000000"/>
          <w:sz w:val="27"/>
          <w:szCs w:val="27"/>
          <w:lang w:val="ro-RO" w:eastAsia="ro-RO"/>
        </w:rPr>
        <w:t>). </w:t>
      </w:r>
      <w:r w:rsidR="00177DE3" w:rsidRPr="00177DE3">
        <w:rPr>
          <w:rFonts w:ascii="Calibri" w:eastAsiaTheme="minorEastAsia" w:hAnsi="Calibri"/>
          <w:i/>
          <w:iCs/>
          <w:color w:val="000000"/>
          <w:sz w:val="27"/>
          <w:szCs w:val="27"/>
          <w:lang w:val="ro-RO" w:eastAsia="ro-RO"/>
        </w:rPr>
        <w:t>Become a magistrate</w:t>
      </w:r>
      <w:r w:rsidR="00177DE3" w:rsidRPr="00177DE3">
        <w:rPr>
          <w:rFonts w:ascii="Calibri" w:eastAsiaTheme="minorEastAsia" w:hAnsi="Calibri"/>
          <w:color w:val="000000"/>
          <w:sz w:val="27"/>
          <w:szCs w:val="27"/>
          <w:lang w:val="ro-RO" w:eastAsia="ro-RO"/>
        </w:rPr>
        <w:t>. [online] GOV.UK. Available at: https://www.gov.uk/become-magistrate.</w:t>
      </w:r>
    </w:p>
    <w:p w14:paraId="45E72ACF" w14:textId="59A847E2" w:rsidR="00F4021C" w:rsidRPr="00553C5E" w:rsidRDefault="00177DE3" w:rsidP="00553C5E">
      <w:pPr>
        <w:shd w:val="clear" w:color="auto" w:fill="FFFFFF"/>
        <w:spacing w:before="100" w:beforeAutospacing="1" w:after="100" w:afterAutospacing="1" w:line="240" w:lineRule="auto"/>
        <w:jc w:val="left"/>
        <w:divId w:val="1806122284"/>
        <w:rPr>
          <w:rFonts w:ascii="Calibri" w:eastAsiaTheme="minorEastAsia" w:hAnsi="Calibri" w:cs="Times New Roman"/>
          <w:color w:val="000000"/>
          <w:szCs w:val="24"/>
          <w:lang w:val="ro-RO" w:eastAsia="ro-RO"/>
        </w:rPr>
      </w:pPr>
      <w:r w:rsidRPr="00177DE3">
        <w:rPr>
          <w:rFonts w:ascii="Calibri" w:eastAsiaTheme="minorEastAsia" w:hAnsi="Calibri" w:cs="Times New Roman"/>
          <w:color w:val="000000"/>
          <w:szCs w:val="24"/>
          <w:lang w:val="ro-RO" w:eastAsia="ro-RO"/>
        </w:rPr>
        <w:t>‌</w:t>
      </w:r>
    </w:p>
    <w:p w14:paraId="4DEEB4D4" w14:textId="585BD630" w:rsidR="00CA03FF" w:rsidRPr="00826B08" w:rsidRDefault="00CA03FF" w:rsidP="00826B08">
      <w:pPr>
        <w:shd w:val="clear" w:color="auto" w:fill="FFFFFF"/>
        <w:spacing w:before="100" w:beforeAutospacing="1" w:after="100" w:afterAutospacing="1" w:line="240" w:lineRule="auto"/>
        <w:jc w:val="left"/>
        <w:divId w:val="1547721244"/>
        <w:rPr>
          <w:rFonts w:ascii="Calibri" w:eastAsiaTheme="minorEastAsia" w:hAnsi="Calibri" w:cs="Times New Roman"/>
          <w:color w:val="000000"/>
          <w:szCs w:val="24"/>
          <w:lang w:val="ro-RO" w:eastAsia="ro-RO"/>
        </w:rPr>
      </w:pPr>
    </w:p>
    <w:p w14:paraId="3284B789" w14:textId="77777777" w:rsidR="00213B88" w:rsidRPr="00213B88" w:rsidRDefault="00213B88" w:rsidP="00213B88">
      <w:pPr>
        <w:shd w:val="clear" w:color="auto" w:fill="FFFFFF"/>
        <w:spacing w:before="100" w:beforeAutospacing="1" w:after="100" w:afterAutospacing="1" w:line="240" w:lineRule="auto"/>
        <w:jc w:val="left"/>
        <w:divId w:val="30418606"/>
        <w:rPr>
          <w:rFonts w:ascii="Calibri" w:eastAsiaTheme="minorEastAsia" w:hAnsi="Calibri" w:cs="Times New Roman"/>
          <w:color w:val="000000"/>
          <w:szCs w:val="24"/>
          <w:lang w:val="ro-RO" w:eastAsia="ro-RO"/>
        </w:rPr>
      </w:pPr>
      <w:r w:rsidRPr="00213B88">
        <w:rPr>
          <w:rFonts w:ascii="Calibri" w:eastAsiaTheme="minorEastAsia" w:hAnsi="Calibri" w:cs="Times New Roman"/>
          <w:color w:val="000000"/>
          <w:szCs w:val="24"/>
          <w:lang w:val="ro-RO" w:eastAsia="ro-RO"/>
        </w:rPr>
        <w:t>‌</w:t>
      </w:r>
    </w:p>
    <w:p w14:paraId="21603B0C" w14:textId="7E892B2C" w:rsidR="00244DAF" w:rsidRPr="00244DAF" w:rsidRDefault="00244DAF" w:rsidP="00244DAF">
      <w:pPr>
        <w:shd w:val="clear" w:color="auto" w:fill="FFFFFF"/>
        <w:spacing w:before="100" w:beforeAutospacing="1" w:after="100" w:afterAutospacing="1" w:line="240" w:lineRule="auto"/>
        <w:jc w:val="left"/>
        <w:divId w:val="2031370406"/>
        <w:rPr>
          <w:rFonts w:ascii="Calibri" w:eastAsiaTheme="minorEastAsia" w:hAnsi="Calibri" w:cs="Times New Roman"/>
          <w:color w:val="000000"/>
          <w:szCs w:val="24"/>
          <w:lang w:val="ro-RO" w:eastAsia="ro-RO"/>
        </w:rPr>
      </w:pPr>
    </w:p>
    <w:p w14:paraId="60CB9E6E" w14:textId="03C606F7" w:rsidR="00BD73EC" w:rsidRPr="00BD73EC" w:rsidRDefault="00BD73EC" w:rsidP="00BD73EC">
      <w:pPr>
        <w:shd w:val="clear" w:color="auto" w:fill="FFFFFF"/>
        <w:spacing w:before="100" w:beforeAutospacing="1" w:after="100" w:afterAutospacing="1" w:line="240" w:lineRule="auto"/>
        <w:jc w:val="left"/>
        <w:divId w:val="2027056408"/>
        <w:rPr>
          <w:rFonts w:ascii="Calibri" w:eastAsiaTheme="minorEastAsia" w:hAnsi="Calibri" w:cs="Times New Roman"/>
          <w:color w:val="000000"/>
          <w:szCs w:val="24"/>
          <w:lang w:val="ro-RO" w:eastAsia="ro-RO"/>
        </w:rPr>
      </w:pPr>
    </w:p>
    <w:p w14:paraId="15414CCC" w14:textId="7E89D918" w:rsidR="005B6C05" w:rsidRPr="005B6C05" w:rsidRDefault="005B6C05" w:rsidP="005B6C05">
      <w:pPr>
        <w:shd w:val="clear" w:color="auto" w:fill="FFFFFF"/>
        <w:spacing w:before="100" w:beforeAutospacing="1" w:after="100" w:afterAutospacing="1" w:line="240" w:lineRule="auto"/>
        <w:jc w:val="left"/>
        <w:divId w:val="1922055510"/>
        <w:rPr>
          <w:rFonts w:ascii="Calibri" w:eastAsiaTheme="minorEastAsia" w:hAnsi="Calibri" w:cs="Times New Roman"/>
          <w:color w:val="000000"/>
          <w:szCs w:val="24"/>
          <w:lang w:val="ro-RO" w:eastAsia="ro-RO"/>
        </w:rPr>
      </w:pPr>
    </w:p>
    <w:p w14:paraId="26B9E685" w14:textId="052BE6FC" w:rsidR="002245B6" w:rsidRPr="002245B6" w:rsidRDefault="002245B6" w:rsidP="002245B6">
      <w:pPr>
        <w:shd w:val="clear" w:color="auto" w:fill="FFFFFF"/>
        <w:spacing w:before="100" w:beforeAutospacing="1" w:after="100" w:afterAutospacing="1" w:line="240" w:lineRule="auto"/>
        <w:jc w:val="left"/>
        <w:divId w:val="558518041"/>
        <w:rPr>
          <w:rFonts w:ascii="Calibri" w:eastAsiaTheme="minorEastAsia" w:hAnsi="Calibri" w:cs="Times New Roman"/>
          <w:color w:val="000000"/>
          <w:szCs w:val="24"/>
          <w:lang w:val="ro-RO" w:eastAsia="ro-RO"/>
        </w:rPr>
      </w:pPr>
    </w:p>
    <w:p w14:paraId="63617AE5" w14:textId="44CD5363" w:rsidR="00D6072B" w:rsidRDefault="00D6072B" w:rsidP="00D6072B">
      <w:pPr>
        <w:shd w:val="clear" w:color="auto" w:fill="FFFFFF"/>
        <w:spacing w:before="100" w:beforeAutospacing="1" w:after="100" w:afterAutospacing="1" w:line="240" w:lineRule="auto"/>
        <w:jc w:val="left"/>
        <w:divId w:val="1556044199"/>
        <w:rPr>
          <w:rFonts w:ascii="Calibri" w:eastAsiaTheme="minorEastAsia" w:hAnsi="Calibri" w:cs="Times New Roman"/>
          <w:color w:val="000000"/>
          <w:szCs w:val="24"/>
          <w:lang w:val="ro-RO" w:eastAsia="ro-RO"/>
        </w:rPr>
      </w:pPr>
    </w:p>
    <w:p w14:paraId="0008F44D" w14:textId="77777777" w:rsidR="005B6C05" w:rsidRPr="00D6072B" w:rsidRDefault="005B6C05" w:rsidP="00D6072B">
      <w:pPr>
        <w:shd w:val="clear" w:color="auto" w:fill="FFFFFF"/>
        <w:spacing w:before="100" w:beforeAutospacing="1" w:after="100" w:afterAutospacing="1" w:line="240" w:lineRule="auto"/>
        <w:jc w:val="left"/>
        <w:divId w:val="1556044199"/>
        <w:rPr>
          <w:rFonts w:ascii="Calibri" w:eastAsiaTheme="minorEastAsia" w:hAnsi="Calibri" w:cs="Times New Roman"/>
          <w:color w:val="000000"/>
          <w:szCs w:val="24"/>
          <w:lang w:val="ro-RO" w:eastAsia="ro-RO"/>
        </w:rPr>
      </w:pPr>
    </w:p>
    <w:p w14:paraId="3A760591" w14:textId="77777777" w:rsidR="00D6072B" w:rsidRPr="00224999" w:rsidRDefault="00D6072B">
      <w:pPr>
        <w:pStyle w:val="NormalWeb"/>
        <w:shd w:val="clear" w:color="auto" w:fill="FFFFFF"/>
        <w:spacing w:before="0" w:beforeAutospacing="0" w:after="0" w:afterAutospacing="0" w:line="360" w:lineRule="atLeast"/>
        <w:divId w:val="862978344"/>
        <w:rPr>
          <w:rFonts w:ascii="Calibri" w:eastAsiaTheme="minorEastAsia" w:hAnsi="Calibri"/>
          <w:color w:val="000000"/>
          <w:sz w:val="27"/>
          <w:szCs w:val="27"/>
          <w:lang w:val="ro-RO" w:eastAsia="ro-RO"/>
        </w:rPr>
      </w:pPr>
    </w:p>
    <w:p w14:paraId="0CDE30AF" w14:textId="77777777" w:rsidR="00224999" w:rsidRPr="00224999" w:rsidRDefault="00224999" w:rsidP="00224999">
      <w:pPr>
        <w:shd w:val="clear" w:color="auto" w:fill="FFFFFF"/>
        <w:spacing w:before="100" w:beforeAutospacing="1" w:after="100" w:afterAutospacing="1" w:line="240" w:lineRule="auto"/>
        <w:jc w:val="left"/>
        <w:divId w:val="862978344"/>
        <w:rPr>
          <w:rFonts w:ascii="Calibri" w:eastAsiaTheme="minorEastAsia" w:hAnsi="Calibri" w:cs="Times New Roman"/>
          <w:color w:val="000000"/>
          <w:szCs w:val="24"/>
          <w:lang w:val="ro-RO" w:eastAsia="ro-RO"/>
        </w:rPr>
      </w:pPr>
      <w:r w:rsidRPr="00224999">
        <w:rPr>
          <w:rFonts w:ascii="Calibri" w:eastAsiaTheme="minorEastAsia" w:hAnsi="Calibri" w:cs="Times New Roman"/>
          <w:color w:val="000000"/>
          <w:szCs w:val="24"/>
          <w:lang w:val="ro-RO" w:eastAsia="ro-RO"/>
        </w:rPr>
        <w:t>‌</w:t>
      </w:r>
    </w:p>
    <w:p w14:paraId="32D7FCAF" w14:textId="42FE57CE" w:rsidR="00602EB4" w:rsidRPr="00602EB4" w:rsidRDefault="00602EB4" w:rsidP="00602EB4">
      <w:pPr>
        <w:shd w:val="clear" w:color="auto" w:fill="FFFFFF"/>
        <w:spacing w:before="100" w:beforeAutospacing="1" w:after="100" w:afterAutospacing="1" w:line="240" w:lineRule="auto"/>
        <w:jc w:val="left"/>
        <w:divId w:val="1878929325"/>
        <w:rPr>
          <w:rFonts w:ascii="Calibri" w:eastAsiaTheme="minorEastAsia" w:hAnsi="Calibri" w:cs="Times New Roman"/>
          <w:color w:val="000000"/>
          <w:szCs w:val="24"/>
          <w:lang w:val="ro-RO" w:eastAsia="ro-RO"/>
        </w:rPr>
      </w:pPr>
    </w:p>
    <w:p w14:paraId="20D68EB0" w14:textId="4D1D9134" w:rsidR="007E25B1" w:rsidRPr="007E25B1" w:rsidRDefault="007E25B1" w:rsidP="00271515">
      <w:pPr>
        <w:rPr>
          <w:b/>
          <w:bCs/>
        </w:rPr>
      </w:pPr>
    </w:p>
    <w:sectPr w:rsidR="007E25B1" w:rsidRPr="007E25B1"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C47372B" w14:textId="77777777" w:rsidR="00EC0C65" w:rsidRDefault="00EC0C65" w:rsidP="00ED3DF3">
      <w:pPr>
        <w:spacing w:after="0" w:line="240" w:lineRule="auto"/>
      </w:pPr>
      <w:r>
        <w:separator/>
      </w:r>
    </w:p>
  </w:endnote>
  <w:endnote w:type="continuationSeparator" w:id="0">
    <w:p w14:paraId="51405216" w14:textId="77777777" w:rsidR="00EC0C65" w:rsidRDefault="00EC0C65" w:rsidP="00ED3D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-webkit-standard">
    <w:altName w:val="Arial"/>
    <w:panose1 w:val="020B0604020202020204"/>
    <w:charset w:val="00"/>
    <w:family w:val="roman"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0036976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2571F6E7" w14:textId="18DFB406" w:rsidR="00D45B80" w:rsidRDefault="00D45B80">
        <w:pPr>
          <w:pStyle w:val="Subsol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10F3E96" w14:textId="77777777" w:rsidR="00ED3DF3" w:rsidRDefault="00ED3DF3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C196B2" w14:textId="77777777" w:rsidR="00EC0C65" w:rsidRDefault="00EC0C65" w:rsidP="00ED3DF3">
      <w:pPr>
        <w:spacing w:after="0" w:line="240" w:lineRule="auto"/>
      </w:pPr>
      <w:r>
        <w:separator/>
      </w:r>
    </w:p>
  </w:footnote>
  <w:footnote w:type="continuationSeparator" w:id="0">
    <w:p w14:paraId="03A1D9A6" w14:textId="77777777" w:rsidR="00EC0C65" w:rsidRDefault="00EC0C65" w:rsidP="00ED3DF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553097"/>
    <w:multiLevelType w:val="multilevel"/>
    <w:tmpl w:val="BAA4DF1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7CC4B70"/>
    <w:multiLevelType w:val="multilevel"/>
    <w:tmpl w:val="9E9AE57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06B7BAE"/>
    <w:multiLevelType w:val="hybridMultilevel"/>
    <w:tmpl w:val="3FFC358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5CD1132"/>
    <w:multiLevelType w:val="multilevel"/>
    <w:tmpl w:val="B8B6927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A294905"/>
    <w:multiLevelType w:val="multilevel"/>
    <w:tmpl w:val="2CAE5ED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0905A62"/>
    <w:multiLevelType w:val="hybridMultilevel"/>
    <w:tmpl w:val="3D58D5F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7BE6F19"/>
    <w:multiLevelType w:val="hybridMultilevel"/>
    <w:tmpl w:val="B7B4E3F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B743E99"/>
    <w:multiLevelType w:val="hybridMultilevel"/>
    <w:tmpl w:val="731C5E7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FBF6473"/>
    <w:multiLevelType w:val="hybridMultilevel"/>
    <w:tmpl w:val="C206FCD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46477A5"/>
    <w:multiLevelType w:val="hybridMultilevel"/>
    <w:tmpl w:val="B7CCAF2E"/>
    <w:lvl w:ilvl="0" w:tplc="0418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A684E97"/>
    <w:multiLevelType w:val="multilevel"/>
    <w:tmpl w:val="5B6CB46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4B9F5FAD"/>
    <w:multiLevelType w:val="multilevel"/>
    <w:tmpl w:val="891C887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57076ED5"/>
    <w:multiLevelType w:val="multilevel"/>
    <w:tmpl w:val="6F1019A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645B4FD8"/>
    <w:multiLevelType w:val="multilevel"/>
    <w:tmpl w:val="B1FA587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701F15F9"/>
    <w:multiLevelType w:val="multilevel"/>
    <w:tmpl w:val="3C38833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749C5791"/>
    <w:multiLevelType w:val="hybridMultilevel"/>
    <w:tmpl w:val="328A617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C0643C6"/>
    <w:multiLevelType w:val="hybridMultilevel"/>
    <w:tmpl w:val="84F655F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63510935">
    <w:abstractNumId w:val="6"/>
  </w:num>
  <w:num w:numId="2" w16cid:durableId="451482973">
    <w:abstractNumId w:val="10"/>
  </w:num>
  <w:num w:numId="3" w16cid:durableId="864828621">
    <w:abstractNumId w:val="3"/>
  </w:num>
  <w:num w:numId="4" w16cid:durableId="1293555626">
    <w:abstractNumId w:val="13"/>
  </w:num>
  <w:num w:numId="5" w16cid:durableId="2015569550">
    <w:abstractNumId w:val="12"/>
  </w:num>
  <w:num w:numId="6" w16cid:durableId="1485705955">
    <w:abstractNumId w:val="11"/>
  </w:num>
  <w:num w:numId="7" w16cid:durableId="944918426">
    <w:abstractNumId w:val="4"/>
  </w:num>
  <w:num w:numId="8" w16cid:durableId="298734152">
    <w:abstractNumId w:val="1"/>
  </w:num>
  <w:num w:numId="9" w16cid:durableId="1405761475">
    <w:abstractNumId w:val="14"/>
  </w:num>
  <w:num w:numId="10" w16cid:durableId="1962178171">
    <w:abstractNumId w:val="0"/>
  </w:num>
  <w:num w:numId="11" w16cid:durableId="251939193">
    <w:abstractNumId w:val="15"/>
  </w:num>
  <w:num w:numId="12" w16cid:durableId="1854226599">
    <w:abstractNumId w:val="2"/>
  </w:num>
  <w:num w:numId="13" w16cid:durableId="1899435008">
    <w:abstractNumId w:val="16"/>
  </w:num>
  <w:num w:numId="14" w16cid:durableId="658004855">
    <w:abstractNumId w:val="5"/>
  </w:num>
  <w:num w:numId="15" w16cid:durableId="1381249998">
    <w:abstractNumId w:val="8"/>
  </w:num>
  <w:num w:numId="16" w16cid:durableId="97677987">
    <w:abstractNumId w:val="7"/>
  </w:num>
  <w:num w:numId="17" w16cid:durableId="1394111587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6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jM1MTaxNDE2tzC1tDBW0lEKTi0uzszPAykwqgUAvivNSSwAAAA="/>
  </w:docVars>
  <w:rsids>
    <w:rsidRoot w:val="005F48E3"/>
    <w:rsid w:val="00003D90"/>
    <w:rsid w:val="00012C0C"/>
    <w:rsid w:val="00020071"/>
    <w:rsid w:val="00020397"/>
    <w:rsid w:val="00021373"/>
    <w:rsid w:val="00021A76"/>
    <w:rsid w:val="00021EFB"/>
    <w:rsid w:val="00031326"/>
    <w:rsid w:val="00032812"/>
    <w:rsid w:val="000520B6"/>
    <w:rsid w:val="00061ECE"/>
    <w:rsid w:val="0006319E"/>
    <w:rsid w:val="000A05EB"/>
    <w:rsid w:val="000A0AFC"/>
    <w:rsid w:val="000A4B53"/>
    <w:rsid w:val="000A7596"/>
    <w:rsid w:val="000A7BAF"/>
    <w:rsid w:val="000B0906"/>
    <w:rsid w:val="000B12C0"/>
    <w:rsid w:val="000B4082"/>
    <w:rsid w:val="000B42F5"/>
    <w:rsid w:val="000B74AE"/>
    <w:rsid w:val="000D7653"/>
    <w:rsid w:val="000E2D01"/>
    <w:rsid w:val="000E58B4"/>
    <w:rsid w:val="000E7440"/>
    <w:rsid w:val="000F5CC1"/>
    <w:rsid w:val="000F6C88"/>
    <w:rsid w:val="001152DF"/>
    <w:rsid w:val="00116BC2"/>
    <w:rsid w:val="001178F0"/>
    <w:rsid w:val="001244CA"/>
    <w:rsid w:val="00133414"/>
    <w:rsid w:val="00134E9A"/>
    <w:rsid w:val="00137F5F"/>
    <w:rsid w:val="00141E24"/>
    <w:rsid w:val="00142FD2"/>
    <w:rsid w:val="00144674"/>
    <w:rsid w:val="00152A0C"/>
    <w:rsid w:val="0015479B"/>
    <w:rsid w:val="0016627A"/>
    <w:rsid w:val="00166530"/>
    <w:rsid w:val="0016731D"/>
    <w:rsid w:val="00172980"/>
    <w:rsid w:val="00174DC6"/>
    <w:rsid w:val="0017769F"/>
    <w:rsid w:val="001778BB"/>
    <w:rsid w:val="00177DE3"/>
    <w:rsid w:val="00186892"/>
    <w:rsid w:val="00186D75"/>
    <w:rsid w:val="001B300B"/>
    <w:rsid w:val="001C1C7D"/>
    <w:rsid w:val="001E285F"/>
    <w:rsid w:val="001E7FCE"/>
    <w:rsid w:val="001F3007"/>
    <w:rsid w:val="00201879"/>
    <w:rsid w:val="00213B88"/>
    <w:rsid w:val="00216A9B"/>
    <w:rsid w:val="002245B6"/>
    <w:rsid w:val="00224999"/>
    <w:rsid w:val="002326AE"/>
    <w:rsid w:val="00244DAF"/>
    <w:rsid w:val="00250079"/>
    <w:rsid w:val="00257549"/>
    <w:rsid w:val="00262D8D"/>
    <w:rsid w:val="002636F9"/>
    <w:rsid w:val="002711BA"/>
    <w:rsid w:val="00271515"/>
    <w:rsid w:val="00271BBD"/>
    <w:rsid w:val="00274925"/>
    <w:rsid w:val="00276B93"/>
    <w:rsid w:val="00280747"/>
    <w:rsid w:val="00280852"/>
    <w:rsid w:val="00293856"/>
    <w:rsid w:val="002956ED"/>
    <w:rsid w:val="002A5D17"/>
    <w:rsid w:val="002C1293"/>
    <w:rsid w:val="002D3173"/>
    <w:rsid w:val="002D3639"/>
    <w:rsid w:val="002D5EA6"/>
    <w:rsid w:val="002D5F71"/>
    <w:rsid w:val="002E4EE0"/>
    <w:rsid w:val="002E56E9"/>
    <w:rsid w:val="002F246D"/>
    <w:rsid w:val="0030217B"/>
    <w:rsid w:val="00312721"/>
    <w:rsid w:val="003154AB"/>
    <w:rsid w:val="00326D26"/>
    <w:rsid w:val="0033438C"/>
    <w:rsid w:val="003361C8"/>
    <w:rsid w:val="00355E5C"/>
    <w:rsid w:val="003637A6"/>
    <w:rsid w:val="00364CCE"/>
    <w:rsid w:val="00367B1F"/>
    <w:rsid w:val="00377C57"/>
    <w:rsid w:val="003860A7"/>
    <w:rsid w:val="003936EB"/>
    <w:rsid w:val="003A37FD"/>
    <w:rsid w:val="003B17FE"/>
    <w:rsid w:val="003C18AB"/>
    <w:rsid w:val="003C74DE"/>
    <w:rsid w:val="003D04E2"/>
    <w:rsid w:val="003E7CEB"/>
    <w:rsid w:val="003F103F"/>
    <w:rsid w:val="003F4679"/>
    <w:rsid w:val="003F4DB0"/>
    <w:rsid w:val="0040334F"/>
    <w:rsid w:val="00406FCB"/>
    <w:rsid w:val="0041613B"/>
    <w:rsid w:val="00416660"/>
    <w:rsid w:val="00416B1D"/>
    <w:rsid w:val="00422106"/>
    <w:rsid w:val="00422C50"/>
    <w:rsid w:val="00431553"/>
    <w:rsid w:val="00444AF9"/>
    <w:rsid w:val="004478F0"/>
    <w:rsid w:val="00450A7C"/>
    <w:rsid w:val="004570B3"/>
    <w:rsid w:val="00462BF3"/>
    <w:rsid w:val="00465AC0"/>
    <w:rsid w:val="004846B2"/>
    <w:rsid w:val="00490571"/>
    <w:rsid w:val="00491FBA"/>
    <w:rsid w:val="00495550"/>
    <w:rsid w:val="004A4EC4"/>
    <w:rsid w:val="004B315D"/>
    <w:rsid w:val="004E21B6"/>
    <w:rsid w:val="004E23E2"/>
    <w:rsid w:val="004E70EF"/>
    <w:rsid w:val="004F1CF1"/>
    <w:rsid w:val="004F2520"/>
    <w:rsid w:val="0050208D"/>
    <w:rsid w:val="0050387E"/>
    <w:rsid w:val="0050500B"/>
    <w:rsid w:val="0052149A"/>
    <w:rsid w:val="00524E8D"/>
    <w:rsid w:val="0053287A"/>
    <w:rsid w:val="00547DD4"/>
    <w:rsid w:val="00553C5E"/>
    <w:rsid w:val="00556521"/>
    <w:rsid w:val="00575E34"/>
    <w:rsid w:val="00581647"/>
    <w:rsid w:val="00587E2E"/>
    <w:rsid w:val="005A0145"/>
    <w:rsid w:val="005A336E"/>
    <w:rsid w:val="005A74AF"/>
    <w:rsid w:val="005B2D7C"/>
    <w:rsid w:val="005B6C05"/>
    <w:rsid w:val="005C7477"/>
    <w:rsid w:val="005D2649"/>
    <w:rsid w:val="005D5FEE"/>
    <w:rsid w:val="005F48E3"/>
    <w:rsid w:val="00602EB4"/>
    <w:rsid w:val="0061210C"/>
    <w:rsid w:val="0062065E"/>
    <w:rsid w:val="00622FB6"/>
    <w:rsid w:val="00625E8C"/>
    <w:rsid w:val="0062686A"/>
    <w:rsid w:val="00640A62"/>
    <w:rsid w:val="00641B4C"/>
    <w:rsid w:val="00642AB0"/>
    <w:rsid w:val="00652026"/>
    <w:rsid w:val="00655480"/>
    <w:rsid w:val="0067020E"/>
    <w:rsid w:val="00671140"/>
    <w:rsid w:val="0068125E"/>
    <w:rsid w:val="00683E9C"/>
    <w:rsid w:val="00686F84"/>
    <w:rsid w:val="006A094D"/>
    <w:rsid w:val="006B3A19"/>
    <w:rsid w:val="006B484C"/>
    <w:rsid w:val="006C5A87"/>
    <w:rsid w:val="006E29B1"/>
    <w:rsid w:val="006E3380"/>
    <w:rsid w:val="006F1EE7"/>
    <w:rsid w:val="00715E74"/>
    <w:rsid w:val="00717533"/>
    <w:rsid w:val="0071766A"/>
    <w:rsid w:val="007207B8"/>
    <w:rsid w:val="007242AB"/>
    <w:rsid w:val="00730F54"/>
    <w:rsid w:val="007473EC"/>
    <w:rsid w:val="00751355"/>
    <w:rsid w:val="007612A0"/>
    <w:rsid w:val="00767396"/>
    <w:rsid w:val="00770216"/>
    <w:rsid w:val="00770BF8"/>
    <w:rsid w:val="00776B6D"/>
    <w:rsid w:val="00786BBC"/>
    <w:rsid w:val="00787822"/>
    <w:rsid w:val="007A0FA9"/>
    <w:rsid w:val="007A7F4B"/>
    <w:rsid w:val="007B5B0E"/>
    <w:rsid w:val="007B6A69"/>
    <w:rsid w:val="007D0C14"/>
    <w:rsid w:val="007E25B1"/>
    <w:rsid w:val="007E5107"/>
    <w:rsid w:val="0080096C"/>
    <w:rsid w:val="00802D50"/>
    <w:rsid w:val="0081088A"/>
    <w:rsid w:val="00816972"/>
    <w:rsid w:val="00823E6F"/>
    <w:rsid w:val="00826944"/>
    <w:rsid w:val="00826B08"/>
    <w:rsid w:val="00830442"/>
    <w:rsid w:val="00831736"/>
    <w:rsid w:val="008373B1"/>
    <w:rsid w:val="008459A0"/>
    <w:rsid w:val="0085043A"/>
    <w:rsid w:val="00850F4E"/>
    <w:rsid w:val="0085477D"/>
    <w:rsid w:val="00861BA2"/>
    <w:rsid w:val="008711EF"/>
    <w:rsid w:val="0088650E"/>
    <w:rsid w:val="00897C56"/>
    <w:rsid w:val="008B0E31"/>
    <w:rsid w:val="008B79C0"/>
    <w:rsid w:val="008B7B38"/>
    <w:rsid w:val="008D4625"/>
    <w:rsid w:val="008E462F"/>
    <w:rsid w:val="0090075A"/>
    <w:rsid w:val="00902811"/>
    <w:rsid w:val="009042F8"/>
    <w:rsid w:val="00905C64"/>
    <w:rsid w:val="00907EF3"/>
    <w:rsid w:val="00912CAB"/>
    <w:rsid w:val="00944449"/>
    <w:rsid w:val="00947B9E"/>
    <w:rsid w:val="00956A9A"/>
    <w:rsid w:val="00964324"/>
    <w:rsid w:val="00975E03"/>
    <w:rsid w:val="009A5682"/>
    <w:rsid w:val="009B0D68"/>
    <w:rsid w:val="009C2611"/>
    <w:rsid w:val="009D3891"/>
    <w:rsid w:val="009F22E1"/>
    <w:rsid w:val="00A10B53"/>
    <w:rsid w:val="00A2363F"/>
    <w:rsid w:val="00A30DBF"/>
    <w:rsid w:val="00A416F6"/>
    <w:rsid w:val="00A50DB1"/>
    <w:rsid w:val="00A516C5"/>
    <w:rsid w:val="00A53ECC"/>
    <w:rsid w:val="00A66BF9"/>
    <w:rsid w:val="00A82855"/>
    <w:rsid w:val="00A915B1"/>
    <w:rsid w:val="00A95090"/>
    <w:rsid w:val="00AA0C08"/>
    <w:rsid w:val="00AA6D8B"/>
    <w:rsid w:val="00AA7118"/>
    <w:rsid w:val="00AB19E6"/>
    <w:rsid w:val="00AC33A4"/>
    <w:rsid w:val="00AD0534"/>
    <w:rsid w:val="00AD6E57"/>
    <w:rsid w:val="00AE461A"/>
    <w:rsid w:val="00AE76D0"/>
    <w:rsid w:val="00AF24D1"/>
    <w:rsid w:val="00B01B39"/>
    <w:rsid w:val="00B03BD2"/>
    <w:rsid w:val="00B05E61"/>
    <w:rsid w:val="00B06B35"/>
    <w:rsid w:val="00B1054F"/>
    <w:rsid w:val="00B34159"/>
    <w:rsid w:val="00B343F9"/>
    <w:rsid w:val="00B35EF4"/>
    <w:rsid w:val="00B45503"/>
    <w:rsid w:val="00B53384"/>
    <w:rsid w:val="00B5555E"/>
    <w:rsid w:val="00B57DAD"/>
    <w:rsid w:val="00B76A36"/>
    <w:rsid w:val="00B80A5F"/>
    <w:rsid w:val="00B90E1D"/>
    <w:rsid w:val="00BA1E62"/>
    <w:rsid w:val="00BA5801"/>
    <w:rsid w:val="00BC1573"/>
    <w:rsid w:val="00BC6955"/>
    <w:rsid w:val="00BD5632"/>
    <w:rsid w:val="00BD73EC"/>
    <w:rsid w:val="00BD78C3"/>
    <w:rsid w:val="00BE43C9"/>
    <w:rsid w:val="00BE6F87"/>
    <w:rsid w:val="00BF288E"/>
    <w:rsid w:val="00BF2A5B"/>
    <w:rsid w:val="00BF2F18"/>
    <w:rsid w:val="00C05DDA"/>
    <w:rsid w:val="00C2122E"/>
    <w:rsid w:val="00C23CA1"/>
    <w:rsid w:val="00C24E0F"/>
    <w:rsid w:val="00C27512"/>
    <w:rsid w:val="00C35543"/>
    <w:rsid w:val="00C35EA4"/>
    <w:rsid w:val="00C3755B"/>
    <w:rsid w:val="00C37A0D"/>
    <w:rsid w:val="00C4745C"/>
    <w:rsid w:val="00C748E2"/>
    <w:rsid w:val="00C7785E"/>
    <w:rsid w:val="00C85F34"/>
    <w:rsid w:val="00CA03FF"/>
    <w:rsid w:val="00CB1957"/>
    <w:rsid w:val="00CB4CD6"/>
    <w:rsid w:val="00CE311B"/>
    <w:rsid w:val="00CE5B69"/>
    <w:rsid w:val="00CE742D"/>
    <w:rsid w:val="00CF43DA"/>
    <w:rsid w:val="00CF4EFD"/>
    <w:rsid w:val="00D11F47"/>
    <w:rsid w:val="00D141B7"/>
    <w:rsid w:val="00D24650"/>
    <w:rsid w:val="00D24786"/>
    <w:rsid w:val="00D27B26"/>
    <w:rsid w:val="00D31237"/>
    <w:rsid w:val="00D3128D"/>
    <w:rsid w:val="00D31ACC"/>
    <w:rsid w:val="00D35EFD"/>
    <w:rsid w:val="00D42AFE"/>
    <w:rsid w:val="00D45B80"/>
    <w:rsid w:val="00D539A3"/>
    <w:rsid w:val="00D6072B"/>
    <w:rsid w:val="00D658B8"/>
    <w:rsid w:val="00D723B2"/>
    <w:rsid w:val="00D860A8"/>
    <w:rsid w:val="00D9364A"/>
    <w:rsid w:val="00DA5CEC"/>
    <w:rsid w:val="00DA5FED"/>
    <w:rsid w:val="00DA6B16"/>
    <w:rsid w:val="00DB6B3E"/>
    <w:rsid w:val="00DC2F2A"/>
    <w:rsid w:val="00DD47C3"/>
    <w:rsid w:val="00DE012A"/>
    <w:rsid w:val="00DE0598"/>
    <w:rsid w:val="00DF18AC"/>
    <w:rsid w:val="00DF2B78"/>
    <w:rsid w:val="00DF33D4"/>
    <w:rsid w:val="00DF38D9"/>
    <w:rsid w:val="00E03914"/>
    <w:rsid w:val="00E06C9C"/>
    <w:rsid w:val="00E3691C"/>
    <w:rsid w:val="00E410CE"/>
    <w:rsid w:val="00E474EB"/>
    <w:rsid w:val="00E57B0F"/>
    <w:rsid w:val="00E60A6C"/>
    <w:rsid w:val="00E63835"/>
    <w:rsid w:val="00E740CD"/>
    <w:rsid w:val="00E74812"/>
    <w:rsid w:val="00E75EF2"/>
    <w:rsid w:val="00E84284"/>
    <w:rsid w:val="00EA09F8"/>
    <w:rsid w:val="00EB497E"/>
    <w:rsid w:val="00EB683C"/>
    <w:rsid w:val="00EB76CF"/>
    <w:rsid w:val="00EC0C65"/>
    <w:rsid w:val="00EC17ED"/>
    <w:rsid w:val="00ED3197"/>
    <w:rsid w:val="00ED3DF3"/>
    <w:rsid w:val="00ED4CB6"/>
    <w:rsid w:val="00EE642C"/>
    <w:rsid w:val="00EF004C"/>
    <w:rsid w:val="00EF0285"/>
    <w:rsid w:val="00EF1AF8"/>
    <w:rsid w:val="00EF1B90"/>
    <w:rsid w:val="00EF33E8"/>
    <w:rsid w:val="00EF50A6"/>
    <w:rsid w:val="00F02369"/>
    <w:rsid w:val="00F04A16"/>
    <w:rsid w:val="00F0597C"/>
    <w:rsid w:val="00F17C0F"/>
    <w:rsid w:val="00F20D15"/>
    <w:rsid w:val="00F24406"/>
    <w:rsid w:val="00F26FA4"/>
    <w:rsid w:val="00F27489"/>
    <w:rsid w:val="00F275FE"/>
    <w:rsid w:val="00F30DF4"/>
    <w:rsid w:val="00F34A3E"/>
    <w:rsid w:val="00F4021C"/>
    <w:rsid w:val="00F41C8B"/>
    <w:rsid w:val="00F4731D"/>
    <w:rsid w:val="00F545E8"/>
    <w:rsid w:val="00F73390"/>
    <w:rsid w:val="00F74144"/>
    <w:rsid w:val="00F86CC1"/>
    <w:rsid w:val="00F873CA"/>
    <w:rsid w:val="00F950E0"/>
    <w:rsid w:val="00FA5CF2"/>
    <w:rsid w:val="00FA74D5"/>
    <w:rsid w:val="00FB399B"/>
    <w:rsid w:val="00FB6CF0"/>
    <w:rsid w:val="00FC61A0"/>
    <w:rsid w:val="00FD2CB6"/>
    <w:rsid w:val="00FD5987"/>
    <w:rsid w:val="00FE04AD"/>
    <w:rsid w:val="00FE5349"/>
    <w:rsid w:val="00FF1C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407E1035"/>
  <w15:chartTrackingRefBased/>
  <w15:docId w15:val="{4FBCD97A-F720-4341-929F-69A1276604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637A6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Titlu1">
    <w:name w:val="heading 1"/>
    <w:basedOn w:val="Normal"/>
    <w:next w:val="Normal"/>
    <w:link w:val="Titlu1Caracter"/>
    <w:uiPriority w:val="9"/>
    <w:qFormat/>
    <w:rsid w:val="001778BB"/>
    <w:pPr>
      <w:keepNext/>
      <w:keepLines/>
      <w:spacing w:before="240" w:after="0"/>
      <w:outlineLvl w:val="0"/>
    </w:pPr>
    <w:rPr>
      <w:rFonts w:eastAsiaTheme="majorEastAsia" w:cstheme="majorBidi"/>
      <w:b/>
      <w:color w:val="000000" w:themeColor="text1"/>
      <w:sz w:val="32"/>
      <w:szCs w:val="32"/>
    </w:rPr>
  </w:style>
  <w:style w:type="paragraph" w:styleId="Titlu2">
    <w:name w:val="heading 2"/>
    <w:basedOn w:val="Normal"/>
    <w:next w:val="Normal"/>
    <w:link w:val="Titlu2Caracter"/>
    <w:uiPriority w:val="9"/>
    <w:unhideWhenUsed/>
    <w:qFormat/>
    <w:rsid w:val="001778BB"/>
    <w:pPr>
      <w:keepNext/>
      <w:keepLines/>
      <w:spacing w:before="40" w:after="0"/>
      <w:outlineLvl w:val="1"/>
    </w:pPr>
    <w:rPr>
      <w:rFonts w:eastAsiaTheme="majorEastAsia" w:cstheme="majorBidi"/>
      <w:b/>
      <w:color w:val="000000" w:themeColor="text1"/>
      <w:sz w:val="28"/>
      <w:szCs w:val="26"/>
    </w:rPr>
  </w:style>
  <w:style w:type="paragraph" w:styleId="Titlu3">
    <w:name w:val="heading 3"/>
    <w:basedOn w:val="Normal"/>
    <w:next w:val="Normal"/>
    <w:link w:val="Titlu3Caracter"/>
    <w:uiPriority w:val="9"/>
    <w:unhideWhenUsed/>
    <w:qFormat/>
    <w:rsid w:val="001778BB"/>
    <w:pPr>
      <w:keepNext/>
      <w:keepLines/>
      <w:spacing w:before="40" w:after="0"/>
      <w:outlineLvl w:val="2"/>
    </w:pPr>
    <w:rPr>
      <w:rFonts w:eastAsiaTheme="majorEastAsia" w:cstheme="majorBidi"/>
      <w:b/>
      <w:color w:val="000000" w:themeColor="text1"/>
      <w:szCs w:val="24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1778BB"/>
    <w:rPr>
      <w:rFonts w:ascii="Times New Roman" w:eastAsiaTheme="majorEastAsia" w:hAnsi="Times New Roman" w:cstheme="majorBidi"/>
      <w:b/>
      <w:color w:val="000000" w:themeColor="text1"/>
      <w:sz w:val="32"/>
      <w:szCs w:val="32"/>
    </w:rPr>
  </w:style>
  <w:style w:type="character" w:customStyle="1" w:styleId="Titlu2Caracter">
    <w:name w:val="Titlu 2 Caracter"/>
    <w:basedOn w:val="Fontdeparagrafimplicit"/>
    <w:link w:val="Titlu2"/>
    <w:uiPriority w:val="9"/>
    <w:rsid w:val="001778BB"/>
    <w:rPr>
      <w:rFonts w:ascii="Times New Roman" w:eastAsiaTheme="majorEastAsia" w:hAnsi="Times New Roman" w:cstheme="majorBidi"/>
      <w:b/>
      <w:color w:val="000000" w:themeColor="text1"/>
      <w:sz w:val="28"/>
      <w:szCs w:val="26"/>
    </w:rPr>
  </w:style>
  <w:style w:type="paragraph" w:styleId="Frspaiere">
    <w:name w:val="No Spacing"/>
    <w:basedOn w:val="Titlu3"/>
    <w:next w:val="Titlu3"/>
    <w:uiPriority w:val="1"/>
    <w:qFormat/>
    <w:rsid w:val="00CB1957"/>
    <w:rPr>
      <w:b w:val="0"/>
      <w:color w:val="auto"/>
    </w:rPr>
  </w:style>
  <w:style w:type="character" w:customStyle="1" w:styleId="Titlu3Caracter">
    <w:name w:val="Titlu 3 Caracter"/>
    <w:basedOn w:val="Fontdeparagrafimplicit"/>
    <w:link w:val="Titlu3"/>
    <w:uiPriority w:val="9"/>
    <w:rsid w:val="001778BB"/>
    <w:rPr>
      <w:rFonts w:ascii="Times New Roman" w:eastAsiaTheme="majorEastAsia" w:hAnsi="Times New Roman" w:cstheme="majorBidi"/>
      <w:b/>
      <w:color w:val="000000" w:themeColor="text1"/>
      <w:sz w:val="24"/>
      <w:szCs w:val="24"/>
    </w:rPr>
  </w:style>
  <w:style w:type="paragraph" w:styleId="Antet">
    <w:name w:val="header"/>
    <w:basedOn w:val="Normal"/>
    <w:link w:val="AntetCaracter"/>
    <w:uiPriority w:val="99"/>
    <w:unhideWhenUsed/>
    <w:rsid w:val="00ED3DF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ED3DF3"/>
    <w:rPr>
      <w:rFonts w:ascii="Times New Roman" w:hAnsi="Times New Roman"/>
      <w:sz w:val="24"/>
    </w:rPr>
  </w:style>
  <w:style w:type="paragraph" w:styleId="Subsol">
    <w:name w:val="footer"/>
    <w:basedOn w:val="Normal"/>
    <w:link w:val="SubsolCaracter"/>
    <w:uiPriority w:val="99"/>
    <w:unhideWhenUsed/>
    <w:rsid w:val="00ED3DF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ED3DF3"/>
    <w:rPr>
      <w:rFonts w:ascii="Times New Roman" w:hAnsi="Times New Roman"/>
      <w:sz w:val="24"/>
    </w:rPr>
  </w:style>
  <w:style w:type="paragraph" w:styleId="Listparagraf">
    <w:name w:val="List Paragraph"/>
    <w:basedOn w:val="Normal"/>
    <w:uiPriority w:val="34"/>
    <w:qFormat/>
    <w:rsid w:val="000A7BAF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85477D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</w:rPr>
  </w:style>
  <w:style w:type="table" w:styleId="Tabelgril">
    <w:name w:val="Table Grid"/>
    <w:basedOn w:val="TabelNormal"/>
    <w:uiPriority w:val="39"/>
    <w:rsid w:val="0085477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itlucuprins">
    <w:name w:val="TOC Heading"/>
    <w:basedOn w:val="Titlu1"/>
    <w:next w:val="Normal"/>
    <w:uiPriority w:val="39"/>
    <w:unhideWhenUsed/>
    <w:qFormat/>
    <w:rsid w:val="00D24650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</w:rPr>
  </w:style>
  <w:style w:type="paragraph" w:styleId="Cuprins1">
    <w:name w:val="toc 1"/>
    <w:basedOn w:val="Normal"/>
    <w:next w:val="Normal"/>
    <w:autoRedefine/>
    <w:uiPriority w:val="39"/>
    <w:unhideWhenUsed/>
    <w:rsid w:val="00D24650"/>
    <w:pPr>
      <w:spacing w:after="100"/>
    </w:pPr>
  </w:style>
  <w:style w:type="paragraph" w:styleId="Cuprins2">
    <w:name w:val="toc 2"/>
    <w:basedOn w:val="Normal"/>
    <w:next w:val="Normal"/>
    <w:autoRedefine/>
    <w:uiPriority w:val="39"/>
    <w:unhideWhenUsed/>
    <w:rsid w:val="00D24650"/>
    <w:pPr>
      <w:spacing w:after="100"/>
      <w:ind w:left="240"/>
    </w:pPr>
  </w:style>
  <w:style w:type="character" w:styleId="Hyperlink">
    <w:name w:val="Hyperlink"/>
    <w:basedOn w:val="Fontdeparagrafimplicit"/>
    <w:uiPriority w:val="99"/>
    <w:unhideWhenUsed/>
    <w:rsid w:val="00D24650"/>
    <w:rPr>
      <w:color w:val="0563C1" w:themeColor="hyperlink"/>
      <w:u w:val="single"/>
    </w:rPr>
  </w:style>
  <w:style w:type="paragraph" w:styleId="Titlu">
    <w:name w:val="Title"/>
    <w:basedOn w:val="Normal"/>
    <w:next w:val="Normal"/>
    <w:link w:val="TitluCaracter"/>
    <w:uiPriority w:val="10"/>
    <w:qFormat/>
    <w:rsid w:val="00CE5B69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CE5B6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customStyle="1" w:styleId="p1">
    <w:name w:val="p1"/>
    <w:basedOn w:val="Normal"/>
    <w:rsid w:val="006E3380"/>
    <w:pPr>
      <w:spacing w:after="0" w:line="240" w:lineRule="auto"/>
      <w:jc w:val="left"/>
    </w:pPr>
    <w:rPr>
      <w:rFonts w:ascii=".AppleSystemUIFont" w:eastAsiaTheme="minorEastAsia" w:hAnsi=".AppleSystemUIFont" w:cs="Times New Roman"/>
      <w:sz w:val="26"/>
      <w:szCs w:val="26"/>
      <w:lang w:val="ro-RO" w:eastAsia="ro-RO"/>
    </w:rPr>
  </w:style>
  <w:style w:type="character" w:customStyle="1" w:styleId="s1">
    <w:name w:val="s1"/>
    <w:basedOn w:val="Fontdeparagrafimplicit"/>
    <w:rsid w:val="006E3380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character" w:customStyle="1" w:styleId="apple-converted-space">
    <w:name w:val="apple-converted-space"/>
    <w:basedOn w:val="Fontdeparagrafimplicit"/>
    <w:rsid w:val="006E338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5564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682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3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642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877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552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36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516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664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7340426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420876586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350059247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8621629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6842152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7074855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11750084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1594779791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608008337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75809151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</w:div>
                  </w:divsChild>
                </w:div>
                <w:div w:id="1963413749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2089841165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2882419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904372375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1330133539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544485091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246262995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8042784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4201068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51110133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418790306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24349821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242108329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</w:div>
                  </w:divsChild>
                </w:div>
                <w:div w:id="1160922568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503934412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20210060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248878007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1237015844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2085372561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28718055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7011281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2111893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79554140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1522477134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66198776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721515249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</w:div>
                  </w:divsChild>
                </w:div>
                <w:div w:id="327829114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60412037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6248502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650600961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1400178913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625387155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926456369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486416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5104856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18190134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404688531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2111731294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869903850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</w:div>
                  </w:divsChild>
                </w:div>
                <w:div w:id="187060924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33365629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3977521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632397852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496968302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736277005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362321157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3544526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0567027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14946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051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466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929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2978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6044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85180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20555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270564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313704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2127561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3041860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319164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4381147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6770308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0300597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678077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1872243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54772124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52337066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80612228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99BADF4-5E98-4F89-B715-ECAA46418E34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1764</Words>
  <Characters>10233</Characters>
  <Application>Microsoft Office Word</Application>
  <DocSecurity>0</DocSecurity>
  <Lines>85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HP</dc:creator>
  <cp:keywords/>
  <dc:description/>
  <cp:lastModifiedBy>Ioana Valentina Huluta</cp:lastModifiedBy>
  <cp:revision>2</cp:revision>
  <dcterms:created xsi:type="dcterms:W3CDTF">2023-05-05T12:01:00Z</dcterms:created>
  <dcterms:modified xsi:type="dcterms:W3CDTF">2023-05-05T12:01:00Z</dcterms:modified>
</cp:coreProperties>
</file>