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0165E" w14:textId="77777777" w:rsidR="00DA07E4" w:rsidRDefault="00DA07E4" w:rsidP="001A713B">
      <w:pPr>
        <w:jc w:val="center"/>
        <w:rPr>
          <w:rFonts w:ascii="Arial" w:hAnsi="Arial" w:cs="Arial"/>
        </w:rPr>
      </w:pPr>
    </w:p>
    <w:p w14:paraId="38BE6AF2" w14:textId="77777777" w:rsidR="001A713B" w:rsidRDefault="001A713B" w:rsidP="001A713B">
      <w:pPr>
        <w:jc w:val="center"/>
        <w:rPr>
          <w:rFonts w:ascii="Arial" w:hAnsi="Arial" w:cs="Arial"/>
        </w:rPr>
      </w:pPr>
    </w:p>
    <w:p w14:paraId="7C7A5325" w14:textId="77777777" w:rsidR="001A713B" w:rsidRDefault="001A713B" w:rsidP="001A713B">
      <w:pPr>
        <w:jc w:val="center"/>
        <w:rPr>
          <w:rFonts w:ascii="Arial" w:hAnsi="Arial" w:cs="Arial"/>
        </w:rPr>
      </w:pPr>
    </w:p>
    <w:p w14:paraId="2B3AA5A7" w14:textId="77777777" w:rsidR="001A713B" w:rsidRDefault="001A713B" w:rsidP="001A713B">
      <w:pPr>
        <w:jc w:val="center"/>
        <w:rPr>
          <w:rFonts w:ascii="Arial" w:hAnsi="Arial" w:cs="Arial"/>
        </w:rPr>
      </w:pPr>
    </w:p>
    <w:p w14:paraId="6E24C3BA" w14:textId="77777777" w:rsidR="001A713B" w:rsidRDefault="001A713B" w:rsidP="001A713B">
      <w:pPr>
        <w:jc w:val="center"/>
        <w:rPr>
          <w:rFonts w:ascii="Arial" w:hAnsi="Arial" w:cs="Arial"/>
        </w:rPr>
      </w:pPr>
    </w:p>
    <w:p w14:paraId="460F28A0" w14:textId="77777777" w:rsidR="003E0431" w:rsidRDefault="003E0431" w:rsidP="001A713B">
      <w:pPr>
        <w:jc w:val="center"/>
        <w:rPr>
          <w:rFonts w:ascii="Arial" w:hAnsi="Arial" w:cs="Arial"/>
        </w:rPr>
      </w:pPr>
    </w:p>
    <w:p w14:paraId="7A4A1947" w14:textId="77777777" w:rsidR="003E0431" w:rsidRDefault="003E0431" w:rsidP="001A713B">
      <w:pPr>
        <w:jc w:val="center"/>
        <w:rPr>
          <w:rFonts w:ascii="Arial" w:hAnsi="Arial" w:cs="Arial"/>
        </w:rPr>
      </w:pPr>
    </w:p>
    <w:p w14:paraId="532DF0F0" w14:textId="77777777" w:rsidR="003E0431" w:rsidRDefault="003E0431" w:rsidP="001A713B">
      <w:pPr>
        <w:jc w:val="center"/>
        <w:rPr>
          <w:rFonts w:ascii="Arial" w:hAnsi="Arial" w:cs="Arial"/>
        </w:rPr>
      </w:pPr>
    </w:p>
    <w:p w14:paraId="5419D8DA" w14:textId="77777777" w:rsidR="00C63FF4" w:rsidRDefault="00C63FF4" w:rsidP="001A713B">
      <w:pPr>
        <w:jc w:val="center"/>
        <w:rPr>
          <w:rFonts w:ascii="Arial" w:hAnsi="Arial" w:cs="Arial"/>
        </w:rPr>
      </w:pPr>
    </w:p>
    <w:p w14:paraId="4CDACE45" w14:textId="77777777" w:rsidR="001A713B" w:rsidRDefault="001A713B" w:rsidP="001A713B">
      <w:pPr>
        <w:jc w:val="center"/>
        <w:rPr>
          <w:rFonts w:ascii="Arial" w:hAnsi="Arial" w:cs="Arial"/>
        </w:rPr>
      </w:pPr>
    </w:p>
    <w:p w14:paraId="211213CE" w14:textId="77777777" w:rsidR="001A713B" w:rsidRDefault="001A713B" w:rsidP="001A713B">
      <w:pPr>
        <w:jc w:val="center"/>
        <w:rPr>
          <w:rFonts w:ascii="Arial" w:hAnsi="Arial" w:cs="Arial"/>
        </w:rPr>
      </w:pPr>
    </w:p>
    <w:p w14:paraId="725CEF5B" w14:textId="77777777" w:rsidR="001A713B" w:rsidRDefault="001A713B" w:rsidP="001A713B">
      <w:pPr>
        <w:jc w:val="center"/>
        <w:rPr>
          <w:rFonts w:ascii="Arial" w:hAnsi="Arial" w:cs="Arial"/>
        </w:rPr>
      </w:pPr>
    </w:p>
    <w:p w14:paraId="1D66FC49" w14:textId="77777777" w:rsidR="001A713B" w:rsidRDefault="001A713B" w:rsidP="001A713B">
      <w:pPr>
        <w:spacing w:line="360" w:lineRule="auto"/>
        <w:jc w:val="center"/>
        <w:rPr>
          <w:rFonts w:ascii="Arial" w:hAnsi="Arial" w:cs="Arial"/>
        </w:rPr>
      </w:pPr>
    </w:p>
    <w:p w14:paraId="039B6085" w14:textId="77777777" w:rsidR="003E0431" w:rsidRDefault="003E0431" w:rsidP="001A713B">
      <w:pPr>
        <w:spacing w:line="360" w:lineRule="auto"/>
        <w:jc w:val="center"/>
        <w:rPr>
          <w:rFonts w:ascii="Arial" w:hAnsi="Arial" w:cs="Arial"/>
        </w:rPr>
      </w:pPr>
    </w:p>
    <w:p w14:paraId="7B0BE06C" w14:textId="77777777" w:rsidR="003E0431" w:rsidRDefault="003E0431" w:rsidP="001A713B">
      <w:pPr>
        <w:spacing w:line="360" w:lineRule="auto"/>
        <w:jc w:val="center"/>
        <w:rPr>
          <w:rFonts w:ascii="Arial" w:hAnsi="Arial" w:cs="Arial"/>
        </w:rPr>
      </w:pPr>
    </w:p>
    <w:p w14:paraId="46EF3544" w14:textId="77777777" w:rsidR="003E0431" w:rsidRDefault="003E0431" w:rsidP="001A713B">
      <w:pPr>
        <w:spacing w:line="360" w:lineRule="auto"/>
        <w:jc w:val="center"/>
        <w:rPr>
          <w:rFonts w:ascii="Arial" w:hAnsi="Arial" w:cs="Arial"/>
        </w:rPr>
      </w:pPr>
    </w:p>
    <w:p w14:paraId="120C5629" w14:textId="77777777" w:rsidR="001A713B" w:rsidRPr="001A713B" w:rsidRDefault="001A713B" w:rsidP="001A713B">
      <w:pPr>
        <w:spacing w:line="360" w:lineRule="auto"/>
        <w:rPr>
          <w:rFonts w:ascii="Arial" w:hAnsi="Arial" w:cs="Arial"/>
          <w:bCs/>
          <w:color w:val="000000" w:themeColor="text1"/>
        </w:rPr>
      </w:pPr>
    </w:p>
    <w:p w14:paraId="0C2CEC12" w14:textId="77777777" w:rsidR="004B33D4" w:rsidRDefault="001A713B" w:rsidP="001A713B">
      <w:pPr>
        <w:spacing w:line="360" w:lineRule="auto"/>
        <w:jc w:val="center"/>
        <w:outlineLvl w:val="0"/>
        <w:rPr>
          <w:rFonts w:ascii="Arial" w:hAnsi="Arial" w:cs="Arial"/>
          <w:b/>
          <w:color w:val="000000" w:themeColor="text1"/>
          <w:kern w:val="36"/>
        </w:rPr>
      </w:pPr>
      <w:r w:rsidRPr="001A713B">
        <w:rPr>
          <w:rFonts w:ascii="Arial" w:hAnsi="Arial" w:cs="Arial"/>
          <w:b/>
          <w:color w:val="000000" w:themeColor="text1"/>
          <w:kern w:val="36"/>
        </w:rPr>
        <w:t xml:space="preserve">Sustainable Tourism in Context: </w:t>
      </w:r>
    </w:p>
    <w:p w14:paraId="3030A964" w14:textId="0F716499" w:rsidR="001A713B" w:rsidRPr="001A713B" w:rsidRDefault="001A713B" w:rsidP="001A713B">
      <w:pPr>
        <w:spacing w:line="360" w:lineRule="auto"/>
        <w:jc w:val="center"/>
        <w:outlineLvl w:val="0"/>
        <w:rPr>
          <w:rFonts w:ascii="Arial" w:hAnsi="Arial" w:cs="Arial"/>
          <w:b/>
          <w:color w:val="000000" w:themeColor="text1"/>
          <w:kern w:val="36"/>
        </w:rPr>
      </w:pPr>
      <w:r w:rsidRPr="001A713B">
        <w:rPr>
          <w:rFonts w:ascii="Arial" w:hAnsi="Arial" w:cs="Arial"/>
          <w:b/>
          <w:color w:val="000000" w:themeColor="text1"/>
          <w:kern w:val="36"/>
        </w:rPr>
        <w:t xml:space="preserve">A Critical Evaluation of Regional </w:t>
      </w:r>
      <w:r w:rsidR="00133284">
        <w:rPr>
          <w:rFonts w:ascii="Arial" w:hAnsi="Arial" w:cs="Arial"/>
          <w:b/>
          <w:color w:val="000000" w:themeColor="text1"/>
          <w:kern w:val="36"/>
        </w:rPr>
        <w:t>Practices</w:t>
      </w:r>
      <w:r w:rsidRPr="001A713B">
        <w:rPr>
          <w:rFonts w:ascii="Arial" w:hAnsi="Arial" w:cs="Arial"/>
          <w:b/>
          <w:color w:val="000000" w:themeColor="text1"/>
          <w:kern w:val="36"/>
        </w:rPr>
        <w:t>, Policies, and the Role of CSR.</w:t>
      </w:r>
    </w:p>
    <w:p w14:paraId="539368D6" w14:textId="2C41AFA8" w:rsidR="001A713B" w:rsidRDefault="001A713B" w:rsidP="001A713B">
      <w:pPr>
        <w:spacing w:line="360" w:lineRule="auto"/>
        <w:jc w:val="center"/>
        <w:outlineLvl w:val="0"/>
        <w:rPr>
          <w:rFonts w:ascii="Arial" w:hAnsi="Arial" w:cs="Arial"/>
          <w:bCs/>
          <w:color w:val="000000" w:themeColor="text1"/>
          <w:kern w:val="36"/>
        </w:rPr>
      </w:pPr>
      <w:r>
        <w:rPr>
          <w:rFonts w:ascii="Arial" w:hAnsi="Arial" w:cs="Arial"/>
          <w:bCs/>
          <w:color w:val="000000" w:themeColor="text1"/>
          <w:kern w:val="36"/>
        </w:rPr>
        <w:t>Sustainable Global Tourism &amp; Events, BMTP5023.</w:t>
      </w:r>
    </w:p>
    <w:p w14:paraId="2FE4A67B" w14:textId="68FF962A" w:rsidR="001A713B" w:rsidRPr="001A713B" w:rsidRDefault="001A713B" w:rsidP="001A713B">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Deborah Jenkins.</w:t>
      </w:r>
    </w:p>
    <w:p w14:paraId="4A4915B6" w14:textId="2BF9C2E4" w:rsidR="001A713B" w:rsidRPr="001A713B" w:rsidRDefault="001A713B" w:rsidP="001A713B">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 xml:space="preserve">Nia </w:t>
      </w:r>
      <w:proofErr w:type="spellStart"/>
      <w:r w:rsidRPr="001A713B">
        <w:rPr>
          <w:rFonts w:ascii="Arial" w:hAnsi="Arial" w:cs="Arial"/>
          <w:bCs/>
          <w:color w:val="000000" w:themeColor="text1"/>
          <w:kern w:val="36"/>
        </w:rPr>
        <w:t>Mugford</w:t>
      </w:r>
      <w:proofErr w:type="spellEnd"/>
      <w:r w:rsidRPr="001A713B">
        <w:rPr>
          <w:rFonts w:ascii="Arial" w:hAnsi="Arial" w:cs="Arial"/>
          <w:bCs/>
          <w:color w:val="000000" w:themeColor="text1"/>
          <w:kern w:val="36"/>
        </w:rPr>
        <w:t>.</w:t>
      </w:r>
    </w:p>
    <w:p w14:paraId="1E3A8266" w14:textId="6031BE9F" w:rsidR="001A713B" w:rsidRDefault="001A713B" w:rsidP="001A713B">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2404769.</w:t>
      </w:r>
    </w:p>
    <w:p w14:paraId="4394E22A" w14:textId="6D03AFB7" w:rsidR="001A713B" w:rsidRPr="001A713B" w:rsidRDefault="001A713B" w:rsidP="001A713B">
      <w:pPr>
        <w:spacing w:line="360" w:lineRule="auto"/>
        <w:jc w:val="center"/>
        <w:outlineLvl w:val="0"/>
        <w:rPr>
          <w:rFonts w:ascii="Arial" w:hAnsi="Arial" w:cs="Arial"/>
          <w:bCs/>
          <w:color w:val="000000" w:themeColor="text1"/>
          <w:kern w:val="36"/>
        </w:rPr>
      </w:pPr>
      <w:r>
        <w:rPr>
          <w:rFonts w:ascii="Arial" w:hAnsi="Arial" w:cs="Arial"/>
          <w:bCs/>
          <w:color w:val="000000" w:themeColor="text1"/>
          <w:kern w:val="36"/>
        </w:rPr>
        <w:t xml:space="preserve">Word Count </w:t>
      </w:r>
      <w:r w:rsidR="0045128A">
        <w:rPr>
          <w:rFonts w:ascii="Arial" w:hAnsi="Arial" w:cs="Arial"/>
          <w:bCs/>
          <w:color w:val="000000" w:themeColor="text1"/>
          <w:kern w:val="36"/>
        </w:rPr>
        <w:t>– 1925.</w:t>
      </w:r>
    </w:p>
    <w:p w14:paraId="6BBDE983" w14:textId="77777777" w:rsidR="001A713B" w:rsidRDefault="001A713B" w:rsidP="001A713B">
      <w:pPr>
        <w:spacing w:line="360" w:lineRule="auto"/>
        <w:jc w:val="center"/>
        <w:outlineLvl w:val="0"/>
        <w:rPr>
          <w:rFonts w:ascii="Arial" w:hAnsi="Arial" w:cs="Arial"/>
          <w:bCs/>
          <w:color w:val="000000" w:themeColor="text1"/>
          <w:kern w:val="36"/>
        </w:rPr>
      </w:pPr>
    </w:p>
    <w:p w14:paraId="799A8D0F" w14:textId="77777777" w:rsidR="001A713B" w:rsidRDefault="001A713B" w:rsidP="001A713B">
      <w:pPr>
        <w:spacing w:line="360" w:lineRule="auto"/>
        <w:jc w:val="center"/>
        <w:outlineLvl w:val="0"/>
        <w:rPr>
          <w:rFonts w:ascii="Arial" w:hAnsi="Arial" w:cs="Arial"/>
          <w:bCs/>
          <w:color w:val="000000" w:themeColor="text1"/>
          <w:kern w:val="36"/>
        </w:rPr>
      </w:pPr>
    </w:p>
    <w:p w14:paraId="7A561D8F" w14:textId="77777777" w:rsidR="001A713B" w:rsidRDefault="001A713B" w:rsidP="001A713B">
      <w:pPr>
        <w:spacing w:line="360" w:lineRule="auto"/>
        <w:jc w:val="center"/>
        <w:outlineLvl w:val="0"/>
        <w:rPr>
          <w:rFonts w:ascii="Arial" w:hAnsi="Arial" w:cs="Arial"/>
          <w:bCs/>
          <w:color w:val="000000" w:themeColor="text1"/>
          <w:kern w:val="36"/>
        </w:rPr>
      </w:pPr>
    </w:p>
    <w:p w14:paraId="533CAF63" w14:textId="77777777" w:rsidR="001A713B" w:rsidRDefault="001A713B" w:rsidP="001A713B">
      <w:pPr>
        <w:spacing w:line="360" w:lineRule="auto"/>
        <w:jc w:val="center"/>
        <w:outlineLvl w:val="0"/>
        <w:rPr>
          <w:rFonts w:ascii="Arial" w:hAnsi="Arial" w:cs="Arial"/>
          <w:bCs/>
          <w:color w:val="000000" w:themeColor="text1"/>
          <w:kern w:val="36"/>
        </w:rPr>
      </w:pPr>
    </w:p>
    <w:p w14:paraId="4AF274A7" w14:textId="77777777" w:rsidR="001A713B" w:rsidRDefault="001A713B" w:rsidP="001A713B">
      <w:pPr>
        <w:spacing w:line="360" w:lineRule="auto"/>
        <w:jc w:val="center"/>
        <w:outlineLvl w:val="0"/>
        <w:rPr>
          <w:rFonts w:ascii="Arial" w:hAnsi="Arial" w:cs="Arial"/>
          <w:bCs/>
          <w:color w:val="000000" w:themeColor="text1"/>
          <w:kern w:val="36"/>
        </w:rPr>
      </w:pPr>
    </w:p>
    <w:p w14:paraId="7A2F6BE3" w14:textId="77777777" w:rsidR="001A713B" w:rsidRDefault="001A713B" w:rsidP="001A713B">
      <w:pPr>
        <w:spacing w:line="360" w:lineRule="auto"/>
        <w:jc w:val="center"/>
        <w:outlineLvl w:val="0"/>
        <w:rPr>
          <w:rFonts w:ascii="Arial" w:hAnsi="Arial" w:cs="Arial"/>
          <w:bCs/>
          <w:color w:val="000000" w:themeColor="text1"/>
          <w:kern w:val="36"/>
        </w:rPr>
      </w:pPr>
    </w:p>
    <w:p w14:paraId="3CBC40E8" w14:textId="77777777" w:rsidR="001A713B" w:rsidRDefault="001A713B" w:rsidP="001A713B">
      <w:pPr>
        <w:spacing w:line="360" w:lineRule="auto"/>
        <w:jc w:val="center"/>
        <w:outlineLvl w:val="0"/>
        <w:rPr>
          <w:rFonts w:ascii="Arial" w:hAnsi="Arial" w:cs="Arial"/>
          <w:bCs/>
          <w:color w:val="000000" w:themeColor="text1"/>
          <w:kern w:val="36"/>
        </w:rPr>
      </w:pPr>
    </w:p>
    <w:p w14:paraId="74A1624E" w14:textId="77777777" w:rsidR="001A713B" w:rsidRDefault="001A713B" w:rsidP="001A713B">
      <w:pPr>
        <w:spacing w:line="360" w:lineRule="auto"/>
        <w:jc w:val="center"/>
        <w:outlineLvl w:val="0"/>
        <w:rPr>
          <w:rFonts w:ascii="Arial" w:hAnsi="Arial" w:cs="Arial"/>
          <w:bCs/>
          <w:color w:val="000000" w:themeColor="text1"/>
          <w:kern w:val="36"/>
        </w:rPr>
      </w:pPr>
    </w:p>
    <w:p w14:paraId="737A3F9A" w14:textId="77777777" w:rsidR="001A713B" w:rsidRDefault="001A713B" w:rsidP="001A713B">
      <w:pPr>
        <w:spacing w:line="360" w:lineRule="auto"/>
        <w:jc w:val="center"/>
        <w:outlineLvl w:val="0"/>
        <w:rPr>
          <w:rFonts w:ascii="Arial" w:hAnsi="Arial" w:cs="Arial"/>
          <w:bCs/>
          <w:color w:val="000000" w:themeColor="text1"/>
          <w:kern w:val="36"/>
        </w:rPr>
      </w:pPr>
    </w:p>
    <w:p w14:paraId="3F95B3B0" w14:textId="77777777" w:rsidR="001A713B" w:rsidRDefault="001A713B" w:rsidP="001A713B">
      <w:pPr>
        <w:spacing w:line="360" w:lineRule="auto"/>
        <w:jc w:val="center"/>
        <w:outlineLvl w:val="0"/>
        <w:rPr>
          <w:rFonts w:ascii="Arial" w:hAnsi="Arial" w:cs="Arial"/>
          <w:bCs/>
          <w:color w:val="000000" w:themeColor="text1"/>
          <w:kern w:val="36"/>
        </w:rPr>
      </w:pPr>
    </w:p>
    <w:p w14:paraId="4A687A44" w14:textId="77777777" w:rsidR="001A713B" w:rsidRDefault="001A713B" w:rsidP="001A713B">
      <w:pPr>
        <w:spacing w:line="360" w:lineRule="auto"/>
        <w:jc w:val="center"/>
        <w:outlineLvl w:val="0"/>
        <w:rPr>
          <w:rFonts w:ascii="Arial" w:hAnsi="Arial" w:cs="Arial"/>
          <w:bCs/>
          <w:color w:val="000000" w:themeColor="text1"/>
          <w:kern w:val="36"/>
        </w:rPr>
      </w:pPr>
    </w:p>
    <w:p w14:paraId="71B45690" w14:textId="77777777" w:rsidR="001A713B" w:rsidRDefault="001A713B" w:rsidP="001A713B">
      <w:pPr>
        <w:spacing w:line="360" w:lineRule="auto"/>
        <w:jc w:val="center"/>
        <w:outlineLvl w:val="0"/>
        <w:rPr>
          <w:rFonts w:ascii="Arial" w:hAnsi="Arial" w:cs="Arial"/>
          <w:bCs/>
          <w:color w:val="000000" w:themeColor="text1"/>
          <w:kern w:val="36"/>
        </w:rPr>
      </w:pPr>
    </w:p>
    <w:p w14:paraId="5EF44F9D" w14:textId="77777777" w:rsidR="003E0431" w:rsidRDefault="003E0431" w:rsidP="001A713B">
      <w:pPr>
        <w:spacing w:line="360" w:lineRule="auto"/>
        <w:jc w:val="center"/>
        <w:outlineLvl w:val="0"/>
        <w:rPr>
          <w:rFonts w:ascii="Arial" w:hAnsi="Arial" w:cs="Arial"/>
          <w:bCs/>
          <w:color w:val="000000" w:themeColor="text1"/>
          <w:kern w:val="36"/>
        </w:rPr>
      </w:pPr>
    </w:p>
    <w:p w14:paraId="180961AD" w14:textId="77777777" w:rsidR="001A713B" w:rsidRPr="001A713B" w:rsidRDefault="001A713B" w:rsidP="001A713B">
      <w:pPr>
        <w:spacing w:line="360" w:lineRule="auto"/>
        <w:jc w:val="both"/>
        <w:outlineLvl w:val="0"/>
        <w:rPr>
          <w:rFonts w:ascii="Arial" w:hAnsi="Arial" w:cs="Arial"/>
          <w:bCs/>
          <w:color w:val="000000" w:themeColor="text1"/>
          <w:kern w:val="36"/>
        </w:rPr>
      </w:pPr>
    </w:p>
    <w:p w14:paraId="6F398F41" w14:textId="23F63E42" w:rsidR="00FF276E" w:rsidRPr="00FF276E" w:rsidRDefault="00FF276E" w:rsidP="00FF27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u w:val="single"/>
        </w:rPr>
      </w:pPr>
      <w:r w:rsidRPr="00FF276E">
        <w:rPr>
          <w:rFonts w:ascii="Arial" w:hAnsi="Arial" w:cs="Arial"/>
          <w:b/>
          <w:bCs/>
          <w:color w:val="000000"/>
          <w:u w:val="single"/>
        </w:rPr>
        <w:lastRenderedPageBreak/>
        <w:t>AI Declaration.</w:t>
      </w:r>
    </w:p>
    <w:p w14:paraId="1C18206B" w14:textId="77777777" w:rsidR="00FF276E" w:rsidRDefault="00FF276E" w:rsidP="00FF27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14:paraId="132EF135" w14:textId="279B4644" w:rsidR="00E4416A" w:rsidRDefault="00FF276E"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sidRPr="00FF276E">
        <w:rPr>
          <w:rFonts w:ascii="Arial" w:hAnsi="Arial" w:cs="Arial"/>
          <w:color w:val="000000"/>
        </w:rPr>
        <w:t>I confirm that I have not used any AI tools in the research and creation of this assignment. I</w:t>
      </w:r>
      <w:r>
        <w:rPr>
          <w:rFonts w:ascii="Arial" w:hAnsi="Arial" w:cs="Arial"/>
          <w:color w:val="000000"/>
        </w:rPr>
        <w:t xml:space="preserve"> </w:t>
      </w:r>
      <w:r w:rsidRPr="00FF276E">
        <w:rPr>
          <w:rFonts w:ascii="Arial" w:hAnsi="Arial" w:cs="Arial"/>
          <w:color w:val="000000"/>
        </w:rPr>
        <w:t>confirm that I have not presented any AI generated materials as my own work. I confirm I</w:t>
      </w:r>
      <w:r>
        <w:rPr>
          <w:rFonts w:ascii="Arial" w:hAnsi="Arial" w:cs="Arial"/>
          <w:color w:val="000000"/>
        </w:rPr>
        <w:t xml:space="preserve"> </w:t>
      </w:r>
      <w:r w:rsidRPr="00FF276E">
        <w:rPr>
          <w:rFonts w:ascii="Arial" w:hAnsi="Arial" w:cs="Arial"/>
          <w:color w:val="000000"/>
        </w:rPr>
        <w:t>have copies of my drafts, notes, and other resources I used, which I may be asked to</w:t>
      </w:r>
      <w:r>
        <w:rPr>
          <w:rFonts w:ascii="Arial" w:hAnsi="Arial" w:cs="Arial"/>
          <w:color w:val="000000"/>
        </w:rPr>
        <w:t xml:space="preserve"> </w:t>
      </w:r>
      <w:r w:rsidRPr="00FF276E">
        <w:rPr>
          <w:rFonts w:ascii="Arial" w:hAnsi="Arial" w:cs="Arial"/>
          <w:color w:val="000000"/>
        </w:rPr>
        <w:t>provide in evidence.</w:t>
      </w:r>
    </w:p>
    <w:p w14:paraId="2AA0E704" w14:textId="77777777" w:rsidR="00E4416A" w:rsidRP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u w:val="single"/>
        </w:rPr>
      </w:pPr>
    </w:p>
    <w:p w14:paraId="0991390F" w14:textId="136921FD" w:rsidR="00E4416A" w:rsidRP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u w:val="single"/>
        </w:rPr>
      </w:pPr>
      <w:r w:rsidRPr="00E4416A">
        <w:rPr>
          <w:rFonts w:ascii="Arial" w:hAnsi="Arial" w:cs="Arial"/>
          <w:b/>
          <w:bCs/>
          <w:color w:val="000000"/>
          <w:u w:val="single"/>
        </w:rPr>
        <w:t>Introduction.</w:t>
      </w:r>
    </w:p>
    <w:p w14:paraId="1A128742" w14:textId="71EFC23F"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Within this essay, the researcher will discuss several themes surrounding the policies and practices in place within tropical islands, such as The Caribbean and the Maldives, whilst considering different cultural, environmental, and policy-based context in order to showcase how sustainability is challenged within these areas, and how they can vary world-wide. It is vital for tourism to uphold a sense of sustainability, as this helps </w:t>
      </w:r>
      <w:proofErr w:type="gramStart"/>
      <w:r>
        <w:rPr>
          <w:rFonts w:ascii="Arial" w:hAnsi="Arial" w:cs="Arial"/>
          <w:color w:val="000000"/>
        </w:rPr>
        <w:t>in regards to</w:t>
      </w:r>
      <w:proofErr w:type="gramEnd"/>
      <w:r>
        <w:rPr>
          <w:rFonts w:ascii="Arial" w:hAnsi="Arial" w:cs="Arial"/>
          <w:color w:val="000000"/>
        </w:rPr>
        <w:t xml:space="preserve"> balancing economic benefits with the preservation of the environment, as well as upholding social wellbeing </w:t>
      </w:r>
      <w:r>
        <w:rPr>
          <w:rFonts w:ascii="Arial" w:hAnsi="Arial" w:cs="Arial"/>
          <w:color w:val="000000"/>
        </w:rPr>
        <w:t>(Joseph, 2025)</w:t>
      </w:r>
      <w:r>
        <w:rPr>
          <w:rFonts w:ascii="Arial" w:hAnsi="Arial" w:cs="Arial"/>
          <w:color w:val="000000"/>
        </w:rPr>
        <w:t xml:space="preserve">. Sustainable tourism developments help with supporting an economic growth, through creating jobs, generation income, and also aiding with the fostering of business opportunities, which helps in enhancing the livelihoods of local individuals, as well as strengthening community empowerment </w:t>
      </w:r>
      <w:r>
        <w:rPr>
          <w:rFonts w:ascii="Arial" w:hAnsi="Arial" w:cs="Arial"/>
          <w:color w:val="000000"/>
        </w:rPr>
        <w:t>(Shieh and Chang, 2025)</w:t>
      </w:r>
      <w:r>
        <w:rPr>
          <w:rFonts w:ascii="Arial" w:hAnsi="Arial" w:cs="Arial"/>
          <w:color w:val="000000"/>
        </w:rPr>
        <w:t xml:space="preserve">. The tropical islands, such as the Caribbean, the Maldives, and the Pacific Islands, have faced multiple sustainability challenges, as a result of increased climate change, a growth in tourism numbers, and several environmental pressures; these changes have led to several environmental impacts for the islands, including challenges within the water resource management systems </w:t>
      </w:r>
      <w:r>
        <w:rPr>
          <w:rFonts w:ascii="Arial" w:hAnsi="Arial" w:cs="Arial"/>
          <w:color w:val="000000"/>
        </w:rPr>
        <w:t xml:space="preserve">(Forde, Cashman and Mitchell, </w:t>
      </w:r>
      <w:r>
        <w:rPr>
          <w:rFonts w:ascii="Arial" w:hAnsi="Arial" w:cs="Arial"/>
          <w:color w:val="000000"/>
        </w:rPr>
        <w:t xml:space="preserve">p.265, </w:t>
      </w:r>
      <w:r>
        <w:rPr>
          <w:rFonts w:ascii="Arial" w:hAnsi="Arial" w:cs="Arial"/>
          <w:color w:val="000000"/>
        </w:rPr>
        <w:t>2024)</w:t>
      </w:r>
      <w:r>
        <w:rPr>
          <w:rFonts w:ascii="Arial" w:hAnsi="Arial" w:cs="Arial"/>
          <w:color w:val="000000"/>
        </w:rPr>
        <w:t>.</w:t>
      </w:r>
    </w:p>
    <w:p w14:paraId="7D373A5C" w14:textId="77777777"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48B0C8A2" w14:textId="77777777"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44C0D124" w14:textId="5BFCADBF"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Located between Guadeloupe and Martinique is the mountainous </w:t>
      </w:r>
      <w:proofErr w:type="gramStart"/>
      <w:r>
        <w:rPr>
          <w:rFonts w:ascii="Arial" w:hAnsi="Arial" w:cs="Arial"/>
          <w:color w:val="000000"/>
        </w:rPr>
        <w:t>Caribbean island</w:t>
      </w:r>
      <w:proofErr w:type="gramEnd"/>
      <w:r>
        <w:rPr>
          <w:rFonts w:ascii="Arial" w:hAnsi="Arial" w:cs="Arial"/>
          <w:color w:val="000000"/>
        </w:rPr>
        <w:t xml:space="preserve"> nation of Dominica. Often confused for its neighbouring nation of the Dominican Republic, Dominica is a relatively unknown tourist destination. Traditionally, the Dominican economy has been heavily reliant on agriculture- in particular its banana farming </w:t>
      </w:r>
      <w:r>
        <w:rPr>
          <w:rFonts w:ascii="Arial" w:hAnsi="Arial" w:cs="Arial"/>
          <w:color w:val="000000"/>
        </w:rPr>
        <w:t>(</w:t>
      </w:r>
      <w:proofErr w:type="spellStart"/>
      <w:r>
        <w:rPr>
          <w:rFonts w:ascii="Arial" w:hAnsi="Arial" w:cs="Arial"/>
          <w:color w:val="000000"/>
        </w:rPr>
        <w:t>Inkson</w:t>
      </w:r>
      <w:proofErr w:type="spellEnd"/>
      <w:r>
        <w:rPr>
          <w:rFonts w:ascii="Arial" w:hAnsi="Arial" w:cs="Arial"/>
          <w:color w:val="000000"/>
        </w:rPr>
        <w:t xml:space="preserve"> and </w:t>
      </w:r>
      <w:proofErr w:type="spellStart"/>
      <w:r>
        <w:rPr>
          <w:rFonts w:ascii="Arial" w:hAnsi="Arial" w:cs="Arial"/>
          <w:color w:val="000000"/>
        </w:rPr>
        <w:t>Minnaert</w:t>
      </w:r>
      <w:proofErr w:type="spellEnd"/>
      <w:r>
        <w:rPr>
          <w:rFonts w:ascii="Arial" w:hAnsi="Arial" w:cs="Arial"/>
          <w:color w:val="000000"/>
        </w:rPr>
        <w:t>, 2022, pp.224)</w:t>
      </w:r>
      <w:r>
        <w:rPr>
          <w:rFonts w:ascii="Arial" w:hAnsi="Arial" w:cs="Arial"/>
          <w:color w:val="000000"/>
        </w:rPr>
        <w:t xml:space="preserve">. However, as of late, the economy has been driven intensely but tourism, as the Dominican government seeks to promote the nation as an eco-tourism destination; The World Travel and Tourism Council (WTTC) has reported that the direct contribution of the travel and tourism sector contributed approximately 12.4% to the total GDP of the country, with overnight international tourism arrivals numbered at around 322,000 in 2019 </w:t>
      </w:r>
      <w:r>
        <w:rPr>
          <w:rFonts w:ascii="Arial" w:hAnsi="Arial" w:cs="Arial"/>
          <w:color w:val="000000"/>
        </w:rPr>
        <w:t>(</w:t>
      </w:r>
      <w:proofErr w:type="spellStart"/>
      <w:r>
        <w:rPr>
          <w:rFonts w:ascii="Arial" w:hAnsi="Arial" w:cs="Arial"/>
          <w:color w:val="000000"/>
        </w:rPr>
        <w:t>Inkson</w:t>
      </w:r>
      <w:proofErr w:type="spellEnd"/>
      <w:r>
        <w:rPr>
          <w:rFonts w:ascii="Arial" w:hAnsi="Arial" w:cs="Arial"/>
          <w:color w:val="000000"/>
        </w:rPr>
        <w:t xml:space="preserve"> and </w:t>
      </w:r>
      <w:proofErr w:type="spellStart"/>
      <w:r>
        <w:rPr>
          <w:rFonts w:ascii="Arial" w:hAnsi="Arial" w:cs="Arial"/>
          <w:color w:val="000000"/>
        </w:rPr>
        <w:t>Minnaert</w:t>
      </w:r>
      <w:proofErr w:type="spellEnd"/>
      <w:r>
        <w:rPr>
          <w:rFonts w:ascii="Arial" w:hAnsi="Arial" w:cs="Arial"/>
          <w:color w:val="000000"/>
        </w:rPr>
        <w:t>, 2022, pp.224)</w:t>
      </w:r>
      <w:r>
        <w:rPr>
          <w:rFonts w:ascii="Arial" w:hAnsi="Arial" w:cs="Arial"/>
          <w:color w:val="000000"/>
        </w:rPr>
        <w:t xml:space="preserve">. A lot of Dominica’s tourism receipts are from the cruise sector, with only 90,000 of the 322,000 from 2019 residing on the island- with the remaining 232,000 being cruise tourists </w:t>
      </w:r>
      <w:r>
        <w:rPr>
          <w:rFonts w:ascii="Arial" w:hAnsi="Arial" w:cs="Arial"/>
          <w:color w:val="000000"/>
        </w:rPr>
        <w:t>(</w:t>
      </w:r>
      <w:proofErr w:type="spellStart"/>
      <w:r>
        <w:rPr>
          <w:rFonts w:ascii="Arial" w:hAnsi="Arial" w:cs="Arial"/>
          <w:color w:val="000000"/>
        </w:rPr>
        <w:t>Inkson</w:t>
      </w:r>
      <w:proofErr w:type="spellEnd"/>
      <w:r>
        <w:rPr>
          <w:rFonts w:ascii="Arial" w:hAnsi="Arial" w:cs="Arial"/>
          <w:color w:val="000000"/>
        </w:rPr>
        <w:t xml:space="preserve"> and </w:t>
      </w:r>
      <w:proofErr w:type="spellStart"/>
      <w:r>
        <w:rPr>
          <w:rFonts w:ascii="Arial" w:hAnsi="Arial" w:cs="Arial"/>
          <w:color w:val="000000"/>
        </w:rPr>
        <w:t>Minnaert</w:t>
      </w:r>
      <w:proofErr w:type="spellEnd"/>
      <w:r>
        <w:rPr>
          <w:rFonts w:ascii="Arial" w:hAnsi="Arial" w:cs="Arial"/>
          <w:color w:val="000000"/>
        </w:rPr>
        <w:t>, 2022, pp.224</w:t>
      </w:r>
      <w:r>
        <w:rPr>
          <w:rFonts w:ascii="Arial" w:hAnsi="Arial" w:cs="Arial"/>
          <w:color w:val="000000"/>
        </w:rPr>
        <w:t xml:space="preserve">). </w:t>
      </w:r>
    </w:p>
    <w:p w14:paraId="7C472990" w14:textId="77777777"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4B795DF6" w14:textId="3F991BBD"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However, </w:t>
      </w:r>
      <w:proofErr w:type="spellStart"/>
      <w:r>
        <w:rPr>
          <w:rFonts w:ascii="Arial" w:hAnsi="Arial" w:cs="Arial"/>
          <w:color w:val="000000"/>
        </w:rPr>
        <w:t>Dominca</w:t>
      </w:r>
      <w:proofErr w:type="spellEnd"/>
      <w:r>
        <w:rPr>
          <w:rFonts w:ascii="Arial" w:hAnsi="Arial" w:cs="Arial"/>
          <w:color w:val="000000"/>
        </w:rPr>
        <w:t xml:space="preserve"> has faced several challenges with its development of the tourism sector. People often associate the Caribbean with luscious beaches and intense sunshine, whilst Dominica often experiences intense rainfall and is a mountainous, volcanic region. Furthermore, Dominica also experiences a lack of direct air access- as there are no direct flights from major countries such as the USA, those travelling to Dominica often have to arrive via connecting flights from nearby regions such as Antigua, St. Lucia, and Barbados </w:t>
      </w:r>
      <w:r>
        <w:rPr>
          <w:rFonts w:ascii="Arial" w:hAnsi="Arial" w:cs="Arial"/>
          <w:color w:val="000000"/>
        </w:rPr>
        <w:t>(</w:t>
      </w:r>
      <w:proofErr w:type="spellStart"/>
      <w:r>
        <w:rPr>
          <w:rFonts w:ascii="Arial" w:hAnsi="Arial" w:cs="Arial"/>
          <w:color w:val="000000"/>
        </w:rPr>
        <w:t>Inkson</w:t>
      </w:r>
      <w:proofErr w:type="spellEnd"/>
      <w:r>
        <w:rPr>
          <w:rFonts w:ascii="Arial" w:hAnsi="Arial" w:cs="Arial"/>
          <w:color w:val="000000"/>
        </w:rPr>
        <w:t xml:space="preserve"> and </w:t>
      </w:r>
      <w:proofErr w:type="spellStart"/>
      <w:r>
        <w:rPr>
          <w:rFonts w:ascii="Arial" w:hAnsi="Arial" w:cs="Arial"/>
          <w:color w:val="000000"/>
        </w:rPr>
        <w:t>Minnaert</w:t>
      </w:r>
      <w:proofErr w:type="spellEnd"/>
      <w:r>
        <w:rPr>
          <w:rFonts w:ascii="Arial" w:hAnsi="Arial" w:cs="Arial"/>
          <w:color w:val="000000"/>
        </w:rPr>
        <w:t>, 2022, pp.224</w:t>
      </w:r>
      <w:r>
        <w:rPr>
          <w:rFonts w:ascii="Arial" w:hAnsi="Arial" w:cs="Arial"/>
          <w:color w:val="000000"/>
        </w:rPr>
        <w:t xml:space="preserve">). The region is also often impacted by hurricanes; Hurricane Maria in 2017 caused severe damage to all of the country’s transportation and physical infrastructure, whilst also causing damage to its agricultural sector </w:t>
      </w:r>
      <w:r>
        <w:rPr>
          <w:rFonts w:ascii="Arial" w:hAnsi="Arial" w:cs="Arial"/>
          <w:color w:val="000000"/>
        </w:rPr>
        <w:t>(</w:t>
      </w:r>
      <w:proofErr w:type="spellStart"/>
      <w:r>
        <w:rPr>
          <w:rFonts w:ascii="Arial" w:hAnsi="Arial" w:cs="Arial"/>
          <w:color w:val="000000"/>
        </w:rPr>
        <w:t>Inkson</w:t>
      </w:r>
      <w:proofErr w:type="spellEnd"/>
      <w:r>
        <w:rPr>
          <w:rFonts w:ascii="Arial" w:hAnsi="Arial" w:cs="Arial"/>
          <w:color w:val="000000"/>
        </w:rPr>
        <w:t xml:space="preserve"> and </w:t>
      </w:r>
      <w:proofErr w:type="spellStart"/>
      <w:r>
        <w:rPr>
          <w:rFonts w:ascii="Arial" w:hAnsi="Arial" w:cs="Arial"/>
          <w:color w:val="000000"/>
        </w:rPr>
        <w:t>Minnaert</w:t>
      </w:r>
      <w:proofErr w:type="spellEnd"/>
      <w:r>
        <w:rPr>
          <w:rFonts w:ascii="Arial" w:hAnsi="Arial" w:cs="Arial"/>
          <w:color w:val="000000"/>
        </w:rPr>
        <w:t>, 2022, pp.22</w:t>
      </w:r>
      <w:r>
        <w:rPr>
          <w:rFonts w:ascii="Arial" w:hAnsi="Arial" w:cs="Arial"/>
          <w:color w:val="000000"/>
        </w:rPr>
        <w:t xml:space="preserve">4). </w:t>
      </w:r>
    </w:p>
    <w:p w14:paraId="1DFAC019" w14:textId="299F8AF3" w:rsidR="00E4416A" w:rsidRDefault="00E4416A"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lastRenderedPageBreak/>
        <w:t xml:space="preserve">The cruise sector in particular poses significant challenges to the Caribbean islands- affecting marine ecosystems in particular. One of the significant issues that comes as a result of the cruise sector is the physical damage to the fragile coral reefs, which is a direct result of the anchoring of the ships; this then threatens the ecological balance of the marine environment of the region (Allen, 1992). Furthermore, the cruise industry also contributes to the emission of greenhouse gasses, which also impacts the biodiversity of areas within the islands. Efforts have been made to address these issues, including corporate social responsibilities initiatives, the management of emissions, as well as collaboration among stakeholders to help develop more sustainable practices </w:t>
      </w:r>
      <w:r>
        <w:rPr>
          <w:rFonts w:ascii="Arial" w:hAnsi="Arial" w:cs="Arial"/>
          <w:color w:val="000000"/>
        </w:rPr>
        <w:t>(</w:t>
      </w:r>
      <w:proofErr w:type="spellStart"/>
      <w:r>
        <w:rPr>
          <w:rFonts w:ascii="Arial" w:hAnsi="Arial" w:cs="Arial"/>
          <w:color w:val="000000"/>
        </w:rPr>
        <w:t>Kulkov</w:t>
      </w:r>
      <w:proofErr w:type="spellEnd"/>
      <w:r>
        <w:rPr>
          <w:rFonts w:ascii="Arial" w:hAnsi="Arial" w:cs="Arial"/>
          <w:color w:val="000000"/>
        </w:rPr>
        <w:t xml:space="preserve"> et al., 2023)</w:t>
      </w:r>
      <w:r>
        <w:rPr>
          <w:rFonts w:ascii="Arial" w:hAnsi="Arial" w:cs="Arial"/>
          <w:color w:val="000000"/>
        </w:rPr>
        <w:t xml:space="preserve">. The importance of adopting environmental goals- such as energy efficiency, fuel flexibility and circular economy principles within the cruise sector- has been highlighted through several studies, with practices such as onshore power supply, LNG bunkering, and sustainable cruise terminals being considered measures that can help to mitigate the environmental harm caused by the sector. However, these practices also require adaptation to local terminals and cruise ports, as well as cooperation amongst the cruise tour ecosystem </w:t>
      </w:r>
      <w:r>
        <w:rPr>
          <w:rFonts w:ascii="Arial" w:hAnsi="Arial" w:cs="Arial"/>
          <w:color w:val="000000"/>
        </w:rPr>
        <w:t>(N/A, 2023)</w:t>
      </w:r>
      <w:r>
        <w:rPr>
          <w:rFonts w:ascii="Arial" w:hAnsi="Arial" w:cs="Arial"/>
          <w:color w:val="000000"/>
        </w:rPr>
        <w:t>.</w:t>
      </w:r>
    </w:p>
    <w:p w14:paraId="4179368D" w14:textId="77777777" w:rsidR="00262A63" w:rsidRDefault="00262A63"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648C0C8C" w14:textId="5AC0756C" w:rsidR="00262A63" w:rsidRDefault="00262A63"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Several of these tropical ecosystems are under pressure as a result of tourism. Tourism has been contributing to environmental degradation to these ecosystems as a result of pollution and litter, which severely impacts coastal and marina habitats; in the Mexican Caribbean, there has been an increase in the amount of sargassum algae in the waters, which has been associated to sustainability issues and tourism impacts. Sargassum algae is harmful for the environment as it releases gasses such as ammonia and hydrogen sulphide as it decomposes, putting both locals and tourists at risk from their harmful nature </w:t>
      </w:r>
      <w:r>
        <w:rPr>
          <w:rFonts w:ascii="Arial" w:hAnsi="Arial" w:cs="Arial"/>
          <w:color w:val="000000"/>
        </w:rPr>
        <w:t>(McAdam-Otto, 2022)</w:t>
      </w:r>
      <w:r>
        <w:rPr>
          <w:rFonts w:ascii="Arial" w:hAnsi="Arial" w:cs="Arial"/>
          <w:color w:val="000000"/>
        </w:rPr>
        <w:t>.</w:t>
      </w:r>
    </w:p>
    <w:p w14:paraId="676EA110" w14:textId="77777777" w:rsidR="00262A63" w:rsidRDefault="00262A63" w:rsidP="00E441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1F6965B6" w14:textId="218E4879" w:rsidR="00262A63" w:rsidRDefault="00262A63" w:rsidP="00262A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Social cohesion and local knowledge </w:t>
      </w:r>
      <w:proofErr w:type="gramStart"/>
      <w:r>
        <w:rPr>
          <w:rFonts w:ascii="Arial" w:hAnsi="Arial" w:cs="Arial"/>
          <w:color w:val="000000"/>
        </w:rPr>
        <w:t>is</w:t>
      </w:r>
      <w:proofErr w:type="gramEnd"/>
      <w:r>
        <w:rPr>
          <w:rFonts w:ascii="Arial" w:hAnsi="Arial" w:cs="Arial"/>
          <w:color w:val="000000"/>
        </w:rPr>
        <w:t xml:space="preserve"> a key element of community-let sustainability practices and resilience strategies within the tropical islands. Within the </w:t>
      </w:r>
      <w:proofErr w:type="spellStart"/>
      <w:r>
        <w:rPr>
          <w:rFonts w:ascii="Arial" w:hAnsi="Arial" w:cs="Arial"/>
          <w:color w:val="000000"/>
        </w:rPr>
        <w:t>Seaflower</w:t>
      </w:r>
      <w:proofErr w:type="spellEnd"/>
      <w:r>
        <w:rPr>
          <w:rFonts w:ascii="Arial" w:hAnsi="Arial" w:cs="Arial"/>
          <w:color w:val="000000"/>
        </w:rPr>
        <w:t xml:space="preserve"> Biosphere Reserve, community engagement is a crucial element to help promote climate change adaptation and mitigation; where locals- including the indigenous </w:t>
      </w:r>
      <w:proofErr w:type="spellStart"/>
      <w:r>
        <w:rPr>
          <w:rFonts w:ascii="Arial" w:hAnsi="Arial" w:cs="Arial"/>
          <w:color w:val="000000"/>
        </w:rPr>
        <w:t>Raizal</w:t>
      </w:r>
      <w:proofErr w:type="spellEnd"/>
      <w:r>
        <w:rPr>
          <w:rFonts w:ascii="Arial" w:hAnsi="Arial" w:cs="Arial"/>
          <w:color w:val="000000"/>
        </w:rPr>
        <w:t xml:space="preserve"> people- are focused </w:t>
      </w:r>
      <w:proofErr w:type="gramStart"/>
      <w:r>
        <w:rPr>
          <w:rFonts w:ascii="Arial" w:hAnsi="Arial" w:cs="Arial"/>
          <w:color w:val="000000"/>
        </w:rPr>
        <w:t>at</w:t>
      </w:r>
      <w:proofErr w:type="gramEnd"/>
      <w:r>
        <w:rPr>
          <w:rFonts w:ascii="Arial" w:hAnsi="Arial" w:cs="Arial"/>
          <w:color w:val="000000"/>
        </w:rPr>
        <w:t xml:space="preserve"> the centre of developments for socioenvironmental pathways in order to improve sustainability and increase resilience. Biosphere reserves help to serve as a dynamic laboratory for the adaptation of strategies to help link ecosystem services to human well-being, whilst also fostering a collective action for adaptive capacity </w:t>
      </w:r>
      <w:r>
        <w:rPr>
          <w:rFonts w:ascii="Arial" w:hAnsi="Arial" w:cs="Arial"/>
          <w:color w:val="000000"/>
        </w:rPr>
        <w:t>(</w:t>
      </w:r>
      <w:proofErr w:type="spellStart"/>
      <w:r>
        <w:rPr>
          <w:rFonts w:ascii="Arial" w:hAnsi="Arial" w:cs="Arial"/>
          <w:color w:val="000000"/>
        </w:rPr>
        <w:t>Mancera</w:t>
      </w:r>
      <w:proofErr w:type="spellEnd"/>
      <w:r>
        <w:rPr>
          <w:rFonts w:ascii="Arial" w:hAnsi="Arial" w:cs="Arial"/>
          <w:color w:val="000000"/>
        </w:rPr>
        <w:t>, 2025)</w:t>
      </w:r>
      <w:r>
        <w:rPr>
          <w:rFonts w:ascii="Arial" w:hAnsi="Arial" w:cs="Arial"/>
          <w:color w:val="000000"/>
        </w:rPr>
        <w:t xml:space="preserve">. SIDS- Small Islands Developing States- exhibit a unique vulnerability and sense of resilience, which is often shaped by the island’s social coherence, proximity to nature and spirituality, which heavily differs from Westernised contexts. It is crucial to understand past livelihood impacts, as well as the uneven impacts of globalisation within the islands, in order to design an affective sustainable intervention plan to improve climate quality and sustainability efforts for the islands. The interventions at hand must consider social and environmental factors that can help to improve preparedness, as well as improving the quality of life, effectively </w:t>
      </w:r>
      <w:r>
        <w:rPr>
          <w:rFonts w:ascii="Arial" w:hAnsi="Arial" w:cs="Arial"/>
          <w:color w:val="000000"/>
        </w:rPr>
        <w:t>(Nunn and Kumar, 2018)</w:t>
      </w:r>
      <w:r>
        <w:rPr>
          <w:rFonts w:ascii="Arial" w:hAnsi="Arial" w:cs="Arial"/>
          <w:color w:val="000000"/>
        </w:rPr>
        <w:t>.</w:t>
      </w:r>
    </w:p>
    <w:p w14:paraId="270E5EB4" w14:textId="77777777" w:rsidR="00E42647" w:rsidRDefault="00E42647" w:rsidP="00262A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1A83D72C" w14:textId="6F52F6A9" w:rsidR="00E42647" w:rsidRDefault="00E42647" w:rsidP="00262A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r>
        <w:rPr>
          <w:rFonts w:ascii="Arial" w:hAnsi="Arial" w:cs="Arial"/>
          <w:color w:val="000000"/>
        </w:rPr>
        <w:t xml:space="preserve">SIDS, as well as tourism-dependent regions such as the Caribbean, Pacific Islands, and the Balearic Islands, face remarkable challenges as a direct impact from climate change and the rising sea levels. These environmental evolvements threaten the physical infrastructure that is vital to tourism- much of which is close to shorelines that are vulnerable to sea-level rises and storm surges </w:t>
      </w:r>
      <w:r>
        <w:rPr>
          <w:rFonts w:ascii="Arial" w:hAnsi="Arial" w:cs="Arial"/>
          <w:color w:val="000000"/>
        </w:rPr>
        <w:t>(</w:t>
      </w:r>
      <w:proofErr w:type="spellStart"/>
      <w:r>
        <w:rPr>
          <w:rFonts w:ascii="Arial" w:hAnsi="Arial" w:cs="Arial"/>
          <w:color w:val="000000"/>
        </w:rPr>
        <w:t>Gasalla</w:t>
      </w:r>
      <w:proofErr w:type="spellEnd"/>
      <w:r>
        <w:rPr>
          <w:rFonts w:ascii="Arial" w:hAnsi="Arial" w:cs="Arial"/>
          <w:color w:val="000000"/>
        </w:rPr>
        <w:t xml:space="preserve">-López, </w:t>
      </w:r>
      <w:proofErr w:type="spellStart"/>
      <w:r>
        <w:rPr>
          <w:rFonts w:ascii="Arial" w:hAnsi="Arial" w:cs="Arial"/>
          <w:color w:val="000000"/>
        </w:rPr>
        <w:t>Arcila</w:t>
      </w:r>
      <w:proofErr w:type="spellEnd"/>
      <w:r>
        <w:rPr>
          <w:rFonts w:ascii="Arial" w:hAnsi="Arial" w:cs="Arial"/>
          <w:color w:val="000000"/>
        </w:rPr>
        <w:t>-Garrido and Chica-Ruiz, 2025)</w:t>
      </w:r>
      <w:r>
        <w:rPr>
          <w:rFonts w:ascii="Arial" w:hAnsi="Arial" w:cs="Arial"/>
          <w:color w:val="000000"/>
        </w:rPr>
        <w:t xml:space="preserve">; this exposure often increases the risks of damage to tourism </w:t>
      </w:r>
      <w:r>
        <w:rPr>
          <w:rFonts w:ascii="Arial" w:hAnsi="Arial" w:cs="Arial"/>
          <w:color w:val="000000"/>
        </w:rPr>
        <w:lastRenderedPageBreak/>
        <w:t xml:space="preserve">related assets, such as hotels, resorts, transportation infrastructure, as well as coastal ecosystems- whose wellbeing and security are vital for the economic stability of these locations </w:t>
      </w:r>
      <w:r>
        <w:rPr>
          <w:rFonts w:ascii="Arial" w:hAnsi="Arial" w:cs="Arial"/>
          <w:color w:val="000000"/>
        </w:rPr>
        <w:t>(Wolf et al., 2021)</w:t>
      </w:r>
      <w:r>
        <w:rPr>
          <w:rFonts w:ascii="Arial" w:hAnsi="Arial" w:cs="Arial"/>
          <w:color w:val="000000"/>
        </w:rPr>
        <w:t>.</w:t>
      </w:r>
    </w:p>
    <w:p w14:paraId="38021160" w14:textId="77777777" w:rsidR="003E0431" w:rsidRDefault="003E0431" w:rsidP="00262A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2EF8F974" w14:textId="2EE356C7" w:rsidR="003E0431" w:rsidRDefault="003E0431" w:rsidP="003E0431">
      <w:pPr>
        <w:autoSpaceDE w:val="0"/>
        <w:autoSpaceDN w:val="0"/>
        <w:adjustRightInd w:val="0"/>
        <w:jc w:val="both"/>
        <w:rPr>
          <w:rFonts w:ascii="Arial" w:hAnsi="Arial" w:cs="Arial"/>
          <w:color w:val="000000"/>
        </w:rPr>
      </w:pPr>
      <w:r>
        <w:rPr>
          <w:rFonts w:ascii="Arial" w:hAnsi="Arial" w:cs="Arial"/>
        </w:rPr>
        <w:t xml:space="preserve">The United Nations World Tourism Organisation (UNWTO) sustainable tourism development guidelines and management practices apply to all forms of tourism in varying destinations, such as mass tourism, as well as niche tourism segments. Sustainability principles refer to the environmental, economic, and socio-cultural elements of tourism development, establishing a suitable balance between the aforementioned three principles </w:t>
      </w:r>
      <w:r>
        <w:rPr>
          <w:rFonts w:ascii="Arial" w:hAnsi="Arial" w:cs="Arial"/>
          <w:color w:val="000000"/>
        </w:rPr>
        <w:t>(UN Tourism, 2025). Sustainable tourism should include the following; making optimal use of environmental resources, whilst maintaining essential ecological processes whilst also working to maintain the natural heritage and biodiversity of the region; respect socio-cultural authenticity of the communities whilst conserving traditional values, as well as their built and living cultural heritage, whilst also contributing to the understanding and tolerance of interculturalism; and ensuring the viability of long-term economic operations, helping to provide socio-economic benefits and including stable employment and income-earning opportunities to the communities, whilst working to alleviate poverty as much as possible (UN Tourism, 2025).</w:t>
      </w:r>
    </w:p>
    <w:p w14:paraId="55128A87" w14:textId="77777777" w:rsidR="00E42647" w:rsidRDefault="00E42647" w:rsidP="00262A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rPr>
      </w:pPr>
    </w:p>
    <w:p w14:paraId="64725869" w14:textId="257A4FAD" w:rsidR="00E42647" w:rsidRDefault="00E42647" w:rsidP="00E42647">
      <w:pPr>
        <w:autoSpaceDE w:val="0"/>
        <w:autoSpaceDN w:val="0"/>
        <w:adjustRightInd w:val="0"/>
        <w:jc w:val="both"/>
        <w:rPr>
          <w:rFonts w:ascii="Arial" w:hAnsi="Arial" w:cs="Arial"/>
        </w:rPr>
      </w:pPr>
      <w:r w:rsidRPr="00E42647">
        <w:rPr>
          <w:rFonts w:ascii="Arial" w:hAnsi="Arial" w:cs="Arial"/>
        </w:rPr>
        <w:t xml:space="preserve">Culture and cultural sensitivity </w:t>
      </w:r>
      <w:proofErr w:type="gramStart"/>
      <w:r w:rsidRPr="00E42647">
        <w:rPr>
          <w:rFonts w:ascii="Arial" w:hAnsi="Arial" w:cs="Arial"/>
        </w:rPr>
        <w:t>is</w:t>
      </w:r>
      <w:proofErr w:type="gramEnd"/>
      <w:r w:rsidRPr="00E42647">
        <w:rPr>
          <w:rFonts w:ascii="Arial" w:hAnsi="Arial" w:cs="Arial"/>
        </w:rPr>
        <w:t xml:space="preserve"> crucial when shaping sustainability in tourism for the Pacific Islands, due to the complex and multifaceted relationship between the indigenous cultures and newfound tourism developments. The Pacific Island Countries (PICs) are home to unique environmental and cultural elements, which require close and careful consideration in order to ensure that the tourism sector effectively supports sustainability within the countries. The physical and human environments, such as landowning structures and native title issues, are key to understanding how it is possible to sustainably develop a viable plan for long-term tourism, as well as understanding environmental, heritage, and cultural assets (King, 2002).</w:t>
      </w:r>
      <w:r>
        <w:rPr>
          <w:rFonts w:ascii="Arial" w:hAnsi="Arial" w:cs="Arial"/>
        </w:rPr>
        <w:t xml:space="preserve"> Tourism within the PICs often finds itself promoted around its cultural and geographical allure, however the development of these locations remains limited as a result of challenges regarding balancing economic growth alongside cultural preservation. These islands are notably resilient, with residents and communities maintaining a sense of agency surrounding cultural change, regardless of pressure from globalisation and tourism (Cheer et al., 2018). However, tourism also acts as one of the several factors surrounding cultural change- alongside migration, technology developments, and geopolitical factors. Cultural performances and the influence of popular culture emphasises the tensions that arise between adaptation and preservation, which further emphasises the need for ongoing support regarding safeguarding cultural heritage within the development of the tourism sector in these locations </w:t>
      </w:r>
      <w:r w:rsidRPr="00E42647">
        <w:rPr>
          <w:rFonts w:ascii="Arial" w:hAnsi="Arial" w:cs="Arial"/>
        </w:rPr>
        <w:t>(</w:t>
      </w:r>
      <w:proofErr w:type="spellStart"/>
      <w:r w:rsidRPr="00E42647">
        <w:rPr>
          <w:rFonts w:ascii="Arial" w:hAnsi="Arial" w:cs="Arial"/>
        </w:rPr>
        <w:t>Tolkach</w:t>
      </w:r>
      <w:proofErr w:type="spellEnd"/>
      <w:r w:rsidRPr="00E42647">
        <w:rPr>
          <w:rFonts w:ascii="Arial" w:hAnsi="Arial" w:cs="Arial"/>
        </w:rPr>
        <w:t xml:space="preserve"> and Pratt, 2019)</w:t>
      </w:r>
      <w:r w:rsidRPr="00E42647">
        <w:rPr>
          <w:rFonts w:ascii="Arial" w:hAnsi="Arial" w:cs="Arial"/>
        </w:rPr>
        <w:t>.</w:t>
      </w:r>
    </w:p>
    <w:p w14:paraId="3E59DE49" w14:textId="77777777" w:rsidR="00E42647" w:rsidRDefault="00E42647" w:rsidP="00E42647">
      <w:pPr>
        <w:autoSpaceDE w:val="0"/>
        <w:autoSpaceDN w:val="0"/>
        <w:adjustRightInd w:val="0"/>
        <w:jc w:val="both"/>
        <w:rPr>
          <w:rFonts w:ascii="Arial" w:hAnsi="Arial" w:cs="Arial"/>
        </w:rPr>
      </w:pPr>
    </w:p>
    <w:p w14:paraId="5CEFD536" w14:textId="46BC5C1C" w:rsidR="00E42647" w:rsidRDefault="00E42647" w:rsidP="00E42647">
      <w:pPr>
        <w:autoSpaceDE w:val="0"/>
        <w:autoSpaceDN w:val="0"/>
        <w:adjustRightInd w:val="0"/>
        <w:jc w:val="both"/>
        <w:rPr>
          <w:rFonts w:ascii="Arial" w:hAnsi="Arial" w:cs="Arial"/>
          <w:color w:val="000000"/>
        </w:rPr>
      </w:pPr>
      <w:r>
        <w:rPr>
          <w:rFonts w:ascii="Arial" w:hAnsi="Arial" w:cs="Arial"/>
        </w:rPr>
        <w:t xml:space="preserve">Within the Pacific Islands- in particular, Fiji- climate change offers significant threats to cultural </w:t>
      </w:r>
      <w:proofErr w:type="gramStart"/>
      <w:r>
        <w:rPr>
          <w:rFonts w:ascii="Arial" w:hAnsi="Arial" w:cs="Arial"/>
        </w:rPr>
        <w:t>heritage;</w:t>
      </w:r>
      <w:proofErr w:type="gramEnd"/>
      <w:r>
        <w:rPr>
          <w:rFonts w:ascii="Arial" w:hAnsi="Arial" w:cs="Arial"/>
        </w:rPr>
        <w:t xml:space="preserve"> such as damage to churches, fishing grounds, and community ties, all of which are vital to local identity. Research has indicated that relocating as a result from environmental pressures often involves a balance of cultural preservation and socio-economic benefits; communal labour and attachment play crucial roles in maintaining cultural identity throughout the process of adapting, which highlights that ‘cultural norms’ impact the response to changing beyond economic considerations </w:t>
      </w:r>
      <w:r>
        <w:rPr>
          <w:rFonts w:ascii="Arial" w:hAnsi="Arial" w:cs="Arial"/>
          <w:color w:val="000000"/>
        </w:rPr>
        <w:t>(</w:t>
      </w:r>
      <w:proofErr w:type="spellStart"/>
      <w:r>
        <w:rPr>
          <w:rFonts w:ascii="Arial" w:hAnsi="Arial" w:cs="Arial"/>
          <w:color w:val="000000"/>
        </w:rPr>
        <w:t>Gatiso</w:t>
      </w:r>
      <w:proofErr w:type="spellEnd"/>
      <w:r>
        <w:rPr>
          <w:rFonts w:ascii="Arial" w:hAnsi="Arial" w:cs="Arial"/>
          <w:color w:val="000000"/>
        </w:rPr>
        <w:t xml:space="preserve"> et al., 2025)</w:t>
      </w:r>
      <w:r>
        <w:rPr>
          <w:rFonts w:ascii="Arial" w:hAnsi="Arial" w:cs="Arial"/>
          <w:color w:val="000000"/>
        </w:rPr>
        <w:t xml:space="preserve">. In Vanuatu, the communities employ hybrid strategies involving </w:t>
      </w:r>
      <w:r>
        <w:rPr>
          <w:rFonts w:ascii="Arial" w:hAnsi="Arial" w:cs="Arial"/>
          <w:color w:val="000000"/>
        </w:rPr>
        <w:lastRenderedPageBreak/>
        <w:t xml:space="preserve">traditional practices, alongside modernised approaches to help manage climate impacts; resisting narratives of passivity and victimisation whilst actively working to preserve cultural knowledge and identity </w:t>
      </w:r>
      <w:r>
        <w:rPr>
          <w:rFonts w:ascii="Arial" w:hAnsi="Arial" w:cs="Arial"/>
          <w:color w:val="000000"/>
        </w:rPr>
        <w:t>(</w:t>
      </w:r>
      <w:proofErr w:type="spellStart"/>
      <w:r>
        <w:rPr>
          <w:rFonts w:ascii="Arial" w:hAnsi="Arial" w:cs="Arial"/>
          <w:color w:val="000000"/>
        </w:rPr>
        <w:t>Ruehr</w:t>
      </w:r>
      <w:proofErr w:type="spellEnd"/>
      <w:r>
        <w:rPr>
          <w:rFonts w:ascii="Arial" w:hAnsi="Arial" w:cs="Arial"/>
          <w:color w:val="000000"/>
        </w:rPr>
        <w:t>, 2025)</w:t>
      </w:r>
      <w:r>
        <w:rPr>
          <w:rFonts w:ascii="Arial" w:hAnsi="Arial" w:cs="Arial"/>
          <w:color w:val="000000"/>
        </w:rPr>
        <w:t>.</w:t>
      </w:r>
    </w:p>
    <w:p w14:paraId="35E81BFD" w14:textId="77777777" w:rsidR="00E42647" w:rsidRDefault="00E42647" w:rsidP="00E42647">
      <w:pPr>
        <w:autoSpaceDE w:val="0"/>
        <w:autoSpaceDN w:val="0"/>
        <w:adjustRightInd w:val="0"/>
        <w:jc w:val="both"/>
        <w:rPr>
          <w:rFonts w:ascii="Arial" w:hAnsi="Arial" w:cs="Arial"/>
        </w:rPr>
      </w:pPr>
    </w:p>
    <w:p w14:paraId="29814E0F" w14:textId="609C6CAA" w:rsidR="003E0431" w:rsidRDefault="003E0431" w:rsidP="003E0431">
      <w:pPr>
        <w:autoSpaceDE w:val="0"/>
        <w:autoSpaceDN w:val="0"/>
        <w:adjustRightInd w:val="0"/>
        <w:jc w:val="both"/>
        <w:rPr>
          <w:rFonts w:ascii="Arial" w:hAnsi="Arial" w:cs="Arial"/>
          <w:color w:val="000000"/>
        </w:rPr>
      </w:pPr>
      <w:r>
        <w:rPr>
          <w:rFonts w:ascii="Arial" w:hAnsi="Arial" w:cs="Arial"/>
        </w:rPr>
        <w:t xml:space="preserve">Cultural erosion, as well as preservation of identity are significant issues and concerns when discussing tropical islands. In the Caribbean, climate-induced displacement- such as what the residents of Ragged Island  in The Bahamas experienced following Hurricane Irma in 2017- typically results in non-economic oriented losses and damages, including disruption to sense of place, a loss of cultural identity, and wellbeing. These factors are frequently unacknowledged in national policies, which tend to focus more on the economic cost of natural disasters, as opposed to the social and cultural elements, which highlights the need for more policy framework that addresses cultural loss alongside economic and environmental factors, as opposed to individualising them </w:t>
      </w:r>
      <w:r>
        <w:rPr>
          <w:rFonts w:ascii="Arial" w:hAnsi="Arial" w:cs="Arial"/>
          <w:color w:val="000000"/>
        </w:rPr>
        <w:t>(Thomas and Benjamin, 2019)</w:t>
      </w:r>
      <w:r>
        <w:rPr>
          <w:rFonts w:ascii="Arial" w:hAnsi="Arial" w:cs="Arial"/>
          <w:color w:val="000000"/>
        </w:rPr>
        <w:t>.</w:t>
      </w:r>
    </w:p>
    <w:p w14:paraId="156715CE" w14:textId="77777777" w:rsidR="003E0431" w:rsidRDefault="003E0431" w:rsidP="003E0431">
      <w:pPr>
        <w:autoSpaceDE w:val="0"/>
        <w:autoSpaceDN w:val="0"/>
        <w:adjustRightInd w:val="0"/>
        <w:jc w:val="both"/>
        <w:rPr>
          <w:rFonts w:ascii="Arial" w:hAnsi="Arial" w:cs="Arial"/>
          <w:color w:val="000000"/>
        </w:rPr>
      </w:pPr>
    </w:p>
    <w:p w14:paraId="50E00B60" w14:textId="06BC697A" w:rsidR="00262A63" w:rsidRDefault="003E0431" w:rsidP="00D61B73">
      <w:pPr>
        <w:autoSpaceDE w:val="0"/>
        <w:autoSpaceDN w:val="0"/>
        <w:adjustRightInd w:val="0"/>
        <w:jc w:val="both"/>
        <w:rPr>
          <w:rFonts w:ascii="Arial" w:hAnsi="Arial" w:cs="Arial"/>
          <w:color w:val="000000"/>
        </w:rPr>
      </w:pPr>
      <w:r>
        <w:rPr>
          <w:rFonts w:ascii="Arial" w:hAnsi="Arial" w:cs="Arial"/>
          <w:color w:val="000000"/>
        </w:rPr>
        <w:t xml:space="preserve">Within these tropical regions, sustainable tourism can be maintained through balanced approaches that serve to integrate environmental, economic, and socio-cultural factors; emphasising on active participation and consensus amongst stakeholders, such as local communities, indigenous communities, industry, government, and visitors, is key to addressing challenges that are associated with mass tourism and serve to promote sustainable development </w:t>
      </w:r>
      <w:r>
        <w:rPr>
          <w:rFonts w:ascii="Arial" w:hAnsi="Arial" w:cs="Arial"/>
          <w:color w:val="000000"/>
        </w:rPr>
        <w:t>(FUCHS, 2022)</w:t>
      </w:r>
      <w:r>
        <w:rPr>
          <w:rFonts w:ascii="Arial" w:hAnsi="Arial" w:cs="Arial"/>
          <w:color w:val="000000"/>
        </w:rPr>
        <w:t>.</w:t>
      </w:r>
      <w:r w:rsidR="00D61B73">
        <w:rPr>
          <w:rFonts w:ascii="Arial" w:hAnsi="Arial" w:cs="Arial"/>
          <w:color w:val="000000"/>
        </w:rPr>
        <w:t xml:space="preserve"> Practical strategies, such as protecting and managing natural ecosystems, helps to nurture physical, biological, and socio-economic services that can be managed through integrated approaches, involving community rights, customary management, and partnerships. In order to help regulate visitor numbers and preserve ecosystem functions, it is possible to designate specific management areas for ecotourism based on local property rights and collaborative governance </w:t>
      </w:r>
      <w:r w:rsidR="00D61B73">
        <w:rPr>
          <w:rFonts w:ascii="Arial" w:hAnsi="Arial" w:cs="Arial"/>
          <w:color w:val="000000"/>
        </w:rPr>
        <w:t>(</w:t>
      </w:r>
      <w:proofErr w:type="spellStart"/>
      <w:r w:rsidR="00D61B73">
        <w:rPr>
          <w:rFonts w:ascii="Arial" w:hAnsi="Arial" w:cs="Arial"/>
          <w:color w:val="000000"/>
        </w:rPr>
        <w:t>Yulianda</w:t>
      </w:r>
      <w:proofErr w:type="spellEnd"/>
      <w:r w:rsidR="00D61B73">
        <w:rPr>
          <w:rFonts w:ascii="Arial" w:hAnsi="Arial" w:cs="Arial"/>
          <w:color w:val="000000"/>
        </w:rPr>
        <w:t xml:space="preserve"> et al., 2020)</w:t>
      </w:r>
      <w:r w:rsidR="00D61B73">
        <w:rPr>
          <w:rFonts w:ascii="Arial" w:hAnsi="Arial" w:cs="Arial"/>
          <w:color w:val="000000"/>
        </w:rPr>
        <w:t>.</w:t>
      </w:r>
    </w:p>
    <w:p w14:paraId="6CDCFBCA" w14:textId="77777777" w:rsidR="00D61B73" w:rsidRDefault="00D61B73" w:rsidP="00D61B73">
      <w:pPr>
        <w:autoSpaceDE w:val="0"/>
        <w:autoSpaceDN w:val="0"/>
        <w:adjustRightInd w:val="0"/>
        <w:jc w:val="both"/>
        <w:rPr>
          <w:rFonts w:ascii="Arial" w:hAnsi="Arial" w:cs="Arial"/>
          <w:color w:val="000000"/>
        </w:rPr>
      </w:pPr>
    </w:p>
    <w:p w14:paraId="47B329A4" w14:textId="1E197D4F" w:rsidR="00D61B73" w:rsidRDefault="00D61B73" w:rsidP="00D61B73">
      <w:pPr>
        <w:autoSpaceDE w:val="0"/>
        <w:autoSpaceDN w:val="0"/>
        <w:adjustRightInd w:val="0"/>
        <w:jc w:val="both"/>
        <w:rPr>
          <w:rFonts w:ascii="Arial" w:hAnsi="Arial" w:cs="Arial"/>
          <w:color w:val="000000"/>
        </w:rPr>
      </w:pPr>
      <w:r>
        <w:rPr>
          <w:rFonts w:ascii="Arial" w:hAnsi="Arial" w:cs="Arial"/>
          <w:color w:val="000000"/>
        </w:rPr>
        <w:t xml:space="preserve">To conclude, the tropical islands face several detrimental impacts as a result of their dependence on tourism, often suffering large scale natural disasters such as hurricanes and typhoons, leading to a lack of consistency and continuity with the agricultural sector, thus further fuelling the need for tourism in these countries. There is a conscious effort to maintain harmony between residents of regions such as The Bahamas and the Pacific Islands and the tourists who visit, however the residents of these countries often go unnoticed by government officials and people of importance following natural disasters as there is a larger focus on the economic impact of these disasters, prompting the discussion regarding the need to improve advocacy for the residents, even in following United Nations guidelines. </w:t>
      </w:r>
    </w:p>
    <w:p w14:paraId="5226E495" w14:textId="77777777" w:rsidR="00D61B73" w:rsidRDefault="00D61B73" w:rsidP="00D61B73">
      <w:pPr>
        <w:autoSpaceDE w:val="0"/>
        <w:autoSpaceDN w:val="0"/>
        <w:adjustRightInd w:val="0"/>
        <w:jc w:val="both"/>
        <w:rPr>
          <w:rFonts w:ascii="Arial" w:hAnsi="Arial" w:cs="Arial"/>
          <w:color w:val="000000"/>
        </w:rPr>
      </w:pPr>
    </w:p>
    <w:p w14:paraId="030E5290" w14:textId="77777777" w:rsidR="00D61B73" w:rsidRDefault="00D61B73" w:rsidP="00D61B73">
      <w:pPr>
        <w:autoSpaceDE w:val="0"/>
        <w:autoSpaceDN w:val="0"/>
        <w:adjustRightInd w:val="0"/>
        <w:jc w:val="both"/>
        <w:rPr>
          <w:rFonts w:ascii="Arial" w:hAnsi="Arial" w:cs="Arial"/>
          <w:color w:val="000000"/>
        </w:rPr>
      </w:pPr>
    </w:p>
    <w:p w14:paraId="32FA0F2E" w14:textId="77777777" w:rsidR="00D61B73" w:rsidRDefault="00D61B73" w:rsidP="00D61B73">
      <w:pPr>
        <w:autoSpaceDE w:val="0"/>
        <w:autoSpaceDN w:val="0"/>
        <w:adjustRightInd w:val="0"/>
        <w:jc w:val="both"/>
        <w:rPr>
          <w:rFonts w:ascii="Arial" w:hAnsi="Arial" w:cs="Arial"/>
          <w:color w:val="000000"/>
        </w:rPr>
      </w:pPr>
    </w:p>
    <w:p w14:paraId="32EAEB68" w14:textId="77777777" w:rsidR="00D61B73" w:rsidRDefault="00D61B73" w:rsidP="00D61B73">
      <w:pPr>
        <w:autoSpaceDE w:val="0"/>
        <w:autoSpaceDN w:val="0"/>
        <w:adjustRightInd w:val="0"/>
        <w:jc w:val="both"/>
        <w:rPr>
          <w:rFonts w:ascii="Arial" w:hAnsi="Arial" w:cs="Arial"/>
          <w:color w:val="000000"/>
        </w:rPr>
      </w:pPr>
    </w:p>
    <w:p w14:paraId="694C794E" w14:textId="77777777" w:rsidR="00D61B73" w:rsidRDefault="00D61B73" w:rsidP="00D61B73">
      <w:pPr>
        <w:autoSpaceDE w:val="0"/>
        <w:autoSpaceDN w:val="0"/>
        <w:adjustRightInd w:val="0"/>
        <w:jc w:val="both"/>
        <w:rPr>
          <w:rFonts w:ascii="Arial" w:hAnsi="Arial" w:cs="Arial"/>
          <w:color w:val="000000"/>
        </w:rPr>
      </w:pPr>
    </w:p>
    <w:p w14:paraId="0579FDBE" w14:textId="77777777" w:rsidR="00D61B73" w:rsidRDefault="00D61B73" w:rsidP="00D61B73">
      <w:pPr>
        <w:autoSpaceDE w:val="0"/>
        <w:autoSpaceDN w:val="0"/>
        <w:adjustRightInd w:val="0"/>
        <w:jc w:val="both"/>
        <w:rPr>
          <w:rFonts w:ascii="Arial" w:hAnsi="Arial" w:cs="Arial"/>
          <w:color w:val="000000"/>
        </w:rPr>
      </w:pPr>
    </w:p>
    <w:p w14:paraId="33A0F305" w14:textId="77777777" w:rsidR="00D61B73" w:rsidRDefault="00D61B73" w:rsidP="00D61B73">
      <w:pPr>
        <w:autoSpaceDE w:val="0"/>
        <w:autoSpaceDN w:val="0"/>
        <w:adjustRightInd w:val="0"/>
        <w:jc w:val="both"/>
        <w:rPr>
          <w:rFonts w:ascii="Arial" w:hAnsi="Arial" w:cs="Arial"/>
          <w:color w:val="000000"/>
        </w:rPr>
      </w:pPr>
    </w:p>
    <w:p w14:paraId="1C7E6B1F" w14:textId="77777777" w:rsidR="00D61B73" w:rsidRDefault="00D61B73" w:rsidP="00D61B73">
      <w:pPr>
        <w:autoSpaceDE w:val="0"/>
        <w:autoSpaceDN w:val="0"/>
        <w:adjustRightInd w:val="0"/>
        <w:jc w:val="both"/>
        <w:rPr>
          <w:rFonts w:ascii="Arial" w:hAnsi="Arial" w:cs="Arial"/>
          <w:color w:val="000000"/>
        </w:rPr>
      </w:pPr>
    </w:p>
    <w:p w14:paraId="0E81CB6B" w14:textId="77777777" w:rsidR="00D61B73" w:rsidRDefault="00D61B73" w:rsidP="00D61B73">
      <w:pPr>
        <w:autoSpaceDE w:val="0"/>
        <w:autoSpaceDN w:val="0"/>
        <w:adjustRightInd w:val="0"/>
        <w:jc w:val="both"/>
        <w:rPr>
          <w:rFonts w:ascii="Arial" w:hAnsi="Arial" w:cs="Arial"/>
          <w:color w:val="000000"/>
        </w:rPr>
      </w:pPr>
    </w:p>
    <w:p w14:paraId="66C93984" w14:textId="77777777" w:rsidR="00D61B73" w:rsidRDefault="00D61B73" w:rsidP="00D61B73">
      <w:pPr>
        <w:autoSpaceDE w:val="0"/>
        <w:autoSpaceDN w:val="0"/>
        <w:adjustRightInd w:val="0"/>
        <w:jc w:val="both"/>
        <w:rPr>
          <w:rFonts w:ascii="Arial" w:hAnsi="Arial" w:cs="Arial"/>
          <w:color w:val="000000"/>
        </w:rPr>
      </w:pPr>
    </w:p>
    <w:p w14:paraId="1AD89A92" w14:textId="77777777" w:rsidR="00D61B73" w:rsidRDefault="00D61B73" w:rsidP="00D61B73">
      <w:pPr>
        <w:autoSpaceDE w:val="0"/>
        <w:autoSpaceDN w:val="0"/>
        <w:adjustRightInd w:val="0"/>
        <w:jc w:val="both"/>
        <w:rPr>
          <w:rFonts w:ascii="Arial" w:hAnsi="Arial" w:cs="Arial"/>
          <w:color w:val="000000"/>
        </w:rPr>
      </w:pPr>
    </w:p>
    <w:p w14:paraId="00761912" w14:textId="77777777" w:rsidR="00D61B73" w:rsidRDefault="00D61B73" w:rsidP="00D61B73">
      <w:pPr>
        <w:autoSpaceDE w:val="0"/>
        <w:autoSpaceDN w:val="0"/>
        <w:adjustRightInd w:val="0"/>
        <w:jc w:val="both"/>
        <w:rPr>
          <w:rFonts w:ascii="Arial" w:hAnsi="Arial" w:cs="Arial"/>
          <w:color w:val="000000"/>
        </w:rPr>
      </w:pPr>
    </w:p>
    <w:p w14:paraId="6EC9DC2B" w14:textId="2B660F7D" w:rsidR="00D61B73" w:rsidRPr="00D61B73" w:rsidRDefault="00D61B73" w:rsidP="00D61B73">
      <w:pPr>
        <w:autoSpaceDE w:val="0"/>
        <w:autoSpaceDN w:val="0"/>
        <w:adjustRightInd w:val="0"/>
        <w:jc w:val="both"/>
        <w:rPr>
          <w:rFonts w:ascii="Arial" w:hAnsi="Arial" w:cs="Arial"/>
          <w:b/>
          <w:bCs/>
          <w:color w:val="000000"/>
          <w:u w:val="single"/>
        </w:rPr>
      </w:pPr>
      <w:r w:rsidRPr="00D61B73">
        <w:rPr>
          <w:rFonts w:ascii="Arial" w:hAnsi="Arial" w:cs="Arial"/>
          <w:b/>
          <w:bCs/>
          <w:color w:val="000000"/>
          <w:u w:val="single"/>
        </w:rPr>
        <w:lastRenderedPageBreak/>
        <w:t>References.</w:t>
      </w:r>
    </w:p>
    <w:p w14:paraId="14F02ABE"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Allen, W. H. (1992). Increased dangers to Caribbean marine ecosystems: cruise ship anchors and intensified tourism threatens reefs. Bioscience, 42(5), 330.</w:t>
      </w:r>
      <w:r>
        <w:rPr>
          <w:rStyle w:val="apple-converted-space"/>
          <w:rFonts w:ascii="Arial" w:eastAsiaTheme="majorEastAsia" w:hAnsi="Arial" w:cs="Arial"/>
          <w:color w:val="000000"/>
        </w:rPr>
        <w:t> </w:t>
      </w:r>
    </w:p>
    <w:p w14:paraId="5CA47970"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Cheer, J.M., Pratt, S., </w:t>
      </w:r>
      <w:proofErr w:type="spellStart"/>
      <w:r>
        <w:rPr>
          <w:rFonts w:ascii="Arial" w:hAnsi="Arial" w:cs="Arial"/>
          <w:color w:val="000000"/>
        </w:rPr>
        <w:t>Tolkach</w:t>
      </w:r>
      <w:proofErr w:type="spellEnd"/>
      <w:r>
        <w:rPr>
          <w:rFonts w:ascii="Arial" w:hAnsi="Arial" w:cs="Arial"/>
          <w:color w:val="000000"/>
        </w:rPr>
        <w:t xml:space="preserve">, D., Bailey, A., </w:t>
      </w:r>
      <w:proofErr w:type="spellStart"/>
      <w:r>
        <w:rPr>
          <w:rFonts w:ascii="Arial" w:hAnsi="Arial" w:cs="Arial"/>
          <w:color w:val="000000"/>
        </w:rPr>
        <w:t>Taumoepeau</w:t>
      </w:r>
      <w:proofErr w:type="spellEnd"/>
      <w:r>
        <w:rPr>
          <w:rFonts w:ascii="Arial" w:hAnsi="Arial" w:cs="Arial"/>
          <w:color w:val="000000"/>
        </w:rPr>
        <w:t xml:space="preserve">, S. and </w:t>
      </w:r>
      <w:proofErr w:type="spellStart"/>
      <w:r>
        <w:rPr>
          <w:rFonts w:ascii="Arial" w:hAnsi="Arial" w:cs="Arial"/>
          <w:color w:val="000000"/>
        </w:rPr>
        <w:t>Movono</w:t>
      </w:r>
      <w:proofErr w:type="spellEnd"/>
      <w:r>
        <w:rPr>
          <w:rFonts w:ascii="Arial" w:hAnsi="Arial" w:cs="Arial"/>
          <w:color w:val="000000"/>
        </w:rPr>
        <w:t xml:space="preserve">, A. (2018). Tourism in </w:t>
      </w:r>
      <w:proofErr w:type="gramStart"/>
      <w:r>
        <w:rPr>
          <w:rFonts w:ascii="Arial" w:hAnsi="Arial" w:cs="Arial"/>
          <w:color w:val="000000"/>
        </w:rPr>
        <w:t>Pacific island</w:t>
      </w:r>
      <w:proofErr w:type="gramEnd"/>
      <w:r>
        <w:rPr>
          <w:rFonts w:ascii="Arial" w:hAnsi="Arial" w:cs="Arial"/>
          <w:color w:val="000000"/>
        </w:rPr>
        <w:t xml:space="preserve"> countries: A status quo round-up.</w:t>
      </w:r>
      <w:r>
        <w:rPr>
          <w:rStyle w:val="apple-converted-space"/>
          <w:rFonts w:ascii="Arial" w:eastAsiaTheme="majorEastAsia" w:hAnsi="Arial" w:cs="Arial"/>
          <w:color w:val="000000"/>
        </w:rPr>
        <w:t> </w:t>
      </w:r>
      <w:r>
        <w:rPr>
          <w:rFonts w:ascii="Arial" w:hAnsi="Arial" w:cs="Arial"/>
          <w:i/>
          <w:iCs/>
          <w:color w:val="000000"/>
        </w:rPr>
        <w:t>Asia &amp; the Pacific Policy Studies</w:t>
      </w:r>
      <w:r>
        <w:rPr>
          <w:rFonts w:ascii="Arial" w:hAnsi="Arial" w:cs="Arial"/>
          <w:color w:val="000000"/>
        </w:rPr>
        <w:t xml:space="preserve">, 5(3), pp.442–461. </w:t>
      </w:r>
      <w:proofErr w:type="spellStart"/>
      <w:r>
        <w:rPr>
          <w:rFonts w:ascii="Arial" w:hAnsi="Arial" w:cs="Arial"/>
          <w:color w:val="000000"/>
        </w:rPr>
        <w:t>doi:https</w:t>
      </w:r>
      <w:proofErr w:type="spellEnd"/>
      <w:r>
        <w:rPr>
          <w:rFonts w:ascii="Arial" w:hAnsi="Arial" w:cs="Arial"/>
          <w:color w:val="000000"/>
        </w:rPr>
        <w:t>://doi.org/10.1002/app5.250.</w:t>
      </w:r>
    </w:p>
    <w:p w14:paraId="2CD3A34B"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Forde, M.S., Cashman, A. and Mitchell, K. (2024). Sustainability of water resources in Caribbean small island developing states: an overview.</w:t>
      </w:r>
      <w:r>
        <w:rPr>
          <w:rStyle w:val="apple-converted-space"/>
          <w:rFonts w:ascii="Arial" w:eastAsiaTheme="majorEastAsia" w:hAnsi="Arial" w:cs="Arial"/>
          <w:color w:val="000000"/>
        </w:rPr>
        <w:t> </w:t>
      </w:r>
      <w:r>
        <w:rPr>
          <w:rFonts w:ascii="Arial" w:hAnsi="Arial" w:cs="Arial"/>
          <w:i/>
          <w:iCs/>
          <w:color w:val="000000"/>
        </w:rPr>
        <w:t>Discover Sustainability</w:t>
      </w:r>
      <w:r>
        <w:rPr>
          <w:rFonts w:ascii="Arial" w:hAnsi="Arial" w:cs="Arial"/>
          <w:color w:val="000000"/>
        </w:rPr>
        <w:t xml:space="preserve">, 5(1). </w:t>
      </w:r>
      <w:proofErr w:type="spellStart"/>
      <w:r>
        <w:rPr>
          <w:rFonts w:ascii="Arial" w:hAnsi="Arial" w:cs="Arial"/>
          <w:color w:val="000000"/>
        </w:rPr>
        <w:t>doi:https</w:t>
      </w:r>
      <w:proofErr w:type="spellEnd"/>
      <w:r>
        <w:rPr>
          <w:rFonts w:ascii="Arial" w:hAnsi="Arial" w:cs="Arial"/>
          <w:color w:val="000000"/>
        </w:rPr>
        <w:t>://doi.org/10.1007/s43621-024-00478-x.</w:t>
      </w:r>
    </w:p>
    <w:p w14:paraId="4E2C3369"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FUCHS, K. (2022). Examining the Development of Sustainable Tourism on Phuket Island: A Literature Review with Implications for Tourism Planning.</w:t>
      </w:r>
      <w:r>
        <w:rPr>
          <w:rStyle w:val="apple-converted-space"/>
          <w:rFonts w:ascii="Arial" w:eastAsiaTheme="majorEastAsia" w:hAnsi="Arial" w:cs="Arial"/>
          <w:color w:val="000000"/>
        </w:rPr>
        <w:t> </w:t>
      </w:r>
      <w:r>
        <w:rPr>
          <w:rFonts w:ascii="Arial" w:hAnsi="Arial" w:cs="Arial"/>
          <w:i/>
          <w:iCs/>
          <w:color w:val="000000"/>
        </w:rPr>
        <w:t>Journal of Environmental Management and Tourism</w:t>
      </w:r>
      <w:r>
        <w:rPr>
          <w:rFonts w:ascii="Arial" w:hAnsi="Arial" w:cs="Arial"/>
          <w:color w:val="000000"/>
        </w:rPr>
        <w:t xml:space="preserve">, 13(7), p.2069. </w:t>
      </w:r>
      <w:proofErr w:type="spellStart"/>
      <w:r>
        <w:rPr>
          <w:rFonts w:ascii="Arial" w:hAnsi="Arial" w:cs="Arial"/>
          <w:color w:val="000000"/>
        </w:rPr>
        <w:t>doi:https</w:t>
      </w:r>
      <w:proofErr w:type="spellEnd"/>
      <w:r>
        <w:rPr>
          <w:rFonts w:ascii="Arial" w:hAnsi="Arial" w:cs="Arial"/>
          <w:color w:val="000000"/>
        </w:rPr>
        <w:t>://doi.org/10.14505/jemt.v13.7(63).26.</w:t>
      </w:r>
    </w:p>
    <w:p w14:paraId="10BD21B5"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Gasalla</w:t>
      </w:r>
      <w:proofErr w:type="spellEnd"/>
      <w:r>
        <w:rPr>
          <w:rFonts w:ascii="Arial" w:hAnsi="Arial" w:cs="Arial"/>
          <w:color w:val="000000"/>
        </w:rPr>
        <w:t xml:space="preserve">-López, B., </w:t>
      </w:r>
      <w:proofErr w:type="spellStart"/>
      <w:r>
        <w:rPr>
          <w:rFonts w:ascii="Arial" w:hAnsi="Arial" w:cs="Arial"/>
          <w:color w:val="000000"/>
        </w:rPr>
        <w:t>Arcila</w:t>
      </w:r>
      <w:proofErr w:type="spellEnd"/>
      <w:r>
        <w:rPr>
          <w:rFonts w:ascii="Arial" w:hAnsi="Arial" w:cs="Arial"/>
          <w:color w:val="000000"/>
        </w:rPr>
        <w:t>-Garrido, M. and Chica-Ruiz, J.A. (2025). Assessment of Climate Vulnerability Indices for Coastal Tourism Destinations.</w:t>
      </w:r>
      <w:r>
        <w:rPr>
          <w:rStyle w:val="apple-converted-space"/>
          <w:rFonts w:ascii="Arial" w:eastAsiaTheme="majorEastAsia" w:hAnsi="Arial" w:cs="Arial"/>
          <w:color w:val="000000"/>
        </w:rPr>
        <w:t> </w:t>
      </w:r>
      <w:r>
        <w:rPr>
          <w:rFonts w:ascii="Arial" w:hAnsi="Arial" w:cs="Arial"/>
          <w:i/>
          <w:iCs/>
          <w:color w:val="000000"/>
        </w:rPr>
        <w:t>Atmosphere</w:t>
      </w:r>
      <w:r>
        <w:rPr>
          <w:rFonts w:ascii="Arial" w:hAnsi="Arial" w:cs="Arial"/>
          <w:color w:val="000000"/>
        </w:rPr>
        <w:t xml:space="preserve">, 16(10), p.1171. </w:t>
      </w:r>
      <w:proofErr w:type="spellStart"/>
      <w:r>
        <w:rPr>
          <w:rFonts w:ascii="Arial" w:hAnsi="Arial" w:cs="Arial"/>
          <w:color w:val="000000"/>
        </w:rPr>
        <w:t>doi:https</w:t>
      </w:r>
      <w:proofErr w:type="spellEnd"/>
      <w:r>
        <w:rPr>
          <w:rFonts w:ascii="Arial" w:hAnsi="Arial" w:cs="Arial"/>
          <w:color w:val="000000"/>
        </w:rPr>
        <w:t>://doi.org/10.3390/atmos16101171.</w:t>
      </w:r>
    </w:p>
    <w:p w14:paraId="42C2D912"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Gatiso</w:t>
      </w:r>
      <w:proofErr w:type="spellEnd"/>
      <w:r>
        <w:rPr>
          <w:rFonts w:ascii="Arial" w:hAnsi="Arial" w:cs="Arial"/>
          <w:color w:val="000000"/>
        </w:rPr>
        <w:t xml:space="preserve">, T.T., Greenhalgh, S., </w:t>
      </w:r>
      <w:proofErr w:type="spellStart"/>
      <w:r>
        <w:rPr>
          <w:rFonts w:ascii="Arial" w:hAnsi="Arial" w:cs="Arial"/>
          <w:color w:val="000000"/>
        </w:rPr>
        <w:t>Korovulavula</w:t>
      </w:r>
      <w:proofErr w:type="spellEnd"/>
      <w:r>
        <w:rPr>
          <w:rFonts w:ascii="Arial" w:hAnsi="Arial" w:cs="Arial"/>
          <w:color w:val="000000"/>
        </w:rPr>
        <w:t xml:space="preserve">, I., Fong, T. and </w:t>
      </w:r>
      <w:proofErr w:type="spellStart"/>
      <w:r>
        <w:rPr>
          <w:rFonts w:ascii="Arial" w:hAnsi="Arial" w:cs="Arial"/>
          <w:color w:val="000000"/>
        </w:rPr>
        <w:t>Radikedike</w:t>
      </w:r>
      <w:proofErr w:type="spellEnd"/>
      <w:r>
        <w:rPr>
          <w:rFonts w:ascii="Arial" w:hAnsi="Arial" w:cs="Arial"/>
          <w:color w:val="000000"/>
        </w:rPr>
        <w:t>, R.P. (2025). Climate change-induced relocation dilemma between preserving cultural heritage and embracing modern infrastructure: insights from Fijian coastal villages.</w:t>
      </w:r>
      <w:r>
        <w:rPr>
          <w:rStyle w:val="apple-converted-space"/>
          <w:rFonts w:ascii="Arial" w:eastAsiaTheme="majorEastAsia" w:hAnsi="Arial" w:cs="Arial"/>
          <w:color w:val="000000"/>
        </w:rPr>
        <w:t> </w:t>
      </w:r>
      <w:r>
        <w:rPr>
          <w:rFonts w:ascii="Arial" w:hAnsi="Arial" w:cs="Arial"/>
          <w:i/>
          <w:iCs/>
          <w:color w:val="000000"/>
        </w:rPr>
        <w:t>Climatic Change</w:t>
      </w:r>
      <w:r>
        <w:rPr>
          <w:rFonts w:ascii="Arial" w:hAnsi="Arial" w:cs="Arial"/>
          <w:color w:val="000000"/>
        </w:rPr>
        <w:t xml:space="preserve">, 178(7). </w:t>
      </w:r>
      <w:proofErr w:type="spellStart"/>
      <w:r>
        <w:rPr>
          <w:rFonts w:ascii="Arial" w:hAnsi="Arial" w:cs="Arial"/>
          <w:color w:val="000000"/>
        </w:rPr>
        <w:t>doi:https</w:t>
      </w:r>
      <w:proofErr w:type="spellEnd"/>
      <w:r>
        <w:rPr>
          <w:rFonts w:ascii="Arial" w:hAnsi="Arial" w:cs="Arial"/>
          <w:color w:val="000000"/>
        </w:rPr>
        <w:t>://doi.org/10.1007/s10584-025-03972-x.</w:t>
      </w:r>
    </w:p>
    <w:p w14:paraId="480E69D8"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Inkson</w:t>
      </w:r>
      <w:proofErr w:type="spellEnd"/>
      <w:r>
        <w:rPr>
          <w:rFonts w:ascii="Arial" w:hAnsi="Arial" w:cs="Arial"/>
          <w:color w:val="000000"/>
        </w:rPr>
        <w:t xml:space="preserve">, C. and </w:t>
      </w:r>
      <w:proofErr w:type="spellStart"/>
      <w:r>
        <w:rPr>
          <w:rFonts w:ascii="Arial" w:hAnsi="Arial" w:cs="Arial"/>
          <w:color w:val="000000"/>
        </w:rPr>
        <w:t>Minnaert</w:t>
      </w:r>
      <w:proofErr w:type="spellEnd"/>
      <w:r>
        <w:rPr>
          <w:rFonts w:ascii="Arial" w:hAnsi="Arial" w:cs="Arial"/>
          <w:color w:val="000000"/>
        </w:rPr>
        <w:t>, L. (2022).</w:t>
      </w:r>
      <w:r>
        <w:rPr>
          <w:rStyle w:val="apple-converted-space"/>
          <w:rFonts w:ascii="Arial" w:eastAsiaTheme="majorEastAsia" w:hAnsi="Arial" w:cs="Arial"/>
          <w:color w:val="000000"/>
        </w:rPr>
        <w:t> </w:t>
      </w:r>
      <w:r>
        <w:rPr>
          <w:rFonts w:ascii="Arial" w:hAnsi="Arial" w:cs="Arial"/>
          <w:i/>
          <w:iCs/>
          <w:color w:val="000000"/>
        </w:rPr>
        <w:t>Tourism Management : an Introduction</w:t>
      </w:r>
      <w:r>
        <w:rPr>
          <w:rFonts w:ascii="Arial" w:hAnsi="Arial" w:cs="Arial"/>
          <w:color w:val="000000"/>
        </w:rPr>
        <w:t>. 3rd ed. Sage Publishing, pp.224–226.</w:t>
      </w:r>
    </w:p>
    <w:p w14:paraId="6BFF694B"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Joseph, E.K. (2025). Planning sustainable futures: critical drivers of success in the global context.</w:t>
      </w:r>
      <w:r>
        <w:rPr>
          <w:rStyle w:val="apple-converted-space"/>
          <w:rFonts w:ascii="Arial" w:eastAsiaTheme="majorEastAsia" w:hAnsi="Arial" w:cs="Arial"/>
          <w:color w:val="000000"/>
        </w:rPr>
        <w:t> </w:t>
      </w:r>
      <w:r>
        <w:rPr>
          <w:rFonts w:ascii="Arial" w:hAnsi="Arial" w:cs="Arial"/>
          <w:i/>
          <w:iCs/>
          <w:color w:val="000000"/>
        </w:rPr>
        <w:t>Discover Sustainability</w:t>
      </w:r>
      <w:r>
        <w:rPr>
          <w:rFonts w:ascii="Arial" w:hAnsi="Arial" w:cs="Arial"/>
          <w:color w:val="000000"/>
        </w:rPr>
        <w:t xml:space="preserve">, 6(1). </w:t>
      </w:r>
      <w:proofErr w:type="spellStart"/>
      <w:r>
        <w:rPr>
          <w:rFonts w:ascii="Arial" w:hAnsi="Arial" w:cs="Arial"/>
          <w:color w:val="000000"/>
        </w:rPr>
        <w:t>doi:https</w:t>
      </w:r>
      <w:proofErr w:type="spellEnd"/>
      <w:r>
        <w:rPr>
          <w:rFonts w:ascii="Arial" w:hAnsi="Arial" w:cs="Arial"/>
          <w:color w:val="000000"/>
        </w:rPr>
        <w:t>://doi.org/10.1007/s43621-025-01126-8.</w:t>
      </w:r>
    </w:p>
    <w:p w14:paraId="40775CAE"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King, B. (2002).</w:t>
      </w:r>
      <w:r>
        <w:rPr>
          <w:rStyle w:val="apple-converted-space"/>
          <w:rFonts w:ascii="Arial" w:eastAsiaTheme="majorEastAsia" w:hAnsi="Arial" w:cs="Arial"/>
          <w:color w:val="000000"/>
        </w:rPr>
        <w:t> </w:t>
      </w:r>
      <w:r>
        <w:rPr>
          <w:rFonts w:ascii="Arial" w:hAnsi="Arial" w:cs="Arial"/>
          <w:i/>
          <w:iCs/>
          <w:color w:val="000000"/>
        </w:rPr>
        <w:t>Creating Island Resorts</w:t>
      </w:r>
      <w:r>
        <w:rPr>
          <w:rFonts w:ascii="Arial" w:hAnsi="Arial" w:cs="Arial"/>
          <w:color w:val="000000"/>
        </w:rPr>
        <w:t>. Routledge.</w:t>
      </w:r>
    </w:p>
    <w:p w14:paraId="3E2B5168"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Kulkov</w:t>
      </w:r>
      <w:proofErr w:type="spellEnd"/>
      <w:r>
        <w:rPr>
          <w:rFonts w:ascii="Arial" w:hAnsi="Arial" w:cs="Arial"/>
          <w:color w:val="000000"/>
        </w:rPr>
        <w:t xml:space="preserve">, I., </w:t>
      </w:r>
      <w:proofErr w:type="spellStart"/>
      <w:r>
        <w:rPr>
          <w:rFonts w:ascii="Arial" w:hAnsi="Arial" w:cs="Arial"/>
          <w:color w:val="000000"/>
        </w:rPr>
        <w:t>Hellström</w:t>
      </w:r>
      <w:proofErr w:type="spellEnd"/>
      <w:r>
        <w:rPr>
          <w:rFonts w:ascii="Arial" w:hAnsi="Arial" w:cs="Arial"/>
          <w:color w:val="000000"/>
        </w:rPr>
        <w:t xml:space="preserve">, M., </w:t>
      </w:r>
      <w:proofErr w:type="spellStart"/>
      <w:r>
        <w:rPr>
          <w:rFonts w:ascii="Arial" w:hAnsi="Arial" w:cs="Arial"/>
          <w:color w:val="000000"/>
        </w:rPr>
        <w:t>Tsvetkova</w:t>
      </w:r>
      <w:proofErr w:type="spellEnd"/>
      <w:r>
        <w:rPr>
          <w:rFonts w:ascii="Arial" w:hAnsi="Arial" w:cs="Arial"/>
          <w:color w:val="000000"/>
        </w:rPr>
        <w:t xml:space="preserve">, A. and </w:t>
      </w:r>
      <w:proofErr w:type="spellStart"/>
      <w:r>
        <w:rPr>
          <w:rFonts w:ascii="Arial" w:hAnsi="Arial" w:cs="Arial"/>
          <w:color w:val="000000"/>
        </w:rPr>
        <w:t>Malmberg</w:t>
      </w:r>
      <w:proofErr w:type="spellEnd"/>
      <w:r>
        <w:rPr>
          <w:rFonts w:ascii="Arial" w:hAnsi="Arial" w:cs="Arial"/>
          <w:color w:val="000000"/>
        </w:rPr>
        <w:t>, J. (2023). Sustainable Cruise Tourism: Systematic Literature Review and Future Research Areas.</w:t>
      </w:r>
      <w:r>
        <w:rPr>
          <w:rStyle w:val="apple-converted-space"/>
          <w:rFonts w:ascii="Arial" w:eastAsiaTheme="majorEastAsia" w:hAnsi="Arial" w:cs="Arial"/>
          <w:color w:val="000000"/>
        </w:rPr>
        <w:t> </w:t>
      </w:r>
      <w:r>
        <w:rPr>
          <w:rFonts w:ascii="Arial" w:hAnsi="Arial" w:cs="Arial"/>
          <w:i/>
          <w:iCs/>
          <w:color w:val="000000"/>
        </w:rPr>
        <w:t>Sustainability</w:t>
      </w:r>
      <w:r>
        <w:rPr>
          <w:rFonts w:ascii="Arial" w:hAnsi="Arial" w:cs="Arial"/>
          <w:color w:val="000000"/>
        </w:rPr>
        <w:t xml:space="preserve">, [online] 15(10), p.8335. </w:t>
      </w:r>
      <w:proofErr w:type="spellStart"/>
      <w:r>
        <w:rPr>
          <w:rFonts w:ascii="Arial" w:hAnsi="Arial" w:cs="Arial"/>
          <w:color w:val="000000"/>
        </w:rPr>
        <w:t>doi:https</w:t>
      </w:r>
      <w:proofErr w:type="spellEnd"/>
      <w:r>
        <w:rPr>
          <w:rFonts w:ascii="Arial" w:hAnsi="Arial" w:cs="Arial"/>
          <w:color w:val="000000"/>
        </w:rPr>
        <w:t>://doi.org/10.3390/su15108335.</w:t>
      </w:r>
    </w:p>
    <w:p w14:paraId="1EDEE697"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Mancera</w:t>
      </w:r>
      <w:proofErr w:type="spellEnd"/>
      <w:r>
        <w:rPr>
          <w:rFonts w:ascii="Arial" w:hAnsi="Arial" w:cs="Arial"/>
          <w:color w:val="000000"/>
        </w:rPr>
        <w:t>, E. (2025).</w:t>
      </w:r>
      <w:r>
        <w:rPr>
          <w:rStyle w:val="apple-converted-space"/>
          <w:rFonts w:ascii="Arial" w:eastAsiaTheme="majorEastAsia" w:hAnsi="Arial" w:cs="Arial"/>
          <w:color w:val="000000"/>
        </w:rPr>
        <w:t> </w:t>
      </w:r>
      <w:r>
        <w:rPr>
          <w:rFonts w:ascii="Arial" w:hAnsi="Arial" w:cs="Arial"/>
          <w:i/>
          <w:iCs/>
          <w:color w:val="000000"/>
        </w:rPr>
        <w:t xml:space="preserve">Climate Change Adaptation and Mitigation in the </w:t>
      </w:r>
      <w:proofErr w:type="spellStart"/>
      <w:r>
        <w:rPr>
          <w:rFonts w:ascii="Arial" w:hAnsi="Arial" w:cs="Arial"/>
          <w:i/>
          <w:iCs/>
          <w:color w:val="000000"/>
        </w:rPr>
        <w:t>Seaflower</w:t>
      </w:r>
      <w:proofErr w:type="spellEnd"/>
      <w:r>
        <w:rPr>
          <w:rFonts w:ascii="Arial" w:hAnsi="Arial" w:cs="Arial"/>
          <w:i/>
          <w:iCs/>
          <w:color w:val="000000"/>
        </w:rPr>
        <w:t xml:space="preserve"> Biosphere Reserve</w:t>
      </w:r>
      <w:r>
        <w:rPr>
          <w:rFonts w:ascii="Arial" w:hAnsi="Arial" w:cs="Arial"/>
          <w:color w:val="000000"/>
        </w:rPr>
        <w:t>. Springer Nature.</w:t>
      </w:r>
    </w:p>
    <w:p w14:paraId="6840E03B"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lastRenderedPageBreak/>
        <w:t>McAdam-Otto, L.K. (2022). ‘It’s all about the beaches’: Sargassum algae, tourism, and coastal transformations along the Mexican Caribbean.</w:t>
      </w:r>
      <w:r>
        <w:rPr>
          <w:rStyle w:val="apple-converted-space"/>
          <w:rFonts w:ascii="Arial" w:eastAsiaTheme="majorEastAsia" w:hAnsi="Arial" w:cs="Arial"/>
          <w:color w:val="000000"/>
        </w:rPr>
        <w:t> </w:t>
      </w:r>
      <w:r>
        <w:rPr>
          <w:rFonts w:ascii="Arial" w:hAnsi="Arial" w:cs="Arial"/>
          <w:i/>
          <w:iCs/>
          <w:color w:val="000000"/>
        </w:rPr>
        <w:t>Coastal Studies &amp; Society</w:t>
      </w:r>
      <w:r>
        <w:rPr>
          <w:rFonts w:ascii="Arial" w:hAnsi="Arial" w:cs="Arial"/>
          <w:color w:val="000000"/>
        </w:rPr>
        <w:t xml:space="preserve">, 2(4), p.263498172211323. </w:t>
      </w:r>
      <w:proofErr w:type="spellStart"/>
      <w:r>
        <w:rPr>
          <w:rFonts w:ascii="Arial" w:hAnsi="Arial" w:cs="Arial"/>
          <w:color w:val="000000"/>
        </w:rPr>
        <w:t>doi:https</w:t>
      </w:r>
      <w:proofErr w:type="spellEnd"/>
      <w:r>
        <w:rPr>
          <w:rFonts w:ascii="Arial" w:hAnsi="Arial" w:cs="Arial"/>
          <w:color w:val="000000"/>
        </w:rPr>
        <w:t>://doi.org/10.1177/26349817221132379.</w:t>
      </w:r>
    </w:p>
    <w:p w14:paraId="1BE72C2D"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N/A (2023).</w:t>
      </w:r>
      <w:r>
        <w:rPr>
          <w:rStyle w:val="apple-converted-space"/>
          <w:rFonts w:ascii="Arial" w:eastAsiaTheme="majorEastAsia" w:hAnsi="Arial" w:cs="Arial"/>
          <w:color w:val="000000"/>
        </w:rPr>
        <w:t> </w:t>
      </w:r>
      <w:r>
        <w:rPr>
          <w:rFonts w:ascii="Arial" w:hAnsi="Arial" w:cs="Arial"/>
          <w:i/>
          <w:iCs/>
          <w:color w:val="000000"/>
        </w:rPr>
        <w:t>Good Practices for Sustainable Cruise Tourism</w:t>
      </w:r>
      <w:r>
        <w:rPr>
          <w:rFonts w:ascii="Arial" w:hAnsi="Arial" w:cs="Arial"/>
          <w:color w:val="000000"/>
        </w:rPr>
        <w:t>.</w:t>
      </w:r>
    </w:p>
    <w:p w14:paraId="0E966DAD"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Nunn, P. and Kumar, R. (2018). Understanding climate-human interactions in Small Island Developing States (SIDS).</w:t>
      </w:r>
      <w:r>
        <w:rPr>
          <w:rStyle w:val="apple-converted-space"/>
          <w:rFonts w:ascii="Arial" w:eastAsiaTheme="majorEastAsia" w:hAnsi="Arial" w:cs="Arial"/>
          <w:color w:val="000000"/>
        </w:rPr>
        <w:t> </w:t>
      </w:r>
      <w:r>
        <w:rPr>
          <w:rFonts w:ascii="Arial" w:hAnsi="Arial" w:cs="Arial"/>
          <w:i/>
          <w:iCs/>
          <w:color w:val="000000"/>
        </w:rPr>
        <w:t>International Journal of Climate Change Strategies and Management</w:t>
      </w:r>
      <w:r>
        <w:rPr>
          <w:rFonts w:ascii="Arial" w:hAnsi="Arial" w:cs="Arial"/>
          <w:color w:val="000000"/>
        </w:rPr>
        <w:t xml:space="preserve">, 10(2), pp.245–271. </w:t>
      </w:r>
      <w:proofErr w:type="spellStart"/>
      <w:r>
        <w:rPr>
          <w:rFonts w:ascii="Arial" w:hAnsi="Arial" w:cs="Arial"/>
          <w:color w:val="000000"/>
        </w:rPr>
        <w:t>doi:https</w:t>
      </w:r>
      <w:proofErr w:type="spellEnd"/>
      <w:r>
        <w:rPr>
          <w:rFonts w:ascii="Arial" w:hAnsi="Arial" w:cs="Arial"/>
          <w:color w:val="000000"/>
        </w:rPr>
        <w:t>://doi.org/10.1108/ijccsm-01-2017-0012.</w:t>
      </w:r>
    </w:p>
    <w:p w14:paraId="3BFA4995" w14:textId="07401380"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Ruehr</w:t>
      </w:r>
      <w:proofErr w:type="spellEnd"/>
      <w:r>
        <w:rPr>
          <w:rFonts w:ascii="Arial" w:hAnsi="Arial" w:cs="Arial"/>
          <w:color w:val="000000"/>
        </w:rPr>
        <w:t>, S. (2025).</w:t>
      </w:r>
      <w:r>
        <w:rPr>
          <w:rStyle w:val="apple-converted-space"/>
          <w:rFonts w:ascii="Arial" w:eastAsiaTheme="majorEastAsia" w:hAnsi="Arial" w:cs="Arial"/>
          <w:color w:val="000000"/>
        </w:rPr>
        <w:t> </w:t>
      </w:r>
      <w:r>
        <w:rPr>
          <w:rFonts w:ascii="Arial" w:hAnsi="Arial" w:cs="Arial"/>
          <w:i/>
          <w:iCs/>
          <w:color w:val="000000"/>
        </w:rPr>
        <w:t>Website Filtered</w:t>
      </w:r>
      <w:r>
        <w:rPr>
          <w:rFonts w:ascii="Arial" w:hAnsi="Arial" w:cs="Arial"/>
          <w:color w:val="000000"/>
        </w:rPr>
        <w:t xml:space="preserve">. </w:t>
      </w:r>
      <w:r>
        <w:rPr>
          <w:rFonts w:ascii="Arial" w:hAnsi="Arial" w:cs="Arial"/>
          <w:color w:val="000000"/>
        </w:rPr>
        <w:t>(</w:t>
      </w:r>
      <w:r>
        <w:rPr>
          <w:rFonts w:ascii="Arial" w:hAnsi="Arial" w:cs="Arial"/>
          <w:color w:val="000000"/>
        </w:rPr>
        <w:t>online</w:t>
      </w:r>
      <w:r>
        <w:rPr>
          <w:rFonts w:ascii="Arial" w:hAnsi="Arial" w:cs="Arial"/>
          <w:color w:val="000000"/>
        </w:rPr>
        <w:t xml:space="preserve">) </w:t>
      </w:r>
      <w:r>
        <w:rPr>
          <w:rFonts w:ascii="Arial" w:hAnsi="Arial" w:cs="Arial"/>
          <w:color w:val="000000"/>
        </w:rPr>
        <w:t xml:space="preserve">Islandstudiesjournal.org. Available at: https://islandstudiesjournal.org/article/84747 </w:t>
      </w:r>
      <w:r>
        <w:rPr>
          <w:rFonts w:ascii="Arial" w:hAnsi="Arial" w:cs="Arial"/>
          <w:color w:val="000000"/>
        </w:rPr>
        <w:t>(</w:t>
      </w:r>
      <w:r>
        <w:rPr>
          <w:rFonts w:ascii="Arial" w:hAnsi="Arial" w:cs="Arial"/>
          <w:color w:val="000000"/>
        </w:rPr>
        <w:t>Accessed 4 Dec. 2025</w:t>
      </w:r>
      <w:r>
        <w:rPr>
          <w:rFonts w:ascii="Arial" w:hAnsi="Arial" w:cs="Arial"/>
          <w:color w:val="000000"/>
        </w:rPr>
        <w:t>)</w:t>
      </w:r>
      <w:r>
        <w:rPr>
          <w:rFonts w:ascii="Arial" w:hAnsi="Arial" w:cs="Arial"/>
          <w:color w:val="000000"/>
        </w:rPr>
        <w:t>.</w:t>
      </w:r>
    </w:p>
    <w:p w14:paraId="0BE5BAC4"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Shieh, H. and Chang, P. (2025). The Dual Impact of Sustainable Tourism Development on Local Economies and Ecosystems: A Mixed</w:t>
      </w:r>
      <w:r>
        <w:rPr>
          <w:rFonts w:ascii="Cambria Math" w:hAnsi="Cambria Math" w:cs="Cambria Math"/>
          <w:color w:val="000000"/>
        </w:rPr>
        <w:t>‐</w:t>
      </w:r>
      <w:r>
        <w:rPr>
          <w:rFonts w:ascii="Arial" w:hAnsi="Arial" w:cs="Arial"/>
          <w:color w:val="000000"/>
        </w:rPr>
        <w:t>Method Study in Guangzhou.</w:t>
      </w:r>
      <w:r>
        <w:rPr>
          <w:rStyle w:val="apple-converted-space"/>
          <w:rFonts w:ascii="Arial" w:eastAsiaTheme="majorEastAsia" w:hAnsi="Arial" w:cs="Arial"/>
          <w:color w:val="000000"/>
        </w:rPr>
        <w:t> </w:t>
      </w:r>
      <w:r>
        <w:rPr>
          <w:rFonts w:ascii="Arial" w:hAnsi="Arial" w:cs="Arial"/>
          <w:i/>
          <w:iCs/>
          <w:color w:val="000000"/>
        </w:rPr>
        <w:t>Corporate Social Responsibility and Environmental Management</w:t>
      </w:r>
      <w:r>
        <w:rPr>
          <w:rFonts w:ascii="Arial" w:hAnsi="Arial" w:cs="Arial"/>
          <w:color w:val="000000"/>
        </w:rPr>
        <w:t xml:space="preserve">. </w:t>
      </w:r>
      <w:proofErr w:type="spellStart"/>
      <w:r>
        <w:rPr>
          <w:rFonts w:ascii="Arial" w:hAnsi="Arial" w:cs="Arial"/>
          <w:color w:val="000000"/>
        </w:rPr>
        <w:t>doi:https</w:t>
      </w:r>
      <w:proofErr w:type="spellEnd"/>
      <w:r>
        <w:rPr>
          <w:rFonts w:ascii="Arial" w:hAnsi="Arial" w:cs="Arial"/>
          <w:color w:val="000000"/>
        </w:rPr>
        <w:t>://doi.org/10.1002/csr.70161.</w:t>
      </w:r>
    </w:p>
    <w:p w14:paraId="073A9852"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Thomas, A. and Benjamin, L. (2019). Non-economic loss and damage: lessons from displacement in the Caribbean.</w:t>
      </w:r>
      <w:r>
        <w:rPr>
          <w:rStyle w:val="apple-converted-space"/>
          <w:rFonts w:ascii="Arial" w:eastAsiaTheme="majorEastAsia" w:hAnsi="Arial" w:cs="Arial"/>
          <w:color w:val="000000"/>
        </w:rPr>
        <w:t> </w:t>
      </w:r>
      <w:r>
        <w:rPr>
          <w:rFonts w:ascii="Arial" w:hAnsi="Arial" w:cs="Arial"/>
          <w:i/>
          <w:iCs/>
          <w:color w:val="000000"/>
        </w:rPr>
        <w:t>Climate Policy</w:t>
      </w:r>
      <w:r>
        <w:rPr>
          <w:rFonts w:ascii="Arial" w:hAnsi="Arial" w:cs="Arial"/>
          <w:color w:val="000000"/>
        </w:rPr>
        <w:t xml:space="preserve">, 20(6), pp.1–14. </w:t>
      </w:r>
      <w:proofErr w:type="spellStart"/>
      <w:r>
        <w:rPr>
          <w:rFonts w:ascii="Arial" w:hAnsi="Arial" w:cs="Arial"/>
          <w:color w:val="000000"/>
        </w:rPr>
        <w:t>doi:https</w:t>
      </w:r>
      <w:proofErr w:type="spellEnd"/>
      <w:r>
        <w:rPr>
          <w:rFonts w:ascii="Arial" w:hAnsi="Arial" w:cs="Arial"/>
          <w:color w:val="000000"/>
        </w:rPr>
        <w:t>://doi.org/10.1080/14693062.2019.1640105.</w:t>
      </w:r>
    </w:p>
    <w:p w14:paraId="6DF22E38" w14:textId="77777777" w:rsid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Tolkach</w:t>
      </w:r>
      <w:proofErr w:type="spellEnd"/>
      <w:r>
        <w:rPr>
          <w:rFonts w:ascii="Arial" w:hAnsi="Arial" w:cs="Arial"/>
          <w:color w:val="000000"/>
        </w:rPr>
        <w:t>, D. and Pratt, S. (2019). Globalisation and cultural change in Pacific Island countries: the role of tourism.</w:t>
      </w:r>
      <w:r>
        <w:rPr>
          <w:rStyle w:val="apple-converted-space"/>
          <w:rFonts w:ascii="Arial" w:eastAsiaTheme="majorEastAsia" w:hAnsi="Arial" w:cs="Arial"/>
          <w:color w:val="000000"/>
        </w:rPr>
        <w:t> </w:t>
      </w:r>
      <w:r>
        <w:rPr>
          <w:rFonts w:ascii="Arial" w:hAnsi="Arial" w:cs="Arial"/>
          <w:i/>
          <w:iCs/>
          <w:color w:val="000000"/>
        </w:rPr>
        <w:t>Tourism Geographies</w:t>
      </w:r>
      <w:r>
        <w:rPr>
          <w:rFonts w:ascii="Arial" w:hAnsi="Arial" w:cs="Arial"/>
          <w:color w:val="000000"/>
        </w:rPr>
        <w:t xml:space="preserve">, 23(3), pp.1–26. </w:t>
      </w:r>
      <w:proofErr w:type="spellStart"/>
      <w:r>
        <w:rPr>
          <w:rFonts w:ascii="Arial" w:hAnsi="Arial" w:cs="Arial"/>
          <w:color w:val="000000"/>
        </w:rPr>
        <w:t>doi:https</w:t>
      </w:r>
      <w:proofErr w:type="spellEnd"/>
      <w:r>
        <w:rPr>
          <w:rFonts w:ascii="Arial" w:hAnsi="Arial" w:cs="Arial"/>
          <w:color w:val="000000"/>
        </w:rPr>
        <w:t>://doi.org/10.1080/14616688.2019.1625071.</w:t>
      </w:r>
    </w:p>
    <w:p w14:paraId="7EE40F87" w14:textId="20877DB3"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UN Tourism (2025).</w:t>
      </w:r>
      <w:r>
        <w:rPr>
          <w:rStyle w:val="apple-converted-space"/>
          <w:rFonts w:ascii="Arial" w:eastAsiaTheme="majorEastAsia" w:hAnsi="Arial" w:cs="Arial"/>
          <w:color w:val="000000"/>
        </w:rPr>
        <w:t> </w:t>
      </w:r>
      <w:r>
        <w:rPr>
          <w:rFonts w:ascii="Arial" w:hAnsi="Arial" w:cs="Arial"/>
          <w:i/>
          <w:iCs/>
          <w:color w:val="000000"/>
        </w:rPr>
        <w:t>Sustainable development</w:t>
      </w:r>
      <w:r>
        <w:rPr>
          <w:rFonts w:ascii="Arial" w:hAnsi="Arial" w:cs="Arial"/>
          <w:color w:val="000000"/>
        </w:rPr>
        <w:t xml:space="preserve">. </w:t>
      </w:r>
      <w:r>
        <w:rPr>
          <w:rFonts w:ascii="Arial" w:hAnsi="Arial" w:cs="Arial"/>
          <w:color w:val="000000"/>
        </w:rPr>
        <w:t>(o</w:t>
      </w:r>
      <w:r>
        <w:rPr>
          <w:rFonts w:ascii="Arial" w:hAnsi="Arial" w:cs="Arial"/>
          <w:color w:val="000000"/>
        </w:rPr>
        <w:t>nline</w:t>
      </w:r>
      <w:r>
        <w:rPr>
          <w:rFonts w:ascii="Arial" w:hAnsi="Arial" w:cs="Arial"/>
          <w:color w:val="000000"/>
        </w:rPr>
        <w:t>)</w:t>
      </w:r>
      <w:r>
        <w:rPr>
          <w:rFonts w:ascii="Arial" w:hAnsi="Arial" w:cs="Arial"/>
          <w:color w:val="000000"/>
        </w:rPr>
        <w:t xml:space="preserve"> Untourism.int. Available at: https://www.untourism.int/sustainable-development </w:t>
      </w:r>
      <w:r>
        <w:rPr>
          <w:rFonts w:ascii="Arial" w:hAnsi="Arial" w:cs="Arial"/>
          <w:color w:val="000000"/>
        </w:rPr>
        <w:t>(</w:t>
      </w:r>
      <w:r>
        <w:rPr>
          <w:rFonts w:ascii="Arial" w:hAnsi="Arial" w:cs="Arial"/>
          <w:color w:val="000000"/>
        </w:rPr>
        <w:t>Accessed 5 Dec. 2025</w:t>
      </w:r>
      <w:r>
        <w:rPr>
          <w:rFonts w:ascii="Arial" w:hAnsi="Arial" w:cs="Arial"/>
          <w:color w:val="000000"/>
        </w:rPr>
        <w:t>)</w:t>
      </w:r>
      <w:r>
        <w:rPr>
          <w:rFonts w:ascii="Arial" w:hAnsi="Arial" w:cs="Arial"/>
          <w:color w:val="000000"/>
        </w:rPr>
        <w:t>.</w:t>
      </w:r>
    </w:p>
    <w:p w14:paraId="0E34B18C" w14:textId="77777777" w:rsidR="00D61B73" w:rsidRDefault="00D61B73" w:rsidP="00D61B73">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Wolf, F., Filho, W.L., Singh, P., </w:t>
      </w:r>
      <w:proofErr w:type="spellStart"/>
      <w:r>
        <w:rPr>
          <w:rFonts w:ascii="Arial" w:hAnsi="Arial" w:cs="Arial"/>
          <w:color w:val="000000"/>
        </w:rPr>
        <w:t>Scherle</w:t>
      </w:r>
      <w:proofErr w:type="spellEnd"/>
      <w:r>
        <w:rPr>
          <w:rFonts w:ascii="Arial" w:hAnsi="Arial" w:cs="Arial"/>
          <w:color w:val="000000"/>
        </w:rPr>
        <w:t xml:space="preserve">, N., Reiser, D., </w:t>
      </w:r>
      <w:proofErr w:type="spellStart"/>
      <w:r>
        <w:rPr>
          <w:rFonts w:ascii="Arial" w:hAnsi="Arial" w:cs="Arial"/>
          <w:color w:val="000000"/>
        </w:rPr>
        <w:t>Telesford</w:t>
      </w:r>
      <w:proofErr w:type="spellEnd"/>
      <w:r>
        <w:rPr>
          <w:rFonts w:ascii="Arial" w:hAnsi="Arial" w:cs="Arial"/>
          <w:color w:val="000000"/>
        </w:rPr>
        <w:t xml:space="preserve">, J., </w:t>
      </w:r>
      <w:proofErr w:type="spellStart"/>
      <w:r>
        <w:rPr>
          <w:rFonts w:ascii="Arial" w:hAnsi="Arial" w:cs="Arial"/>
          <w:color w:val="000000"/>
        </w:rPr>
        <w:t>Miljković</w:t>
      </w:r>
      <w:proofErr w:type="spellEnd"/>
      <w:r>
        <w:rPr>
          <w:rFonts w:ascii="Arial" w:hAnsi="Arial" w:cs="Arial"/>
          <w:color w:val="000000"/>
        </w:rPr>
        <w:t xml:space="preserve">, I.B., </w:t>
      </w:r>
      <w:proofErr w:type="spellStart"/>
      <w:r>
        <w:rPr>
          <w:rFonts w:ascii="Arial" w:hAnsi="Arial" w:cs="Arial"/>
          <w:color w:val="000000"/>
        </w:rPr>
        <w:t>Havea</w:t>
      </w:r>
      <w:proofErr w:type="spellEnd"/>
      <w:r>
        <w:rPr>
          <w:rFonts w:ascii="Arial" w:hAnsi="Arial" w:cs="Arial"/>
          <w:color w:val="000000"/>
        </w:rPr>
        <w:t xml:space="preserve">, P.H., Li, C., </w:t>
      </w:r>
      <w:proofErr w:type="spellStart"/>
      <w:r>
        <w:rPr>
          <w:rFonts w:ascii="Arial" w:hAnsi="Arial" w:cs="Arial"/>
          <w:color w:val="000000"/>
        </w:rPr>
        <w:t>Surroop</w:t>
      </w:r>
      <w:proofErr w:type="spellEnd"/>
      <w:r>
        <w:rPr>
          <w:rFonts w:ascii="Arial" w:hAnsi="Arial" w:cs="Arial"/>
          <w:color w:val="000000"/>
        </w:rPr>
        <w:t xml:space="preserve">, D. and </w:t>
      </w:r>
      <w:proofErr w:type="spellStart"/>
      <w:r>
        <w:rPr>
          <w:rFonts w:ascii="Arial" w:hAnsi="Arial" w:cs="Arial"/>
          <w:color w:val="000000"/>
        </w:rPr>
        <w:t>Kovaleva</w:t>
      </w:r>
      <w:proofErr w:type="spellEnd"/>
      <w:r>
        <w:rPr>
          <w:rFonts w:ascii="Arial" w:hAnsi="Arial" w:cs="Arial"/>
          <w:color w:val="000000"/>
        </w:rPr>
        <w:t>, M. (2021). Influences of Climate Change on Tourism Development in Small Pacific Island States.</w:t>
      </w:r>
      <w:r>
        <w:rPr>
          <w:rStyle w:val="apple-converted-space"/>
          <w:rFonts w:ascii="Arial" w:eastAsiaTheme="majorEastAsia" w:hAnsi="Arial" w:cs="Arial"/>
          <w:color w:val="000000"/>
        </w:rPr>
        <w:t> </w:t>
      </w:r>
      <w:r>
        <w:rPr>
          <w:rFonts w:ascii="Arial" w:hAnsi="Arial" w:cs="Arial"/>
          <w:i/>
          <w:iCs/>
          <w:color w:val="000000"/>
        </w:rPr>
        <w:t>Sustainability</w:t>
      </w:r>
      <w:r>
        <w:rPr>
          <w:rFonts w:ascii="Arial" w:hAnsi="Arial" w:cs="Arial"/>
          <w:color w:val="000000"/>
        </w:rPr>
        <w:t xml:space="preserve">, 13(8), p.4223. </w:t>
      </w:r>
      <w:proofErr w:type="spellStart"/>
      <w:r>
        <w:rPr>
          <w:rFonts w:ascii="Arial" w:hAnsi="Arial" w:cs="Arial"/>
          <w:color w:val="000000"/>
        </w:rPr>
        <w:t>doi:https</w:t>
      </w:r>
      <w:proofErr w:type="spellEnd"/>
      <w:r>
        <w:rPr>
          <w:rFonts w:ascii="Arial" w:hAnsi="Arial" w:cs="Arial"/>
          <w:color w:val="000000"/>
        </w:rPr>
        <w:t>://doi.org/10.3390/su13084223.</w:t>
      </w:r>
    </w:p>
    <w:p w14:paraId="4838F29F" w14:textId="3EE71F02" w:rsidR="00D61B73" w:rsidRPr="00D61B73" w:rsidRDefault="00D61B73" w:rsidP="00D61B73">
      <w:pPr>
        <w:pStyle w:val="NormalWeb"/>
        <w:spacing w:before="0" w:beforeAutospacing="0" w:after="240" w:afterAutospacing="0" w:line="360" w:lineRule="atLeast"/>
        <w:rPr>
          <w:rFonts w:ascii="Arial" w:hAnsi="Arial" w:cs="Arial"/>
          <w:color w:val="000000"/>
        </w:rPr>
      </w:pPr>
      <w:proofErr w:type="spellStart"/>
      <w:r>
        <w:rPr>
          <w:rFonts w:ascii="Arial" w:hAnsi="Arial" w:cs="Arial"/>
          <w:color w:val="000000"/>
        </w:rPr>
        <w:t>Yulianda</w:t>
      </w:r>
      <w:proofErr w:type="spellEnd"/>
      <w:r>
        <w:rPr>
          <w:rFonts w:ascii="Arial" w:hAnsi="Arial" w:cs="Arial"/>
          <w:color w:val="000000"/>
        </w:rPr>
        <w:t xml:space="preserve">, F., </w:t>
      </w:r>
      <w:proofErr w:type="spellStart"/>
      <w:r>
        <w:rPr>
          <w:rFonts w:ascii="Arial" w:hAnsi="Arial" w:cs="Arial"/>
          <w:color w:val="000000"/>
        </w:rPr>
        <w:t>Kaber</w:t>
      </w:r>
      <w:proofErr w:type="spellEnd"/>
      <w:r>
        <w:rPr>
          <w:rFonts w:ascii="Arial" w:hAnsi="Arial" w:cs="Arial"/>
          <w:color w:val="000000"/>
        </w:rPr>
        <w:t xml:space="preserve">, Y., </w:t>
      </w:r>
      <w:proofErr w:type="spellStart"/>
      <w:r>
        <w:rPr>
          <w:rFonts w:ascii="Arial" w:hAnsi="Arial" w:cs="Arial"/>
          <w:color w:val="000000"/>
        </w:rPr>
        <w:t>Bengen</w:t>
      </w:r>
      <w:proofErr w:type="spellEnd"/>
      <w:r>
        <w:rPr>
          <w:rFonts w:ascii="Arial" w:hAnsi="Arial" w:cs="Arial"/>
          <w:color w:val="000000"/>
        </w:rPr>
        <w:t xml:space="preserve">, D.G. and </w:t>
      </w:r>
      <w:proofErr w:type="spellStart"/>
      <w:r>
        <w:rPr>
          <w:rFonts w:ascii="Arial" w:hAnsi="Arial" w:cs="Arial"/>
          <w:color w:val="000000"/>
        </w:rPr>
        <w:t>Dahuri</w:t>
      </w:r>
      <w:proofErr w:type="spellEnd"/>
      <w:r>
        <w:rPr>
          <w:rFonts w:ascii="Arial" w:hAnsi="Arial" w:cs="Arial"/>
          <w:color w:val="000000"/>
        </w:rPr>
        <w:t>, R. (2020). Mangrove ecosystem for sustainable tourism in Dampier Strait Marine Protected Area Raja Ampat.</w:t>
      </w:r>
      <w:r>
        <w:rPr>
          <w:rStyle w:val="apple-converted-space"/>
          <w:rFonts w:ascii="Arial" w:eastAsiaTheme="majorEastAsia" w:hAnsi="Arial" w:cs="Arial"/>
          <w:color w:val="000000"/>
        </w:rPr>
        <w:t> </w:t>
      </w:r>
      <w:r>
        <w:rPr>
          <w:rFonts w:ascii="Arial" w:hAnsi="Arial" w:cs="Arial"/>
          <w:i/>
          <w:iCs/>
          <w:color w:val="000000"/>
        </w:rPr>
        <w:t>IOP Conference Series: Earth and Environmental Science</w:t>
      </w:r>
      <w:r>
        <w:rPr>
          <w:rFonts w:ascii="Arial" w:hAnsi="Arial" w:cs="Arial"/>
          <w:color w:val="000000"/>
        </w:rPr>
        <w:t xml:space="preserve">, 404(1), p.012086. </w:t>
      </w:r>
      <w:proofErr w:type="spellStart"/>
      <w:r>
        <w:rPr>
          <w:rFonts w:ascii="Arial" w:hAnsi="Arial" w:cs="Arial"/>
          <w:color w:val="000000"/>
        </w:rPr>
        <w:t>doi:https</w:t>
      </w:r>
      <w:proofErr w:type="spellEnd"/>
      <w:r>
        <w:rPr>
          <w:rFonts w:ascii="Arial" w:hAnsi="Arial" w:cs="Arial"/>
          <w:color w:val="000000"/>
        </w:rPr>
        <w:t>://doi.org/10.1088/1755-1315/404/1/012086.</w:t>
      </w:r>
    </w:p>
    <w:sectPr w:rsidR="00D61B73" w:rsidRPr="00D61B73"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29D77CFB" w:usb2="00000012" w:usb3="00000000" w:csb0="0008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473CD3"/>
    <w:multiLevelType w:val="hybridMultilevel"/>
    <w:tmpl w:val="D45AF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5967277"/>
    <w:multiLevelType w:val="hybridMultilevel"/>
    <w:tmpl w:val="29586D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1B45A10"/>
    <w:multiLevelType w:val="hybridMultilevel"/>
    <w:tmpl w:val="5D3C5D8E"/>
    <w:lvl w:ilvl="0" w:tplc="81620208">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EE54361"/>
    <w:multiLevelType w:val="hybridMultilevel"/>
    <w:tmpl w:val="338848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DC0F2E"/>
    <w:multiLevelType w:val="multilevel"/>
    <w:tmpl w:val="2FAAE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4956369">
    <w:abstractNumId w:val="1"/>
  </w:num>
  <w:num w:numId="2" w16cid:durableId="381950684">
    <w:abstractNumId w:val="0"/>
  </w:num>
  <w:num w:numId="3" w16cid:durableId="1983271432">
    <w:abstractNumId w:val="2"/>
  </w:num>
  <w:num w:numId="4" w16cid:durableId="964234719">
    <w:abstractNumId w:val="3"/>
  </w:num>
  <w:num w:numId="5" w16cid:durableId="2101174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13B"/>
    <w:rsid w:val="00133284"/>
    <w:rsid w:val="001A713B"/>
    <w:rsid w:val="001F2D0F"/>
    <w:rsid w:val="00262A63"/>
    <w:rsid w:val="003E0431"/>
    <w:rsid w:val="003F57E0"/>
    <w:rsid w:val="0045128A"/>
    <w:rsid w:val="004B33D4"/>
    <w:rsid w:val="005B3CBB"/>
    <w:rsid w:val="0077204D"/>
    <w:rsid w:val="00977660"/>
    <w:rsid w:val="009B2DAF"/>
    <w:rsid w:val="00AA764E"/>
    <w:rsid w:val="00C63FF4"/>
    <w:rsid w:val="00D61B73"/>
    <w:rsid w:val="00DA07E4"/>
    <w:rsid w:val="00E13170"/>
    <w:rsid w:val="00E42647"/>
    <w:rsid w:val="00E4416A"/>
    <w:rsid w:val="00FF276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A93D"/>
  <w15:chartTrackingRefBased/>
  <w15:docId w15:val="{F8764CFA-8264-DC45-8093-304D4EF73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43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A7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1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1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1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1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13B"/>
    <w:rPr>
      <w:rFonts w:eastAsiaTheme="majorEastAsia" w:cstheme="majorBidi"/>
      <w:color w:val="272727" w:themeColor="text1" w:themeTint="D8"/>
    </w:rPr>
  </w:style>
  <w:style w:type="paragraph" w:styleId="Title">
    <w:name w:val="Title"/>
    <w:basedOn w:val="Normal"/>
    <w:next w:val="Normal"/>
    <w:link w:val="TitleChar"/>
    <w:uiPriority w:val="10"/>
    <w:qFormat/>
    <w:rsid w:val="001A71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13B"/>
    <w:pPr>
      <w:spacing w:before="160"/>
      <w:jc w:val="center"/>
    </w:pPr>
    <w:rPr>
      <w:i/>
      <w:iCs/>
      <w:color w:val="404040" w:themeColor="text1" w:themeTint="BF"/>
    </w:rPr>
  </w:style>
  <w:style w:type="character" w:customStyle="1" w:styleId="QuoteChar">
    <w:name w:val="Quote Char"/>
    <w:basedOn w:val="DefaultParagraphFont"/>
    <w:link w:val="Quote"/>
    <w:uiPriority w:val="29"/>
    <w:rsid w:val="001A713B"/>
    <w:rPr>
      <w:i/>
      <w:iCs/>
      <w:color w:val="404040" w:themeColor="text1" w:themeTint="BF"/>
    </w:rPr>
  </w:style>
  <w:style w:type="paragraph" w:styleId="ListParagraph">
    <w:name w:val="List Paragraph"/>
    <w:basedOn w:val="Normal"/>
    <w:uiPriority w:val="34"/>
    <w:qFormat/>
    <w:rsid w:val="001A713B"/>
    <w:pPr>
      <w:ind w:left="720"/>
      <w:contextualSpacing/>
    </w:pPr>
  </w:style>
  <w:style w:type="character" w:styleId="IntenseEmphasis">
    <w:name w:val="Intense Emphasis"/>
    <w:basedOn w:val="DefaultParagraphFont"/>
    <w:uiPriority w:val="21"/>
    <w:qFormat/>
    <w:rsid w:val="001A713B"/>
    <w:rPr>
      <w:i/>
      <w:iCs/>
      <w:color w:val="0F4761" w:themeColor="accent1" w:themeShade="BF"/>
    </w:rPr>
  </w:style>
  <w:style w:type="paragraph" w:styleId="IntenseQuote">
    <w:name w:val="Intense Quote"/>
    <w:basedOn w:val="Normal"/>
    <w:next w:val="Normal"/>
    <w:link w:val="IntenseQuoteChar"/>
    <w:uiPriority w:val="30"/>
    <w:qFormat/>
    <w:rsid w:val="001A7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13B"/>
    <w:rPr>
      <w:i/>
      <w:iCs/>
      <w:color w:val="0F4761" w:themeColor="accent1" w:themeShade="BF"/>
    </w:rPr>
  </w:style>
  <w:style w:type="character" w:styleId="IntenseReference">
    <w:name w:val="Intense Reference"/>
    <w:basedOn w:val="DefaultParagraphFont"/>
    <w:uiPriority w:val="32"/>
    <w:qFormat/>
    <w:rsid w:val="001A713B"/>
    <w:rPr>
      <w:b/>
      <w:bCs/>
      <w:smallCaps/>
      <w:color w:val="0F4761" w:themeColor="accent1" w:themeShade="BF"/>
      <w:spacing w:val="5"/>
    </w:rPr>
  </w:style>
  <w:style w:type="character" w:customStyle="1" w:styleId="apple-converted-space">
    <w:name w:val="apple-converted-space"/>
    <w:basedOn w:val="DefaultParagraphFont"/>
    <w:rsid w:val="00E4416A"/>
  </w:style>
  <w:style w:type="paragraph" w:customStyle="1" w:styleId="t-summary">
    <w:name w:val="t-summary"/>
    <w:basedOn w:val="Normal"/>
    <w:rsid w:val="00E4416A"/>
    <w:pPr>
      <w:spacing w:before="100" w:beforeAutospacing="1" w:after="100" w:afterAutospacing="1"/>
    </w:pPr>
  </w:style>
  <w:style w:type="character" w:customStyle="1" w:styleId="text-white">
    <w:name w:val="text-white"/>
    <w:basedOn w:val="DefaultParagraphFont"/>
    <w:rsid w:val="00E4416A"/>
  </w:style>
  <w:style w:type="paragraph" w:styleId="NormalWeb">
    <w:name w:val="Normal (Web)"/>
    <w:basedOn w:val="Normal"/>
    <w:uiPriority w:val="99"/>
    <w:unhideWhenUsed/>
    <w:rsid w:val="00D61B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08303">
      <w:bodyDiv w:val="1"/>
      <w:marLeft w:val="0"/>
      <w:marRight w:val="0"/>
      <w:marTop w:val="0"/>
      <w:marBottom w:val="0"/>
      <w:divBdr>
        <w:top w:val="none" w:sz="0" w:space="0" w:color="auto"/>
        <w:left w:val="none" w:sz="0" w:space="0" w:color="auto"/>
        <w:bottom w:val="none" w:sz="0" w:space="0" w:color="auto"/>
        <w:right w:val="none" w:sz="0" w:space="0" w:color="auto"/>
      </w:divBdr>
    </w:div>
    <w:div w:id="129253185">
      <w:bodyDiv w:val="1"/>
      <w:marLeft w:val="0"/>
      <w:marRight w:val="0"/>
      <w:marTop w:val="0"/>
      <w:marBottom w:val="0"/>
      <w:divBdr>
        <w:top w:val="none" w:sz="0" w:space="0" w:color="auto"/>
        <w:left w:val="none" w:sz="0" w:space="0" w:color="auto"/>
        <w:bottom w:val="none" w:sz="0" w:space="0" w:color="auto"/>
        <w:right w:val="none" w:sz="0" w:space="0" w:color="auto"/>
      </w:divBdr>
    </w:div>
    <w:div w:id="400493225">
      <w:bodyDiv w:val="1"/>
      <w:marLeft w:val="0"/>
      <w:marRight w:val="0"/>
      <w:marTop w:val="0"/>
      <w:marBottom w:val="0"/>
      <w:divBdr>
        <w:top w:val="none" w:sz="0" w:space="0" w:color="auto"/>
        <w:left w:val="none" w:sz="0" w:space="0" w:color="auto"/>
        <w:bottom w:val="none" w:sz="0" w:space="0" w:color="auto"/>
        <w:right w:val="none" w:sz="0" w:space="0" w:color="auto"/>
      </w:divBdr>
    </w:div>
    <w:div w:id="783967271">
      <w:bodyDiv w:val="1"/>
      <w:marLeft w:val="0"/>
      <w:marRight w:val="0"/>
      <w:marTop w:val="0"/>
      <w:marBottom w:val="0"/>
      <w:divBdr>
        <w:top w:val="none" w:sz="0" w:space="0" w:color="auto"/>
        <w:left w:val="none" w:sz="0" w:space="0" w:color="auto"/>
        <w:bottom w:val="none" w:sz="0" w:space="0" w:color="auto"/>
        <w:right w:val="none" w:sz="0" w:space="0" w:color="auto"/>
      </w:divBdr>
    </w:div>
    <w:div w:id="1406493047">
      <w:bodyDiv w:val="1"/>
      <w:marLeft w:val="0"/>
      <w:marRight w:val="0"/>
      <w:marTop w:val="0"/>
      <w:marBottom w:val="0"/>
      <w:divBdr>
        <w:top w:val="none" w:sz="0" w:space="0" w:color="auto"/>
        <w:left w:val="none" w:sz="0" w:space="0" w:color="auto"/>
        <w:bottom w:val="none" w:sz="0" w:space="0" w:color="auto"/>
        <w:right w:val="none" w:sz="0" w:space="0" w:color="auto"/>
      </w:divBdr>
    </w:div>
    <w:div w:id="1784110298">
      <w:bodyDiv w:val="1"/>
      <w:marLeft w:val="0"/>
      <w:marRight w:val="0"/>
      <w:marTop w:val="0"/>
      <w:marBottom w:val="0"/>
      <w:divBdr>
        <w:top w:val="none" w:sz="0" w:space="0" w:color="auto"/>
        <w:left w:val="none" w:sz="0" w:space="0" w:color="auto"/>
        <w:bottom w:val="none" w:sz="0" w:space="0" w:color="auto"/>
        <w:right w:val="none" w:sz="0" w:space="0" w:color="auto"/>
      </w:divBdr>
      <w:divsChild>
        <w:div w:id="776559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7</Pages>
  <Words>2741</Words>
  <Characters>15629</Characters>
  <Application>Microsoft Office Word</Application>
  <DocSecurity>0</DocSecurity>
  <Lines>130</Lines>
  <Paragraphs>36</Paragraphs>
  <ScaleCrop>false</ScaleCrop>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11</cp:revision>
  <dcterms:created xsi:type="dcterms:W3CDTF">2025-12-01T16:49:00Z</dcterms:created>
  <dcterms:modified xsi:type="dcterms:W3CDTF">2025-12-12T18:19:00Z</dcterms:modified>
</cp:coreProperties>
</file>