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F263F7F" w14:paraId="5E5787A5" wp14:textId="427AD8C2">
      <w:pPr>
        <w:spacing w:line="360" w:lineRule="auto"/>
        <w:jc w:val="center"/>
        <w:rPr>
          <w:rFonts w:ascii="Arial" w:hAnsi="Arial" w:eastAsia="Arial" w:cs="Arial"/>
          <w:b w:val="1"/>
          <w:bCs w:val="1"/>
          <w:color w:val="auto"/>
          <w:sz w:val="28"/>
          <w:szCs w:val="28"/>
          <w:u w:val="single"/>
        </w:rPr>
      </w:pPr>
      <w:bookmarkStart w:name="_GoBack" w:id="0"/>
      <w:bookmarkEnd w:id="0"/>
      <w:r w:rsidRPr="6F263F7F" w:rsidR="6F263F7F">
        <w:rPr>
          <w:rFonts w:ascii="Arial" w:hAnsi="Arial" w:eastAsia="Arial" w:cs="Arial"/>
          <w:b w:val="1"/>
          <w:bCs w:val="1"/>
          <w:color w:val="auto"/>
          <w:sz w:val="28"/>
          <w:szCs w:val="28"/>
          <w:u w:val="single"/>
        </w:rPr>
        <w:t>Why do S</w:t>
      </w:r>
      <w:r w:rsidRPr="6F263F7F" w:rsidR="6F263F7F">
        <w:rPr>
          <w:rFonts w:ascii="Arial" w:hAnsi="Arial" w:eastAsia="Arial" w:cs="Arial"/>
          <w:b w:val="1"/>
          <w:bCs w:val="1"/>
          <w:color w:val="auto"/>
          <w:sz w:val="28"/>
          <w:szCs w:val="28"/>
          <w:u w:val="single"/>
        </w:rPr>
        <w:t>han</w:t>
      </w:r>
      <w:r w:rsidRPr="6F263F7F" w:rsidR="6F263F7F">
        <w:rPr>
          <w:rFonts w:ascii="Arial" w:hAnsi="Arial" w:eastAsia="Arial" w:cs="Arial"/>
          <w:b w:val="1"/>
          <w:bCs w:val="1"/>
          <w:color w:val="auto"/>
          <w:sz w:val="28"/>
          <w:szCs w:val="28"/>
          <w:u w:val="single"/>
        </w:rPr>
        <w:t xml:space="preserve">ghai and Finland </w:t>
      </w:r>
      <w:r w:rsidRPr="6F263F7F" w:rsidR="6F263F7F">
        <w:rPr>
          <w:rFonts w:ascii="Arial" w:hAnsi="Arial" w:eastAsia="Arial" w:cs="Arial"/>
          <w:b w:val="1"/>
          <w:bCs w:val="1"/>
          <w:color w:val="auto"/>
          <w:sz w:val="28"/>
          <w:szCs w:val="28"/>
          <w:u w:val="single"/>
        </w:rPr>
        <w:t>P</w:t>
      </w:r>
      <w:r w:rsidRPr="6F263F7F" w:rsidR="6F263F7F">
        <w:rPr>
          <w:rFonts w:ascii="Arial" w:hAnsi="Arial" w:eastAsia="Arial" w:cs="Arial"/>
          <w:b w:val="1"/>
          <w:bCs w:val="1"/>
          <w:color w:val="auto"/>
          <w:sz w:val="28"/>
          <w:szCs w:val="28"/>
          <w:u w:val="single"/>
        </w:rPr>
        <w:t xml:space="preserve">erform </w:t>
      </w:r>
      <w:r w:rsidRPr="6F263F7F" w:rsidR="6F263F7F">
        <w:rPr>
          <w:rFonts w:ascii="Arial" w:hAnsi="Arial" w:eastAsia="Arial" w:cs="Arial"/>
          <w:b w:val="1"/>
          <w:bCs w:val="1"/>
          <w:color w:val="auto"/>
          <w:sz w:val="28"/>
          <w:szCs w:val="28"/>
          <w:u w:val="single"/>
        </w:rPr>
        <w:t>Strongly</w:t>
      </w:r>
      <w:r w:rsidRPr="6F263F7F" w:rsidR="6F263F7F">
        <w:rPr>
          <w:rFonts w:ascii="Arial" w:hAnsi="Arial" w:eastAsia="Arial" w:cs="Arial"/>
          <w:b w:val="1"/>
          <w:bCs w:val="1"/>
          <w:color w:val="auto"/>
          <w:sz w:val="28"/>
          <w:szCs w:val="28"/>
          <w:u w:val="single"/>
        </w:rPr>
        <w:t xml:space="preserve"> in PISA </w:t>
      </w:r>
      <w:r w:rsidRPr="6F263F7F" w:rsidR="6F263F7F">
        <w:rPr>
          <w:rFonts w:ascii="Arial" w:hAnsi="Arial" w:eastAsia="Arial" w:cs="Arial"/>
          <w:b w:val="1"/>
          <w:bCs w:val="1"/>
          <w:color w:val="auto"/>
          <w:sz w:val="28"/>
          <w:szCs w:val="28"/>
          <w:u w:val="single"/>
        </w:rPr>
        <w:t>Te</w:t>
      </w:r>
      <w:r w:rsidRPr="6F263F7F" w:rsidR="6F263F7F">
        <w:rPr>
          <w:rFonts w:ascii="Arial" w:hAnsi="Arial" w:eastAsia="Arial" w:cs="Arial"/>
          <w:b w:val="1"/>
          <w:bCs w:val="1"/>
          <w:color w:val="auto"/>
          <w:sz w:val="28"/>
          <w:szCs w:val="28"/>
          <w:u w:val="single"/>
        </w:rPr>
        <w:t>sts?</w:t>
      </w:r>
    </w:p>
    <w:p w:rsidR="6F263F7F" w:rsidP="6F263F7F" w:rsidRDefault="6F263F7F" w14:paraId="15A2621D" w14:textId="56297BF6">
      <w:pPr>
        <w:pStyle w:val="Normal"/>
        <w:spacing w:line="360" w:lineRule="auto"/>
        <w:jc w:val="left"/>
        <w:rPr>
          <w:rFonts w:ascii="Arial" w:hAnsi="Arial" w:eastAsia="Arial" w:cs="Arial"/>
          <w:b w:val="1"/>
          <w:bCs w:val="1"/>
          <w:color w:val="auto"/>
          <w:sz w:val="24"/>
          <w:szCs w:val="24"/>
          <w:u w:val="single"/>
        </w:rPr>
      </w:pPr>
      <w:r w:rsidRPr="6F263F7F" w:rsidR="6F263F7F">
        <w:rPr>
          <w:rFonts w:ascii="Arial" w:hAnsi="Arial" w:eastAsia="Arial" w:cs="Arial"/>
          <w:b w:val="1"/>
          <w:bCs w:val="1"/>
          <w:color w:val="auto"/>
          <w:sz w:val="24"/>
          <w:szCs w:val="24"/>
          <w:u w:val="single"/>
        </w:rPr>
        <w:t>Introduction – Aims of PISA and the United Nations</w:t>
      </w:r>
    </w:p>
    <w:p w:rsidR="40FD1251" w:rsidP="6F263F7F" w:rsidRDefault="40FD1251" w14:paraId="77B42BD3" w14:textId="49D3FA5F">
      <w:pPr>
        <w:pStyle w:val="Normal"/>
        <w:spacing w:line="360" w:lineRule="auto"/>
        <w:jc w:val="left"/>
        <w:rPr>
          <w:rFonts w:ascii="Arial" w:hAnsi="Arial" w:eastAsia="Arial" w:cs="Arial"/>
          <w:color w:val="auto"/>
          <w:sz w:val="24"/>
          <w:szCs w:val="24"/>
          <w:u w:val="none"/>
        </w:rPr>
      </w:pPr>
      <w:r w:rsidRPr="6F263F7F" w:rsidR="6F263F7F">
        <w:rPr>
          <w:rFonts w:ascii="Arial" w:hAnsi="Arial" w:eastAsia="Arial" w:cs="Arial"/>
          <w:color w:val="auto"/>
          <w:sz w:val="24"/>
          <w:szCs w:val="24"/>
          <w:u w:val="none"/>
        </w:rPr>
        <w:t>This report aims to investigate reasons for Shanghai</w:t>
      </w:r>
      <w:r w:rsidRPr="6F263F7F" w:rsidR="6F263F7F">
        <w:rPr>
          <w:rFonts w:ascii="Arial" w:hAnsi="Arial" w:eastAsia="Arial" w:cs="Arial"/>
          <w:color w:val="auto"/>
          <w:sz w:val="24"/>
          <w:szCs w:val="24"/>
          <w:u w:val="none"/>
        </w:rPr>
        <w:t xml:space="preserve"> </w:t>
      </w:r>
      <w:r w:rsidRPr="6F263F7F" w:rsidR="6F263F7F">
        <w:rPr>
          <w:rFonts w:ascii="Arial" w:hAnsi="Arial" w:eastAsia="Arial" w:cs="Arial"/>
          <w:color w:val="auto"/>
          <w:sz w:val="24"/>
          <w:szCs w:val="24"/>
          <w:u w:val="none"/>
        </w:rPr>
        <w:t>and Finland’s traditionally high Programme for International Student Assessment (PISA) scores. This report will firstly look at what PISA does and evaluate its effectiveness before analysing some similarities and differences between the t</w:t>
      </w:r>
      <w:r w:rsidRPr="6F263F7F" w:rsidR="6F263F7F">
        <w:rPr>
          <w:rFonts w:ascii="Arial" w:hAnsi="Arial" w:eastAsia="Arial" w:cs="Arial"/>
          <w:color w:val="auto"/>
          <w:sz w:val="24"/>
          <w:szCs w:val="24"/>
          <w:u w:val="none"/>
        </w:rPr>
        <w:t>wo</w:t>
      </w:r>
      <w:r w:rsidRPr="6F263F7F" w:rsidR="6F263F7F">
        <w:rPr>
          <w:rFonts w:ascii="Arial" w:hAnsi="Arial" w:eastAsia="Arial" w:cs="Arial"/>
          <w:color w:val="auto"/>
          <w:sz w:val="24"/>
          <w:szCs w:val="24"/>
          <w:u w:val="none"/>
        </w:rPr>
        <w:t xml:space="preserve"> education systems. The Organisation for Economic Co-operation and Development (OECD) (2018) states that since 2000, the PISA assessment has been designed by and contributed towards by over eighty economies worldwide. The assessment is designed to test whether children across the world can apply what they have learned to real life situations, covering science, reading and mathematics primarily through interpreting texts, solving mathematical problems, and using science to explain different phenomena. Although PISA ranks countries and regions, the aim of the results is to see how different education systems globally are developing and which are effective for preparing their students for further study and work, regardless of economic status (OECD, 2018). </w:t>
      </w:r>
    </w:p>
    <w:p w:rsidR="40FD1251" w:rsidP="6F263F7F" w:rsidRDefault="40FD1251" w14:paraId="77791ED8" w14:textId="20E32F44">
      <w:pPr>
        <w:pStyle w:val="Normal"/>
        <w:spacing w:line="360" w:lineRule="auto"/>
        <w:jc w:val="left"/>
        <w:rPr>
          <w:rFonts w:ascii="Arial" w:hAnsi="Arial" w:eastAsia="Arial" w:cs="Arial"/>
          <w:color w:val="auto"/>
          <w:sz w:val="24"/>
          <w:szCs w:val="24"/>
          <w:u w:val="none"/>
        </w:rPr>
      </w:pPr>
      <w:r w:rsidRPr="6F263F7F" w:rsidR="6F263F7F">
        <w:rPr>
          <w:rFonts w:ascii="Arial" w:hAnsi="Arial" w:eastAsia="Arial" w:cs="Arial"/>
          <w:color w:val="auto"/>
          <w:sz w:val="24"/>
          <w:szCs w:val="24"/>
          <w:u w:val="none"/>
        </w:rPr>
        <w:t xml:space="preserve">  PISA is also looking to develop education according the Sustainable Development Goals (SDG’s) agreed on by the United Nations (UN) in 2015. The fourth SDG agreed on was to ‘ensure inclusive and equitable quality education and promote lifelong learning opportunities for all’ (United Nations, 2019, para 5). Education became a goal because the UN (n.d., para 1) agree that a good quality education is the foundation for sustainable development and that access to inclusive education can give people around the world the tools to tackle the world’s greatest problems. PISA has been tasked with monitoring this SDG which it aims to do through monitoring the proportion of students at the end of lower secondary education achieving at least the minimum standard required in mathematics and reading. PISA uses six proficiency levels, levels one to six, with six being the highest</w:t>
      </w:r>
      <w:r w:rsidRPr="6F263F7F" w:rsidR="6F263F7F">
        <w:rPr>
          <w:rFonts w:ascii="Arial" w:hAnsi="Arial" w:eastAsia="Arial" w:cs="Arial"/>
          <w:color w:val="auto"/>
          <w:sz w:val="24"/>
          <w:szCs w:val="24"/>
          <w:u w:val="none"/>
        </w:rPr>
        <w:t>, one being the lowest</w:t>
      </w:r>
      <w:r w:rsidRPr="6F263F7F" w:rsidR="6F263F7F">
        <w:rPr>
          <w:rFonts w:ascii="Arial" w:hAnsi="Arial" w:eastAsia="Arial" w:cs="Arial"/>
          <w:color w:val="auto"/>
          <w:sz w:val="24"/>
          <w:szCs w:val="24"/>
          <w:u w:val="none"/>
        </w:rPr>
        <w:t xml:space="preserve"> and two being the baseline sufficiency that students globally should be at (OECD, 2017, para 4). PISA’s data has shown that socio-economic status predicts a students’ performance in education across the globe, however this is not the case in high performing countries such as Finland, Estonia and Japan where 83% of students achieve level two or above in reading and mathematics (OECD, 2017, para 5). This shows that it is possible for education systems to exist that address the impacts of socio-economic issues on performance, providing equity to all learners regardless of background. OECD (2017, para 6) believes that being able to improve student performance regardless of background is necessary to achieve the SDG set by the UN.</w:t>
      </w:r>
    </w:p>
    <w:p w:rsidR="6F263F7F" w:rsidP="6F263F7F" w:rsidRDefault="6F263F7F" w14:paraId="420C0501" w14:textId="1080CAA3">
      <w:pPr>
        <w:pStyle w:val="Normal"/>
        <w:spacing w:line="360" w:lineRule="auto"/>
        <w:jc w:val="left"/>
        <w:rPr>
          <w:rFonts w:ascii="Arial" w:hAnsi="Arial" w:eastAsia="Arial" w:cs="Arial"/>
          <w:b w:val="1"/>
          <w:bCs w:val="1"/>
          <w:color w:val="auto"/>
          <w:sz w:val="24"/>
          <w:szCs w:val="24"/>
          <w:u w:val="single"/>
        </w:rPr>
      </w:pPr>
      <w:r w:rsidRPr="6F263F7F" w:rsidR="6F263F7F">
        <w:rPr>
          <w:rFonts w:ascii="Arial" w:hAnsi="Arial" w:eastAsia="Arial" w:cs="Arial"/>
          <w:b w:val="1"/>
          <w:bCs w:val="1"/>
          <w:color w:val="auto"/>
          <w:sz w:val="24"/>
          <w:szCs w:val="24"/>
          <w:u w:val="single"/>
        </w:rPr>
        <w:t>Criticisms of PISA Tests</w:t>
      </w:r>
    </w:p>
    <w:p w:rsidR="40FD1251" w:rsidP="02E23534" w:rsidRDefault="40FD1251" w14:paraId="6C74B783" w14:textId="23D9ED47">
      <w:pPr>
        <w:pStyle w:val="Normal"/>
        <w:spacing w:line="360" w:lineRule="auto"/>
        <w:jc w:val="left"/>
        <w:rPr>
          <w:rFonts w:ascii="Arial" w:hAnsi="Arial" w:eastAsia="Arial" w:cs="Arial"/>
          <w:color w:val="auto"/>
          <w:sz w:val="24"/>
          <w:szCs w:val="24"/>
          <w:u w:val="none"/>
        </w:rPr>
      </w:pPr>
      <w:r w:rsidRPr="02E23534" w:rsidR="02E23534">
        <w:rPr>
          <w:rFonts w:ascii="Arial" w:hAnsi="Arial" w:eastAsia="Arial" w:cs="Arial"/>
          <w:color w:val="auto"/>
          <w:sz w:val="24"/>
          <w:szCs w:val="24"/>
          <w:u w:val="none"/>
        </w:rPr>
        <w:t xml:space="preserve">  The OECD’s intentions are well-meaning, and there are positive outcomes from the tri-yearly PISA tests. This century there has been a global interest in education and an emphasis on the skills young people need to develop for the future of their own and their society’s well-being (Sjoberg, 2015, p</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124</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and PISA has assembled the largest professional source of social science and education research (Sjoberg, 2015, p</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125</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open for people globally to view and interpret. Nonetheless, it has come under criticisms in several areas. PISA testing has put a global emphasis on a narrow range of educational aspects – reading, mathematics and science and educational reforms should not be based on narrow measures and should not ignore non-educational factors such as a nations socio-economic inequality (The Guardian, 2014, para 6, 12 and 13</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Sjoberg (2015, p</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111</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claims due to the terminology used in statements such as ‘PISA has participation from 90% of the global economy’ (OECD, 2013, cited by Sjoberg, 2015, p</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111</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that OECD and the PISA tests put focus on the economy. The Guardian (2014, para 7</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claims similarly that OECD is bias towards schools’ economic roles and focusses on preparing learners for employment and states this is not the shared focus of education as there are other aspects to consider such as preparing for democratic self-government, moral action and a life of personal development. The Guardian (2014, para 10</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further criticises PISA, maintaining that PISA encourages multi-choice testing and using more scripted lessons whilst discouraging teacher autonomy, negatively impacting student and teacher well-being in school.</w:t>
      </w:r>
    </w:p>
    <w:p w:rsidR="40FD1251" w:rsidP="6F263F7F" w:rsidRDefault="40FD1251" w14:paraId="71165E4A" w14:textId="73F38C10">
      <w:pPr>
        <w:pStyle w:val="Normal"/>
        <w:spacing w:line="360" w:lineRule="auto"/>
        <w:jc w:val="left"/>
        <w:rPr>
          <w:rFonts w:ascii="Arial" w:hAnsi="Arial" w:eastAsia="Arial" w:cs="Arial"/>
          <w:color w:val="auto"/>
          <w:sz w:val="24"/>
          <w:szCs w:val="24"/>
          <w:u w:val="none"/>
        </w:rPr>
      </w:pPr>
      <w:r w:rsidRPr="6F263F7F" w:rsidR="6F263F7F">
        <w:rPr>
          <w:rFonts w:ascii="Arial" w:hAnsi="Arial" w:eastAsia="Arial" w:cs="Arial"/>
          <w:color w:val="auto"/>
          <w:sz w:val="24"/>
          <w:szCs w:val="24"/>
          <w:u w:val="none"/>
        </w:rPr>
        <w:t xml:space="preserve">  Although mathematics, science and reading are arguably vital aspects of education, they are only part of the full educational picture. Donaldson (2015, p</w:t>
      </w:r>
      <w:r w:rsidRPr="6F263F7F" w:rsidR="6F263F7F">
        <w:rPr>
          <w:rFonts w:ascii="Arial" w:hAnsi="Arial" w:eastAsia="Arial" w:cs="Arial"/>
          <w:color w:val="auto"/>
          <w:sz w:val="24"/>
          <w:szCs w:val="24"/>
          <w:u w:val="none"/>
        </w:rPr>
        <w:t>.</w:t>
      </w:r>
      <w:r w:rsidRPr="6F263F7F" w:rsidR="6F263F7F">
        <w:rPr>
          <w:rFonts w:ascii="Arial" w:hAnsi="Arial" w:eastAsia="Arial" w:cs="Arial"/>
          <w:color w:val="auto"/>
          <w:sz w:val="24"/>
          <w:szCs w:val="24"/>
          <w:u w:val="none"/>
        </w:rPr>
        <w:t>24</w:t>
      </w:r>
      <w:r w:rsidRPr="6F263F7F" w:rsidR="6F263F7F">
        <w:rPr>
          <w:rFonts w:ascii="Arial" w:hAnsi="Arial" w:eastAsia="Arial" w:cs="Arial"/>
          <w:color w:val="auto"/>
          <w:sz w:val="24"/>
          <w:szCs w:val="24"/>
          <w:u w:val="none"/>
        </w:rPr>
        <w:t>)</w:t>
      </w:r>
      <w:r w:rsidRPr="6F263F7F" w:rsidR="6F263F7F">
        <w:rPr>
          <w:rFonts w:ascii="Arial" w:hAnsi="Arial" w:eastAsia="Arial" w:cs="Arial"/>
          <w:color w:val="auto"/>
          <w:sz w:val="24"/>
          <w:szCs w:val="24"/>
          <w:u w:val="none"/>
        </w:rPr>
        <w:t xml:space="preserve"> extensively researched education in Wales and found that the consensus of what was important in education included aspects of UNCRC principles, language and culture, and health and well-being. Furthermore, Donaldson (2015, p</w:t>
      </w:r>
      <w:r w:rsidRPr="6F263F7F" w:rsidR="6F263F7F">
        <w:rPr>
          <w:rFonts w:ascii="Arial" w:hAnsi="Arial" w:eastAsia="Arial" w:cs="Arial"/>
          <w:color w:val="auto"/>
          <w:sz w:val="24"/>
          <w:szCs w:val="24"/>
          <w:u w:val="none"/>
        </w:rPr>
        <w:t>.</w:t>
      </w:r>
      <w:r w:rsidRPr="6F263F7F" w:rsidR="6F263F7F">
        <w:rPr>
          <w:rFonts w:ascii="Arial" w:hAnsi="Arial" w:eastAsia="Arial" w:cs="Arial"/>
          <w:color w:val="auto"/>
          <w:sz w:val="24"/>
          <w:szCs w:val="24"/>
          <w:u w:val="none"/>
        </w:rPr>
        <w:t>44</w:t>
      </w:r>
      <w:r w:rsidRPr="6F263F7F" w:rsidR="6F263F7F">
        <w:rPr>
          <w:rFonts w:ascii="Arial" w:hAnsi="Arial" w:eastAsia="Arial" w:cs="Arial"/>
          <w:color w:val="auto"/>
          <w:sz w:val="24"/>
          <w:szCs w:val="24"/>
          <w:u w:val="none"/>
        </w:rPr>
        <w:t>)</w:t>
      </w:r>
      <w:r w:rsidRPr="6F263F7F" w:rsidR="6F263F7F">
        <w:rPr>
          <w:rFonts w:ascii="Arial" w:hAnsi="Arial" w:eastAsia="Arial" w:cs="Arial"/>
          <w:color w:val="auto"/>
          <w:sz w:val="24"/>
          <w:szCs w:val="24"/>
          <w:u w:val="none"/>
        </w:rPr>
        <w:t xml:space="preserve"> also emphasises the importance of creativity through dedicating an area of learning in the new Welsh curriculum to expressive arts, believing that expressive arts can allow learners to explore and engage their own thinking, helping them to refine and communicate ideas and that use of creativity to achieve within the arts can contribute to a thriving Welsh economy. Shanghai has been praised for its educational reforms to achieve exceptional PISA results through a focus on mathematics and natural sciences, though this may have taken focus away on the importance of accessing and developing the children’s creative capacities (Darko, 2014, p</w:t>
      </w:r>
      <w:r w:rsidRPr="6F263F7F" w:rsidR="6F263F7F">
        <w:rPr>
          <w:rFonts w:ascii="Arial" w:hAnsi="Arial" w:eastAsia="Arial" w:cs="Arial"/>
          <w:color w:val="auto"/>
          <w:sz w:val="24"/>
          <w:szCs w:val="24"/>
          <w:u w:val="none"/>
        </w:rPr>
        <w:t>.</w:t>
      </w:r>
      <w:r w:rsidRPr="6F263F7F" w:rsidR="6F263F7F">
        <w:rPr>
          <w:rFonts w:ascii="Arial" w:hAnsi="Arial" w:eastAsia="Arial" w:cs="Arial"/>
          <w:color w:val="auto"/>
          <w:sz w:val="24"/>
          <w:szCs w:val="24"/>
          <w:u w:val="none"/>
        </w:rPr>
        <w:t>13</w:t>
      </w:r>
      <w:r w:rsidRPr="6F263F7F" w:rsidR="6F263F7F">
        <w:rPr>
          <w:rFonts w:ascii="Arial" w:hAnsi="Arial" w:eastAsia="Arial" w:cs="Arial"/>
          <w:color w:val="auto"/>
          <w:sz w:val="24"/>
          <w:szCs w:val="24"/>
          <w:u w:val="none"/>
        </w:rPr>
        <w:t>)</w:t>
      </w:r>
      <w:r w:rsidRPr="6F263F7F" w:rsidR="6F263F7F">
        <w:rPr>
          <w:rFonts w:ascii="Arial" w:hAnsi="Arial" w:eastAsia="Arial" w:cs="Arial"/>
          <w:color w:val="auto"/>
          <w:sz w:val="24"/>
          <w:szCs w:val="24"/>
          <w:u w:val="none"/>
        </w:rPr>
        <w:t xml:space="preserve">. Creativity is emphasised regarding the uncertain future and economy by </w:t>
      </w:r>
      <w:proofErr w:type="spellStart"/>
      <w:r w:rsidRPr="6F263F7F" w:rsidR="6F263F7F">
        <w:rPr>
          <w:rFonts w:ascii="Arial" w:hAnsi="Arial" w:eastAsia="Arial" w:cs="Arial"/>
          <w:color w:val="auto"/>
          <w:sz w:val="24"/>
          <w:szCs w:val="24"/>
          <w:u w:val="none"/>
        </w:rPr>
        <w:t>Shaheen</w:t>
      </w:r>
      <w:proofErr w:type="spellEnd"/>
      <w:r w:rsidRPr="6F263F7F" w:rsidR="6F263F7F">
        <w:rPr>
          <w:rFonts w:ascii="Arial" w:hAnsi="Arial" w:eastAsia="Arial" w:cs="Arial"/>
          <w:color w:val="auto"/>
          <w:sz w:val="24"/>
          <w:szCs w:val="24"/>
          <w:u w:val="none"/>
        </w:rPr>
        <w:t xml:space="preserve"> (2010, p</w:t>
      </w:r>
      <w:r w:rsidRPr="6F263F7F" w:rsidR="6F263F7F">
        <w:rPr>
          <w:rFonts w:ascii="Arial" w:hAnsi="Arial" w:eastAsia="Arial" w:cs="Arial"/>
          <w:color w:val="auto"/>
          <w:sz w:val="24"/>
          <w:szCs w:val="24"/>
          <w:u w:val="none"/>
        </w:rPr>
        <w:t>.</w:t>
      </w:r>
      <w:r w:rsidRPr="6F263F7F" w:rsidR="6F263F7F">
        <w:rPr>
          <w:rFonts w:ascii="Arial" w:hAnsi="Arial" w:eastAsia="Arial" w:cs="Arial"/>
          <w:color w:val="auto"/>
          <w:sz w:val="24"/>
          <w:szCs w:val="24"/>
          <w:u w:val="none"/>
        </w:rPr>
        <w:t>166</w:t>
      </w:r>
      <w:r w:rsidRPr="6F263F7F" w:rsidR="6F263F7F">
        <w:rPr>
          <w:rFonts w:ascii="Arial" w:hAnsi="Arial" w:eastAsia="Arial" w:cs="Arial"/>
          <w:color w:val="auto"/>
          <w:sz w:val="24"/>
          <w:szCs w:val="24"/>
          <w:u w:val="none"/>
        </w:rPr>
        <w:t>)</w:t>
      </w:r>
      <w:r w:rsidRPr="6F263F7F" w:rsidR="6F263F7F">
        <w:rPr>
          <w:rFonts w:ascii="Arial" w:hAnsi="Arial" w:eastAsia="Arial" w:cs="Arial"/>
          <w:color w:val="auto"/>
          <w:sz w:val="24"/>
          <w:szCs w:val="24"/>
          <w:u w:val="none"/>
        </w:rPr>
        <w:t xml:space="preserve"> for its importance in addressing ambiguous problems in the future and for its crucial role in economy for attaining higher employment levels and coping with increased competition, as it is an advantageous skill for coming up with original and valuable ideas and solutions to problems (Fisher and Williams, 2004, p</w:t>
      </w:r>
      <w:r w:rsidRPr="6F263F7F" w:rsidR="6F263F7F">
        <w:rPr>
          <w:rFonts w:ascii="Arial" w:hAnsi="Arial" w:eastAsia="Arial" w:cs="Arial"/>
          <w:color w:val="auto"/>
          <w:sz w:val="24"/>
          <w:szCs w:val="24"/>
          <w:u w:val="none"/>
        </w:rPr>
        <w:t>.</w:t>
      </w:r>
      <w:r w:rsidRPr="6F263F7F" w:rsidR="6F263F7F">
        <w:rPr>
          <w:rFonts w:ascii="Arial" w:hAnsi="Arial" w:eastAsia="Arial" w:cs="Arial"/>
          <w:color w:val="auto"/>
          <w:sz w:val="24"/>
          <w:szCs w:val="24"/>
          <w:u w:val="none"/>
        </w:rPr>
        <w:t>1</w:t>
      </w:r>
      <w:r w:rsidRPr="6F263F7F" w:rsidR="6F263F7F">
        <w:rPr>
          <w:rFonts w:ascii="Arial" w:hAnsi="Arial" w:eastAsia="Arial" w:cs="Arial"/>
          <w:color w:val="auto"/>
          <w:sz w:val="24"/>
          <w:szCs w:val="24"/>
          <w:u w:val="none"/>
        </w:rPr>
        <w:t>)</w:t>
      </w:r>
      <w:r w:rsidRPr="6F263F7F" w:rsidR="6F263F7F">
        <w:rPr>
          <w:rFonts w:ascii="Arial" w:hAnsi="Arial" w:eastAsia="Arial" w:cs="Arial"/>
          <w:color w:val="auto"/>
          <w:sz w:val="24"/>
          <w:szCs w:val="24"/>
          <w:u w:val="none"/>
        </w:rPr>
        <w:t>. Although PISA is beneficial for measuring educational progress globally, there are relevant criticisms towards the methods and ideas behind how educational progress should be measured.</w:t>
      </w:r>
    </w:p>
    <w:p w:rsidR="6F263F7F" w:rsidP="6F263F7F" w:rsidRDefault="6F263F7F" w14:paraId="08746E96" w14:textId="27F2FA58">
      <w:pPr>
        <w:pStyle w:val="Normal"/>
        <w:spacing w:line="360" w:lineRule="auto"/>
        <w:jc w:val="left"/>
        <w:rPr>
          <w:rFonts w:ascii="Arial" w:hAnsi="Arial" w:eastAsia="Arial" w:cs="Arial"/>
          <w:b w:val="1"/>
          <w:bCs w:val="1"/>
          <w:color w:val="auto"/>
          <w:sz w:val="24"/>
          <w:szCs w:val="24"/>
          <w:u w:val="single"/>
        </w:rPr>
      </w:pPr>
      <w:r w:rsidRPr="6F263F7F" w:rsidR="6F263F7F">
        <w:rPr>
          <w:rFonts w:ascii="Arial" w:hAnsi="Arial" w:eastAsia="Arial" w:cs="Arial"/>
          <w:b w:val="1"/>
          <w:bCs w:val="1"/>
          <w:color w:val="auto"/>
          <w:sz w:val="24"/>
          <w:szCs w:val="24"/>
          <w:u w:val="single"/>
        </w:rPr>
        <w:t>Education in Shanghai</w:t>
      </w:r>
    </w:p>
    <w:p w:rsidR="7518E3B8" w:rsidP="02E23534" w:rsidRDefault="7518E3B8" w14:paraId="6A0C7A45" w14:textId="3D5F8959">
      <w:pPr>
        <w:pStyle w:val="Normal"/>
        <w:spacing w:line="360" w:lineRule="auto"/>
        <w:jc w:val="left"/>
        <w:rPr>
          <w:rFonts w:ascii="Arial" w:hAnsi="Arial" w:eastAsia="Arial" w:cs="Arial"/>
          <w:color w:val="auto"/>
          <w:sz w:val="24"/>
          <w:szCs w:val="24"/>
          <w:u w:val="none"/>
        </w:rPr>
      </w:pPr>
      <w:r w:rsidRPr="02E23534" w:rsidR="02E23534">
        <w:rPr>
          <w:rFonts w:ascii="Arial" w:hAnsi="Arial" w:eastAsia="Arial" w:cs="Arial"/>
          <w:color w:val="auto"/>
          <w:sz w:val="24"/>
          <w:szCs w:val="24"/>
          <w:u w:val="none"/>
        </w:rPr>
        <w:t xml:space="preserve">  Over the last decade, Shanghai has consistently performed well in PISA tests, scoring the top result in 2009 with a mean score of 556 (OECD, 2010, p</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8</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and scoring top again in 2012 with a mean score of 613, 40 points above Singapore in second place (OECD, 2014, p</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5</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However, in 2015 Shanghai PISA results were grouped with three other provinces – Beijing, Jiangsu and Guangdong (BSJG</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and placed tenth (OECD, 2018, p</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5</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This drop was attributed to local government losing interest in teaching students how to ace a standardised test, as educators within China are trying to focus more towards qualities traditionally neglected in Chinese education such as developing learners’ personalities, creativity and critical thinking rather than focussing purely on an acquisition of facts (Yiwen, 2016, para 3, 7 and 8</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.In the most recent PISA tests, Shanghai’s group – Beijing, Shanghai, Jiangsu and Zhejiang (BSJZ</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came in top with a mean score of 579, with 555 in reading, 591 in mathematics and 590 in science (OECD, 2019</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w:t>
      </w:r>
    </w:p>
    <w:p w:rsidR="7518E3B8" w:rsidP="02E23534" w:rsidRDefault="7518E3B8" w14:paraId="35C18E5E" w14:textId="524E7DBD">
      <w:pPr>
        <w:pStyle w:val="Normal"/>
        <w:spacing w:line="360" w:lineRule="auto"/>
        <w:jc w:val="left"/>
        <w:rPr>
          <w:rFonts w:ascii="Arial" w:hAnsi="Arial" w:eastAsia="Arial" w:cs="Arial"/>
          <w:color w:val="auto"/>
          <w:sz w:val="24"/>
          <w:szCs w:val="24"/>
          <w:u w:val="none"/>
        </w:rPr>
      </w:pPr>
      <w:r w:rsidRPr="02E23534" w:rsidR="02E23534">
        <w:rPr>
          <w:rFonts w:ascii="Arial" w:hAnsi="Arial" w:eastAsia="Arial" w:cs="Arial"/>
          <w:color w:val="auto"/>
          <w:sz w:val="24"/>
          <w:szCs w:val="24"/>
          <w:u w:val="none"/>
        </w:rPr>
        <w:t xml:space="preserve">  China emphasises the importance on education within its culture and within the last three to four decades has aimed to improve the spread of education, increase education funding for young people and make education more accessible (OECD, 2012</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Shanghai rose from a population of 16.7 million in 2000 to 23 million in 2010 (Jenson and Farmer, 2013, p</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9</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which led to building new schools across Shanghai. Many migrants from other areas of China have contributed to this population increase and settled in the outer sub-urban areas of Shanghai, where they do not have access to the already established schools in the centre (Jenson and Farmer, 2013, p</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9</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The variation of performance between schools became an issue as many of the new schools lacked tradition, experience and well-trained teachers. The teaching communities were not as strong as those in the centre of Shanghai and their principals and management had a limited notion on how to run a school (OECD, 2012</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To address this issue, the Ministry of Education of the People’s Republic of China (MOE</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introduced the empowered administration policy, a policy where the MOE would contract strong performing schools or strong educational institutes to provide coaching and guidance, the institutes (OECD, 2012</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Shanghai has found success in this reform and teacher leadership is now generally seen as being critical in the development of schools (Sun-</w:t>
      </w:r>
      <w:proofErr w:type="spellStart"/>
      <w:r w:rsidRPr="02E23534" w:rsidR="02E23534">
        <w:rPr>
          <w:rFonts w:ascii="Arial" w:hAnsi="Arial" w:eastAsia="Arial" w:cs="Arial"/>
          <w:color w:val="auto"/>
          <w:sz w:val="24"/>
          <w:szCs w:val="24"/>
          <w:u w:val="none"/>
        </w:rPr>
        <w:t>keung</w:t>
      </w:r>
      <w:proofErr w:type="spellEnd"/>
      <w:r w:rsidRPr="02E23534" w:rsidR="02E23534">
        <w:rPr>
          <w:rFonts w:ascii="Arial" w:hAnsi="Arial" w:eastAsia="Arial" w:cs="Arial"/>
          <w:color w:val="auto"/>
          <w:sz w:val="24"/>
          <w:szCs w:val="24"/>
          <w:u w:val="none"/>
        </w:rPr>
        <w:t xml:space="preserve"> Pang and Miao, 2017</w:t>
      </w:r>
      <w:r w:rsidRPr="02E23534" w:rsidR="02E23534">
        <w:rPr>
          <w:rFonts w:ascii="Arial" w:hAnsi="Arial" w:eastAsia="Arial" w:cs="Arial"/>
          <w:color w:val="auto"/>
          <w:sz w:val="24"/>
          <w:szCs w:val="24"/>
          <w:u w:val="none"/>
        </w:rPr>
        <w:t>, p.93</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w:t>
      </w:r>
    </w:p>
    <w:p w:rsidR="7518E3B8" w:rsidP="02E23534" w:rsidRDefault="7518E3B8" w14:paraId="3ED2580F" w14:textId="117C229C">
      <w:pPr>
        <w:pStyle w:val="Normal"/>
        <w:spacing w:after="160" w:line="360" w:lineRule="auto"/>
        <w:jc w:val="left"/>
        <w:rPr>
          <w:rFonts w:ascii="Arial" w:hAnsi="Arial" w:eastAsia="Arial" w:cs="Arial"/>
          <w:color w:val="auto"/>
          <w:sz w:val="24"/>
          <w:szCs w:val="24"/>
          <w:u w:val="none"/>
        </w:rPr>
      </w:pPr>
      <w:r w:rsidRPr="02E23534" w:rsidR="02E23534">
        <w:rPr>
          <w:rFonts w:ascii="Arial" w:hAnsi="Arial" w:eastAsia="Arial" w:cs="Arial"/>
          <w:color w:val="auto"/>
          <w:sz w:val="24"/>
          <w:szCs w:val="24"/>
          <w:u w:val="none"/>
        </w:rPr>
        <w:t xml:space="preserve">  Shanghai took steps to improve education before this policy, however. In 2001, the MOE approved the Guideline of Compulsive Education Curriculum Reform which aimed to reform the curriculum and transform teachers from information transmitters to facilitators and advisors for the student’s learning, a more child centred approach (Sun-Keung Pang and Miao, 2017, p</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94</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This is where Shanghai educators would have been building on theory towards a more constructivist approach, leading to the later struggling schools lacking the same theoretical foundation (OECD, 2012</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Then In 2010, the MOE launched the Long-and-Middle Term Planning of National Education Reform and Development, which required teachers in China to constantly improve their own teaching and professional development. More experienced, stronger teachers were to be promoted to teacher leaders, experts in teaching and research (Sun-Keung Pang and Miao, 2017, p</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94</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Focussing on continuous professional development is an important reform as it can lead to prosperous changes in teachers’ practice, school improvements and higher achievement for pupils (</w:t>
      </w:r>
      <w:proofErr w:type="spellStart"/>
      <w:r w:rsidRPr="02E23534" w:rsidR="02E23534">
        <w:rPr>
          <w:rFonts w:ascii="Arial" w:hAnsi="Arial" w:eastAsia="Arial" w:cs="Arial"/>
          <w:color w:val="auto"/>
          <w:sz w:val="24"/>
          <w:szCs w:val="24"/>
          <w:u w:val="none"/>
        </w:rPr>
        <w:t>Bolam</w:t>
      </w:r>
      <w:proofErr w:type="spellEnd"/>
      <w:r w:rsidRPr="02E23534" w:rsidR="02E23534">
        <w:rPr>
          <w:rFonts w:ascii="Arial" w:hAnsi="Arial" w:eastAsia="Arial" w:cs="Arial"/>
          <w:color w:val="auto"/>
          <w:sz w:val="24"/>
          <w:szCs w:val="24"/>
          <w:u w:val="none"/>
        </w:rPr>
        <w:t xml:space="preserve"> and </w:t>
      </w:r>
      <w:proofErr w:type="spellStart"/>
      <w:r w:rsidRPr="02E23534" w:rsidR="02E23534">
        <w:rPr>
          <w:rFonts w:ascii="Arial" w:hAnsi="Arial" w:eastAsia="Arial" w:cs="Arial"/>
          <w:color w:val="auto"/>
          <w:sz w:val="24"/>
          <w:szCs w:val="24"/>
          <w:u w:val="none"/>
        </w:rPr>
        <w:t>Weindling</w:t>
      </w:r>
      <w:proofErr w:type="spellEnd"/>
      <w:r w:rsidRPr="02E23534" w:rsidR="02E23534">
        <w:rPr>
          <w:rFonts w:ascii="Arial" w:hAnsi="Arial" w:eastAsia="Arial" w:cs="Arial"/>
          <w:color w:val="auto"/>
          <w:sz w:val="24"/>
          <w:szCs w:val="24"/>
          <w:u w:val="none"/>
        </w:rPr>
        <w:t>, 2006, p</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113, cited by Opfer and Pedder, 2010, p</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414</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as well as positively impacting teacher knowledge (Opfer and Pedder, 2010, p</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415</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Shanghai improved their PISA score from the 2009 test to the 2012 test, from 556 to 613, whilst other countries showed little sign of improvement, evidencing the success of the reform </w:t>
      </w:r>
      <w:r w:rsidRPr="02E23534" w:rsidR="02E23534">
        <w:rPr>
          <w:rFonts w:ascii="Arial" w:hAnsi="Arial" w:eastAsia="Arial" w:cs="Arial"/>
          <w:noProof w:val="0"/>
          <w:color w:val="auto"/>
          <w:sz w:val="24"/>
          <w:szCs w:val="24"/>
          <w:lang w:val="en-GB"/>
        </w:rPr>
        <w:t>(Sun-Keung Pang and Miao, 2017, p</w:t>
      </w:r>
      <w:r w:rsidRPr="02E23534" w:rsidR="02E23534">
        <w:rPr>
          <w:rFonts w:ascii="Arial" w:hAnsi="Arial" w:eastAsia="Arial" w:cs="Arial"/>
          <w:noProof w:val="0"/>
          <w:color w:val="auto"/>
          <w:sz w:val="24"/>
          <w:szCs w:val="24"/>
          <w:lang w:val="en-GB"/>
        </w:rPr>
        <w:t>.</w:t>
      </w:r>
      <w:r w:rsidRPr="02E23534" w:rsidR="02E23534">
        <w:rPr>
          <w:rFonts w:ascii="Arial" w:hAnsi="Arial" w:eastAsia="Arial" w:cs="Arial"/>
          <w:noProof w:val="0"/>
          <w:color w:val="auto"/>
          <w:sz w:val="24"/>
          <w:szCs w:val="24"/>
          <w:lang w:val="en-GB"/>
        </w:rPr>
        <w:t>95</w:t>
      </w:r>
      <w:r w:rsidRPr="02E23534" w:rsidR="02E23534">
        <w:rPr>
          <w:rFonts w:ascii="Arial" w:hAnsi="Arial" w:eastAsia="Arial" w:cs="Arial"/>
          <w:noProof w:val="0"/>
          <w:color w:val="auto"/>
          <w:sz w:val="24"/>
          <w:szCs w:val="24"/>
          <w:lang w:val="en-GB"/>
        </w:rPr>
        <w:t>)</w:t>
      </w:r>
      <w:r w:rsidRPr="02E23534" w:rsidR="02E23534">
        <w:rPr>
          <w:rFonts w:ascii="Arial" w:hAnsi="Arial" w:eastAsia="Arial" w:cs="Arial"/>
          <w:noProof w:val="0"/>
          <w:color w:val="auto"/>
          <w:sz w:val="24"/>
          <w:szCs w:val="24"/>
          <w:lang w:val="en-GB"/>
        </w:rPr>
        <w:t>.</w:t>
      </w:r>
      <w:r w:rsidRPr="02E23534" w:rsidR="02E23534">
        <w:rPr>
          <w:rFonts w:ascii="Arial" w:hAnsi="Arial" w:eastAsia="Arial" w:cs="Arial"/>
          <w:color w:val="auto"/>
          <w:sz w:val="24"/>
          <w:szCs w:val="24"/>
          <w:u w:val="none"/>
        </w:rPr>
        <w:t xml:space="preserve"> A further reform was made in 2017, the 13</w:t>
      </w:r>
      <w:r w:rsidRPr="02E23534" w:rsidR="02E23534">
        <w:rPr>
          <w:rFonts w:ascii="Arial" w:hAnsi="Arial" w:eastAsia="Arial" w:cs="Arial"/>
          <w:color w:val="auto"/>
          <w:sz w:val="24"/>
          <w:szCs w:val="24"/>
          <w:u w:val="none"/>
          <w:vertAlign w:val="superscript"/>
        </w:rPr>
        <w:t>th</w:t>
      </w:r>
      <w:r w:rsidRPr="02E23534" w:rsidR="02E23534">
        <w:rPr>
          <w:rFonts w:ascii="Arial" w:hAnsi="Arial" w:eastAsia="Arial" w:cs="Arial"/>
          <w:color w:val="auto"/>
          <w:sz w:val="24"/>
          <w:szCs w:val="24"/>
          <w:u w:val="none"/>
        </w:rPr>
        <w:t xml:space="preserve"> Five-Year Plan of National and Educational Development. This policy focuses on inclusive, equitable and quality education for China as well as highlighting further the importance of developing teacher leaders, as they are key for raising standards in education and are expected to lead changes in curriculum and practice, as well as coach inexperienced teachers in China (Sun-</w:t>
      </w:r>
      <w:proofErr w:type="spellStart"/>
      <w:r w:rsidRPr="02E23534" w:rsidR="02E23534">
        <w:rPr>
          <w:rFonts w:ascii="Arial" w:hAnsi="Arial" w:eastAsia="Arial" w:cs="Arial"/>
          <w:color w:val="auto"/>
          <w:sz w:val="24"/>
          <w:szCs w:val="24"/>
          <w:u w:val="none"/>
        </w:rPr>
        <w:t>keung</w:t>
      </w:r>
      <w:proofErr w:type="spellEnd"/>
      <w:r w:rsidRPr="02E23534" w:rsidR="02E23534">
        <w:rPr>
          <w:rFonts w:ascii="Arial" w:hAnsi="Arial" w:eastAsia="Arial" w:cs="Arial"/>
          <w:color w:val="auto"/>
          <w:sz w:val="24"/>
          <w:szCs w:val="24"/>
          <w:u w:val="none"/>
        </w:rPr>
        <w:t xml:space="preserve"> Pang and Miao, 2017, p</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94</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Equity is important in education. Although due to differences in ability and starting point between students makes equality theoretically not fair, equity acknowledges the existence of these differences in order to provide enough support to those disadvantaged in education (Castelli, </w:t>
      </w:r>
      <w:r w:rsidRPr="02E23534" w:rsidR="02E23534">
        <w:rPr>
          <w:rFonts w:ascii="Arial" w:hAnsi="Arial" w:eastAsia="Arial" w:cs="Arial"/>
          <w:color w:val="auto"/>
          <w:sz w:val="24"/>
          <w:szCs w:val="24"/>
          <w:u w:val="none"/>
        </w:rPr>
        <w:t>Ragazzi</w:t>
      </w:r>
      <w:r w:rsidRPr="02E23534" w:rsidR="02E23534">
        <w:rPr>
          <w:rFonts w:ascii="Arial" w:hAnsi="Arial" w:eastAsia="Arial" w:cs="Arial"/>
          <w:color w:val="auto"/>
          <w:sz w:val="24"/>
          <w:szCs w:val="24"/>
          <w:u w:val="none"/>
        </w:rPr>
        <w:t xml:space="preserve"> and </w:t>
      </w:r>
      <w:proofErr w:type="spellStart"/>
      <w:r w:rsidRPr="02E23534" w:rsidR="02E23534">
        <w:rPr>
          <w:rFonts w:ascii="Arial" w:hAnsi="Arial" w:eastAsia="Arial" w:cs="Arial"/>
          <w:color w:val="auto"/>
          <w:sz w:val="24"/>
          <w:szCs w:val="24"/>
          <w:u w:val="none"/>
        </w:rPr>
        <w:t>Crescentini</w:t>
      </w:r>
      <w:proofErr w:type="spellEnd"/>
      <w:r w:rsidRPr="02E23534" w:rsidR="02E23534">
        <w:rPr>
          <w:rFonts w:ascii="Arial" w:hAnsi="Arial" w:eastAsia="Arial" w:cs="Arial"/>
          <w:color w:val="auto"/>
          <w:sz w:val="24"/>
          <w:szCs w:val="24"/>
          <w:u w:val="none"/>
        </w:rPr>
        <w:t>, 2012, p</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2245</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w:t>
      </w:r>
    </w:p>
    <w:p w:rsidR="7518E3B8" w:rsidP="02E23534" w:rsidRDefault="7518E3B8" w14:paraId="32BEEB39" w14:textId="5B940F2F">
      <w:pPr>
        <w:pStyle w:val="Normal"/>
        <w:spacing w:after="160" w:line="360" w:lineRule="auto"/>
        <w:jc w:val="left"/>
        <w:rPr>
          <w:rFonts w:ascii="Arial" w:hAnsi="Arial" w:eastAsia="Arial" w:cs="Arial"/>
          <w:color w:val="auto"/>
          <w:sz w:val="24"/>
          <w:szCs w:val="24"/>
          <w:u w:val="none"/>
        </w:rPr>
      </w:pPr>
      <w:r w:rsidRPr="02E23534" w:rsidR="02E23534">
        <w:rPr>
          <w:rFonts w:ascii="Arial" w:hAnsi="Arial" w:eastAsia="Arial" w:cs="Arial"/>
          <w:color w:val="auto"/>
          <w:sz w:val="24"/>
          <w:szCs w:val="24"/>
          <w:u w:val="none"/>
        </w:rPr>
        <w:t xml:space="preserve">  China has made big developments in improving equity within its education already, and it looks as if it will continue to focus on equity within its educational reforms and policies. ‘Hukou’ is a form of population registration that was legalised in China in the 1950’s. Under hukou, migrants from other areas of China to Shanghai did not have access to the same goods and services, including education, that Shanghai hukou- holders had, causing a gap in education between the Shanghai children and the migrant children from other areas of China (Qian and Walker, 2015, p.75</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The hukou system was a major barrier for equity in education in Shanghai as migrant children did not have equal access to educational resources and had to pay high fees to attend the public schools or turn to unlicensed, profit-driven migrant schools. However, in 2001 the State Council urged local governments to provide state school education for all children under their jurisdictions to improve the education of migrant children (Cheng, 2011, cited by Qian and Walker, 2015, p.76</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Shanghai adopted three major strategies to overcome hukou and improve equity within their education. A 2004 policy, </w:t>
      </w:r>
      <w:r w:rsidRPr="02E23534" w:rsidR="02E23534">
        <w:rPr>
          <w:rFonts w:ascii="Arial" w:hAnsi="Arial" w:eastAsia="Arial" w:cs="Arial"/>
          <w:i w:val="1"/>
          <w:iCs w:val="1"/>
          <w:color w:val="auto"/>
          <w:sz w:val="24"/>
          <w:szCs w:val="24"/>
          <w:u w:val="none"/>
        </w:rPr>
        <w:t>Suggestions on Enrolment of Primary and Junior Secondary Schools</w:t>
      </w:r>
      <w:r w:rsidRPr="02E23534" w:rsidR="02E23534">
        <w:rPr>
          <w:rFonts w:ascii="Arial" w:hAnsi="Arial" w:eastAsia="Arial" w:cs="Arial"/>
          <w:i w:val="0"/>
          <w:iCs w:val="0"/>
          <w:color w:val="auto"/>
          <w:sz w:val="24"/>
          <w:szCs w:val="24"/>
          <w:u w:val="none"/>
        </w:rPr>
        <w:t xml:space="preserve"> encouraged public schools to expand their capacity to make room for more migrant children. It was around this time that 144 new schools were built in order to give migrant children the opportunity to attend state schools. A second policy in 2008 reduced the documentary and financial requirements for migrant children to attend state schools, which had been a long-time barrier. The third strategy was aimed at districts with limited state school places. The private migrant schools in these areas were funded by the government so they could provide the same free education that the public schools (Qian and Walker, 2015, p.76</w:t>
      </w:r>
      <w:r w:rsidRPr="02E23534" w:rsidR="02E23534">
        <w:rPr>
          <w:rFonts w:ascii="Arial" w:hAnsi="Arial" w:eastAsia="Arial" w:cs="Arial"/>
          <w:i w:val="0"/>
          <w:iCs w:val="0"/>
          <w:color w:val="auto"/>
          <w:sz w:val="24"/>
          <w:szCs w:val="24"/>
          <w:u w:val="none"/>
        </w:rPr>
        <w:t>)</w:t>
      </w:r>
      <w:r w:rsidRPr="02E23534" w:rsidR="02E23534">
        <w:rPr>
          <w:rFonts w:ascii="Arial" w:hAnsi="Arial" w:eastAsia="Arial" w:cs="Arial"/>
          <w:i w:val="0"/>
          <w:iCs w:val="0"/>
          <w:color w:val="auto"/>
          <w:sz w:val="24"/>
          <w:szCs w:val="24"/>
          <w:u w:val="none"/>
        </w:rPr>
        <w:t>. Improving the education opportunities for migrant children has allowed Shanghai to score consistently in PISA tests as all students are receiving similar levels of education. China’s attempts to continuously improve equity in education is likely to reflect in their consistent PISA scores in the future.</w:t>
      </w:r>
    </w:p>
    <w:p w:rsidR="7518E3B8" w:rsidP="02E23534" w:rsidRDefault="7518E3B8" w14:paraId="06DB0D71" w14:textId="3FC050C0">
      <w:pPr>
        <w:pStyle w:val="Normal"/>
        <w:spacing w:after="160" w:line="360" w:lineRule="auto"/>
        <w:jc w:val="left"/>
        <w:rPr>
          <w:rFonts w:ascii="Arial" w:hAnsi="Arial" w:eastAsia="Arial" w:cs="Arial"/>
          <w:color w:val="auto"/>
          <w:sz w:val="24"/>
          <w:szCs w:val="24"/>
          <w:u w:val="none"/>
        </w:rPr>
      </w:pPr>
      <w:r w:rsidRPr="02E23534" w:rsidR="02E23534">
        <w:rPr>
          <w:rFonts w:ascii="Arial" w:hAnsi="Arial" w:eastAsia="Arial" w:cs="Arial"/>
          <w:color w:val="auto"/>
          <w:sz w:val="24"/>
          <w:szCs w:val="24"/>
          <w:u w:val="none"/>
        </w:rPr>
        <w:t xml:space="preserve">  After the 2009 PISA test, Shanghai was already praised for its equity in education, with students tending to perform well regardless of the school they went to. The results from the 2009 test showed that 76% of the disadvantaged students in Shanghai that took the test scored in the top quartile of students from countries with similar socio-economic backgrounds (Qian and Walker, 2015, p.74</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Furthermore, in the most recent 2018 test, the 10% most disadvantaged children in the Beijing, Shanghai, Jiangsu and Zhejiang (BSJZ</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provinces showed better reading skills than the average student in OECD countries and performed on par with the 10% most advantaged students in some of them (</w:t>
      </w:r>
      <w:proofErr w:type="spellStart"/>
      <w:r w:rsidRPr="02E23534" w:rsidR="02E23534">
        <w:rPr>
          <w:rFonts w:ascii="Arial" w:hAnsi="Arial" w:eastAsia="Arial" w:cs="Arial"/>
          <w:color w:val="auto"/>
          <w:sz w:val="24"/>
          <w:szCs w:val="24"/>
          <w:u w:val="none"/>
        </w:rPr>
        <w:t>Schleicher</w:t>
      </w:r>
      <w:proofErr w:type="spellEnd"/>
      <w:r w:rsidRPr="02E23534" w:rsidR="02E23534">
        <w:rPr>
          <w:rFonts w:ascii="Arial" w:hAnsi="Arial" w:eastAsia="Arial" w:cs="Arial"/>
          <w:color w:val="auto"/>
          <w:sz w:val="24"/>
          <w:szCs w:val="24"/>
          <w:u w:val="none"/>
        </w:rPr>
        <w:t>, 2019, p.5</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The BSJZ provinces’ level of income is well below the OECD average as well (</w:t>
      </w:r>
      <w:proofErr w:type="spellStart"/>
      <w:r w:rsidRPr="02E23534" w:rsidR="02E23534">
        <w:rPr>
          <w:rFonts w:ascii="Arial" w:hAnsi="Arial" w:eastAsia="Arial" w:cs="Arial"/>
          <w:color w:val="auto"/>
          <w:sz w:val="24"/>
          <w:szCs w:val="24"/>
          <w:u w:val="none"/>
        </w:rPr>
        <w:t>Schleicher</w:t>
      </w:r>
      <w:proofErr w:type="spellEnd"/>
      <w:r w:rsidRPr="02E23534" w:rsidR="02E23534">
        <w:rPr>
          <w:rFonts w:ascii="Arial" w:hAnsi="Arial" w:eastAsia="Arial" w:cs="Arial"/>
          <w:color w:val="auto"/>
          <w:sz w:val="24"/>
          <w:szCs w:val="24"/>
          <w:u w:val="none"/>
        </w:rPr>
        <w:t>, 2019, p.5</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which shows success in the thought behind the educational reforms and the areas focussed on within them to achieve high quality education, as well as equity within education which is still a focus for the Chinese government as shown in the Five-Year Plan of National and Educational Development. The United Nations’ (2019, para 5</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sustainable development goal is to ensure countries have inclusive and equitable education, which China seems to have been developing towards since the State Council called for the improvement of migrant education in 2001.</w:t>
      </w:r>
    </w:p>
    <w:p w:rsidR="5A59C0A0" w:rsidP="02E23534" w:rsidRDefault="5A59C0A0" w14:paraId="0121CD76" w14:textId="4716985E">
      <w:pPr>
        <w:pStyle w:val="Normal"/>
        <w:spacing w:after="160" w:line="360" w:lineRule="auto"/>
        <w:jc w:val="left"/>
        <w:rPr>
          <w:rFonts w:ascii="Arial" w:hAnsi="Arial" w:eastAsia="Arial" w:cs="Arial"/>
          <w:i w:val="0"/>
          <w:iCs w:val="0"/>
          <w:color w:val="auto"/>
          <w:sz w:val="24"/>
          <w:szCs w:val="24"/>
          <w:u w:val="none"/>
        </w:rPr>
      </w:pPr>
      <w:r w:rsidRPr="02E23534" w:rsidR="02E23534">
        <w:rPr>
          <w:rFonts w:ascii="Arial" w:hAnsi="Arial" w:eastAsia="Arial" w:cs="Arial"/>
          <w:color w:val="auto"/>
          <w:sz w:val="24"/>
          <w:szCs w:val="24"/>
          <w:u w:val="none"/>
        </w:rPr>
        <w:t xml:space="preserve">  Shanghai’s success has largely been attributed to its professional learning communities (PLC’s</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teacher collaboration and teacher leadership with more experienced teachers giving coaching and guidance to younger, less experienced teachers (Sun-</w:t>
      </w:r>
      <w:proofErr w:type="spellStart"/>
      <w:r w:rsidRPr="02E23534" w:rsidR="02E23534">
        <w:rPr>
          <w:rFonts w:ascii="Arial" w:hAnsi="Arial" w:eastAsia="Arial" w:cs="Arial"/>
          <w:color w:val="auto"/>
          <w:sz w:val="24"/>
          <w:szCs w:val="24"/>
          <w:u w:val="none"/>
        </w:rPr>
        <w:t>keung</w:t>
      </w:r>
      <w:proofErr w:type="spellEnd"/>
      <w:r w:rsidRPr="02E23534" w:rsidR="02E23534">
        <w:rPr>
          <w:rFonts w:ascii="Arial" w:hAnsi="Arial" w:eastAsia="Arial" w:cs="Arial"/>
          <w:color w:val="auto"/>
          <w:sz w:val="24"/>
          <w:szCs w:val="24"/>
          <w:u w:val="none"/>
        </w:rPr>
        <w:t xml:space="preserve"> Pang and Miao, 2017, p.99</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Collaboration and teacher research groups were established in China as early as 1952 (Zhang </w:t>
      </w:r>
      <w:r w:rsidRPr="02E23534" w:rsidR="02E23534">
        <w:rPr>
          <w:rFonts w:ascii="Arial" w:hAnsi="Arial" w:eastAsia="Arial" w:cs="Arial"/>
          <w:i w:val="1"/>
          <w:iCs w:val="1"/>
          <w:color w:val="auto"/>
          <w:sz w:val="24"/>
          <w:szCs w:val="24"/>
          <w:u w:val="none"/>
        </w:rPr>
        <w:t>et al</w:t>
      </w:r>
      <w:r w:rsidRPr="02E23534" w:rsidR="02E23534">
        <w:rPr>
          <w:rFonts w:ascii="Arial" w:hAnsi="Arial" w:eastAsia="Arial" w:cs="Arial"/>
          <w:i w:val="0"/>
          <w:iCs w:val="0"/>
          <w:color w:val="auto"/>
          <w:sz w:val="24"/>
          <w:szCs w:val="24"/>
          <w:u w:val="none"/>
        </w:rPr>
        <w:t>, 2016, p.222</w:t>
      </w:r>
      <w:r w:rsidRPr="02E23534" w:rsidR="02E23534">
        <w:rPr>
          <w:rFonts w:ascii="Arial" w:hAnsi="Arial" w:eastAsia="Arial" w:cs="Arial"/>
          <w:i w:val="0"/>
          <w:iCs w:val="0"/>
          <w:color w:val="auto"/>
          <w:sz w:val="24"/>
          <w:szCs w:val="24"/>
          <w:u w:val="none"/>
        </w:rPr>
        <w:t>)</w:t>
      </w:r>
      <w:r w:rsidRPr="02E23534" w:rsidR="02E23534">
        <w:rPr>
          <w:rFonts w:ascii="Arial" w:hAnsi="Arial" w:eastAsia="Arial" w:cs="Arial"/>
          <w:i w:val="0"/>
          <w:iCs w:val="0"/>
          <w:color w:val="auto"/>
          <w:sz w:val="24"/>
          <w:szCs w:val="24"/>
          <w:u w:val="none"/>
        </w:rPr>
        <w:t xml:space="preserve">. Collaboration amongst teachers allows them to share good practice and aid each other's development. Typical activities through collaboration include joint lesson planning, peer observation, teacher mentoring and collaborative inquiry where teachers teach the same lesson with different pedagogies to compare styles (Zhang </w:t>
      </w:r>
      <w:r w:rsidRPr="02E23534" w:rsidR="02E23534">
        <w:rPr>
          <w:rFonts w:ascii="Arial" w:hAnsi="Arial" w:eastAsia="Arial" w:cs="Arial"/>
          <w:i w:val="1"/>
          <w:iCs w:val="1"/>
          <w:color w:val="auto"/>
          <w:sz w:val="24"/>
          <w:szCs w:val="24"/>
          <w:u w:val="none"/>
        </w:rPr>
        <w:t>et al</w:t>
      </w:r>
      <w:r w:rsidRPr="02E23534" w:rsidR="02E23534">
        <w:rPr>
          <w:rFonts w:ascii="Arial" w:hAnsi="Arial" w:eastAsia="Arial" w:cs="Arial"/>
          <w:i w:val="0"/>
          <w:iCs w:val="0"/>
          <w:color w:val="auto"/>
          <w:sz w:val="24"/>
          <w:szCs w:val="24"/>
          <w:u w:val="none"/>
        </w:rPr>
        <w:t>, 2016, p.222</w:t>
      </w:r>
      <w:r w:rsidRPr="02E23534" w:rsidR="02E23534">
        <w:rPr>
          <w:rFonts w:ascii="Arial" w:hAnsi="Arial" w:eastAsia="Arial" w:cs="Arial"/>
          <w:i w:val="0"/>
          <w:iCs w:val="0"/>
          <w:color w:val="auto"/>
          <w:sz w:val="24"/>
          <w:szCs w:val="24"/>
          <w:u w:val="none"/>
        </w:rPr>
        <w:t>)</w:t>
      </w:r>
      <w:r w:rsidRPr="02E23534" w:rsidR="02E23534">
        <w:rPr>
          <w:rFonts w:ascii="Arial" w:hAnsi="Arial" w:eastAsia="Arial" w:cs="Arial"/>
          <w:i w:val="0"/>
          <w:iCs w:val="0"/>
          <w:color w:val="auto"/>
          <w:sz w:val="24"/>
          <w:szCs w:val="24"/>
          <w:u w:val="none"/>
        </w:rPr>
        <w:t>. Leadership within schools is important for collaboration success. Successful school principals will acknowledge the importance of teacher leaders for being pioneers for new educational reforms and curriculum developments, promoting collaboration and supporting less experienced teachers and will give teacher leaders the time and resources to hold meetings and carry out relevant activities amongst teachers (Sun-</w:t>
      </w:r>
      <w:proofErr w:type="spellStart"/>
      <w:r w:rsidRPr="02E23534" w:rsidR="02E23534">
        <w:rPr>
          <w:rFonts w:ascii="Arial" w:hAnsi="Arial" w:eastAsia="Arial" w:cs="Arial"/>
          <w:i w:val="0"/>
          <w:iCs w:val="0"/>
          <w:color w:val="auto"/>
          <w:sz w:val="24"/>
          <w:szCs w:val="24"/>
          <w:u w:val="none"/>
        </w:rPr>
        <w:t>keung</w:t>
      </w:r>
      <w:proofErr w:type="spellEnd"/>
      <w:r w:rsidRPr="02E23534" w:rsidR="02E23534">
        <w:rPr>
          <w:rFonts w:ascii="Arial" w:hAnsi="Arial" w:eastAsia="Arial" w:cs="Arial"/>
          <w:i w:val="0"/>
          <w:iCs w:val="0"/>
          <w:color w:val="auto"/>
          <w:sz w:val="24"/>
          <w:szCs w:val="24"/>
          <w:u w:val="none"/>
        </w:rPr>
        <w:t xml:space="preserve"> Pang and Miao, 2017, p</w:t>
      </w:r>
      <w:r w:rsidRPr="02E23534" w:rsidR="02E23534">
        <w:rPr>
          <w:rFonts w:ascii="Arial" w:hAnsi="Arial" w:eastAsia="Arial" w:cs="Arial"/>
          <w:i w:val="0"/>
          <w:iCs w:val="0"/>
          <w:color w:val="auto"/>
          <w:sz w:val="24"/>
          <w:szCs w:val="24"/>
          <w:u w:val="none"/>
        </w:rPr>
        <w:t>p</w:t>
      </w:r>
      <w:r w:rsidRPr="02E23534" w:rsidR="02E23534">
        <w:rPr>
          <w:rFonts w:ascii="Arial" w:hAnsi="Arial" w:eastAsia="Arial" w:cs="Arial"/>
          <w:i w:val="0"/>
          <w:iCs w:val="0"/>
          <w:color w:val="auto"/>
          <w:sz w:val="24"/>
          <w:szCs w:val="24"/>
          <w:u w:val="none"/>
        </w:rPr>
        <w:t>.96-98</w:t>
      </w:r>
      <w:r w:rsidRPr="02E23534" w:rsidR="02E23534">
        <w:rPr>
          <w:rFonts w:ascii="Arial" w:hAnsi="Arial" w:eastAsia="Arial" w:cs="Arial"/>
          <w:i w:val="0"/>
          <w:iCs w:val="0"/>
          <w:color w:val="auto"/>
          <w:sz w:val="24"/>
          <w:szCs w:val="24"/>
          <w:u w:val="none"/>
        </w:rPr>
        <w:t>)</w:t>
      </w:r>
      <w:r w:rsidRPr="02E23534" w:rsidR="02E23534">
        <w:rPr>
          <w:rFonts w:ascii="Arial" w:hAnsi="Arial" w:eastAsia="Arial" w:cs="Arial"/>
          <w:i w:val="0"/>
          <w:iCs w:val="0"/>
          <w:color w:val="auto"/>
          <w:sz w:val="24"/>
          <w:szCs w:val="24"/>
          <w:u w:val="none"/>
        </w:rPr>
        <w:t>.</w:t>
      </w:r>
    </w:p>
    <w:p w:rsidR="5A59C0A0" w:rsidP="02E23534" w:rsidRDefault="5A59C0A0" w14:paraId="30D57B11" w14:textId="478C22F3">
      <w:pPr>
        <w:pStyle w:val="Normal"/>
        <w:spacing w:after="160" w:line="360" w:lineRule="auto"/>
        <w:jc w:val="left"/>
        <w:rPr>
          <w:rFonts w:ascii="Arial" w:hAnsi="Arial" w:eastAsia="Arial" w:cs="Arial"/>
          <w:i w:val="0"/>
          <w:iCs w:val="0"/>
          <w:color w:val="auto"/>
          <w:sz w:val="24"/>
          <w:szCs w:val="24"/>
          <w:u w:val="none"/>
        </w:rPr>
      </w:pPr>
      <w:r w:rsidRPr="02E23534" w:rsidR="02E23534">
        <w:rPr>
          <w:rFonts w:ascii="Arial" w:hAnsi="Arial" w:eastAsia="Arial" w:cs="Arial"/>
          <w:color w:val="auto"/>
          <w:sz w:val="24"/>
          <w:szCs w:val="24"/>
          <w:u w:val="none"/>
        </w:rPr>
        <w:t xml:space="preserve">  However, there are barriers to successful collaboration and PLC’s that are not always looked at and overcome. Although Shanghai performs well in part due to professional collaboration, it is important to recognise the difficulties of collaboration reported. Zhang, Yuan and Yu (2016</w:t>
      </w:r>
      <w:r w:rsidRPr="02E23534" w:rsidR="02E23534">
        <w:rPr>
          <w:rFonts w:ascii="Arial" w:hAnsi="Arial" w:eastAsia="Arial" w:cs="Arial"/>
          <w:color w:val="auto"/>
          <w:sz w:val="24"/>
          <w:szCs w:val="24"/>
          <w:u w:val="none"/>
        </w:rPr>
        <w:t>)</w:t>
      </w:r>
      <w:r w:rsidRPr="02E23534" w:rsidR="02E23534">
        <w:rPr>
          <w:rFonts w:ascii="Arial" w:hAnsi="Arial" w:eastAsia="Arial" w:cs="Arial"/>
          <w:color w:val="auto"/>
          <w:sz w:val="24"/>
          <w:szCs w:val="24"/>
          <w:u w:val="none"/>
        </w:rPr>
        <w:t xml:space="preserve"> researched collected qualitative data from three schools in Shanghai to investigate these barriers. Their previous research of potential PLC barriers, including an inadequate amount of collaboration time allowed (Fernandez, 2002, cited by Zhang </w:t>
      </w:r>
      <w:r w:rsidRPr="02E23534" w:rsidR="02E23534">
        <w:rPr>
          <w:rFonts w:ascii="Arial" w:hAnsi="Arial" w:eastAsia="Arial" w:cs="Arial"/>
          <w:i w:val="1"/>
          <w:iCs w:val="1"/>
          <w:color w:val="auto"/>
          <w:sz w:val="24"/>
          <w:szCs w:val="24"/>
          <w:u w:val="none"/>
        </w:rPr>
        <w:t>et al</w:t>
      </w:r>
      <w:r w:rsidRPr="02E23534" w:rsidR="02E23534">
        <w:rPr>
          <w:rFonts w:ascii="Arial" w:hAnsi="Arial" w:eastAsia="Arial" w:cs="Arial"/>
          <w:i w:val="0"/>
          <w:iCs w:val="0"/>
          <w:color w:val="auto"/>
          <w:sz w:val="24"/>
          <w:szCs w:val="24"/>
          <w:u w:val="none"/>
        </w:rPr>
        <w:t>, 2016, p.221</w:t>
      </w:r>
      <w:r w:rsidRPr="02E23534" w:rsidR="02E23534">
        <w:rPr>
          <w:rFonts w:ascii="Arial" w:hAnsi="Arial" w:eastAsia="Arial" w:cs="Arial"/>
          <w:i w:val="0"/>
          <w:iCs w:val="0"/>
          <w:color w:val="auto"/>
          <w:sz w:val="24"/>
          <w:szCs w:val="24"/>
          <w:u w:val="none"/>
        </w:rPr>
        <w:t>)</w:t>
      </w:r>
      <w:r w:rsidRPr="02E23534" w:rsidR="02E23534">
        <w:rPr>
          <w:rFonts w:ascii="Arial" w:hAnsi="Arial" w:eastAsia="Arial" w:cs="Arial"/>
          <w:i w:val="0"/>
          <w:iCs w:val="0"/>
          <w:color w:val="auto"/>
          <w:sz w:val="24"/>
          <w:szCs w:val="24"/>
          <w:u w:val="none"/>
        </w:rPr>
        <w:t xml:space="preserve">, strong department subject boundaries discouraging communication and collaboration (McLaughlin and Talbert, 2007, cited by Zhang </w:t>
      </w:r>
      <w:r w:rsidRPr="02E23534" w:rsidR="02E23534">
        <w:rPr>
          <w:rFonts w:ascii="Arial" w:hAnsi="Arial" w:eastAsia="Arial" w:cs="Arial"/>
          <w:i w:val="1"/>
          <w:iCs w:val="1"/>
          <w:color w:val="auto"/>
          <w:sz w:val="24"/>
          <w:szCs w:val="24"/>
          <w:u w:val="none"/>
        </w:rPr>
        <w:t>et al</w:t>
      </w:r>
      <w:r w:rsidRPr="02E23534" w:rsidR="02E23534">
        <w:rPr>
          <w:rFonts w:ascii="Arial" w:hAnsi="Arial" w:eastAsia="Arial" w:cs="Arial"/>
          <w:i w:val="0"/>
          <w:iCs w:val="0"/>
          <w:color w:val="auto"/>
          <w:sz w:val="24"/>
          <w:szCs w:val="24"/>
          <w:u w:val="none"/>
        </w:rPr>
        <w:t>, 2016, p.221</w:t>
      </w:r>
      <w:r w:rsidRPr="02E23534" w:rsidR="02E23534">
        <w:rPr>
          <w:rFonts w:ascii="Arial" w:hAnsi="Arial" w:eastAsia="Arial" w:cs="Arial"/>
          <w:i w:val="0"/>
          <w:iCs w:val="0"/>
          <w:color w:val="auto"/>
          <w:sz w:val="24"/>
          <w:szCs w:val="24"/>
          <w:u w:val="none"/>
        </w:rPr>
        <w:t>)</w:t>
      </w:r>
      <w:r w:rsidRPr="02E23534" w:rsidR="02E23534">
        <w:rPr>
          <w:rFonts w:ascii="Arial" w:hAnsi="Arial" w:eastAsia="Arial" w:cs="Arial"/>
          <w:i w:val="0"/>
          <w:iCs w:val="0"/>
          <w:color w:val="auto"/>
          <w:sz w:val="24"/>
          <w:szCs w:val="24"/>
          <w:u w:val="none"/>
        </w:rPr>
        <w:t xml:space="preserve"> and insufficient learning and technical resources (Lindahl, 2011, cited by Zhang </w:t>
      </w:r>
      <w:r w:rsidRPr="02E23534" w:rsidR="02E23534">
        <w:rPr>
          <w:rFonts w:ascii="Arial" w:hAnsi="Arial" w:eastAsia="Arial" w:cs="Arial"/>
          <w:i w:val="1"/>
          <w:iCs w:val="1"/>
          <w:color w:val="auto"/>
          <w:sz w:val="24"/>
          <w:szCs w:val="24"/>
          <w:u w:val="none"/>
        </w:rPr>
        <w:t>et al</w:t>
      </w:r>
      <w:r w:rsidRPr="02E23534" w:rsidR="02E23534">
        <w:rPr>
          <w:rFonts w:ascii="Arial" w:hAnsi="Arial" w:eastAsia="Arial" w:cs="Arial"/>
          <w:i w:val="0"/>
          <w:iCs w:val="0"/>
          <w:color w:val="auto"/>
          <w:sz w:val="24"/>
          <w:szCs w:val="24"/>
          <w:u w:val="none"/>
        </w:rPr>
        <w:t>, 2016, p.221</w:t>
      </w:r>
      <w:r w:rsidRPr="02E23534" w:rsidR="02E23534">
        <w:rPr>
          <w:rFonts w:ascii="Arial" w:hAnsi="Arial" w:eastAsia="Arial" w:cs="Arial"/>
          <w:i w:val="0"/>
          <w:iCs w:val="0"/>
          <w:color w:val="auto"/>
          <w:sz w:val="24"/>
          <w:szCs w:val="24"/>
          <w:u w:val="none"/>
        </w:rPr>
        <w:t>)</w:t>
      </w:r>
      <w:r w:rsidRPr="02E23534" w:rsidR="02E23534">
        <w:rPr>
          <w:rFonts w:ascii="Arial" w:hAnsi="Arial" w:eastAsia="Arial" w:cs="Arial"/>
          <w:i w:val="0"/>
          <w:iCs w:val="0"/>
          <w:color w:val="auto"/>
          <w:sz w:val="24"/>
          <w:szCs w:val="24"/>
          <w:u w:val="none"/>
        </w:rPr>
        <w:t xml:space="preserve">. These barriers can discourage PLC’s to form or cause them to be ineffective if they have been formed. Zhang </w:t>
      </w:r>
      <w:r w:rsidRPr="02E23534" w:rsidR="02E23534">
        <w:rPr>
          <w:rFonts w:ascii="Arial" w:hAnsi="Arial" w:eastAsia="Arial" w:cs="Arial"/>
          <w:i w:val="1"/>
          <w:iCs w:val="1"/>
          <w:color w:val="auto"/>
          <w:sz w:val="24"/>
          <w:szCs w:val="24"/>
          <w:u w:val="none"/>
        </w:rPr>
        <w:t>et al</w:t>
      </w:r>
      <w:r w:rsidRPr="02E23534" w:rsidR="02E23534">
        <w:rPr>
          <w:rFonts w:ascii="Arial" w:hAnsi="Arial" w:eastAsia="Arial" w:cs="Arial"/>
          <w:i w:val="0"/>
          <w:iCs w:val="0"/>
          <w:color w:val="auto"/>
          <w:sz w:val="24"/>
          <w:szCs w:val="24"/>
          <w:u w:val="none"/>
        </w:rPr>
        <w:t xml:space="preserve"> (2016, p.225</w:t>
      </w:r>
      <w:r w:rsidRPr="02E23534" w:rsidR="02E23534">
        <w:rPr>
          <w:rFonts w:ascii="Arial" w:hAnsi="Arial" w:eastAsia="Arial" w:cs="Arial"/>
          <w:i w:val="0"/>
          <w:iCs w:val="0"/>
          <w:color w:val="auto"/>
          <w:sz w:val="24"/>
          <w:szCs w:val="24"/>
          <w:u w:val="none"/>
        </w:rPr>
        <w:t>)</w:t>
      </w:r>
      <w:r w:rsidRPr="02E23534" w:rsidR="02E23534">
        <w:rPr>
          <w:rFonts w:ascii="Arial" w:hAnsi="Arial" w:eastAsia="Arial" w:cs="Arial"/>
          <w:i w:val="0"/>
          <w:iCs w:val="0"/>
          <w:color w:val="auto"/>
          <w:sz w:val="24"/>
          <w:szCs w:val="24"/>
          <w:u w:val="none"/>
        </w:rPr>
        <w:t xml:space="preserve"> found that almost all teachers they questioned found time to be a big barrier to PLC’s as their already heavy workload left them with little time and energy to hold effective PLC meetings. For PLC meetings to be effective and meaningful, teachers should be motivated and have time for not only the meetings themselves, but also to prepare for the meetings, otherwise they can be ineffective and therefore a waste of time. Another barrier Zhang </w:t>
      </w:r>
      <w:r w:rsidRPr="02E23534" w:rsidR="02E23534">
        <w:rPr>
          <w:rFonts w:ascii="Arial" w:hAnsi="Arial" w:eastAsia="Arial" w:cs="Arial"/>
          <w:i w:val="1"/>
          <w:iCs w:val="1"/>
          <w:color w:val="auto"/>
          <w:sz w:val="24"/>
          <w:szCs w:val="24"/>
          <w:u w:val="none"/>
        </w:rPr>
        <w:t>et al</w:t>
      </w:r>
      <w:r w:rsidRPr="02E23534" w:rsidR="02E23534">
        <w:rPr>
          <w:rFonts w:ascii="Arial" w:hAnsi="Arial" w:eastAsia="Arial" w:cs="Arial"/>
          <w:i w:val="0"/>
          <w:iCs w:val="0"/>
          <w:color w:val="auto"/>
          <w:sz w:val="24"/>
          <w:szCs w:val="24"/>
          <w:u w:val="none"/>
        </w:rPr>
        <w:t xml:space="preserve"> (2016, p.227</w:t>
      </w:r>
      <w:r w:rsidRPr="02E23534" w:rsidR="02E23534">
        <w:rPr>
          <w:rFonts w:ascii="Arial" w:hAnsi="Arial" w:eastAsia="Arial" w:cs="Arial"/>
          <w:i w:val="0"/>
          <w:iCs w:val="0"/>
          <w:color w:val="auto"/>
          <w:sz w:val="24"/>
          <w:szCs w:val="24"/>
          <w:u w:val="none"/>
        </w:rPr>
        <w:t>)</w:t>
      </w:r>
      <w:r w:rsidRPr="02E23534" w:rsidR="02E23534">
        <w:rPr>
          <w:rFonts w:ascii="Arial" w:hAnsi="Arial" w:eastAsia="Arial" w:cs="Arial"/>
          <w:i w:val="0"/>
          <w:iCs w:val="0"/>
          <w:color w:val="auto"/>
          <w:sz w:val="24"/>
          <w:szCs w:val="24"/>
          <w:u w:val="none"/>
        </w:rPr>
        <w:t xml:space="preserve"> found was the isolated and competitive culture amongst the teachers. Teacher’s may share ideas and incorporate those ideas into their practice but would not share the practice afterwards to gain a competitive edge. Furthermore, the teacher’s questioned felt that they would be bothering other teachers if they asked if they could observe their lessons (Zhang </w:t>
      </w:r>
      <w:r w:rsidRPr="02E23534" w:rsidR="02E23534">
        <w:rPr>
          <w:rFonts w:ascii="Arial" w:hAnsi="Arial" w:eastAsia="Arial" w:cs="Arial"/>
          <w:i w:val="1"/>
          <w:iCs w:val="1"/>
          <w:color w:val="auto"/>
          <w:sz w:val="24"/>
          <w:szCs w:val="24"/>
          <w:u w:val="none"/>
        </w:rPr>
        <w:t>et al</w:t>
      </w:r>
      <w:r w:rsidRPr="02E23534" w:rsidR="02E23534">
        <w:rPr>
          <w:rFonts w:ascii="Arial" w:hAnsi="Arial" w:eastAsia="Arial" w:cs="Arial"/>
          <w:i w:val="0"/>
          <w:iCs w:val="0"/>
          <w:color w:val="auto"/>
          <w:sz w:val="24"/>
          <w:szCs w:val="24"/>
          <w:u w:val="none"/>
        </w:rPr>
        <w:t>, 2016, p.2</w:t>
      </w:r>
      <w:r w:rsidRPr="02E23534" w:rsidR="02E23534">
        <w:rPr>
          <w:rFonts w:ascii="Arial" w:hAnsi="Arial" w:eastAsia="Arial" w:cs="Arial"/>
          <w:i w:val="0"/>
          <w:iCs w:val="0"/>
          <w:color w:val="auto"/>
          <w:sz w:val="24"/>
          <w:szCs w:val="24"/>
          <w:u w:val="none"/>
        </w:rPr>
        <w:t>2</w:t>
      </w:r>
      <w:r w:rsidRPr="02E23534" w:rsidR="02E23534">
        <w:rPr>
          <w:rFonts w:ascii="Arial" w:hAnsi="Arial" w:eastAsia="Arial" w:cs="Arial"/>
          <w:i w:val="0"/>
          <w:iCs w:val="0"/>
          <w:color w:val="auto"/>
          <w:sz w:val="24"/>
          <w:szCs w:val="24"/>
          <w:u w:val="none"/>
        </w:rPr>
        <w:t>7</w:t>
      </w:r>
      <w:r w:rsidRPr="02E23534" w:rsidR="02E23534">
        <w:rPr>
          <w:rFonts w:ascii="Arial" w:hAnsi="Arial" w:eastAsia="Arial" w:cs="Arial"/>
          <w:i w:val="0"/>
          <w:iCs w:val="0"/>
          <w:color w:val="auto"/>
          <w:sz w:val="24"/>
          <w:szCs w:val="24"/>
          <w:u w:val="none"/>
        </w:rPr>
        <w:t>)</w:t>
      </w:r>
      <w:r w:rsidRPr="02E23534" w:rsidR="02E23534">
        <w:rPr>
          <w:rFonts w:ascii="Arial" w:hAnsi="Arial" w:eastAsia="Arial" w:cs="Arial"/>
          <w:i w:val="0"/>
          <w:iCs w:val="0"/>
          <w:color w:val="auto"/>
          <w:sz w:val="24"/>
          <w:szCs w:val="24"/>
          <w:u w:val="none"/>
        </w:rPr>
        <w:t>. This attitude can hinder the share of valuable practice. A practitioner wanting to maintain their competitive edge by not sharing practice may benefit themselves professionally, but it is also potentially hindering other practitioner’s development and consequently the learning of students.</w:t>
      </w:r>
    </w:p>
    <w:p w:rsidR="5A59C0A0" w:rsidP="02E23534" w:rsidRDefault="5A59C0A0" w14:paraId="4BCA35A2" w14:textId="4BFED08E">
      <w:pPr>
        <w:pStyle w:val="Normal"/>
        <w:spacing w:after="160" w:line="360" w:lineRule="auto"/>
        <w:jc w:val="left"/>
        <w:rPr>
          <w:rFonts w:ascii="Arial" w:hAnsi="Arial" w:eastAsia="Arial" w:cs="Arial"/>
          <w:color w:val="auto"/>
          <w:sz w:val="24"/>
          <w:szCs w:val="24"/>
          <w:u w:val="none"/>
        </w:rPr>
      </w:pPr>
      <w:r w:rsidRPr="02E23534" w:rsidR="02E23534">
        <w:rPr>
          <w:rFonts w:ascii="Arial" w:hAnsi="Arial" w:eastAsia="Arial" w:cs="Arial"/>
          <w:i w:val="0"/>
          <w:iCs w:val="0"/>
          <w:color w:val="auto"/>
          <w:sz w:val="24"/>
          <w:szCs w:val="24"/>
          <w:u w:val="none"/>
        </w:rPr>
        <w:t xml:space="preserve">  Asian countries have hierarchical systems, with a cultural emphasis of respect for authority. When the ‘elites’ in charge of education implement a policy, such as the formation of PLC’s, the people enforcing the policies are disconnected from the teachers trying to carry it out and do not recognise the issues faced by teachers, such as an increasingly heavy workload (</w:t>
      </w:r>
      <w:proofErr w:type="spellStart"/>
      <w:r w:rsidRPr="02E23534" w:rsidR="02E23534">
        <w:rPr>
          <w:rFonts w:ascii="Arial" w:hAnsi="Arial" w:eastAsia="Arial" w:cs="Arial"/>
          <w:i w:val="0"/>
          <w:iCs w:val="0"/>
          <w:color w:val="auto"/>
          <w:sz w:val="24"/>
          <w:szCs w:val="24"/>
          <w:u w:val="none"/>
        </w:rPr>
        <w:t>Hairon</w:t>
      </w:r>
      <w:proofErr w:type="spellEnd"/>
      <w:r w:rsidRPr="02E23534" w:rsidR="02E23534">
        <w:rPr>
          <w:rFonts w:ascii="Arial" w:hAnsi="Arial" w:eastAsia="Arial" w:cs="Arial"/>
          <w:i w:val="0"/>
          <w:iCs w:val="0"/>
          <w:color w:val="auto"/>
          <w:sz w:val="24"/>
          <w:szCs w:val="24"/>
          <w:u w:val="none"/>
        </w:rPr>
        <w:t xml:space="preserve"> and Dimmock, 2012 p.420</w:t>
      </w:r>
      <w:r w:rsidRPr="02E23534" w:rsidR="02E23534">
        <w:rPr>
          <w:rFonts w:ascii="Arial" w:hAnsi="Arial" w:eastAsia="Arial" w:cs="Arial"/>
          <w:i w:val="0"/>
          <w:iCs w:val="0"/>
          <w:color w:val="auto"/>
          <w:sz w:val="24"/>
          <w:szCs w:val="24"/>
          <w:u w:val="none"/>
        </w:rPr>
        <w:t>)</w:t>
      </w:r>
      <w:r w:rsidRPr="02E23534" w:rsidR="02E23534">
        <w:rPr>
          <w:rFonts w:ascii="Arial" w:hAnsi="Arial" w:eastAsia="Arial" w:cs="Arial"/>
          <w:i w:val="0"/>
          <w:iCs w:val="0"/>
          <w:color w:val="auto"/>
          <w:sz w:val="24"/>
          <w:szCs w:val="24"/>
          <w:u w:val="none"/>
        </w:rPr>
        <w:t xml:space="preserve"> and a lack of motivation due to forced collaboration (Zhang </w:t>
      </w:r>
      <w:r w:rsidRPr="02E23534" w:rsidR="02E23534">
        <w:rPr>
          <w:rFonts w:ascii="Arial" w:hAnsi="Arial" w:eastAsia="Arial" w:cs="Arial"/>
          <w:i w:val="1"/>
          <w:iCs w:val="1"/>
          <w:color w:val="auto"/>
          <w:sz w:val="24"/>
          <w:szCs w:val="24"/>
          <w:u w:val="none"/>
        </w:rPr>
        <w:t>et al</w:t>
      </w:r>
      <w:r w:rsidRPr="02E23534" w:rsidR="02E23534">
        <w:rPr>
          <w:rFonts w:ascii="Arial" w:hAnsi="Arial" w:eastAsia="Arial" w:cs="Arial"/>
          <w:i w:val="0"/>
          <w:iCs w:val="0"/>
          <w:color w:val="auto"/>
          <w:sz w:val="24"/>
          <w:szCs w:val="24"/>
          <w:u w:val="none"/>
        </w:rPr>
        <w:t>, 2016, p.222</w:t>
      </w:r>
      <w:r w:rsidRPr="02E23534" w:rsidR="02E23534">
        <w:rPr>
          <w:rFonts w:ascii="Arial" w:hAnsi="Arial" w:eastAsia="Arial" w:cs="Arial"/>
          <w:i w:val="0"/>
          <w:iCs w:val="0"/>
          <w:color w:val="auto"/>
          <w:sz w:val="24"/>
          <w:szCs w:val="24"/>
          <w:u w:val="none"/>
        </w:rPr>
        <w:t>)</w:t>
      </w:r>
      <w:r w:rsidRPr="02E23534" w:rsidR="02E23534">
        <w:rPr>
          <w:rFonts w:ascii="Arial" w:hAnsi="Arial" w:eastAsia="Arial" w:cs="Arial"/>
          <w:i w:val="0"/>
          <w:iCs w:val="0"/>
          <w:color w:val="auto"/>
          <w:sz w:val="24"/>
          <w:szCs w:val="24"/>
          <w:u w:val="none"/>
        </w:rPr>
        <w:t>. Kilbane (2009, p. 195</w:t>
      </w:r>
      <w:r w:rsidRPr="02E23534" w:rsidR="02E23534">
        <w:rPr>
          <w:rFonts w:ascii="Arial" w:hAnsi="Arial" w:eastAsia="Arial" w:cs="Arial"/>
          <w:i w:val="0"/>
          <w:iCs w:val="0"/>
          <w:color w:val="auto"/>
          <w:sz w:val="24"/>
          <w:szCs w:val="24"/>
          <w:u w:val="none"/>
        </w:rPr>
        <w:t>)</w:t>
      </w:r>
      <w:r w:rsidRPr="02E23534" w:rsidR="02E23534">
        <w:rPr>
          <w:rFonts w:ascii="Arial" w:hAnsi="Arial" w:eastAsia="Arial" w:cs="Arial"/>
          <w:i w:val="0"/>
          <w:iCs w:val="0"/>
          <w:color w:val="auto"/>
          <w:sz w:val="24"/>
          <w:szCs w:val="24"/>
          <w:u w:val="none"/>
        </w:rPr>
        <w:t xml:space="preserve"> also noted a change in or a lack of strong leadership as a barrier to effective PLC’s in cases where teacher’s trying to collaborate and share ideas and practice were told they were undermining the administration, or leaders would spend meetings trying to get a consensus on their own ideas without seriously considering ideas from other staff members. Poor leadership in these situations causes practitioners to feel more disconnected and unable to create relevant change in their work environment (Kilbane, 2009, p.196</w:t>
      </w:r>
      <w:r w:rsidRPr="02E23534" w:rsidR="02E23534">
        <w:rPr>
          <w:rFonts w:ascii="Arial" w:hAnsi="Arial" w:eastAsia="Arial" w:cs="Arial"/>
          <w:i w:val="0"/>
          <w:iCs w:val="0"/>
          <w:color w:val="auto"/>
          <w:sz w:val="24"/>
          <w:szCs w:val="24"/>
          <w:u w:val="none"/>
        </w:rPr>
        <w:t>)</w:t>
      </w:r>
      <w:r w:rsidRPr="02E23534" w:rsidR="02E23534">
        <w:rPr>
          <w:rFonts w:ascii="Arial" w:hAnsi="Arial" w:eastAsia="Arial" w:cs="Arial"/>
          <w:i w:val="0"/>
          <w:iCs w:val="0"/>
          <w:color w:val="auto"/>
          <w:sz w:val="24"/>
          <w:szCs w:val="24"/>
          <w:u w:val="none"/>
        </w:rPr>
        <w:t xml:space="preserve">. Furthermore, Zhang </w:t>
      </w:r>
      <w:r w:rsidRPr="02E23534" w:rsidR="02E23534">
        <w:rPr>
          <w:rFonts w:ascii="Arial" w:hAnsi="Arial" w:eastAsia="Arial" w:cs="Arial"/>
          <w:i w:val="1"/>
          <w:iCs w:val="1"/>
          <w:color w:val="auto"/>
          <w:sz w:val="24"/>
          <w:szCs w:val="24"/>
          <w:u w:val="none"/>
        </w:rPr>
        <w:t>et al</w:t>
      </w:r>
      <w:r w:rsidRPr="02E23534" w:rsidR="02E23534">
        <w:rPr>
          <w:rFonts w:ascii="Arial" w:hAnsi="Arial" w:eastAsia="Arial" w:cs="Arial"/>
          <w:i w:val="0"/>
          <w:iCs w:val="0"/>
          <w:color w:val="auto"/>
          <w:sz w:val="24"/>
          <w:szCs w:val="24"/>
          <w:u w:val="none"/>
        </w:rPr>
        <w:t xml:space="preserve"> (2016, p</w:t>
      </w:r>
      <w:r w:rsidRPr="02E23534" w:rsidR="02E23534">
        <w:rPr>
          <w:rFonts w:ascii="Arial" w:hAnsi="Arial" w:eastAsia="Arial" w:cs="Arial"/>
          <w:i w:val="0"/>
          <w:iCs w:val="0"/>
          <w:color w:val="auto"/>
          <w:sz w:val="24"/>
          <w:szCs w:val="24"/>
          <w:u w:val="none"/>
        </w:rPr>
        <w:t>p</w:t>
      </w:r>
      <w:r w:rsidRPr="02E23534" w:rsidR="02E23534">
        <w:rPr>
          <w:rFonts w:ascii="Arial" w:hAnsi="Arial" w:eastAsia="Arial" w:cs="Arial"/>
          <w:i w:val="0"/>
          <w:iCs w:val="0"/>
          <w:color w:val="auto"/>
          <w:sz w:val="24"/>
          <w:szCs w:val="24"/>
          <w:u w:val="none"/>
        </w:rPr>
        <w:t>.221, 226</w:t>
      </w:r>
      <w:r w:rsidRPr="02E23534" w:rsidR="02E23534">
        <w:rPr>
          <w:rFonts w:ascii="Arial" w:hAnsi="Arial" w:eastAsia="Arial" w:cs="Arial"/>
          <w:i w:val="0"/>
          <w:iCs w:val="0"/>
          <w:color w:val="auto"/>
          <w:sz w:val="24"/>
          <w:szCs w:val="24"/>
          <w:u w:val="none"/>
        </w:rPr>
        <w:t>)</w:t>
      </w:r>
      <w:r w:rsidRPr="02E23534" w:rsidR="02E23534">
        <w:rPr>
          <w:rFonts w:ascii="Arial" w:hAnsi="Arial" w:eastAsia="Arial" w:cs="Arial"/>
          <w:i w:val="0"/>
          <w:iCs w:val="0"/>
          <w:color w:val="auto"/>
          <w:sz w:val="24"/>
          <w:szCs w:val="24"/>
          <w:u w:val="none"/>
        </w:rPr>
        <w:t xml:space="preserve"> found that incompetent school leaders are unable to protect their staff from external distractions such as exam pressure, provide necessary time, guidance and resources for PLC's and are unable to properly monitor and evaluate PLC’s.</w:t>
      </w:r>
    </w:p>
    <w:p w:rsidR="5A59C0A0" w:rsidP="6F263F7F" w:rsidRDefault="5A59C0A0" w14:paraId="1CF81210" w14:textId="6F93F292">
      <w:pPr>
        <w:pStyle w:val="Normal"/>
        <w:spacing w:after="160" w:line="360" w:lineRule="auto"/>
        <w:jc w:val="left"/>
        <w:rPr>
          <w:rFonts w:ascii="Arial" w:hAnsi="Arial" w:eastAsia="Arial" w:cs="Arial"/>
          <w:i w:val="0"/>
          <w:iCs w:val="0"/>
          <w:color w:val="auto"/>
          <w:sz w:val="24"/>
          <w:szCs w:val="24"/>
          <w:u w:val="none"/>
        </w:rPr>
      </w:pPr>
      <w:r w:rsidRPr="6F263F7F" w:rsidR="6F263F7F">
        <w:rPr>
          <w:rFonts w:ascii="Arial" w:hAnsi="Arial" w:eastAsia="Arial" w:cs="Arial"/>
          <w:i w:val="0"/>
          <w:iCs w:val="0"/>
          <w:color w:val="auto"/>
          <w:sz w:val="24"/>
          <w:szCs w:val="24"/>
          <w:u w:val="none"/>
        </w:rPr>
        <w:t xml:space="preserve">  China places large importance on education within its culture. Statistics from OECD (2019, p.6</w:t>
      </w:r>
      <w:r w:rsidRPr="6F263F7F" w:rsidR="6F263F7F">
        <w:rPr>
          <w:rFonts w:ascii="Arial" w:hAnsi="Arial" w:eastAsia="Arial" w:cs="Arial"/>
          <w:i w:val="0"/>
          <w:iCs w:val="0"/>
          <w:color w:val="auto"/>
          <w:sz w:val="24"/>
          <w:szCs w:val="24"/>
          <w:u w:val="none"/>
        </w:rPr>
        <w:t>)</w:t>
      </w:r>
      <w:r w:rsidRPr="6F263F7F" w:rsidR="6F263F7F">
        <w:rPr>
          <w:rFonts w:ascii="Arial" w:hAnsi="Arial" w:eastAsia="Arial" w:cs="Arial"/>
          <w:i w:val="0"/>
          <w:iCs w:val="0"/>
          <w:color w:val="auto"/>
          <w:sz w:val="24"/>
          <w:szCs w:val="24"/>
          <w:u w:val="none"/>
        </w:rPr>
        <w:t xml:space="preserve"> show that students from Shanghai spend on average 230-240 minutes (up to four hours</w:t>
      </w:r>
      <w:r w:rsidRPr="6F263F7F" w:rsidR="6F263F7F">
        <w:rPr>
          <w:rFonts w:ascii="Arial" w:hAnsi="Arial" w:eastAsia="Arial" w:cs="Arial"/>
          <w:i w:val="0"/>
          <w:iCs w:val="0"/>
          <w:color w:val="auto"/>
          <w:sz w:val="24"/>
          <w:szCs w:val="24"/>
          <w:u w:val="none"/>
        </w:rPr>
        <w:t>)</w:t>
      </w:r>
      <w:r w:rsidRPr="6F263F7F" w:rsidR="6F263F7F">
        <w:rPr>
          <w:rFonts w:ascii="Arial" w:hAnsi="Arial" w:eastAsia="Arial" w:cs="Arial"/>
          <w:i w:val="0"/>
          <w:iCs w:val="0"/>
          <w:color w:val="auto"/>
          <w:sz w:val="24"/>
          <w:szCs w:val="24"/>
          <w:u w:val="none"/>
        </w:rPr>
        <w:t xml:space="preserve"> a night studying after school, compared to the OECD average of 150 minutes. Furthermore, Han and Wen (2014, p.5</w:t>
      </w:r>
      <w:r w:rsidRPr="6F263F7F" w:rsidR="6F263F7F">
        <w:rPr>
          <w:rFonts w:ascii="Arial" w:hAnsi="Arial" w:eastAsia="Arial" w:cs="Arial"/>
          <w:i w:val="0"/>
          <w:iCs w:val="0"/>
          <w:color w:val="auto"/>
          <w:sz w:val="24"/>
          <w:szCs w:val="24"/>
          <w:u w:val="none"/>
        </w:rPr>
        <w:t>)</w:t>
      </w:r>
      <w:r w:rsidRPr="6F263F7F" w:rsidR="6F263F7F">
        <w:rPr>
          <w:rFonts w:ascii="Arial" w:hAnsi="Arial" w:eastAsia="Arial" w:cs="Arial"/>
          <w:i w:val="0"/>
          <w:iCs w:val="0"/>
          <w:color w:val="auto"/>
          <w:sz w:val="24"/>
          <w:szCs w:val="24"/>
          <w:u w:val="none"/>
        </w:rPr>
        <w:t xml:space="preserve"> found in their sample of 2,200 students that 96% of students were from families of three, with no siblings. Growing up in a culture that emphasises education and being an only child is likely to put pressure on students to perform well in education. Only one percent of students from BSJZ (China</w:t>
      </w:r>
      <w:r w:rsidRPr="6F263F7F" w:rsidR="6F263F7F">
        <w:rPr>
          <w:rFonts w:ascii="Arial" w:hAnsi="Arial" w:eastAsia="Arial" w:cs="Arial"/>
          <w:i w:val="0"/>
          <w:iCs w:val="0"/>
          <w:color w:val="auto"/>
          <w:sz w:val="24"/>
          <w:szCs w:val="24"/>
          <w:u w:val="none"/>
        </w:rPr>
        <w:t>)</w:t>
      </w:r>
      <w:r w:rsidRPr="6F263F7F" w:rsidR="6F263F7F">
        <w:rPr>
          <w:rFonts w:ascii="Arial" w:hAnsi="Arial" w:eastAsia="Arial" w:cs="Arial"/>
          <w:i w:val="0"/>
          <w:iCs w:val="0"/>
          <w:color w:val="auto"/>
          <w:sz w:val="24"/>
          <w:szCs w:val="24"/>
          <w:u w:val="none"/>
        </w:rPr>
        <w:t xml:space="preserve"> had skipped a day of school within the two weeks prior to the 2018 PISA test, with the OECD average being 21% (OECD, 2019, p.6</w:t>
      </w:r>
      <w:r w:rsidRPr="6F263F7F" w:rsidR="6F263F7F">
        <w:rPr>
          <w:rFonts w:ascii="Arial" w:hAnsi="Arial" w:eastAsia="Arial" w:cs="Arial"/>
          <w:i w:val="0"/>
          <w:iCs w:val="0"/>
          <w:color w:val="auto"/>
          <w:sz w:val="24"/>
          <w:szCs w:val="24"/>
          <w:u w:val="none"/>
        </w:rPr>
        <w:t>)</w:t>
      </w:r>
      <w:r w:rsidRPr="6F263F7F" w:rsidR="6F263F7F">
        <w:rPr>
          <w:rFonts w:ascii="Arial" w:hAnsi="Arial" w:eastAsia="Arial" w:cs="Arial"/>
          <w:i w:val="0"/>
          <w:iCs w:val="0"/>
          <w:color w:val="auto"/>
          <w:sz w:val="24"/>
          <w:szCs w:val="24"/>
          <w:u w:val="none"/>
        </w:rPr>
        <w:t>. This increased pressure may help explain why OECD (2019, p</w:t>
      </w:r>
      <w:r w:rsidRPr="6F263F7F" w:rsidR="6F263F7F">
        <w:rPr>
          <w:rFonts w:ascii="Arial" w:hAnsi="Arial" w:eastAsia="Arial" w:cs="Arial"/>
          <w:i w:val="0"/>
          <w:iCs w:val="0"/>
          <w:color w:val="auto"/>
          <w:sz w:val="24"/>
          <w:szCs w:val="24"/>
          <w:u w:val="none"/>
        </w:rPr>
        <w:t>.</w:t>
      </w:r>
      <w:r w:rsidRPr="6F263F7F" w:rsidR="6F263F7F">
        <w:rPr>
          <w:rFonts w:ascii="Arial" w:hAnsi="Arial" w:eastAsia="Arial" w:cs="Arial"/>
          <w:i w:val="0"/>
          <w:iCs w:val="0"/>
          <w:color w:val="auto"/>
          <w:sz w:val="24"/>
          <w:szCs w:val="24"/>
          <w:u w:val="none"/>
        </w:rPr>
        <w:t>7</w:t>
      </w:r>
      <w:r w:rsidRPr="6F263F7F" w:rsidR="6F263F7F">
        <w:rPr>
          <w:rFonts w:ascii="Arial" w:hAnsi="Arial" w:eastAsia="Arial" w:cs="Arial"/>
          <w:i w:val="0"/>
          <w:iCs w:val="0"/>
          <w:color w:val="auto"/>
          <w:sz w:val="24"/>
          <w:szCs w:val="24"/>
          <w:u w:val="none"/>
        </w:rPr>
        <w:t>)</w:t>
      </w:r>
      <w:r w:rsidRPr="6F263F7F" w:rsidR="6F263F7F">
        <w:rPr>
          <w:rFonts w:ascii="Arial" w:hAnsi="Arial" w:eastAsia="Arial" w:cs="Arial"/>
          <w:i w:val="0"/>
          <w:iCs w:val="0"/>
          <w:color w:val="auto"/>
          <w:sz w:val="24"/>
          <w:szCs w:val="24"/>
          <w:u w:val="none"/>
        </w:rPr>
        <w:t xml:space="preserve"> well-being results show that 59% of BSJZ students feel satisfied with their lives (OECD average: 67%</w:t>
      </w:r>
      <w:r w:rsidRPr="6F263F7F" w:rsidR="6F263F7F">
        <w:rPr>
          <w:rFonts w:ascii="Arial" w:hAnsi="Arial" w:eastAsia="Arial" w:cs="Arial"/>
          <w:i w:val="0"/>
          <w:iCs w:val="0"/>
          <w:color w:val="auto"/>
          <w:sz w:val="24"/>
          <w:szCs w:val="24"/>
          <w:u w:val="none"/>
        </w:rPr>
        <w:t>)</w:t>
      </w:r>
      <w:r w:rsidRPr="6F263F7F" w:rsidR="6F263F7F">
        <w:rPr>
          <w:rFonts w:ascii="Arial" w:hAnsi="Arial" w:eastAsia="Arial" w:cs="Arial"/>
          <w:i w:val="0"/>
          <w:iCs w:val="0"/>
          <w:color w:val="auto"/>
          <w:sz w:val="24"/>
          <w:szCs w:val="24"/>
          <w:u w:val="none"/>
        </w:rPr>
        <w:t>, 20% feel lonely at school (OECD average: 16%</w:t>
      </w:r>
      <w:r w:rsidRPr="6F263F7F" w:rsidR="6F263F7F">
        <w:rPr>
          <w:rFonts w:ascii="Arial" w:hAnsi="Arial" w:eastAsia="Arial" w:cs="Arial"/>
          <w:i w:val="0"/>
          <w:iCs w:val="0"/>
          <w:color w:val="auto"/>
          <w:sz w:val="24"/>
          <w:szCs w:val="24"/>
          <w:u w:val="none"/>
        </w:rPr>
        <w:t>)</w:t>
      </w:r>
      <w:r w:rsidRPr="6F263F7F" w:rsidR="6F263F7F">
        <w:rPr>
          <w:rFonts w:ascii="Arial" w:hAnsi="Arial" w:eastAsia="Arial" w:cs="Arial"/>
          <w:i w:val="0"/>
          <w:iCs w:val="0"/>
          <w:color w:val="auto"/>
          <w:sz w:val="24"/>
          <w:szCs w:val="24"/>
          <w:u w:val="none"/>
        </w:rPr>
        <w:t xml:space="preserve"> and 78% agreed that they fail they care about what others think about them (OECD average: 56%</w:t>
      </w:r>
      <w:r w:rsidRPr="6F263F7F" w:rsidR="6F263F7F">
        <w:rPr>
          <w:rFonts w:ascii="Arial" w:hAnsi="Arial" w:eastAsia="Arial" w:cs="Arial"/>
          <w:i w:val="0"/>
          <w:iCs w:val="0"/>
          <w:color w:val="auto"/>
          <w:sz w:val="24"/>
          <w:szCs w:val="24"/>
          <w:u w:val="none"/>
        </w:rPr>
        <w:t>)</w:t>
      </w:r>
      <w:r w:rsidRPr="6F263F7F" w:rsidR="6F263F7F">
        <w:rPr>
          <w:rFonts w:ascii="Arial" w:hAnsi="Arial" w:eastAsia="Arial" w:cs="Arial"/>
          <w:i w:val="0"/>
          <w:iCs w:val="0"/>
          <w:color w:val="auto"/>
          <w:sz w:val="24"/>
          <w:szCs w:val="24"/>
          <w:u w:val="none"/>
        </w:rPr>
        <w:t>. Although Shanghai’s education system is praised highly due to consistently high PISA results, the well-being results show that there is room for improvement regarding the amount of pressure put on students to perform well.</w:t>
      </w:r>
    </w:p>
    <w:p w:rsidR="6F263F7F" w:rsidP="6F263F7F" w:rsidRDefault="6F263F7F" w14:paraId="3A17A3D9" w14:textId="7E9ECBEE">
      <w:pPr>
        <w:pStyle w:val="Normal"/>
        <w:spacing w:after="160" w:line="360" w:lineRule="auto"/>
        <w:jc w:val="left"/>
        <w:rPr>
          <w:rFonts w:ascii="Arial" w:hAnsi="Arial" w:eastAsia="Arial" w:cs="Arial"/>
          <w:b w:val="1"/>
          <w:bCs w:val="1"/>
          <w:i w:val="0"/>
          <w:iCs w:val="0"/>
          <w:color w:val="auto"/>
          <w:sz w:val="24"/>
          <w:szCs w:val="24"/>
          <w:u w:val="none"/>
        </w:rPr>
      </w:pPr>
      <w:r w:rsidRPr="6F263F7F" w:rsidR="6F263F7F">
        <w:rPr>
          <w:rFonts w:ascii="Arial" w:hAnsi="Arial" w:eastAsia="Arial" w:cs="Arial"/>
          <w:b w:val="1"/>
          <w:bCs w:val="1"/>
          <w:i w:val="0"/>
          <w:iCs w:val="0"/>
          <w:color w:val="auto"/>
          <w:sz w:val="24"/>
          <w:szCs w:val="24"/>
          <w:u w:val="single"/>
        </w:rPr>
        <w:t>Education in Finland</w:t>
      </w:r>
    </w:p>
    <w:p w:rsidR="648282BE" w:rsidP="02E23534" w:rsidRDefault="648282BE" w14:paraId="4ACDC568" w14:textId="620E2EF1">
      <w:pPr>
        <w:pStyle w:val="Normal"/>
        <w:spacing w:after="160" w:line="360" w:lineRule="auto"/>
        <w:jc w:val="left"/>
        <w:rPr>
          <w:rFonts w:ascii="Arial" w:hAnsi="Arial" w:eastAsia="Arial" w:cs="Arial"/>
          <w:b w:val="0"/>
          <w:bCs w:val="0"/>
          <w:i w:val="0"/>
          <w:iCs w:val="0"/>
          <w:color w:val="auto"/>
          <w:sz w:val="24"/>
          <w:szCs w:val="24"/>
          <w:u w:val="none"/>
        </w:rPr>
      </w:pPr>
      <w:r w:rsidRPr="02E23534" w:rsidR="02E23534">
        <w:rPr>
          <w:rFonts w:ascii="Arial" w:hAnsi="Arial" w:eastAsia="Arial" w:cs="Arial"/>
          <w:b w:val="1"/>
          <w:bCs w:val="1"/>
          <w:i w:val="0"/>
          <w:iCs w:val="0"/>
          <w:color w:val="auto"/>
          <w:sz w:val="24"/>
          <w:szCs w:val="24"/>
          <w:u w:val="none"/>
        </w:rPr>
        <w:t xml:space="preserve">  </w:t>
      </w:r>
      <w:r w:rsidRPr="02E23534" w:rsidR="02E23534">
        <w:rPr>
          <w:rFonts w:ascii="Arial" w:hAnsi="Arial" w:eastAsia="Arial" w:cs="Arial"/>
          <w:b w:val="0"/>
          <w:bCs w:val="0"/>
          <w:i w:val="0"/>
          <w:iCs w:val="0"/>
          <w:color w:val="auto"/>
          <w:sz w:val="24"/>
          <w:szCs w:val="24"/>
          <w:u w:val="none"/>
        </w:rPr>
        <w:t>Finland is another typically high scoring PISA country, scoring 536 in reading, 541 in maths and 554 in science in the 2009 test (OECD, 2010, p.8</w:t>
      </w:r>
      <w:r w:rsidRPr="02E23534" w:rsidR="02E23534">
        <w:rPr>
          <w:rFonts w:ascii="Arial" w:hAnsi="Arial" w:eastAsia="Arial" w:cs="Arial"/>
          <w:b w:val="0"/>
          <w:bCs w:val="0"/>
          <w:i w:val="0"/>
          <w:iCs w:val="0"/>
          <w:color w:val="auto"/>
          <w:sz w:val="24"/>
          <w:szCs w:val="24"/>
          <w:u w:val="none"/>
        </w:rPr>
        <w:t>)</w:t>
      </w:r>
      <w:r w:rsidRPr="02E23534" w:rsidR="02E23534">
        <w:rPr>
          <w:rFonts w:ascii="Arial" w:hAnsi="Arial" w:eastAsia="Arial" w:cs="Arial"/>
          <w:b w:val="0"/>
          <w:bCs w:val="0"/>
          <w:i w:val="0"/>
          <w:iCs w:val="0"/>
          <w:color w:val="auto"/>
          <w:sz w:val="24"/>
          <w:szCs w:val="24"/>
          <w:u w:val="none"/>
        </w:rPr>
        <w:t xml:space="preserve"> coming third out of all economies that took the test. However, Finland experienced a drop from third to twelfth in the 2012 PISA test with a mean score of 519 (OECD, 2014, p.5</w:t>
      </w:r>
      <w:r w:rsidRPr="02E23534" w:rsidR="02E23534">
        <w:rPr>
          <w:rFonts w:ascii="Arial" w:hAnsi="Arial" w:eastAsia="Arial" w:cs="Arial"/>
          <w:b w:val="0"/>
          <w:bCs w:val="0"/>
          <w:i w:val="0"/>
          <w:iCs w:val="0"/>
          <w:color w:val="auto"/>
          <w:sz w:val="24"/>
          <w:szCs w:val="24"/>
          <w:u w:val="none"/>
        </w:rPr>
        <w:t>)</w:t>
      </w:r>
      <w:r w:rsidRPr="02E23534" w:rsidR="02E23534">
        <w:rPr>
          <w:rFonts w:ascii="Arial" w:hAnsi="Arial" w:eastAsia="Arial" w:cs="Arial"/>
          <w:b w:val="0"/>
          <w:bCs w:val="0"/>
          <w:i w:val="0"/>
          <w:iCs w:val="0"/>
          <w:color w:val="auto"/>
          <w:sz w:val="24"/>
          <w:szCs w:val="24"/>
          <w:u w:val="none"/>
        </w:rPr>
        <w:t>, dropping eleven points in science, five in reading and ten in maths. Pasi Sahlberg, a Finnish educator and leading figure in education authority (cited by Heim, 2016, para 14, 15 and 16</w:t>
      </w:r>
      <w:r w:rsidRPr="02E23534" w:rsidR="02E23534">
        <w:rPr>
          <w:rFonts w:ascii="Arial" w:hAnsi="Arial" w:eastAsia="Arial" w:cs="Arial"/>
          <w:b w:val="0"/>
          <w:bCs w:val="0"/>
          <w:i w:val="0"/>
          <w:iCs w:val="0"/>
          <w:color w:val="auto"/>
          <w:sz w:val="24"/>
          <w:szCs w:val="24"/>
          <w:u w:val="none"/>
        </w:rPr>
        <w:t>)</w:t>
      </w:r>
      <w:r w:rsidRPr="02E23534" w:rsidR="02E23534">
        <w:rPr>
          <w:rFonts w:ascii="Arial" w:hAnsi="Arial" w:eastAsia="Arial" w:cs="Arial"/>
          <w:b w:val="0"/>
          <w:bCs w:val="0"/>
          <w:i w:val="0"/>
          <w:iCs w:val="0"/>
          <w:color w:val="auto"/>
          <w:sz w:val="24"/>
          <w:szCs w:val="24"/>
          <w:u w:val="none"/>
        </w:rPr>
        <w:t xml:space="preserve"> supposed it was due to a rise in technology causing students to use screens more often rather than reading books as Finland’s high scores were bolstered by their reading comprehension. He further mentioned that Finland had suffered a serious economic downturn from 2008, causing a lack of funding in education. In 2015, Finland climbed back up to fifth place with a mean score of 531 (OECD, 2018, p.5</w:t>
      </w:r>
      <w:r w:rsidRPr="02E23534" w:rsidR="02E23534">
        <w:rPr>
          <w:rFonts w:ascii="Arial" w:hAnsi="Arial" w:eastAsia="Arial" w:cs="Arial"/>
          <w:b w:val="0"/>
          <w:bCs w:val="0"/>
          <w:i w:val="0"/>
          <w:iCs w:val="0"/>
          <w:color w:val="auto"/>
          <w:sz w:val="24"/>
          <w:szCs w:val="24"/>
          <w:u w:val="none"/>
        </w:rPr>
        <w:t>)</w:t>
      </w:r>
      <w:r w:rsidRPr="02E23534" w:rsidR="02E23534">
        <w:rPr>
          <w:rFonts w:ascii="Arial" w:hAnsi="Arial" w:eastAsia="Arial" w:cs="Arial"/>
          <w:b w:val="0"/>
          <w:bCs w:val="0"/>
          <w:i w:val="0"/>
          <w:iCs w:val="0"/>
          <w:color w:val="auto"/>
          <w:sz w:val="24"/>
          <w:szCs w:val="24"/>
          <w:u w:val="none"/>
        </w:rPr>
        <w:t>. In the 2018 PISA test Finland dropped points but still held an impressive score of 520 in reading, 507 in maths and 522 in science, higher than the OECD average (OECD, 2019</w:t>
      </w:r>
      <w:r w:rsidRPr="02E23534" w:rsidR="02E23534">
        <w:rPr>
          <w:rFonts w:ascii="Arial" w:hAnsi="Arial" w:eastAsia="Arial" w:cs="Arial"/>
          <w:b w:val="0"/>
          <w:bCs w:val="0"/>
          <w:i w:val="0"/>
          <w:iCs w:val="0"/>
          <w:color w:val="auto"/>
          <w:sz w:val="24"/>
          <w:szCs w:val="24"/>
          <w:u w:val="none"/>
        </w:rPr>
        <w:t>)</w:t>
      </w:r>
      <w:r w:rsidRPr="02E23534" w:rsidR="02E23534">
        <w:rPr>
          <w:rFonts w:ascii="Arial" w:hAnsi="Arial" w:eastAsia="Arial" w:cs="Arial"/>
          <w:b w:val="0"/>
          <w:bCs w:val="0"/>
          <w:i w:val="0"/>
          <w:iCs w:val="0"/>
          <w:color w:val="auto"/>
          <w:sz w:val="24"/>
          <w:szCs w:val="24"/>
          <w:u w:val="none"/>
        </w:rPr>
        <w:t>. Finland is recognised for its consistent performance compared to other European countries. Like Shanghai, Finland places importance on collaboration in teaching. Tim Walker, an American teacher that moved to Finland, found that his timetable had him teaching in the classroom for less than four hours a day on average (Walker, 2013, para 4</w:t>
      </w:r>
      <w:r w:rsidRPr="02E23534" w:rsidR="02E23534">
        <w:rPr>
          <w:rFonts w:ascii="Arial" w:hAnsi="Arial" w:eastAsia="Arial" w:cs="Arial"/>
          <w:b w:val="0"/>
          <w:bCs w:val="0"/>
          <w:i w:val="0"/>
          <w:iCs w:val="0"/>
          <w:color w:val="auto"/>
          <w:sz w:val="24"/>
          <w:szCs w:val="24"/>
          <w:u w:val="none"/>
        </w:rPr>
        <w:t>)</w:t>
      </w:r>
      <w:r w:rsidRPr="02E23534" w:rsidR="02E23534">
        <w:rPr>
          <w:rFonts w:ascii="Arial" w:hAnsi="Arial" w:eastAsia="Arial" w:cs="Arial"/>
          <w:b w:val="0"/>
          <w:bCs w:val="0"/>
          <w:i w:val="0"/>
          <w:iCs w:val="0"/>
          <w:color w:val="auto"/>
          <w:sz w:val="24"/>
          <w:szCs w:val="24"/>
          <w:u w:val="none"/>
        </w:rPr>
        <w:t xml:space="preserve"> and most of his blocks had him teaching with other teachers, more than he would be teaching on his own (Walker, 2013, para 7</w:t>
      </w:r>
      <w:r w:rsidRPr="02E23534" w:rsidR="02E23534">
        <w:rPr>
          <w:rFonts w:ascii="Arial" w:hAnsi="Arial" w:eastAsia="Arial" w:cs="Arial"/>
          <w:b w:val="0"/>
          <w:bCs w:val="0"/>
          <w:i w:val="0"/>
          <w:iCs w:val="0"/>
          <w:color w:val="auto"/>
          <w:sz w:val="24"/>
          <w:szCs w:val="24"/>
          <w:u w:val="none"/>
        </w:rPr>
        <w:t>)</w:t>
      </w:r>
      <w:r w:rsidRPr="02E23534" w:rsidR="02E23534">
        <w:rPr>
          <w:rFonts w:ascii="Arial" w:hAnsi="Arial" w:eastAsia="Arial" w:cs="Arial"/>
          <w:b w:val="0"/>
          <w:bCs w:val="0"/>
          <w:i w:val="0"/>
          <w:iCs w:val="0"/>
          <w:color w:val="auto"/>
          <w:sz w:val="24"/>
          <w:szCs w:val="24"/>
          <w:u w:val="none"/>
        </w:rPr>
        <w:t xml:space="preserve">. </w:t>
      </w:r>
    </w:p>
    <w:p w:rsidR="02E23534" w:rsidP="02E23534" w:rsidRDefault="02E23534" w14:paraId="136334D2" w14:textId="40195EC0">
      <w:pPr>
        <w:pStyle w:val="Normal"/>
        <w:spacing w:after="160" w:line="360" w:lineRule="auto"/>
        <w:jc w:val="left"/>
        <w:rPr>
          <w:rFonts w:ascii="Arial" w:hAnsi="Arial" w:eastAsia="Arial" w:cs="Arial"/>
          <w:b w:val="0"/>
          <w:bCs w:val="0"/>
          <w:i w:val="0"/>
          <w:iCs w:val="0"/>
          <w:color w:val="auto"/>
          <w:sz w:val="24"/>
          <w:szCs w:val="24"/>
          <w:u w:val="none"/>
        </w:rPr>
      </w:pPr>
      <w:r w:rsidRPr="02E23534" w:rsidR="02E23534">
        <w:rPr>
          <w:rFonts w:ascii="Arial" w:hAnsi="Arial" w:eastAsia="Arial" w:cs="Arial"/>
          <w:b w:val="0"/>
          <w:bCs w:val="0"/>
          <w:i w:val="0"/>
          <w:iCs w:val="0"/>
          <w:color w:val="auto"/>
          <w:sz w:val="24"/>
          <w:szCs w:val="24"/>
          <w:u w:val="none"/>
        </w:rPr>
        <w:t xml:space="preserve">  Finland’s education is built in several core values including equality and equity for lifelong learning; a culture of trust on all levels; performance and research-based education and good quality teacher training (Rusitoru, 2018, p.95). Equality and equity are promoted through free education at all levels, including higher education in university. Transport, books, school meals and healthcare are all free for students (Rusitoru, 2018, p.97, Kager, 2013, p.78). This gives all students the same opportunity to succeed regardless of their economic status. Furthermore, although there are private schools, they are based on religious views, pedagogy or language preferences. These schools still follow the same national curriculum and are funded by the government (Rusitoru, 2018, p.97). Equity in Finland’s education has resulted in little to no difference between its schools, private or public, urban or rural, students have the same level of education and the same opportunity. This outcome is </w:t>
      </w:r>
      <w:proofErr w:type="gramStart"/>
      <w:r w:rsidRPr="02E23534" w:rsidR="02E23534">
        <w:rPr>
          <w:rFonts w:ascii="Arial" w:hAnsi="Arial" w:eastAsia="Arial" w:cs="Arial"/>
          <w:b w:val="0"/>
          <w:bCs w:val="0"/>
          <w:i w:val="0"/>
          <w:iCs w:val="0"/>
          <w:color w:val="auto"/>
          <w:sz w:val="24"/>
          <w:szCs w:val="24"/>
          <w:u w:val="none"/>
        </w:rPr>
        <w:t>similar to</w:t>
      </w:r>
      <w:proofErr w:type="gramEnd"/>
      <w:r w:rsidRPr="02E23534" w:rsidR="02E23534">
        <w:rPr>
          <w:rFonts w:ascii="Arial" w:hAnsi="Arial" w:eastAsia="Arial" w:cs="Arial"/>
          <w:b w:val="0"/>
          <w:bCs w:val="0"/>
          <w:i w:val="0"/>
          <w:iCs w:val="0"/>
          <w:color w:val="auto"/>
          <w:sz w:val="24"/>
          <w:szCs w:val="24"/>
          <w:u w:val="none"/>
        </w:rPr>
        <w:t xml:space="preserve"> that which Shanghai are pursuing with their empowered administration policy, so all schools will provide the same high-quality outcome for their students through contracting experienced education professionals to coach weaker schools (OECD, 2012).</w:t>
      </w:r>
    </w:p>
    <w:p w:rsidR="02E23534" w:rsidP="02E23534" w:rsidRDefault="02E23534" w14:paraId="757BA59E" w14:textId="5F5EA782">
      <w:pPr>
        <w:pStyle w:val="Normal"/>
        <w:spacing w:after="160" w:line="360" w:lineRule="auto"/>
        <w:jc w:val="left"/>
        <w:rPr>
          <w:rFonts w:ascii="Arial" w:hAnsi="Arial" w:eastAsia="Arial" w:cs="Arial"/>
          <w:b w:val="0"/>
          <w:bCs w:val="0"/>
          <w:i w:val="0"/>
          <w:iCs w:val="0"/>
          <w:color w:val="auto"/>
          <w:sz w:val="24"/>
          <w:szCs w:val="24"/>
          <w:u w:val="none"/>
        </w:rPr>
      </w:pPr>
      <w:r w:rsidRPr="02E23534" w:rsidR="02E23534">
        <w:rPr>
          <w:rFonts w:ascii="Arial" w:hAnsi="Arial" w:eastAsia="Arial" w:cs="Arial"/>
          <w:b w:val="0"/>
          <w:bCs w:val="0"/>
          <w:i w:val="0"/>
          <w:iCs w:val="0"/>
          <w:color w:val="auto"/>
          <w:sz w:val="24"/>
          <w:szCs w:val="24"/>
          <w:u w:val="none"/>
        </w:rPr>
        <w:t xml:space="preserve">  Trust is especially important in Finnish education. Governments have trust in local authorities, who have trust in their teachers. Students and parents also put trust in their teachers, which is reciprocated (Rusitoru, 202018, p.98). This trust allows teachers more autonomy and helps build social relationships within the school communities. Research into trust in Finland's schools found that the teachers and principals perceive trust as being based in negotiating and fulfilling both formal and informal contracts with open and transparent communication, cooperation, self-direction and reliability</w:t>
      </w:r>
      <w:r w:rsidRPr="02E23534" w:rsidR="02E23534">
        <w:rPr>
          <w:rFonts w:ascii="Arial" w:hAnsi="Arial" w:eastAsia="Arial" w:cs="Arial"/>
          <w:b w:val="0"/>
          <w:bCs w:val="0"/>
          <w:i w:val="0"/>
          <w:iCs w:val="0"/>
          <w:color w:val="auto"/>
          <w:sz w:val="24"/>
          <w:szCs w:val="24"/>
          <w:u w:val="none"/>
        </w:rPr>
        <w:t xml:space="preserve"> (</w:t>
      </w:r>
      <w:proofErr w:type="spellStart"/>
      <w:r w:rsidRPr="02E23534" w:rsidR="02E23534">
        <w:rPr>
          <w:rFonts w:ascii="Arial" w:hAnsi="Arial" w:eastAsia="Arial" w:cs="Arial"/>
          <w:b w:val="0"/>
          <w:bCs w:val="0"/>
          <w:i w:val="0"/>
          <w:iCs w:val="0"/>
          <w:color w:val="auto"/>
          <w:sz w:val="24"/>
          <w:szCs w:val="24"/>
          <w:u w:val="none"/>
        </w:rPr>
        <w:t>Pirttilä</w:t>
      </w:r>
      <w:proofErr w:type="spellEnd"/>
      <w:r w:rsidRPr="02E23534" w:rsidR="02E23534">
        <w:rPr>
          <w:rFonts w:ascii="Arial" w:hAnsi="Arial" w:eastAsia="Arial" w:cs="Arial"/>
          <w:b w:val="0"/>
          <w:bCs w:val="0"/>
          <w:i w:val="0"/>
          <w:iCs w:val="0"/>
          <w:color w:val="auto"/>
          <w:sz w:val="24"/>
          <w:szCs w:val="24"/>
          <w:u w:val="none"/>
        </w:rPr>
        <w:t>-Backman, Menard, Verma and Kassea, 2017, p.41). Finland’s teachers are highly respected in society (Kager, 2013, p.77, Rusitoru, 2018, p.100) which also contributes to the trust and autonomy allowed to them. Finnish teachers’ input in discussion, planning and negotiation is important to develop trust between teachers and their superiors, including their principals. They have been reported to place importance on being able to uphold agreements, leading them to be able to communicate and work well together. There is an element of team spirit as teachers understand that they are all on the same side pursuing the same goal and see the value of working together, rather than against each other (</w:t>
      </w:r>
      <w:proofErr w:type="spellStart"/>
      <w:r w:rsidRPr="02E23534" w:rsidR="02E23534">
        <w:rPr>
          <w:rFonts w:ascii="Arial" w:hAnsi="Arial" w:eastAsia="Arial" w:cs="Arial"/>
          <w:b w:val="0"/>
          <w:bCs w:val="0"/>
          <w:i w:val="0"/>
          <w:iCs w:val="0"/>
          <w:color w:val="auto"/>
          <w:sz w:val="24"/>
          <w:szCs w:val="24"/>
          <w:u w:val="none"/>
        </w:rPr>
        <w:t>Pirttilä</w:t>
      </w:r>
      <w:proofErr w:type="spellEnd"/>
      <w:r w:rsidRPr="02E23534" w:rsidR="02E23534">
        <w:rPr>
          <w:rFonts w:ascii="Arial" w:hAnsi="Arial" w:eastAsia="Arial" w:cs="Arial"/>
          <w:b w:val="0"/>
          <w:bCs w:val="0"/>
          <w:i w:val="0"/>
          <w:iCs w:val="0"/>
          <w:color w:val="auto"/>
          <w:sz w:val="24"/>
          <w:szCs w:val="24"/>
          <w:u w:val="none"/>
        </w:rPr>
        <w:t xml:space="preserve">-Backman </w:t>
      </w:r>
      <w:r w:rsidRPr="02E23534" w:rsidR="02E23534">
        <w:rPr>
          <w:rFonts w:ascii="Arial" w:hAnsi="Arial" w:eastAsia="Arial" w:cs="Arial"/>
          <w:b w:val="0"/>
          <w:bCs w:val="0"/>
          <w:i w:val="1"/>
          <w:iCs w:val="1"/>
          <w:color w:val="auto"/>
          <w:sz w:val="24"/>
          <w:szCs w:val="24"/>
          <w:u w:val="none"/>
        </w:rPr>
        <w:t>et al</w:t>
      </w:r>
      <w:r w:rsidRPr="02E23534" w:rsidR="02E23534">
        <w:rPr>
          <w:rFonts w:ascii="Arial" w:hAnsi="Arial" w:eastAsia="Arial" w:cs="Arial"/>
          <w:b w:val="0"/>
          <w:bCs w:val="0"/>
          <w:i w:val="0"/>
          <w:iCs w:val="0"/>
          <w:color w:val="auto"/>
          <w:sz w:val="24"/>
          <w:szCs w:val="24"/>
          <w:u w:val="none"/>
        </w:rPr>
        <w:t xml:space="preserve">, 2017, p.41). This is a different mentality to that of Shanghai educators that have been studied by Zhang </w:t>
      </w:r>
      <w:r w:rsidRPr="02E23534" w:rsidR="02E23534">
        <w:rPr>
          <w:rFonts w:ascii="Arial" w:hAnsi="Arial" w:eastAsia="Arial" w:cs="Arial"/>
          <w:b w:val="0"/>
          <w:bCs w:val="0"/>
          <w:i w:val="1"/>
          <w:iCs w:val="1"/>
          <w:color w:val="auto"/>
          <w:sz w:val="24"/>
          <w:szCs w:val="24"/>
          <w:u w:val="none"/>
        </w:rPr>
        <w:t>et al</w:t>
      </w:r>
      <w:r w:rsidRPr="02E23534" w:rsidR="02E23534">
        <w:rPr>
          <w:rFonts w:ascii="Arial" w:hAnsi="Arial" w:eastAsia="Arial" w:cs="Arial"/>
          <w:b w:val="0"/>
          <w:bCs w:val="0"/>
          <w:i w:val="0"/>
          <w:iCs w:val="0"/>
          <w:color w:val="auto"/>
          <w:sz w:val="24"/>
          <w:szCs w:val="24"/>
          <w:u w:val="none"/>
        </w:rPr>
        <w:t xml:space="preserve"> (2016, p.227) who believed that competition is more important than collaboration, and therefore will not always put in the effort to collaborate or share their best practice. </w:t>
      </w:r>
      <w:r w:rsidRPr="02E23534" w:rsidR="02E23534">
        <w:rPr>
          <w:rFonts w:ascii="Arial" w:hAnsi="Arial" w:eastAsia="Arial" w:cs="Arial"/>
          <w:b w:val="0"/>
          <w:bCs w:val="0"/>
          <w:i w:val="0"/>
          <w:iCs w:val="0"/>
          <w:color w:val="auto"/>
          <w:sz w:val="24"/>
          <w:szCs w:val="24"/>
          <w:u w:val="none"/>
        </w:rPr>
        <w:t xml:space="preserve">The open communication and trust between teachers and principals in Finland have been reported to make the hierarchy in education more of a formality as in reality, teachers and principals will act as equals during discussions. However, the principal is still seen as the leader and will have the final say in decisions within the school, but the process is much more democratic </w:t>
      </w:r>
      <w:r w:rsidRPr="02E23534" w:rsidR="02E23534">
        <w:rPr>
          <w:rFonts w:ascii="Arial" w:hAnsi="Arial" w:eastAsia="Arial" w:cs="Arial"/>
          <w:b w:val="0"/>
          <w:bCs w:val="0"/>
          <w:i w:val="0"/>
          <w:iCs w:val="0"/>
          <w:color w:val="auto"/>
          <w:sz w:val="24"/>
          <w:szCs w:val="24"/>
          <w:u w:val="none"/>
        </w:rPr>
        <w:t>(</w:t>
      </w:r>
      <w:proofErr w:type="spellStart"/>
      <w:r w:rsidRPr="02E23534" w:rsidR="02E23534">
        <w:rPr>
          <w:rFonts w:ascii="Arial" w:hAnsi="Arial" w:eastAsia="Arial" w:cs="Arial"/>
          <w:b w:val="0"/>
          <w:bCs w:val="0"/>
          <w:i w:val="0"/>
          <w:iCs w:val="0"/>
          <w:color w:val="auto"/>
          <w:sz w:val="24"/>
          <w:szCs w:val="24"/>
          <w:u w:val="none"/>
        </w:rPr>
        <w:t>Pirttilä</w:t>
      </w:r>
      <w:proofErr w:type="spellEnd"/>
      <w:r w:rsidRPr="02E23534" w:rsidR="02E23534">
        <w:rPr>
          <w:rFonts w:ascii="Arial" w:hAnsi="Arial" w:eastAsia="Arial" w:cs="Arial"/>
          <w:b w:val="0"/>
          <w:bCs w:val="0"/>
          <w:i w:val="0"/>
          <w:iCs w:val="0"/>
          <w:color w:val="auto"/>
          <w:sz w:val="24"/>
          <w:szCs w:val="24"/>
          <w:u w:val="none"/>
        </w:rPr>
        <w:t xml:space="preserve">-Backman </w:t>
      </w:r>
      <w:r w:rsidRPr="02E23534" w:rsidR="02E23534">
        <w:rPr>
          <w:rFonts w:ascii="Arial" w:hAnsi="Arial" w:eastAsia="Arial" w:cs="Arial"/>
          <w:b w:val="0"/>
          <w:bCs w:val="0"/>
          <w:i w:val="1"/>
          <w:iCs w:val="1"/>
          <w:color w:val="auto"/>
          <w:sz w:val="24"/>
          <w:szCs w:val="24"/>
          <w:u w:val="none"/>
        </w:rPr>
        <w:t>et al</w:t>
      </w:r>
      <w:r w:rsidRPr="02E23534" w:rsidR="02E23534">
        <w:rPr>
          <w:rFonts w:ascii="Arial" w:hAnsi="Arial" w:eastAsia="Arial" w:cs="Arial"/>
          <w:b w:val="0"/>
          <w:bCs w:val="0"/>
          <w:i w:val="0"/>
          <w:iCs w:val="0"/>
          <w:color w:val="auto"/>
          <w:sz w:val="24"/>
          <w:szCs w:val="24"/>
          <w:u w:val="none"/>
        </w:rPr>
        <w:t>, 2017, p</w:t>
      </w:r>
      <w:r w:rsidRPr="02E23534" w:rsidR="02E23534">
        <w:rPr>
          <w:rFonts w:ascii="Arial" w:hAnsi="Arial" w:eastAsia="Arial" w:cs="Arial"/>
          <w:b w:val="0"/>
          <w:bCs w:val="0"/>
          <w:i w:val="0"/>
          <w:iCs w:val="0"/>
          <w:color w:val="auto"/>
          <w:sz w:val="24"/>
          <w:szCs w:val="24"/>
          <w:u w:val="none"/>
        </w:rPr>
        <w:t>p. 42-43). This may further reflect the importance and respect placed upon teachers in Finnish society.</w:t>
      </w:r>
    </w:p>
    <w:p w:rsidR="02E23534" w:rsidP="02E23534" w:rsidRDefault="02E23534" w14:paraId="0AABC659" w14:textId="43F72D57">
      <w:pPr>
        <w:pStyle w:val="Normal"/>
        <w:spacing w:after="160" w:line="360" w:lineRule="auto"/>
        <w:jc w:val="left"/>
        <w:rPr>
          <w:rFonts w:ascii="Arial" w:hAnsi="Arial" w:eastAsia="Arial" w:cs="Arial"/>
          <w:b w:val="0"/>
          <w:bCs w:val="0"/>
          <w:i w:val="0"/>
          <w:iCs w:val="0"/>
          <w:color w:val="auto"/>
          <w:sz w:val="24"/>
          <w:szCs w:val="24"/>
          <w:u w:val="none"/>
        </w:rPr>
      </w:pPr>
      <w:r w:rsidRPr="02E23534" w:rsidR="02E23534">
        <w:rPr>
          <w:rFonts w:ascii="Arial" w:hAnsi="Arial" w:eastAsia="Arial" w:cs="Arial"/>
          <w:b w:val="0"/>
          <w:bCs w:val="0"/>
          <w:i w:val="0"/>
          <w:iCs w:val="0"/>
          <w:color w:val="auto"/>
          <w:sz w:val="24"/>
          <w:szCs w:val="24"/>
          <w:u w:val="none"/>
        </w:rPr>
        <w:t xml:space="preserve">  Teachers in Finland must obtain at least a master’s degree in order to teach, and the qualification includes specialist areas such as pedagogical studies (</w:t>
      </w:r>
      <w:proofErr w:type="spellStart"/>
      <w:r w:rsidRPr="02E23534" w:rsidR="02E23534">
        <w:rPr>
          <w:rFonts w:ascii="Arial" w:hAnsi="Arial" w:eastAsia="Arial" w:cs="Arial"/>
          <w:b w:val="0"/>
          <w:bCs w:val="0"/>
          <w:i w:val="0"/>
          <w:iCs w:val="0"/>
          <w:color w:val="auto"/>
          <w:sz w:val="24"/>
          <w:szCs w:val="24"/>
          <w:u w:val="none"/>
        </w:rPr>
        <w:t>Rusitoru</w:t>
      </w:r>
      <w:proofErr w:type="spellEnd"/>
      <w:r w:rsidRPr="02E23534" w:rsidR="02E23534">
        <w:rPr>
          <w:rFonts w:ascii="Arial" w:hAnsi="Arial" w:eastAsia="Arial" w:cs="Arial"/>
          <w:b w:val="0"/>
          <w:bCs w:val="0"/>
          <w:i w:val="0"/>
          <w:iCs w:val="0"/>
          <w:color w:val="auto"/>
          <w:sz w:val="24"/>
          <w:szCs w:val="24"/>
          <w:u w:val="none"/>
        </w:rPr>
        <w:t>, 2018, p.100). Finland places importance in research-based teaching approaches. As they developed their education, they borrowed ideas and research from other cultures and used and adapted them where necessary to develop their education (Sahlberg, 2011, cited by Kager, 2013, p.78). As research helped them develop their education system to the point where countries all over the world study it, it is understandable why trainee teachers must study so much and incorporate their research into their practice. As a result of research, Finland has developed a ‘less is more’ approach when it comes to teaching. Using research-based activities allows for effective teaching in shorter periods whilst having less homework, longer vacations and shorter school days (</w:t>
      </w:r>
      <w:proofErr w:type="spellStart"/>
      <w:r w:rsidRPr="02E23534" w:rsidR="02E23534">
        <w:rPr>
          <w:rFonts w:ascii="Arial" w:hAnsi="Arial" w:eastAsia="Arial" w:cs="Arial"/>
          <w:b w:val="0"/>
          <w:bCs w:val="0"/>
          <w:i w:val="0"/>
          <w:iCs w:val="0"/>
          <w:color w:val="auto"/>
          <w:sz w:val="24"/>
          <w:szCs w:val="24"/>
          <w:u w:val="none"/>
        </w:rPr>
        <w:t>Rusitoru</w:t>
      </w:r>
      <w:proofErr w:type="spellEnd"/>
      <w:r w:rsidRPr="02E23534" w:rsidR="02E23534">
        <w:rPr>
          <w:rFonts w:ascii="Arial" w:hAnsi="Arial" w:eastAsia="Arial" w:cs="Arial"/>
          <w:b w:val="0"/>
          <w:bCs w:val="0"/>
          <w:i w:val="0"/>
          <w:iCs w:val="0"/>
          <w:color w:val="auto"/>
          <w:sz w:val="24"/>
          <w:szCs w:val="24"/>
          <w:u w:val="none"/>
        </w:rPr>
        <w:t>, 2018, p.100). Teachers teach less than four lessons a day on average which gives them more time for assessing their students’ progression, preparing and developing their own curricula, working on their professional development and giving remedial support to students (Kager, 2013, p.77) of which 40-50% of Finnish students receive at some point during their education (OECD, 2012).</w:t>
      </w:r>
    </w:p>
    <w:p w:rsidR="648282BE" w:rsidP="6F263F7F" w:rsidRDefault="648282BE" w14:paraId="2FD2706D" w14:textId="507DBCCF">
      <w:pPr>
        <w:pStyle w:val="Normal"/>
        <w:spacing w:after="160" w:line="360" w:lineRule="auto"/>
        <w:jc w:val="left"/>
        <w:rPr>
          <w:rFonts w:ascii="Arial" w:hAnsi="Arial" w:eastAsia="Arial" w:cs="Arial"/>
          <w:i w:val="0"/>
          <w:iCs w:val="0"/>
          <w:noProof w:val="0"/>
          <w:color w:val="auto"/>
          <w:sz w:val="24"/>
          <w:szCs w:val="24"/>
          <w:lang w:val="en-GB"/>
        </w:rPr>
      </w:pPr>
      <w:r w:rsidRPr="6F263F7F" w:rsidR="6F263F7F">
        <w:rPr>
          <w:rFonts w:ascii="Arial" w:hAnsi="Arial" w:eastAsia="Arial" w:cs="Arial"/>
          <w:b w:val="0"/>
          <w:bCs w:val="0"/>
          <w:i w:val="0"/>
          <w:iCs w:val="0"/>
          <w:color w:val="auto"/>
          <w:sz w:val="24"/>
          <w:szCs w:val="24"/>
          <w:u w:val="none"/>
        </w:rPr>
        <w:t xml:space="preserve">  One of the critical periods of teacher education is transitioning from studying to teaching in the classroom. It is a challenging time that can lead to stress, feeling inadequate, uncertainty and exhaustion (Heikkinen, Wilkinson, </w:t>
      </w:r>
      <w:proofErr w:type="spellStart"/>
      <w:r w:rsidRPr="6F263F7F" w:rsidR="6F263F7F">
        <w:rPr>
          <w:rFonts w:ascii="Arial" w:hAnsi="Arial" w:eastAsia="Arial" w:cs="Arial"/>
          <w:b w:val="0"/>
          <w:bCs w:val="0"/>
          <w:i w:val="0"/>
          <w:iCs w:val="0"/>
          <w:color w:val="auto"/>
          <w:sz w:val="24"/>
          <w:szCs w:val="24"/>
          <w:u w:val="none"/>
        </w:rPr>
        <w:t>Aspfors</w:t>
      </w:r>
      <w:proofErr w:type="spellEnd"/>
      <w:r w:rsidRPr="6F263F7F" w:rsidR="6F263F7F">
        <w:rPr>
          <w:rFonts w:ascii="Arial" w:hAnsi="Arial" w:eastAsia="Arial" w:cs="Arial"/>
          <w:b w:val="0"/>
          <w:bCs w:val="0"/>
          <w:i w:val="0"/>
          <w:iCs w:val="0"/>
          <w:color w:val="auto"/>
          <w:sz w:val="24"/>
          <w:szCs w:val="24"/>
          <w:u w:val="none"/>
        </w:rPr>
        <w:t xml:space="preserve"> and Bristol, 2018, p.1). Due to these problems, concerns about the number of teachers leaving the practice early on in their career began to grow in Finland, leading to the development of Peer Group Mentoring (PGM) (Heikkinen </w:t>
      </w:r>
      <w:r w:rsidRPr="6F263F7F" w:rsidR="6F263F7F">
        <w:rPr>
          <w:rFonts w:ascii="Arial" w:hAnsi="Arial" w:eastAsia="Arial" w:cs="Arial"/>
          <w:b w:val="0"/>
          <w:bCs w:val="0"/>
          <w:i w:val="1"/>
          <w:iCs w:val="1"/>
          <w:color w:val="auto"/>
          <w:sz w:val="24"/>
          <w:szCs w:val="24"/>
          <w:u w:val="none"/>
        </w:rPr>
        <w:t>et al</w:t>
      </w:r>
      <w:r w:rsidRPr="6F263F7F" w:rsidR="6F263F7F">
        <w:rPr>
          <w:rFonts w:ascii="Arial" w:hAnsi="Arial" w:eastAsia="Arial" w:cs="Arial"/>
          <w:b w:val="0"/>
          <w:bCs w:val="0"/>
          <w:i w:val="0"/>
          <w:iCs w:val="0"/>
          <w:color w:val="auto"/>
          <w:sz w:val="24"/>
          <w:szCs w:val="24"/>
          <w:u w:val="none"/>
        </w:rPr>
        <w:t xml:space="preserve">, 2018, p.1). PGM is </w:t>
      </w:r>
      <w:proofErr w:type="gramStart"/>
      <w:r w:rsidRPr="6F263F7F" w:rsidR="6F263F7F">
        <w:rPr>
          <w:rFonts w:ascii="Arial" w:hAnsi="Arial" w:eastAsia="Arial" w:cs="Arial"/>
          <w:b w:val="0"/>
          <w:bCs w:val="0"/>
          <w:i w:val="0"/>
          <w:iCs w:val="0"/>
          <w:color w:val="auto"/>
          <w:sz w:val="24"/>
          <w:szCs w:val="24"/>
          <w:u w:val="none"/>
        </w:rPr>
        <w:t>similar to</w:t>
      </w:r>
      <w:proofErr w:type="gramEnd"/>
      <w:r w:rsidRPr="6F263F7F" w:rsidR="6F263F7F">
        <w:rPr>
          <w:rFonts w:ascii="Arial" w:hAnsi="Arial" w:eastAsia="Arial" w:cs="Arial"/>
          <w:b w:val="0"/>
          <w:bCs w:val="0"/>
          <w:i w:val="0"/>
          <w:iCs w:val="0"/>
          <w:color w:val="auto"/>
          <w:sz w:val="24"/>
          <w:szCs w:val="24"/>
          <w:u w:val="none"/>
        </w:rPr>
        <w:t xml:space="preserve"> the PLC’s of Shanghai, though it is recognised as more dynamic, collaborative and reciprocal than other collaborative models used, emphasising on knowledge construction rather than transmission. It is a constructivist approach which encourages new teachers to ask questions and to question existing practices. An element of social constructivism is present as new teachers taking part in PGM will gain much of their knowledge through social interactions (</w:t>
      </w:r>
      <w:proofErr w:type="spellStart"/>
      <w:r w:rsidRPr="6F263F7F" w:rsidR="6F263F7F">
        <w:rPr>
          <w:rFonts w:ascii="Arial" w:hAnsi="Arial" w:eastAsia="Arial" w:cs="Arial"/>
          <w:b w:val="0"/>
          <w:bCs w:val="0"/>
          <w:i w:val="0"/>
          <w:iCs w:val="0"/>
          <w:color w:val="auto"/>
          <w:sz w:val="24"/>
          <w:szCs w:val="24"/>
          <w:u w:val="none"/>
        </w:rPr>
        <w:t>Heikkenin</w:t>
      </w:r>
      <w:proofErr w:type="spellEnd"/>
      <w:r w:rsidRPr="6F263F7F" w:rsidR="6F263F7F">
        <w:rPr>
          <w:rFonts w:ascii="Arial" w:hAnsi="Arial" w:eastAsia="Arial" w:cs="Arial"/>
          <w:b w:val="0"/>
          <w:bCs w:val="0"/>
          <w:i w:val="0"/>
          <w:iCs w:val="0"/>
          <w:color w:val="auto"/>
          <w:sz w:val="24"/>
          <w:szCs w:val="24"/>
          <w:u w:val="none"/>
        </w:rPr>
        <w:t xml:space="preserve"> </w:t>
      </w:r>
      <w:r w:rsidRPr="6F263F7F" w:rsidR="6F263F7F">
        <w:rPr>
          <w:rFonts w:ascii="Arial" w:hAnsi="Arial" w:eastAsia="Arial" w:cs="Arial"/>
          <w:b w:val="0"/>
          <w:bCs w:val="0"/>
          <w:i w:val="1"/>
          <w:iCs w:val="1"/>
          <w:color w:val="auto"/>
          <w:sz w:val="24"/>
          <w:szCs w:val="24"/>
          <w:u w:val="none"/>
        </w:rPr>
        <w:t>et al</w:t>
      </w:r>
      <w:r w:rsidRPr="6F263F7F" w:rsidR="6F263F7F">
        <w:rPr>
          <w:rFonts w:ascii="Arial" w:hAnsi="Arial" w:eastAsia="Arial" w:cs="Arial"/>
          <w:b w:val="0"/>
          <w:bCs w:val="0"/>
          <w:i w:val="0"/>
          <w:iCs w:val="0"/>
          <w:color w:val="auto"/>
          <w:sz w:val="24"/>
          <w:szCs w:val="24"/>
          <w:u w:val="none"/>
        </w:rPr>
        <w:t>, 2018, p.4). PGM groups aim to promote the professional developments of experienced teachers as well as new teachers through encouraging discussions of theory and practice where newer teachers are encouraged to question existing practices. This differs slightly to the PLC’s of Shanghai where a lot of importance is placed on more experienced teacher leaders to develop less experienced teachers. Along with China’s culture of respecting authority (</w:t>
      </w:r>
      <w:proofErr w:type="spellStart"/>
      <w:r w:rsidRPr="6F263F7F" w:rsidR="6F263F7F">
        <w:rPr>
          <w:rFonts w:ascii="Arial" w:hAnsi="Arial" w:eastAsia="Arial" w:cs="Arial"/>
          <w:b w:val="0"/>
          <w:bCs w:val="0"/>
          <w:i w:val="0"/>
          <w:iCs w:val="0"/>
          <w:color w:val="auto"/>
          <w:sz w:val="24"/>
          <w:szCs w:val="24"/>
          <w:u w:val="none"/>
        </w:rPr>
        <w:t>Hairon</w:t>
      </w:r>
      <w:proofErr w:type="spellEnd"/>
      <w:r w:rsidRPr="6F263F7F" w:rsidR="6F263F7F">
        <w:rPr>
          <w:rFonts w:ascii="Arial" w:hAnsi="Arial" w:eastAsia="Arial" w:cs="Arial"/>
          <w:b w:val="0"/>
          <w:bCs w:val="0"/>
          <w:i w:val="0"/>
          <w:iCs w:val="0"/>
          <w:color w:val="auto"/>
          <w:sz w:val="24"/>
          <w:szCs w:val="24"/>
          <w:u w:val="none"/>
        </w:rPr>
        <w:t xml:space="preserve"> and Dimmock, 2012, p.420) and isolated practice (Zhang </w:t>
      </w:r>
      <w:r w:rsidRPr="6F263F7F" w:rsidR="6F263F7F">
        <w:rPr>
          <w:rFonts w:ascii="Arial" w:hAnsi="Arial" w:eastAsia="Arial" w:cs="Arial"/>
          <w:i w:val="1"/>
          <w:iCs w:val="1"/>
          <w:color w:val="auto"/>
          <w:sz w:val="24"/>
          <w:szCs w:val="24"/>
          <w:u w:val="none"/>
        </w:rPr>
        <w:t>et al</w:t>
      </w:r>
      <w:r w:rsidRPr="6F263F7F" w:rsidR="6F263F7F">
        <w:rPr>
          <w:rFonts w:ascii="Arial" w:hAnsi="Arial" w:eastAsia="Arial" w:cs="Arial"/>
          <w:i w:val="0"/>
          <w:iCs w:val="0"/>
          <w:color w:val="auto"/>
          <w:sz w:val="24"/>
          <w:szCs w:val="24"/>
          <w:u w:val="none"/>
        </w:rPr>
        <w:t xml:space="preserve">, 2016, p.227), it is unlikely that a less experienced teacher would be willing to question an experienced teacher leader. The encouragement of dialogue between professionals has been found to help share positive practice as well as improve social relationships between practitioners (Korhonen, </w:t>
      </w:r>
      <w:proofErr w:type="spellStart"/>
      <w:r w:rsidRPr="6F263F7F" w:rsidR="6F263F7F">
        <w:rPr>
          <w:rFonts w:ascii="Arial" w:hAnsi="Arial" w:eastAsia="Arial" w:cs="Arial"/>
          <w:noProof w:val="0"/>
          <w:color w:val="auto"/>
          <w:sz w:val="24"/>
          <w:szCs w:val="24"/>
          <w:lang w:val="en-GB"/>
        </w:rPr>
        <w:t>Heikkenin</w:t>
      </w:r>
      <w:proofErr w:type="spellEnd"/>
      <w:r w:rsidRPr="6F263F7F" w:rsidR="6F263F7F">
        <w:rPr>
          <w:rFonts w:ascii="Arial" w:hAnsi="Arial" w:eastAsia="Arial" w:cs="Arial"/>
          <w:noProof w:val="0"/>
          <w:color w:val="auto"/>
          <w:sz w:val="24"/>
          <w:szCs w:val="24"/>
          <w:lang w:val="en-GB"/>
        </w:rPr>
        <w:t xml:space="preserve">, </w:t>
      </w:r>
      <w:proofErr w:type="spellStart"/>
      <w:r w:rsidRPr="6F263F7F" w:rsidR="6F263F7F">
        <w:rPr>
          <w:rFonts w:ascii="Arial" w:hAnsi="Arial" w:eastAsia="Arial" w:cs="Arial"/>
          <w:noProof w:val="0"/>
          <w:color w:val="auto"/>
          <w:sz w:val="24"/>
          <w:szCs w:val="24"/>
          <w:lang w:val="en-GB"/>
        </w:rPr>
        <w:t>Kiviniemi</w:t>
      </w:r>
      <w:proofErr w:type="spellEnd"/>
      <w:r w:rsidRPr="6F263F7F" w:rsidR="6F263F7F">
        <w:rPr>
          <w:rFonts w:ascii="Arial" w:hAnsi="Arial" w:eastAsia="Arial" w:cs="Arial"/>
          <w:noProof w:val="0"/>
          <w:color w:val="auto"/>
          <w:sz w:val="24"/>
          <w:szCs w:val="24"/>
          <w:lang w:val="en-GB"/>
        </w:rPr>
        <w:t xml:space="preserve"> and </w:t>
      </w:r>
      <w:proofErr w:type="spellStart"/>
      <w:r w:rsidRPr="6F263F7F" w:rsidR="6F263F7F">
        <w:rPr>
          <w:rFonts w:ascii="Arial" w:hAnsi="Arial" w:eastAsia="Arial" w:cs="Arial"/>
          <w:noProof w:val="0"/>
          <w:color w:val="auto"/>
          <w:sz w:val="24"/>
          <w:szCs w:val="24"/>
          <w:lang w:val="en-GB"/>
        </w:rPr>
        <w:t>Tynj</w:t>
      </w:r>
      <w:proofErr w:type="spellEnd"/>
      <w:hyperlink w:anchor="!" r:id="R65bb29eff0494ce0">
        <w:r w:rsidRPr="6F263F7F" w:rsidR="6F263F7F">
          <w:rPr>
            <w:rStyle w:val="Hyperlink"/>
            <w:rFonts w:ascii="Arial" w:hAnsi="Arial" w:eastAsia="Arial" w:cs="Arial"/>
            <w:noProof w:val="0"/>
            <w:color w:val="auto"/>
            <w:sz w:val="24"/>
            <w:szCs w:val="24"/>
            <w:u w:val="none"/>
            <w:lang w:val="en-GB"/>
          </w:rPr>
          <w:t>ä</w:t>
        </w:r>
      </w:hyperlink>
      <w:r w:rsidRPr="6F263F7F" w:rsidR="6F263F7F">
        <w:rPr>
          <w:rFonts w:ascii="Arial" w:hAnsi="Arial" w:eastAsia="Arial" w:cs="Arial"/>
          <w:noProof w:val="0"/>
          <w:color w:val="auto"/>
          <w:sz w:val="24"/>
          <w:szCs w:val="24"/>
          <w:u w:val="none"/>
          <w:lang w:val="en-GB"/>
        </w:rPr>
        <w:t>j</w:t>
      </w:r>
      <w:hyperlink w:anchor="!" r:id="Re37f7cda2da446d7">
        <w:r w:rsidRPr="6F263F7F" w:rsidR="6F263F7F">
          <w:rPr>
            <w:rStyle w:val="Hyperlink"/>
            <w:rFonts w:ascii="Arial" w:hAnsi="Arial" w:eastAsia="Arial" w:cs="Arial"/>
            <w:noProof w:val="0"/>
            <w:color w:val="auto"/>
            <w:sz w:val="24"/>
            <w:szCs w:val="24"/>
            <w:u w:val="none"/>
            <w:lang w:val="en-GB"/>
          </w:rPr>
          <w:t>ä</w:t>
        </w:r>
      </w:hyperlink>
      <w:r w:rsidRPr="6F263F7F" w:rsidR="6F263F7F">
        <w:rPr>
          <w:rFonts w:ascii="Arial" w:hAnsi="Arial" w:eastAsia="Arial" w:cs="Arial"/>
          <w:noProof w:val="0"/>
          <w:color w:val="auto"/>
          <w:sz w:val="24"/>
          <w:szCs w:val="24"/>
          <w:lang w:val="en-GB"/>
        </w:rPr>
        <w:t xml:space="preserve">, 2017, p.154) which can improve the quality of the future dialogue, leading to better learning outcomes for students. </w:t>
      </w:r>
      <w:r w:rsidRPr="6F263F7F" w:rsidR="6F263F7F">
        <w:rPr>
          <w:rFonts w:ascii="Arial" w:hAnsi="Arial" w:eastAsia="Arial" w:cs="Arial"/>
          <w:noProof w:val="0"/>
          <w:color w:val="auto"/>
          <w:sz w:val="24"/>
          <w:szCs w:val="24"/>
          <w:lang w:val="en-GB"/>
        </w:rPr>
        <w:t xml:space="preserve">Le </w:t>
      </w:r>
      <w:proofErr w:type="spellStart"/>
      <w:r w:rsidRPr="6F263F7F" w:rsidR="6F263F7F">
        <w:rPr>
          <w:rFonts w:ascii="Arial" w:hAnsi="Arial" w:eastAsia="Arial" w:cs="Arial"/>
          <w:noProof w:val="0"/>
          <w:color w:val="auto"/>
          <w:sz w:val="24"/>
          <w:szCs w:val="24"/>
          <w:lang w:val="en-GB"/>
        </w:rPr>
        <w:t>C</w:t>
      </w:r>
      <w:r w:rsidRPr="6F263F7F" w:rsidR="6F263F7F">
        <w:rPr>
          <w:rFonts w:ascii="Arial" w:hAnsi="Arial" w:eastAsia="Arial" w:cs="Arial"/>
          <w:noProof w:val="0"/>
          <w:color w:val="auto"/>
          <w:sz w:val="24"/>
          <w:szCs w:val="24"/>
          <w:lang w:val="en-GB"/>
        </w:rPr>
        <w:t>ornu</w:t>
      </w:r>
      <w:proofErr w:type="spellEnd"/>
      <w:r w:rsidRPr="6F263F7F" w:rsidR="6F263F7F">
        <w:rPr>
          <w:rFonts w:ascii="Arial" w:hAnsi="Arial" w:eastAsia="Arial" w:cs="Arial"/>
          <w:noProof w:val="0"/>
          <w:color w:val="auto"/>
          <w:sz w:val="24"/>
          <w:szCs w:val="24"/>
          <w:lang w:val="en-GB"/>
        </w:rPr>
        <w:t xml:space="preserve"> and Ewing (2008, </w:t>
      </w:r>
      <w:r w:rsidRPr="6F263F7F" w:rsidR="6F263F7F">
        <w:rPr>
          <w:rFonts w:ascii="Arial" w:hAnsi="Arial" w:eastAsia="Arial" w:cs="Arial"/>
          <w:noProof w:val="0"/>
          <w:color w:val="auto"/>
          <w:sz w:val="24"/>
          <w:szCs w:val="24"/>
          <w:lang w:val="en-GB"/>
        </w:rPr>
        <w:t>p.1808</w:t>
      </w:r>
      <w:r w:rsidRPr="6F263F7F" w:rsidR="6F263F7F">
        <w:rPr>
          <w:rFonts w:ascii="Arial" w:hAnsi="Arial" w:eastAsia="Arial" w:cs="Arial"/>
          <w:i w:val="0"/>
          <w:iCs w:val="0"/>
          <w:noProof w:val="0"/>
          <w:color w:val="auto"/>
          <w:sz w:val="24"/>
          <w:szCs w:val="24"/>
          <w:lang w:val="en-GB"/>
        </w:rPr>
        <w:t xml:space="preserve">) believe it is crucial for training teachers to take part in PGM discussions whilst training to become a teacher to be more effective and sustain their professional growth. Furthermore, Korhonen </w:t>
      </w:r>
      <w:r w:rsidRPr="6F263F7F" w:rsidR="6F263F7F">
        <w:rPr>
          <w:rFonts w:ascii="Arial" w:hAnsi="Arial" w:eastAsia="Arial" w:cs="Arial"/>
          <w:i w:val="1"/>
          <w:iCs w:val="1"/>
          <w:noProof w:val="0"/>
          <w:color w:val="auto"/>
          <w:sz w:val="24"/>
          <w:szCs w:val="24"/>
          <w:lang w:val="en-GB"/>
        </w:rPr>
        <w:t>et al</w:t>
      </w:r>
      <w:r w:rsidRPr="6F263F7F" w:rsidR="6F263F7F">
        <w:rPr>
          <w:rFonts w:ascii="Arial" w:hAnsi="Arial" w:eastAsia="Arial" w:cs="Arial"/>
          <w:i w:val="0"/>
          <w:iCs w:val="0"/>
          <w:noProof w:val="0"/>
          <w:color w:val="auto"/>
          <w:sz w:val="24"/>
          <w:szCs w:val="24"/>
          <w:lang w:val="en-GB"/>
        </w:rPr>
        <w:t xml:space="preserve"> (2017, p.161) noted that taking part in PGM discussions as a training teacher is likely to lower anxiety during the transition phase from studying to teaching, giving newer teachers more confidence. It is important for new teachers to have more confidence in Finland as they have more autonomy in what and how they teach.</w:t>
      </w:r>
    </w:p>
    <w:p w:rsidR="6F263F7F" w:rsidP="6F263F7F" w:rsidRDefault="6F263F7F" w14:paraId="7494872F" w14:textId="43771D00">
      <w:pPr>
        <w:pStyle w:val="Normal"/>
        <w:spacing w:after="160" w:line="360" w:lineRule="auto"/>
        <w:jc w:val="left"/>
        <w:rPr>
          <w:rFonts w:ascii="Arial" w:hAnsi="Arial" w:eastAsia="Arial" w:cs="Arial"/>
          <w:i w:val="0"/>
          <w:iCs w:val="0"/>
          <w:noProof w:val="0"/>
          <w:color w:val="auto"/>
          <w:sz w:val="24"/>
          <w:szCs w:val="24"/>
          <w:lang w:val="en-GB"/>
        </w:rPr>
      </w:pPr>
      <w:r w:rsidRPr="6F263F7F" w:rsidR="6F263F7F">
        <w:rPr>
          <w:rFonts w:ascii="Arial" w:hAnsi="Arial" w:eastAsia="Arial" w:cs="Arial"/>
          <w:i w:val="0"/>
          <w:iCs w:val="0"/>
          <w:noProof w:val="0"/>
          <w:color w:val="auto"/>
          <w:sz w:val="24"/>
          <w:szCs w:val="24"/>
          <w:lang w:val="en-GB"/>
        </w:rPr>
        <w:t xml:space="preserve">  Unfortunately, Korhonen </w:t>
      </w:r>
      <w:r w:rsidRPr="6F263F7F" w:rsidR="6F263F7F">
        <w:rPr>
          <w:rFonts w:ascii="Arial" w:hAnsi="Arial" w:eastAsia="Arial" w:cs="Arial"/>
          <w:i w:val="1"/>
          <w:iCs w:val="1"/>
          <w:noProof w:val="0"/>
          <w:color w:val="auto"/>
          <w:sz w:val="24"/>
          <w:szCs w:val="24"/>
          <w:lang w:val="en-GB"/>
        </w:rPr>
        <w:t>et al</w:t>
      </w:r>
      <w:r w:rsidRPr="6F263F7F" w:rsidR="6F263F7F">
        <w:rPr>
          <w:rFonts w:ascii="Arial" w:hAnsi="Arial" w:eastAsia="Arial" w:cs="Arial"/>
          <w:i w:val="0"/>
          <w:iCs w:val="0"/>
          <w:noProof w:val="0"/>
          <w:color w:val="auto"/>
          <w:sz w:val="24"/>
          <w:szCs w:val="24"/>
          <w:lang w:val="en-GB"/>
        </w:rPr>
        <w:t xml:space="preserve"> (2017, p.161) noticed that professional groups do not always become a professional community which was noted as due to a disconnect between theory and practice in discussions. In these cases, discussions were more about learning from the practical experiences of work teachers rather than sharing their own expertise or bringing in their perspective on different theoretical points, causing the discussions to focus on reinforcing existing school culture rather than trying to transform and improve it.</w:t>
      </w:r>
      <w:r w:rsidRPr="6F263F7F" w:rsidR="6F263F7F">
        <w:rPr>
          <w:rFonts w:ascii="Arial" w:hAnsi="Arial" w:eastAsia="Arial" w:cs="Arial"/>
          <w:i w:val="0"/>
          <w:iCs w:val="0"/>
          <w:noProof w:val="0"/>
          <w:color w:val="auto"/>
          <w:sz w:val="24"/>
          <w:szCs w:val="24"/>
          <w:lang w:val="en-GB"/>
        </w:rPr>
        <w:t xml:space="preserve"> Whilst Finland does not have the same emphasis on respect for authority in their own culture, it is understandable why a student teacher would not want to attempt to challenge information coming from an experienced practitioner based on their own years of experience teaching.  Korhonen </w:t>
      </w:r>
      <w:r w:rsidRPr="6F263F7F" w:rsidR="6F263F7F">
        <w:rPr>
          <w:rFonts w:ascii="Arial" w:hAnsi="Arial" w:eastAsia="Arial" w:cs="Arial"/>
          <w:i w:val="1"/>
          <w:iCs w:val="1"/>
          <w:noProof w:val="0"/>
          <w:color w:val="auto"/>
          <w:sz w:val="24"/>
          <w:szCs w:val="24"/>
          <w:lang w:val="en-GB"/>
        </w:rPr>
        <w:t xml:space="preserve">et </w:t>
      </w:r>
      <w:r w:rsidRPr="6F263F7F" w:rsidR="6F263F7F">
        <w:rPr>
          <w:rFonts w:ascii="Arial" w:hAnsi="Arial" w:eastAsia="Arial" w:cs="Arial"/>
          <w:i w:val="0"/>
          <w:iCs w:val="0"/>
          <w:noProof w:val="0"/>
          <w:color w:val="auto"/>
          <w:sz w:val="24"/>
          <w:szCs w:val="24"/>
          <w:lang w:val="en-GB"/>
        </w:rPr>
        <w:t>al (2017, p.161) found that students would be more likely to honestly express their thoughts and ideas in a discussion where everyone felt epistemologically equal, leading to a more productive conversation as everyone feels they have valuable ideas to put forward and discuss.</w:t>
      </w:r>
    </w:p>
    <w:p w:rsidR="6F263F7F" w:rsidP="6F263F7F" w:rsidRDefault="6F263F7F" w14:paraId="07FD09CA" w14:textId="5C1252DF">
      <w:pPr>
        <w:pStyle w:val="Normal"/>
        <w:spacing w:after="160" w:line="360" w:lineRule="auto"/>
        <w:jc w:val="left"/>
        <w:rPr>
          <w:rFonts w:ascii="Arial" w:hAnsi="Arial" w:eastAsia="Arial" w:cs="Arial"/>
          <w:b w:val="1"/>
          <w:bCs w:val="1"/>
          <w:i w:val="0"/>
          <w:iCs w:val="0"/>
          <w:noProof w:val="0"/>
          <w:color w:val="auto"/>
          <w:sz w:val="24"/>
          <w:szCs w:val="24"/>
          <w:lang w:val="en-GB"/>
        </w:rPr>
      </w:pPr>
      <w:r w:rsidRPr="6F263F7F" w:rsidR="6F263F7F">
        <w:rPr>
          <w:rFonts w:ascii="Arial" w:hAnsi="Arial" w:eastAsia="Arial" w:cs="Arial"/>
          <w:b w:val="1"/>
          <w:bCs w:val="1"/>
          <w:i w:val="0"/>
          <w:iCs w:val="0"/>
          <w:noProof w:val="0"/>
          <w:color w:val="auto"/>
          <w:sz w:val="24"/>
          <w:szCs w:val="24"/>
          <w:u w:val="single"/>
          <w:lang w:val="en-GB"/>
        </w:rPr>
        <w:t>Conclusion – Similarities and Differences Between Shanghai and Finland</w:t>
      </w:r>
    </w:p>
    <w:p w:rsidR="7518E3B8" w:rsidP="6F263F7F" w:rsidRDefault="7518E3B8" w14:paraId="5BFE468D" w14:textId="66ABD708">
      <w:pPr>
        <w:pStyle w:val="Normal"/>
        <w:spacing w:after="160" w:line="360" w:lineRule="auto"/>
        <w:jc w:val="left"/>
        <w:rPr>
          <w:rFonts w:ascii="Arial" w:hAnsi="Arial" w:eastAsia="Arial" w:cs="Arial"/>
          <w:i w:val="0"/>
          <w:iCs w:val="0"/>
          <w:noProof w:val="0"/>
          <w:sz w:val="24"/>
          <w:szCs w:val="24"/>
          <w:lang w:val="en-GB"/>
        </w:rPr>
      </w:pPr>
      <w:r w:rsidRPr="6F263F7F" w:rsidR="6F263F7F">
        <w:rPr>
          <w:rFonts w:ascii="Arial" w:hAnsi="Arial" w:eastAsia="Arial" w:cs="Arial"/>
          <w:i w:val="0"/>
          <w:iCs w:val="0"/>
          <w:noProof w:val="0"/>
          <w:color w:val="auto"/>
          <w:sz w:val="24"/>
          <w:szCs w:val="24"/>
          <w:lang w:val="en-GB"/>
        </w:rPr>
        <w:t xml:space="preserve">  Finland and Shanghai are both highly regarded for their education systems due to their success in PISA. Although they are very different cultures, similarities can be seen with their education systems and how they have been developed. Both education systems have focussed on improving equity, which is important to achieving the SDG of set by the UN (United Nations, 2019, para 5) to ensure equity in education to promote lifelong learning opportunities. They have slightly differed with how they have promoted equity, however their values of professionally developing teachers and building all schools to a high standard are similar. Shanghai introduced the empowered administration policy where strong performing schools and institutions would be contracted to support and train weaker schools (OECD, 2012). This encourages investment into teacher professional development. Finland has achieved equity through providing funding to and the same standard of education across all schools. Schools in Finland are not competitive with each other as they all teach according to the same national curriculum, including private schools (</w:t>
      </w:r>
      <w:proofErr w:type="spellStart"/>
      <w:r w:rsidRPr="6F263F7F" w:rsidR="6F263F7F">
        <w:rPr>
          <w:rFonts w:ascii="Arial" w:hAnsi="Arial" w:eastAsia="Arial" w:cs="Arial"/>
          <w:i w:val="0"/>
          <w:iCs w:val="0"/>
          <w:noProof w:val="0"/>
          <w:color w:val="auto"/>
          <w:sz w:val="24"/>
          <w:szCs w:val="24"/>
          <w:lang w:val="en-GB"/>
        </w:rPr>
        <w:t>Rusitoru</w:t>
      </w:r>
      <w:proofErr w:type="spellEnd"/>
      <w:r w:rsidRPr="6F263F7F" w:rsidR="6F263F7F">
        <w:rPr>
          <w:rFonts w:ascii="Arial" w:hAnsi="Arial" w:eastAsia="Arial" w:cs="Arial"/>
          <w:i w:val="0"/>
          <w:iCs w:val="0"/>
          <w:noProof w:val="0"/>
          <w:color w:val="auto"/>
          <w:sz w:val="24"/>
          <w:szCs w:val="24"/>
          <w:lang w:val="en-GB"/>
        </w:rPr>
        <w:t>, 2018, p.97), and teachers have time to invest into students that need more help (Kager, 2013, p.77). Teachers in Finland are also required to have a master's degree in order to teach (</w:t>
      </w:r>
      <w:proofErr w:type="spellStart"/>
      <w:r w:rsidRPr="6F263F7F" w:rsidR="6F263F7F">
        <w:rPr>
          <w:rFonts w:ascii="Arial" w:hAnsi="Arial" w:eastAsia="Arial" w:cs="Arial"/>
          <w:i w:val="0"/>
          <w:iCs w:val="0"/>
          <w:noProof w:val="0"/>
          <w:color w:val="auto"/>
          <w:sz w:val="24"/>
          <w:szCs w:val="24"/>
          <w:lang w:val="en-GB"/>
        </w:rPr>
        <w:t>Rusitoru</w:t>
      </w:r>
      <w:proofErr w:type="spellEnd"/>
      <w:r w:rsidRPr="6F263F7F" w:rsidR="6F263F7F">
        <w:rPr>
          <w:rFonts w:ascii="Arial" w:hAnsi="Arial" w:eastAsia="Arial" w:cs="Arial"/>
          <w:i w:val="0"/>
          <w:iCs w:val="0"/>
          <w:noProof w:val="0"/>
          <w:color w:val="auto"/>
          <w:sz w:val="24"/>
          <w:szCs w:val="24"/>
          <w:lang w:val="en-GB"/>
        </w:rPr>
        <w:t xml:space="preserve">, 2018, p.100) and base their teaching on research. </w:t>
      </w:r>
    </w:p>
    <w:p w:rsidR="7518E3B8" w:rsidP="6F263F7F" w:rsidRDefault="7518E3B8" w14:paraId="655F7997" w14:textId="188949F0">
      <w:pPr>
        <w:pStyle w:val="Normal"/>
        <w:spacing w:after="160" w:line="360" w:lineRule="auto"/>
        <w:jc w:val="left"/>
        <w:rPr>
          <w:rFonts w:ascii="Arial" w:hAnsi="Arial" w:eastAsia="Arial" w:cs="Arial"/>
          <w:i w:val="0"/>
          <w:iCs w:val="0"/>
          <w:noProof w:val="0"/>
          <w:sz w:val="24"/>
          <w:szCs w:val="24"/>
          <w:lang w:val="en-GB"/>
        </w:rPr>
      </w:pPr>
      <w:r w:rsidRPr="6F263F7F" w:rsidR="6F263F7F">
        <w:rPr>
          <w:rFonts w:ascii="Arial" w:hAnsi="Arial" w:eastAsia="Arial" w:cs="Arial"/>
          <w:i w:val="0"/>
          <w:iCs w:val="0"/>
          <w:noProof w:val="0"/>
          <w:color w:val="auto"/>
          <w:sz w:val="24"/>
          <w:szCs w:val="24"/>
          <w:lang w:val="en-GB"/>
        </w:rPr>
        <w:t xml:space="preserve">  </w:t>
      </w:r>
      <w:r w:rsidRPr="6F263F7F" w:rsidR="6F263F7F">
        <w:rPr>
          <w:rFonts w:ascii="Arial" w:hAnsi="Arial" w:eastAsia="Arial" w:cs="Arial"/>
          <w:i w:val="0"/>
          <w:iCs w:val="0"/>
          <w:noProof w:val="0"/>
          <w:color w:val="auto"/>
          <w:sz w:val="24"/>
          <w:szCs w:val="24"/>
          <w:lang w:val="en-GB"/>
        </w:rPr>
        <w:t xml:space="preserve">Teachers in both </w:t>
      </w:r>
      <w:r w:rsidRPr="6F263F7F" w:rsidR="6F263F7F">
        <w:rPr>
          <w:rFonts w:ascii="Arial" w:hAnsi="Arial" w:eastAsia="Arial" w:cs="Arial"/>
          <w:i w:val="0"/>
          <w:iCs w:val="0"/>
          <w:noProof w:val="0"/>
          <w:color w:val="auto"/>
          <w:sz w:val="24"/>
          <w:szCs w:val="24"/>
          <w:lang w:val="en-GB"/>
        </w:rPr>
        <w:t>education systems</w:t>
      </w:r>
      <w:r w:rsidRPr="6F263F7F" w:rsidR="6F263F7F">
        <w:rPr>
          <w:rFonts w:ascii="Arial" w:hAnsi="Arial" w:eastAsia="Arial" w:cs="Arial"/>
          <w:i w:val="0"/>
          <w:iCs w:val="0"/>
          <w:noProof w:val="0"/>
          <w:color w:val="auto"/>
          <w:sz w:val="24"/>
          <w:szCs w:val="24"/>
          <w:lang w:val="en-GB"/>
        </w:rPr>
        <w:t xml:space="preserve"> are encouraged to collaborate in education to improve their practice, however the attitudes around the collaboration seem to differ. In Shanghai, teacher leaders are deployed to improve the practice of younger, less experienced teachers (Sun-</w:t>
      </w:r>
      <w:proofErr w:type="spellStart"/>
      <w:r w:rsidRPr="6F263F7F" w:rsidR="6F263F7F">
        <w:rPr>
          <w:rFonts w:ascii="Arial" w:hAnsi="Arial" w:eastAsia="Arial" w:cs="Arial"/>
          <w:i w:val="0"/>
          <w:iCs w:val="0"/>
          <w:noProof w:val="0"/>
          <w:color w:val="auto"/>
          <w:sz w:val="24"/>
          <w:szCs w:val="24"/>
          <w:lang w:val="en-GB"/>
        </w:rPr>
        <w:t>keung</w:t>
      </w:r>
      <w:proofErr w:type="spellEnd"/>
      <w:r w:rsidRPr="6F263F7F" w:rsidR="6F263F7F">
        <w:rPr>
          <w:rFonts w:ascii="Arial" w:hAnsi="Arial" w:eastAsia="Arial" w:cs="Arial"/>
          <w:i w:val="0"/>
          <w:iCs w:val="0"/>
          <w:noProof w:val="0"/>
          <w:color w:val="auto"/>
          <w:sz w:val="24"/>
          <w:szCs w:val="24"/>
          <w:lang w:val="en-GB"/>
        </w:rPr>
        <w:t xml:space="preserve"> Pang and Miao, 2017, p.99) in PLC’s. This works for Shanghai as there is a cultural respect for authority (</w:t>
      </w:r>
      <w:proofErr w:type="spellStart"/>
      <w:r w:rsidRPr="6F263F7F" w:rsidR="6F263F7F">
        <w:rPr>
          <w:rFonts w:ascii="Arial" w:hAnsi="Arial" w:eastAsia="Arial" w:cs="Arial"/>
          <w:i w:val="0"/>
          <w:iCs w:val="0"/>
          <w:noProof w:val="0"/>
          <w:color w:val="auto"/>
          <w:sz w:val="24"/>
          <w:szCs w:val="24"/>
          <w:lang w:val="en-GB"/>
        </w:rPr>
        <w:t>Hairon</w:t>
      </w:r>
      <w:proofErr w:type="spellEnd"/>
      <w:r w:rsidRPr="6F263F7F" w:rsidR="6F263F7F">
        <w:rPr>
          <w:rFonts w:ascii="Arial" w:hAnsi="Arial" w:eastAsia="Arial" w:cs="Arial"/>
          <w:i w:val="0"/>
          <w:iCs w:val="0"/>
          <w:noProof w:val="0"/>
          <w:color w:val="auto"/>
          <w:sz w:val="24"/>
          <w:szCs w:val="24"/>
          <w:lang w:val="en-GB"/>
        </w:rPr>
        <w:t xml:space="preserve"> and Dimmock, 2012, p.420), so teacher leaders are likely to be respected and listened to, however, less experienced teachers are probably less likely to challenge their ideas with their own ideas. On the other hand, Finland’s collaborative approach, PGM, is a more social constructivist approach that encourages less experienced teachers to challenge the ideas of experienced practitioners to develop everyone’s knowledge (</w:t>
      </w:r>
      <w:proofErr w:type="spellStart"/>
      <w:r w:rsidRPr="6F263F7F" w:rsidR="6F263F7F">
        <w:rPr>
          <w:rFonts w:ascii="Arial" w:hAnsi="Arial" w:eastAsia="Arial" w:cs="Arial"/>
          <w:i w:val="0"/>
          <w:iCs w:val="0"/>
          <w:noProof w:val="0"/>
          <w:color w:val="auto"/>
          <w:sz w:val="24"/>
          <w:szCs w:val="24"/>
          <w:lang w:val="en-GB"/>
        </w:rPr>
        <w:t>Heikkenin</w:t>
      </w:r>
      <w:proofErr w:type="spellEnd"/>
      <w:r w:rsidRPr="6F263F7F" w:rsidR="6F263F7F">
        <w:rPr>
          <w:rFonts w:ascii="Arial" w:hAnsi="Arial" w:eastAsia="Arial" w:cs="Arial"/>
          <w:i w:val="0"/>
          <w:iCs w:val="0"/>
          <w:noProof w:val="0"/>
          <w:color w:val="auto"/>
          <w:sz w:val="24"/>
          <w:szCs w:val="24"/>
          <w:lang w:val="en-GB"/>
        </w:rPr>
        <w:t xml:space="preserve"> </w:t>
      </w:r>
      <w:r w:rsidRPr="6F263F7F" w:rsidR="6F263F7F">
        <w:rPr>
          <w:rFonts w:ascii="Arial" w:hAnsi="Arial" w:eastAsia="Arial" w:cs="Arial"/>
          <w:i w:val="1"/>
          <w:iCs w:val="1"/>
          <w:noProof w:val="0"/>
          <w:color w:val="auto"/>
          <w:sz w:val="24"/>
          <w:szCs w:val="24"/>
          <w:lang w:val="en-GB"/>
        </w:rPr>
        <w:t>et al</w:t>
      </w:r>
      <w:r w:rsidRPr="6F263F7F" w:rsidR="6F263F7F">
        <w:rPr>
          <w:rFonts w:ascii="Arial" w:hAnsi="Arial" w:eastAsia="Arial" w:cs="Arial"/>
          <w:i w:val="0"/>
          <w:iCs w:val="0"/>
          <w:noProof w:val="0"/>
          <w:color w:val="auto"/>
          <w:sz w:val="24"/>
          <w:szCs w:val="24"/>
          <w:lang w:val="en-GB"/>
        </w:rPr>
        <w:t>, 2018, p.4). Furthermore, teachers are highly respected and trusted in Finland, even by their superiors which leads to open and honest communication when collaborating, making the practice seem more democratic than it is in Shanghai (</w:t>
      </w:r>
      <w:proofErr w:type="spellStart"/>
      <w:r w:rsidRPr="6F263F7F" w:rsidR="6F263F7F">
        <w:rPr>
          <w:rFonts w:ascii="Arial" w:hAnsi="Arial" w:eastAsia="Arial" w:cs="Arial"/>
          <w:noProof w:val="0"/>
          <w:sz w:val="24"/>
          <w:szCs w:val="24"/>
          <w:lang w:val="en-GB"/>
        </w:rPr>
        <w:t>Pirttilä</w:t>
      </w:r>
      <w:proofErr w:type="spellEnd"/>
      <w:r w:rsidRPr="6F263F7F" w:rsidR="6F263F7F">
        <w:rPr>
          <w:rFonts w:ascii="Arial" w:hAnsi="Arial" w:eastAsia="Arial" w:cs="Arial"/>
          <w:noProof w:val="0"/>
          <w:sz w:val="24"/>
          <w:szCs w:val="24"/>
          <w:lang w:val="en-GB"/>
        </w:rPr>
        <w:t xml:space="preserve">-Backman </w:t>
      </w:r>
      <w:r w:rsidRPr="6F263F7F" w:rsidR="6F263F7F">
        <w:rPr>
          <w:rFonts w:ascii="Arial" w:hAnsi="Arial" w:eastAsia="Arial" w:cs="Arial"/>
          <w:i w:val="1"/>
          <w:iCs w:val="1"/>
          <w:noProof w:val="0"/>
          <w:sz w:val="24"/>
          <w:szCs w:val="24"/>
          <w:lang w:val="en-GB"/>
        </w:rPr>
        <w:t>et al</w:t>
      </w:r>
      <w:r w:rsidRPr="6F263F7F" w:rsidR="6F263F7F">
        <w:rPr>
          <w:rFonts w:ascii="Arial" w:hAnsi="Arial" w:eastAsia="Arial" w:cs="Arial"/>
          <w:noProof w:val="0"/>
          <w:sz w:val="24"/>
          <w:szCs w:val="24"/>
          <w:lang w:val="en-GB"/>
        </w:rPr>
        <w:t xml:space="preserve">, 2017, pp.41-43). </w:t>
      </w:r>
    </w:p>
    <w:p w:rsidR="7518E3B8" w:rsidP="6F263F7F" w:rsidRDefault="7518E3B8" w14:paraId="5E8BC47E" w14:textId="2966816C">
      <w:pPr>
        <w:pStyle w:val="Normal"/>
        <w:spacing w:after="160" w:line="360" w:lineRule="auto"/>
        <w:jc w:val="left"/>
        <w:rPr>
          <w:rFonts w:ascii="Arial" w:hAnsi="Arial" w:eastAsia="Arial" w:cs="Arial"/>
          <w:i w:val="0"/>
          <w:iCs w:val="0"/>
          <w:noProof w:val="0"/>
          <w:sz w:val="24"/>
          <w:szCs w:val="24"/>
          <w:lang w:val="en-GB"/>
        </w:rPr>
      </w:pPr>
      <w:r w:rsidRPr="6F263F7F" w:rsidR="6F263F7F">
        <w:rPr>
          <w:rFonts w:ascii="Arial" w:hAnsi="Arial" w:eastAsia="Arial" w:cs="Arial"/>
          <w:noProof w:val="0"/>
          <w:sz w:val="24"/>
          <w:szCs w:val="24"/>
          <w:lang w:val="en-GB"/>
        </w:rPr>
        <w:t xml:space="preserve">  </w:t>
      </w:r>
      <w:r w:rsidRPr="6F263F7F" w:rsidR="6F263F7F">
        <w:rPr>
          <w:rFonts w:ascii="Arial" w:hAnsi="Arial" w:eastAsia="Arial" w:cs="Arial"/>
          <w:noProof w:val="0"/>
          <w:sz w:val="24"/>
          <w:szCs w:val="24"/>
          <w:lang w:val="en-GB"/>
        </w:rPr>
        <w:t xml:space="preserve">Although there is collaboration amongst practitioners in both systems, Finland appears to have more of a positive attitude towards teamwork and sharing practice than Shanghai, as Zhang </w:t>
      </w:r>
      <w:r w:rsidRPr="6F263F7F" w:rsidR="6F263F7F">
        <w:rPr>
          <w:rFonts w:ascii="Arial" w:hAnsi="Arial" w:eastAsia="Arial" w:cs="Arial"/>
          <w:i w:val="1"/>
          <w:iCs w:val="1"/>
          <w:noProof w:val="0"/>
          <w:sz w:val="24"/>
          <w:szCs w:val="24"/>
          <w:lang w:val="en-GB"/>
        </w:rPr>
        <w:t xml:space="preserve">et al </w:t>
      </w:r>
      <w:r w:rsidRPr="6F263F7F" w:rsidR="6F263F7F">
        <w:rPr>
          <w:rFonts w:ascii="Arial" w:hAnsi="Arial" w:eastAsia="Arial" w:cs="Arial"/>
          <w:i w:val="0"/>
          <w:iCs w:val="0"/>
          <w:noProof w:val="0"/>
          <w:sz w:val="24"/>
          <w:szCs w:val="24"/>
          <w:lang w:val="en-GB"/>
        </w:rPr>
        <w:t>(2016, p.227) found that teachers in Shanghai had a more competitive attitude and were less likely to share practice that they felt gave them an edge, as well as less likely to ask to collaborate as several teachers questioned felt they would be bothering their colleagues.</w:t>
      </w:r>
      <w:r w:rsidRPr="6F263F7F" w:rsidR="6F263F7F">
        <w:rPr>
          <w:rFonts w:ascii="Arial" w:hAnsi="Arial" w:eastAsia="Arial" w:cs="Arial"/>
          <w:i w:val="0"/>
          <w:iCs w:val="0"/>
          <w:noProof w:val="0"/>
          <w:sz w:val="24"/>
          <w:szCs w:val="24"/>
          <w:lang w:val="en-GB"/>
        </w:rPr>
        <w:t xml:space="preserve"> Regardless of differences in culture, both Finland and Shanghai have found success in education systems that place importance on equity in education for their students and collaboration in teaching for the professional development of their practitioners, leading them to outperform the majority of countries in the PISA tests every time they come around.</w:t>
      </w:r>
    </w:p>
    <w:p w:rsidR="6F263F7F" w:rsidP="6F263F7F" w:rsidRDefault="6F263F7F" w14:paraId="48B99AD3" w14:textId="21444EA6">
      <w:pPr>
        <w:pStyle w:val="Normal"/>
        <w:spacing w:after="160" w:line="360" w:lineRule="auto"/>
        <w:jc w:val="left"/>
        <w:rPr>
          <w:rFonts w:ascii="Arial" w:hAnsi="Arial" w:eastAsia="Arial" w:cs="Arial"/>
          <w:i w:val="0"/>
          <w:iCs w:val="0"/>
          <w:noProof w:val="0"/>
          <w:sz w:val="24"/>
          <w:szCs w:val="24"/>
          <w:lang w:val="en-GB"/>
        </w:rPr>
      </w:pPr>
    </w:p>
    <w:p w:rsidR="6F263F7F" w:rsidP="6F263F7F" w:rsidRDefault="6F263F7F" w14:paraId="10B3CBA4" w14:textId="23D026BA">
      <w:pPr>
        <w:pStyle w:val="Normal"/>
        <w:spacing w:after="160" w:line="360" w:lineRule="auto"/>
        <w:jc w:val="left"/>
        <w:rPr>
          <w:rFonts w:ascii="Arial" w:hAnsi="Arial" w:eastAsia="Arial" w:cs="Arial"/>
          <w:b w:val="1"/>
          <w:bCs w:val="1"/>
          <w:i w:val="0"/>
          <w:iCs w:val="0"/>
          <w:noProof w:val="0"/>
          <w:sz w:val="24"/>
          <w:szCs w:val="24"/>
          <w:lang w:val="en-GB"/>
        </w:rPr>
      </w:pPr>
      <w:r w:rsidRPr="6F263F7F" w:rsidR="6F263F7F">
        <w:rPr>
          <w:rFonts w:ascii="Arial" w:hAnsi="Arial" w:eastAsia="Arial" w:cs="Arial"/>
          <w:b w:val="1"/>
          <w:bCs w:val="1"/>
          <w:i w:val="0"/>
          <w:iCs w:val="0"/>
          <w:noProof w:val="0"/>
          <w:sz w:val="24"/>
          <w:szCs w:val="24"/>
          <w:u w:val="single"/>
          <w:lang w:val="en-GB"/>
        </w:rPr>
        <w:t>References</w:t>
      </w:r>
    </w:p>
    <w:p w:rsidR="6F263F7F" w:rsidP="6F263F7F" w:rsidRDefault="6F263F7F" w14:paraId="68A4536C" w14:textId="0706B200">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Castelli, L., Ragazzi, S. and </w:t>
      </w:r>
      <w:proofErr w:type="spellStart"/>
      <w:r w:rsidRPr="6F263F7F" w:rsidR="6F263F7F">
        <w:rPr>
          <w:rFonts w:ascii="Arial" w:hAnsi="Arial" w:eastAsia="Arial" w:cs="Arial"/>
          <w:noProof w:val="0"/>
          <w:sz w:val="24"/>
          <w:szCs w:val="24"/>
          <w:lang w:val="en-GB"/>
        </w:rPr>
        <w:t>Crescentini</w:t>
      </w:r>
      <w:proofErr w:type="spellEnd"/>
      <w:r w:rsidRPr="6F263F7F" w:rsidR="6F263F7F">
        <w:rPr>
          <w:rFonts w:ascii="Arial" w:hAnsi="Arial" w:eastAsia="Arial" w:cs="Arial"/>
          <w:noProof w:val="0"/>
          <w:sz w:val="24"/>
          <w:szCs w:val="24"/>
          <w:lang w:val="en-GB"/>
        </w:rPr>
        <w:t xml:space="preserve">, A., (2012), ‘Equity in Education: A General Overview’, </w:t>
      </w:r>
      <w:r w:rsidRPr="6F263F7F" w:rsidR="6F263F7F">
        <w:rPr>
          <w:rFonts w:ascii="Arial" w:hAnsi="Arial" w:eastAsia="Arial" w:cs="Arial"/>
          <w:i w:val="1"/>
          <w:iCs w:val="1"/>
          <w:noProof w:val="0"/>
          <w:sz w:val="24"/>
          <w:szCs w:val="24"/>
          <w:lang w:val="en-GB"/>
        </w:rPr>
        <w:t>Procedia – Social and Behavioural Sciences</w:t>
      </w:r>
      <w:r w:rsidRPr="6F263F7F" w:rsidR="6F263F7F">
        <w:rPr>
          <w:rFonts w:ascii="Arial" w:hAnsi="Arial" w:eastAsia="Arial" w:cs="Arial"/>
          <w:i w:val="0"/>
          <w:iCs w:val="0"/>
          <w:noProof w:val="0"/>
          <w:sz w:val="24"/>
          <w:szCs w:val="24"/>
          <w:lang w:val="en-GB"/>
        </w:rPr>
        <w:t>, vol.69, pp.2243-2250.</w:t>
      </w:r>
    </w:p>
    <w:p w:rsidR="6F263F7F" w:rsidP="6F263F7F" w:rsidRDefault="6F263F7F" w14:paraId="60E9CD5C" w14:textId="06D05F62">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Darko, S., (2014), ‘The PISA Syndrome: Can we Imagine Education without Comparative Testing?’, </w:t>
      </w:r>
      <w:r w:rsidRPr="6F263F7F" w:rsidR="6F263F7F">
        <w:rPr>
          <w:rFonts w:ascii="Arial" w:hAnsi="Arial" w:eastAsia="Arial" w:cs="Arial"/>
          <w:i w:val="1"/>
          <w:iCs w:val="1"/>
          <w:noProof w:val="0"/>
          <w:sz w:val="24"/>
          <w:szCs w:val="24"/>
          <w:lang w:val="en-GB"/>
        </w:rPr>
        <w:t>Solsko Polje</w:t>
      </w:r>
      <w:r w:rsidRPr="6F263F7F" w:rsidR="6F263F7F">
        <w:rPr>
          <w:rFonts w:ascii="Arial" w:hAnsi="Arial" w:eastAsia="Arial" w:cs="Arial"/>
          <w:noProof w:val="0"/>
          <w:sz w:val="24"/>
          <w:szCs w:val="24"/>
          <w:lang w:val="en-GB"/>
        </w:rPr>
        <w:t>, vol.25, iss. 5/6, pp.13-27, 147-149, 169.</w:t>
      </w:r>
    </w:p>
    <w:p w:rsidR="6F263F7F" w:rsidP="6F263F7F" w:rsidRDefault="6F263F7F" w14:paraId="7A2F6CEC" w14:textId="2844D59C">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Fisher, R., Williams, M., (2004), </w:t>
      </w:r>
      <w:r w:rsidRPr="6F263F7F" w:rsidR="6F263F7F">
        <w:rPr>
          <w:rFonts w:ascii="Arial" w:hAnsi="Arial" w:eastAsia="Arial" w:cs="Arial"/>
          <w:i w:val="1"/>
          <w:iCs w:val="1"/>
          <w:noProof w:val="0"/>
          <w:sz w:val="24"/>
          <w:szCs w:val="24"/>
          <w:lang w:val="en-GB"/>
        </w:rPr>
        <w:t>Unlocking Creativity: Teaching Across the Curriculum</w:t>
      </w:r>
      <w:r w:rsidRPr="6F263F7F" w:rsidR="6F263F7F">
        <w:rPr>
          <w:rFonts w:ascii="Arial" w:hAnsi="Arial" w:eastAsia="Arial" w:cs="Arial"/>
          <w:noProof w:val="0"/>
          <w:sz w:val="24"/>
          <w:szCs w:val="24"/>
          <w:lang w:val="en-GB"/>
        </w:rPr>
        <w:t>, London: David Fulton Publishers.</w:t>
      </w:r>
    </w:p>
    <w:p w:rsidR="6F263F7F" w:rsidP="6F263F7F" w:rsidRDefault="6F263F7F" w14:paraId="246AC31B" w14:textId="0E45FE04">
      <w:pPr>
        <w:spacing w:after="160" w:line="259" w:lineRule="auto"/>
        <w:jc w:val="left"/>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Graham, D., (2015), </w:t>
      </w:r>
      <w:r w:rsidRPr="6F263F7F" w:rsidR="6F263F7F">
        <w:rPr>
          <w:rFonts w:ascii="Arial" w:hAnsi="Arial" w:eastAsia="Arial" w:cs="Arial"/>
          <w:i w:val="1"/>
          <w:iCs w:val="1"/>
          <w:noProof w:val="0"/>
          <w:sz w:val="24"/>
          <w:szCs w:val="24"/>
          <w:lang w:val="en-GB"/>
        </w:rPr>
        <w:t>Successful Futures: Independent Review of Curriculum and Assessment Arrangements in Wales</w:t>
      </w:r>
      <w:r w:rsidRPr="6F263F7F" w:rsidR="6F263F7F">
        <w:rPr>
          <w:rFonts w:ascii="Arial" w:hAnsi="Arial" w:eastAsia="Arial" w:cs="Arial"/>
          <w:noProof w:val="0"/>
          <w:sz w:val="24"/>
          <w:szCs w:val="24"/>
          <w:lang w:val="en-GB"/>
        </w:rPr>
        <w:t xml:space="preserve">, available at </w:t>
      </w:r>
      <w:hyperlink r:id="R69f0d72426e840ac">
        <w:r w:rsidRPr="6F263F7F" w:rsidR="6F263F7F">
          <w:rPr>
            <w:rStyle w:val="Hyperlink"/>
            <w:rFonts w:ascii="Arial" w:hAnsi="Arial" w:eastAsia="Arial" w:cs="Arial"/>
            <w:noProof w:val="0"/>
            <w:color w:val="0563C1"/>
            <w:sz w:val="24"/>
            <w:szCs w:val="24"/>
            <w:u w:val="single"/>
            <w:lang w:val="en-GB"/>
          </w:rPr>
          <w:t>https://www.nasuwt.org.uk/uploads/assets/uploaded/ad5b4d73-76eb-462a-8ba00412eb6e572a.pdf</w:t>
        </w:r>
      </w:hyperlink>
      <w:r w:rsidRPr="6F263F7F" w:rsidR="6F263F7F">
        <w:rPr>
          <w:rFonts w:ascii="Arial" w:hAnsi="Arial" w:eastAsia="Arial" w:cs="Arial"/>
          <w:noProof w:val="0"/>
          <w:color w:val="auto"/>
          <w:sz w:val="24"/>
          <w:szCs w:val="24"/>
          <w:u w:val="none"/>
          <w:lang w:val="en-GB"/>
        </w:rPr>
        <w:t>, accessed 20/11/19.</w:t>
      </w:r>
    </w:p>
    <w:p w:rsidR="6F263F7F" w:rsidP="6F263F7F" w:rsidRDefault="6F263F7F" w14:paraId="5397DD91" w14:textId="3A2F47C1">
      <w:pPr>
        <w:spacing w:after="160" w:line="259" w:lineRule="auto"/>
        <w:rPr>
          <w:rFonts w:ascii="Arial" w:hAnsi="Arial" w:eastAsia="Arial" w:cs="Arial"/>
          <w:noProof w:val="0"/>
          <w:sz w:val="24"/>
          <w:szCs w:val="24"/>
          <w:lang w:val="en-GB"/>
        </w:rPr>
      </w:pPr>
      <w:proofErr w:type="spellStart"/>
      <w:r w:rsidRPr="6F263F7F" w:rsidR="6F263F7F">
        <w:rPr>
          <w:rFonts w:ascii="Arial" w:hAnsi="Arial" w:eastAsia="Arial" w:cs="Arial"/>
          <w:noProof w:val="0"/>
          <w:sz w:val="24"/>
          <w:szCs w:val="24"/>
          <w:lang w:val="en-GB"/>
        </w:rPr>
        <w:t>Hairon</w:t>
      </w:r>
      <w:proofErr w:type="spellEnd"/>
      <w:r w:rsidRPr="6F263F7F" w:rsidR="6F263F7F">
        <w:rPr>
          <w:rFonts w:ascii="Arial" w:hAnsi="Arial" w:eastAsia="Arial" w:cs="Arial"/>
          <w:noProof w:val="0"/>
          <w:sz w:val="24"/>
          <w:szCs w:val="24"/>
          <w:lang w:val="en-GB"/>
        </w:rPr>
        <w:t xml:space="preserve">, S. and Dimmock, C., 2012, ‘Singapore schools and Professional Learning Communities: Teacher Professional Development and School Leadership in an Asian Hierarchical System’, </w:t>
      </w:r>
      <w:r w:rsidRPr="6F263F7F" w:rsidR="6F263F7F">
        <w:rPr>
          <w:rFonts w:ascii="Arial" w:hAnsi="Arial" w:eastAsia="Arial" w:cs="Arial"/>
          <w:i w:val="1"/>
          <w:iCs w:val="1"/>
          <w:noProof w:val="0"/>
          <w:sz w:val="24"/>
          <w:szCs w:val="24"/>
          <w:lang w:val="en-GB"/>
        </w:rPr>
        <w:t>Educational Review</w:t>
      </w:r>
      <w:r w:rsidRPr="6F263F7F" w:rsidR="6F263F7F">
        <w:rPr>
          <w:rFonts w:ascii="Arial" w:hAnsi="Arial" w:eastAsia="Arial" w:cs="Arial"/>
          <w:noProof w:val="0"/>
          <w:sz w:val="24"/>
          <w:szCs w:val="24"/>
          <w:lang w:val="en-GB"/>
        </w:rPr>
        <w:t>, vol.64, iss.4, p.405.</w:t>
      </w:r>
    </w:p>
    <w:p w:rsidR="6F263F7F" w:rsidP="6F263F7F" w:rsidRDefault="6F263F7F" w14:paraId="4814F276" w14:textId="628032A5">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Han, W., Wen, J., (2014), </w:t>
      </w:r>
      <w:r w:rsidRPr="6F263F7F" w:rsidR="6F263F7F">
        <w:rPr>
          <w:rFonts w:ascii="Arial" w:hAnsi="Arial" w:eastAsia="Arial" w:cs="Arial"/>
          <w:i w:val="1"/>
          <w:iCs w:val="1"/>
          <w:noProof w:val="0"/>
          <w:sz w:val="24"/>
          <w:szCs w:val="24"/>
          <w:lang w:val="en-GB"/>
        </w:rPr>
        <w:t>2014 Well-Being Study: Shanghai, China</w:t>
      </w:r>
      <w:r w:rsidRPr="6F263F7F" w:rsidR="6F263F7F">
        <w:rPr>
          <w:rFonts w:ascii="Arial" w:hAnsi="Arial" w:eastAsia="Arial" w:cs="Arial"/>
          <w:noProof w:val="0"/>
          <w:sz w:val="24"/>
          <w:szCs w:val="24"/>
          <w:lang w:val="en-GB"/>
        </w:rPr>
        <w:t xml:space="preserve">, available at </w:t>
      </w:r>
      <w:hyperlink r:id="R72197198c13748d9">
        <w:r w:rsidRPr="6F263F7F" w:rsidR="6F263F7F">
          <w:rPr>
            <w:rStyle w:val="Hyperlink"/>
            <w:rFonts w:ascii="Arial" w:hAnsi="Arial" w:eastAsia="Arial" w:cs="Arial"/>
            <w:noProof w:val="0"/>
            <w:color w:val="0563C1"/>
            <w:sz w:val="24"/>
            <w:szCs w:val="24"/>
            <w:u w:val="single"/>
            <w:lang w:val="en-GB"/>
          </w:rPr>
          <w:t>https://shanghai.nyu.edu/sites/default/files/media/ChildWellBeingStudy0908.pdf</w:t>
        </w:r>
      </w:hyperlink>
      <w:r w:rsidRPr="6F263F7F" w:rsidR="6F263F7F">
        <w:rPr>
          <w:rFonts w:ascii="Arial" w:hAnsi="Arial" w:eastAsia="Arial" w:cs="Arial"/>
          <w:noProof w:val="0"/>
          <w:color w:val="auto"/>
          <w:sz w:val="24"/>
          <w:szCs w:val="24"/>
          <w:u w:val="none"/>
          <w:lang w:val="en-GB"/>
        </w:rPr>
        <w:t>, accessed 08/01/20.</w:t>
      </w:r>
    </w:p>
    <w:p w:rsidR="6F263F7F" w:rsidP="6F263F7F" w:rsidRDefault="6F263F7F" w14:paraId="77A30925" w14:textId="6346C8A8">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Heikkinen, H., Wilkinson, J., </w:t>
      </w:r>
      <w:proofErr w:type="spellStart"/>
      <w:r w:rsidRPr="6F263F7F" w:rsidR="6F263F7F">
        <w:rPr>
          <w:rFonts w:ascii="Arial" w:hAnsi="Arial" w:eastAsia="Arial" w:cs="Arial"/>
          <w:noProof w:val="0"/>
          <w:sz w:val="24"/>
          <w:szCs w:val="24"/>
          <w:lang w:val="en-GB"/>
        </w:rPr>
        <w:t>Aspfors</w:t>
      </w:r>
      <w:proofErr w:type="spellEnd"/>
      <w:r w:rsidRPr="6F263F7F" w:rsidR="6F263F7F">
        <w:rPr>
          <w:rFonts w:ascii="Arial" w:hAnsi="Arial" w:eastAsia="Arial" w:cs="Arial"/>
          <w:noProof w:val="0"/>
          <w:sz w:val="24"/>
          <w:szCs w:val="24"/>
          <w:lang w:val="en-GB"/>
        </w:rPr>
        <w:t xml:space="preserve">, J., Bristol, L., (2018), ‘Understanding mentoring of new teachers: Communicative and strategic practices in Australia and Finland’, </w:t>
      </w:r>
      <w:r w:rsidRPr="6F263F7F" w:rsidR="6F263F7F">
        <w:rPr>
          <w:rFonts w:ascii="Arial" w:hAnsi="Arial" w:eastAsia="Arial" w:cs="Arial"/>
          <w:i w:val="1"/>
          <w:iCs w:val="1"/>
          <w:noProof w:val="0"/>
          <w:sz w:val="24"/>
          <w:szCs w:val="24"/>
          <w:lang w:val="en-GB"/>
        </w:rPr>
        <w:t>Teaching and Teacher Education</w:t>
      </w:r>
      <w:r w:rsidRPr="6F263F7F" w:rsidR="6F263F7F">
        <w:rPr>
          <w:rFonts w:ascii="Arial" w:hAnsi="Arial" w:eastAsia="Arial" w:cs="Arial"/>
          <w:noProof w:val="0"/>
          <w:sz w:val="24"/>
          <w:szCs w:val="24"/>
          <w:lang w:val="en-GB"/>
        </w:rPr>
        <w:t xml:space="preserve">, vol.71, pp.1-11, available at </w:t>
      </w:r>
      <w:hyperlink r:id="R4afef7829b754bb2">
        <w:r w:rsidRPr="6F263F7F" w:rsidR="6F263F7F">
          <w:rPr>
            <w:rStyle w:val="Hyperlink"/>
            <w:rFonts w:ascii="Arial" w:hAnsi="Arial" w:eastAsia="Arial" w:cs="Arial"/>
            <w:noProof w:val="0"/>
            <w:color w:val="0563C1"/>
            <w:sz w:val="24"/>
            <w:szCs w:val="24"/>
            <w:u w:val="single"/>
            <w:lang w:val="en-GB"/>
          </w:rPr>
          <w:t>https://www-sciencedirect-com.ezproxy.uwtsd.ac.uk/science/article/pii/S0742051X17309186</w:t>
        </w:r>
      </w:hyperlink>
      <w:r w:rsidRPr="6F263F7F" w:rsidR="6F263F7F">
        <w:rPr>
          <w:rFonts w:ascii="Arial" w:hAnsi="Arial" w:eastAsia="Arial" w:cs="Arial"/>
          <w:noProof w:val="0"/>
          <w:color w:val="auto"/>
          <w:sz w:val="24"/>
          <w:szCs w:val="24"/>
          <w:u w:val="none"/>
          <w:lang w:val="en-GB"/>
        </w:rPr>
        <w:t>, accessed 18/11/19.</w:t>
      </w:r>
    </w:p>
    <w:p w:rsidR="6F263F7F" w:rsidP="6F263F7F" w:rsidRDefault="6F263F7F" w14:paraId="4585FF01" w14:textId="204DA19F">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Heim, J., (2016), </w:t>
      </w:r>
      <w:r w:rsidRPr="6F263F7F" w:rsidR="6F263F7F">
        <w:rPr>
          <w:rFonts w:ascii="Arial" w:hAnsi="Arial" w:eastAsia="Arial" w:cs="Arial"/>
          <w:i w:val="1"/>
          <w:iCs w:val="1"/>
          <w:noProof w:val="0"/>
          <w:sz w:val="24"/>
          <w:szCs w:val="24"/>
          <w:lang w:val="en-GB"/>
        </w:rPr>
        <w:t>Finland’s schools were once the envy of the world. Now, they’re slipping</w:t>
      </w:r>
      <w:r w:rsidRPr="6F263F7F" w:rsidR="6F263F7F">
        <w:rPr>
          <w:rFonts w:ascii="Arial" w:hAnsi="Arial" w:eastAsia="Arial" w:cs="Arial"/>
          <w:noProof w:val="0"/>
          <w:sz w:val="24"/>
          <w:szCs w:val="24"/>
          <w:lang w:val="en-GB"/>
        </w:rPr>
        <w:t xml:space="preserve">, available at </w:t>
      </w:r>
      <w:hyperlink r:id="R45de6144abf041f6">
        <w:r w:rsidRPr="6F263F7F" w:rsidR="6F263F7F">
          <w:rPr>
            <w:rStyle w:val="Hyperlink"/>
            <w:rFonts w:ascii="Arial" w:hAnsi="Arial" w:eastAsia="Arial" w:cs="Arial"/>
            <w:noProof w:val="0"/>
            <w:color w:val="0563C1"/>
            <w:sz w:val="24"/>
            <w:szCs w:val="24"/>
            <w:u w:val="single"/>
            <w:lang w:val="en-GB"/>
          </w:rPr>
          <w:t>https://www.washingtonpost.com/local/education/finlands-schools-were-once-the-envy-of-the-world-now-theyre-slipping/2016/12/08/dcfd0f56-bd60-11e6-91ee-1adddfe36cbe_story.html</w:t>
        </w:r>
      </w:hyperlink>
      <w:r w:rsidRPr="6F263F7F" w:rsidR="6F263F7F">
        <w:rPr>
          <w:rFonts w:ascii="Arial" w:hAnsi="Arial" w:eastAsia="Arial" w:cs="Arial"/>
          <w:noProof w:val="0"/>
          <w:color w:val="auto"/>
          <w:sz w:val="24"/>
          <w:szCs w:val="24"/>
          <w:u w:val="none"/>
          <w:lang w:val="en-GB"/>
        </w:rPr>
        <w:t>, accessed 09/01/20.</w:t>
      </w:r>
    </w:p>
    <w:p w:rsidR="6F263F7F" w:rsidP="6F263F7F" w:rsidRDefault="6F263F7F" w14:paraId="205E3B3D" w14:textId="0A2B8812">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Jenson, B. and Farmer, J., (2013), </w:t>
      </w:r>
      <w:r w:rsidRPr="6F263F7F" w:rsidR="6F263F7F">
        <w:rPr>
          <w:rFonts w:ascii="Arial" w:hAnsi="Arial" w:eastAsia="Arial" w:cs="Arial"/>
          <w:i w:val="1"/>
          <w:iCs w:val="1"/>
          <w:noProof w:val="0"/>
          <w:sz w:val="24"/>
          <w:szCs w:val="24"/>
          <w:lang w:val="en-GB"/>
        </w:rPr>
        <w:t>School Turnaround in Shanghai</w:t>
      </w:r>
      <w:r w:rsidRPr="6F263F7F" w:rsidR="6F263F7F">
        <w:rPr>
          <w:rFonts w:ascii="Arial" w:hAnsi="Arial" w:eastAsia="Arial" w:cs="Arial"/>
          <w:noProof w:val="0"/>
          <w:sz w:val="24"/>
          <w:szCs w:val="24"/>
          <w:lang w:val="en-GB"/>
        </w:rPr>
        <w:t xml:space="preserve">, available at </w:t>
      </w:r>
      <w:hyperlink r:id="R2afffb9ee4d54b1f">
        <w:r w:rsidRPr="6F263F7F" w:rsidR="6F263F7F">
          <w:rPr>
            <w:rStyle w:val="Hyperlink"/>
            <w:rFonts w:ascii="Arial" w:hAnsi="Arial" w:eastAsia="Arial" w:cs="Arial"/>
            <w:noProof w:val="0"/>
            <w:color w:val="0563C1"/>
            <w:sz w:val="24"/>
            <w:szCs w:val="24"/>
            <w:u w:val="single"/>
            <w:lang w:val="en-GB"/>
          </w:rPr>
          <w:t>https://cdn.americanprogress.org/wp-content/uploads/2013/05/ShanghaiReport-2.pdf</w:t>
        </w:r>
      </w:hyperlink>
      <w:r w:rsidRPr="6F263F7F" w:rsidR="6F263F7F">
        <w:rPr>
          <w:rFonts w:ascii="Arial" w:hAnsi="Arial" w:eastAsia="Arial" w:cs="Arial"/>
          <w:noProof w:val="0"/>
          <w:color w:val="auto"/>
          <w:sz w:val="24"/>
          <w:szCs w:val="24"/>
          <w:u w:val="none"/>
          <w:lang w:val="en-GB"/>
        </w:rPr>
        <w:t>, accessed 21/11/19.</w:t>
      </w:r>
    </w:p>
    <w:p w:rsidR="6F263F7F" w:rsidP="6F263F7F" w:rsidRDefault="6F263F7F" w14:paraId="078075FA" w14:textId="1AC89001">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Kager, E., (2013), ‘How Finland’s Education Policies Lead to a World-Class Education System’, </w:t>
      </w:r>
      <w:r w:rsidRPr="6F263F7F" w:rsidR="6F263F7F">
        <w:rPr>
          <w:rFonts w:ascii="Arial" w:hAnsi="Arial" w:eastAsia="Arial" w:cs="Arial"/>
          <w:i w:val="1"/>
          <w:iCs w:val="1"/>
          <w:noProof w:val="0"/>
          <w:sz w:val="24"/>
          <w:szCs w:val="24"/>
          <w:lang w:val="en-GB"/>
        </w:rPr>
        <w:t>Chinese American Educational Research and Development Association</w:t>
      </w:r>
      <w:r w:rsidRPr="6F263F7F" w:rsidR="6F263F7F">
        <w:rPr>
          <w:rFonts w:ascii="Arial" w:hAnsi="Arial" w:eastAsia="Arial" w:cs="Arial"/>
          <w:noProof w:val="0"/>
          <w:sz w:val="24"/>
          <w:szCs w:val="24"/>
          <w:lang w:val="en-GB"/>
        </w:rPr>
        <w:t>, vol.16, iss.2, pp.76-80.</w:t>
      </w:r>
    </w:p>
    <w:p w:rsidR="6F263F7F" w:rsidP="6F263F7F" w:rsidRDefault="6F263F7F" w14:paraId="3FB7DED6" w14:textId="2E94CDFD">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Kilbane, J.F., 2009, ‘Factors in Sustaining Professional Learning Community’ </w:t>
      </w:r>
      <w:r w:rsidRPr="6F263F7F" w:rsidR="6F263F7F">
        <w:rPr>
          <w:rFonts w:ascii="Arial" w:hAnsi="Arial" w:eastAsia="Arial" w:cs="Arial"/>
          <w:i w:val="1"/>
          <w:iCs w:val="1"/>
          <w:noProof w:val="0"/>
          <w:sz w:val="24"/>
          <w:szCs w:val="24"/>
          <w:lang w:val="en-GB"/>
        </w:rPr>
        <w:t>NASSP Bulletin</w:t>
      </w:r>
      <w:r w:rsidRPr="6F263F7F" w:rsidR="6F263F7F">
        <w:rPr>
          <w:rFonts w:ascii="Arial" w:hAnsi="Arial" w:eastAsia="Arial" w:cs="Arial"/>
          <w:noProof w:val="0"/>
          <w:sz w:val="24"/>
          <w:szCs w:val="24"/>
          <w:lang w:val="en-GB"/>
        </w:rPr>
        <w:t>, vol.93, iss.3, pp.184-205.</w:t>
      </w:r>
    </w:p>
    <w:p w:rsidR="6F263F7F" w:rsidP="6F263F7F" w:rsidRDefault="6F263F7F" w14:paraId="3B689D76" w14:textId="1F5FFFE5">
      <w:pPr>
        <w:pStyle w:val="Normal"/>
        <w:spacing w:after="160" w:line="259" w:lineRule="auto"/>
      </w:pPr>
      <w:r w:rsidRPr="6F263F7F" w:rsidR="6F263F7F">
        <w:rPr>
          <w:rFonts w:ascii="Arial" w:hAnsi="Arial" w:eastAsia="Arial" w:cs="Arial"/>
          <w:noProof w:val="0"/>
          <w:sz w:val="24"/>
          <w:szCs w:val="24"/>
          <w:lang w:val="en-GB"/>
        </w:rPr>
        <w:t>Korhonen, H., Heikkinen, H., Kiviniemi, U., Tynj</w:t>
      </w:r>
      <w:hyperlink w:anchor="!" r:id="R33ba9dba02b544e9">
        <w:r w:rsidRPr="6F263F7F" w:rsidR="6F263F7F">
          <w:rPr>
            <w:rStyle w:val="Hyperlink"/>
            <w:rFonts w:ascii="Arial" w:hAnsi="Arial" w:eastAsia="Arial" w:cs="Arial"/>
            <w:noProof w:val="0"/>
            <w:color w:val="auto"/>
            <w:sz w:val="24"/>
            <w:szCs w:val="24"/>
            <w:u w:val="none"/>
            <w:lang w:val="en-GB"/>
          </w:rPr>
          <w:t>ä</w:t>
        </w:r>
      </w:hyperlink>
      <w:r w:rsidRPr="6F263F7F" w:rsidR="6F263F7F">
        <w:rPr>
          <w:rFonts w:ascii="Arial" w:hAnsi="Arial" w:eastAsia="Arial" w:cs="Arial"/>
          <w:noProof w:val="0"/>
          <w:color w:val="auto"/>
          <w:sz w:val="24"/>
          <w:szCs w:val="24"/>
          <w:u w:val="single"/>
          <w:lang w:val="en-GB"/>
        </w:rPr>
        <w:t>j</w:t>
      </w:r>
      <w:hyperlink w:anchor="!" r:id="R23820c6c7ba7476a">
        <w:r w:rsidRPr="6F263F7F" w:rsidR="6F263F7F">
          <w:rPr>
            <w:rStyle w:val="Hyperlink"/>
            <w:rFonts w:ascii="Arial" w:hAnsi="Arial" w:eastAsia="Arial" w:cs="Arial"/>
            <w:noProof w:val="0"/>
            <w:color w:val="auto"/>
            <w:sz w:val="24"/>
            <w:szCs w:val="24"/>
            <w:u w:val="none"/>
            <w:lang w:val="en-GB"/>
          </w:rPr>
          <w:t>ä</w:t>
        </w:r>
      </w:hyperlink>
      <w:r w:rsidRPr="6F263F7F" w:rsidR="6F263F7F">
        <w:rPr>
          <w:rFonts w:ascii="Arial" w:hAnsi="Arial" w:eastAsia="Arial" w:cs="Arial"/>
          <w:noProof w:val="0"/>
          <w:sz w:val="24"/>
          <w:szCs w:val="24"/>
          <w:lang w:val="en-GB"/>
        </w:rPr>
        <w:t xml:space="preserve">, (2017), ‘Student teachers’ experiences of participating in mixed peer mentoring groups of in-service and pre-service teachers in Finland’, </w:t>
      </w:r>
      <w:r w:rsidRPr="6F263F7F" w:rsidR="6F263F7F">
        <w:rPr>
          <w:rFonts w:ascii="Arial" w:hAnsi="Arial" w:eastAsia="Arial" w:cs="Arial"/>
          <w:i w:val="1"/>
          <w:iCs w:val="1"/>
          <w:noProof w:val="0"/>
          <w:sz w:val="24"/>
          <w:szCs w:val="24"/>
          <w:lang w:val="en-GB"/>
        </w:rPr>
        <w:t>Teaching and Teacher Education</w:t>
      </w:r>
      <w:r w:rsidRPr="6F263F7F" w:rsidR="6F263F7F">
        <w:rPr>
          <w:rFonts w:ascii="Arial" w:hAnsi="Arial" w:eastAsia="Arial" w:cs="Arial"/>
          <w:noProof w:val="0"/>
          <w:sz w:val="24"/>
          <w:szCs w:val="24"/>
          <w:lang w:val="en-GB"/>
        </w:rPr>
        <w:t xml:space="preserve">, vol.61, pp.153-163, available at </w:t>
      </w:r>
      <w:hyperlink r:id="R600beca3284249a7">
        <w:r w:rsidRPr="6F263F7F" w:rsidR="6F263F7F">
          <w:rPr>
            <w:rStyle w:val="Hyperlink"/>
            <w:rFonts w:ascii="Arial" w:hAnsi="Arial" w:eastAsia="Arial" w:cs="Arial"/>
            <w:noProof w:val="0"/>
            <w:sz w:val="24"/>
            <w:szCs w:val="24"/>
            <w:lang w:val="en-GB"/>
          </w:rPr>
          <w:t>https://www-sciencedirect-com.ezproxy.uwtsd.ac.uk/science/article/pii/S0742051X16305273</w:t>
        </w:r>
      </w:hyperlink>
      <w:r w:rsidRPr="6F263F7F" w:rsidR="6F263F7F">
        <w:rPr>
          <w:rFonts w:ascii="Arial" w:hAnsi="Arial" w:eastAsia="Arial" w:cs="Arial"/>
          <w:noProof w:val="0"/>
          <w:sz w:val="24"/>
          <w:szCs w:val="24"/>
          <w:lang w:val="en-GB"/>
        </w:rPr>
        <w:t>, accessed 18/11/19.</w:t>
      </w:r>
    </w:p>
    <w:p w:rsidR="6F263F7F" w:rsidP="6F263F7F" w:rsidRDefault="6F263F7F" w14:paraId="4C911CBB" w14:textId="3326D6E8">
      <w:pPr>
        <w:pStyle w:val="Normal"/>
        <w:spacing w:after="160" w:line="240" w:lineRule="auto"/>
        <w:jc w:val="left"/>
      </w:pPr>
      <w:r w:rsidRPr="6F263F7F" w:rsidR="6F263F7F">
        <w:rPr>
          <w:rFonts w:ascii="Arial" w:hAnsi="Arial" w:eastAsia="Arial" w:cs="Arial"/>
          <w:noProof w:val="0"/>
          <w:sz w:val="24"/>
          <w:szCs w:val="24"/>
          <w:lang w:val="en-GB"/>
        </w:rPr>
        <w:t xml:space="preserve">Le </w:t>
      </w:r>
      <w:proofErr w:type="spellStart"/>
      <w:r w:rsidRPr="6F263F7F" w:rsidR="6F263F7F">
        <w:rPr>
          <w:rFonts w:ascii="Arial" w:hAnsi="Arial" w:eastAsia="Arial" w:cs="Arial"/>
          <w:noProof w:val="0"/>
          <w:sz w:val="24"/>
          <w:szCs w:val="24"/>
          <w:lang w:val="en-GB"/>
        </w:rPr>
        <w:t>Cornu</w:t>
      </w:r>
      <w:proofErr w:type="spellEnd"/>
      <w:r w:rsidRPr="6F263F7F" w:rsidR="6F263F7F">
        <w:rPr>
          <w:rFonts w:ascii="Arial" w:hAnsi="Arial" w:eastAsia="Arial" w:cs="Arial"/>
          <w:noProof w:val="0"/>
          <w:sz w:val="24"/>
          <w:szCs w:val="24"/>
          <w:lang w:val="en-GB"/>
        </w:rPr>
        <w:t>, R. and Ewing, R., (2008), ‘Reconceptualising professional experiences in pre-service teacher education…reconstructing the past to embrace the future’,</w:t>
      </w:r>
      <w:r w:rsidRPr="6F263F7F" w:rsidR="6F263F7F">
        <w:rPr>
          <w:rFonts w:ascii="Arial" w:hAnsi="Arial" w:eastAsia="Arial" w:cs="Arial"/>
          <w:i w:val="1"/>
          <w:iCs w:val="1"/>
          <w:noProof w:val="0"/>
          <w:sz w:val="24"/>
          <w:szCs w:val="24"/>
          <w:lang w:val="en-GB"/>
        </w:rPr>
        <w:t xml:space="preserve"> Teaching and Teacher Education</w:t>
      </w:r>
      <w:r w:rsidRPr="6F263F7F" w:rsidR="6F263F7F">
        <w:rPr>
          <w:rFonts w:ascii="Arial" w:hAnsi="Arial" w:eastAsia="Arial" w:cs="Arial"/>
          <w:noProof w:val="0"/>
          <w:sz w:val="24"/>
          <w:szCs w:val="24"/>
          <w:lang w:val="en-GB"/>
        </w:rPr>
        <w:t>, vol.24, iss.7, pp.1799-1812.</w:t>
      </w:r>
    </w:p>
    <w:p w:rsidR="6F263F7F" w:rsidP="6F263F7F" w:rsidRDefault="6F263F7F" w14:paraId="6D752817" w14:textId="134E9DB3">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OECD, (2018), </w:t>
      </w:r>
      <w:r w:rsidRPr="6F263F7F" w:rsidR="6F263F7F">
        <w:rPr>
          <w:rFonts w:ascii="Arial" w:hAnsi="Arial" w:eastAsia="Arial" w:cs="Arial"/>
          <w:i w:val="1"/>
          <w:iCs w:val="1"/>
          <w:noProof w:val="0"/>
          <w:sz w:val="24"/>
          <w:szCs w:val="24"/>
          <w:lang w:val="en-GB"/>
        </w:rPr>
        <w:t>About – PISA,</w:t>
      </w:r>
      <w:r w:rsidRPr="6F263F7F" w:rsidR="6F263F7F">
        <w:rPr>
          <w:rFonts w:ascii="Arial" w:hAnsi="Arial" w:eastAsia="Arial" w:cs="Arial"/>
          <w:noProof w:val="0"/>
          <w:sz w:val="24"/>
          <w:szCs w:val="24"/>
          <w:lang w:val="en-GB"/>
        </w:rPr>
        <w:t xml:space="preserve"> available at </w:t>
      </w:r>
      <w:hyperlink r:id="Rf5f4b9156cb94415">
        <w:r w:rsidRPr="6F263F7F" w:rsidR="6F263F7F">
          <w:rPr>
            <w:rStyle w:val="Hyperlink"/>
            <w:rFonts w:ascii="Arial" w:hAnsi="Arial" w:eastAsia="Arial" w:cs="Arial"/>
            <w:noProof w:val="0"/>
            <w:color w:val="0563C1"/>
            <w:sz w:val="24"/>
            <w:szCs w:val="24"/>
            <w:u w:val="single"/>
            <w:lang w:val="en-GB"/>
          </w:rPr>
          <w:t>http://www.oecd.org/pisa/aboutpisa/</w:t>
        </w:r>
      </w:hyperlink>
      <w:r w:rsidRPr="6F263F7F" w:rsidR="6F263F7F">
        <w:rPr>
          <w:rFonts w:ascii="Arial" w:hAnsi="Arial" w:eastAsia="Arial" w:cs="Arial"/>
          <w:noProof w:val="0"/>
          <w:color w:val="auto"/>
          <w:sz w:val="24"/>
          <w:szCs w:val="24"/>
          <w:u w:val="none"/>
          <w:lang w:val="en-GB"/>
        </w:rPr>
        <w:t>, accessed 19/11/19.</w:t>
      </w:r>
    </w:p>
    <w:p w:rsidR="6F263F7F" w:rsidP="6F263F7F" w:rsidRDefault="6F263F7F" w14:paraId="05BFCF8B" w14:textId="0C313C99">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OECD, 2019, </w:t>
      </w:r>
      <w:r w:rsidRPr="6F263F7F" w:rsidR="6F263F7F">
        <w:rPr>
          <w:rFonts w:ascii="Arial" w:hAnsi="Arial" w:eastAsia="Arial" w:cs="Arial"/>
          <w:i w:val="1"/>
          <w:iCs w:val="1"/>
          <w:noProof w:val="0"/>
          <w:sz w:val="24"/>
          <w:szCs w:val="24"/>
          <w:lang w:val="en-GB"/>
        </w:rPr>
        <w:t>Beijing, Shanghai, Jiangsu and Zhejiang (China)</w:t>
      </w:r>
      <w:r w:rsidRPr="6F263F7F" w:rsidR="6F263F7F">
        <w:rPr>
          <w:rFonts w:ascii="Arial" w:hAnsi="Arial" w:eastAsia="Arial" w:cs="Arial"/>
          <w:noProof w:val="0"/>
          <w:sz w:val="24"/>
          <w:szCs w:val="24"/>
          <w:lang w:val="en-GB"/>
        </w:rPr>
        <w:t xml:space="preserve">, available at </w:t>
      </w:r>
      <w:hyperlink r:id="R87f2a396c8564ac9">
        <w:r w:rsidRPr="6F263F7F" w:rsidR="6F263F7F">
          <w:rPr>
            <w:rStyle w:val="Hyperlink"/>
            <w:rFonts w:ascii="Arial" w:hAnsi="Arial" w:eastAsia="Arial" w:cs="Arial"/>
            <w:noProof w:val="0"/>
            <w:color w:val="0563C1"/>
            <w:sz w:val="24"/>
            <w:szCs w:val="24"/>
            <w:u w:val="single"/>
            <w:lang w:val="en-GB"/>
          </w:rPr>
          <w:t>https://www.oecd.org/pisa/publications/PISA2018_CN_QCI.pdf</w:t>
        </w:r>
      </w:hyperlink>
      <w:r w:rsidRPr="6F263F7F" w:rsidR="6F263F7F">
        <w:rPr>
          <w:rFonts w:ascii="Arial" w:hAnsi="Arial" w:eastAsia="Arial" w:cs="Arial"/>
          <w:noProof w:val="0"/>
          <w:color w:val="auto"/>
          <w:sz w:val="24"/>
          <w:szCs w:val="24"/>
          <w:u w:val="none"/>
          <w:lang w:val="en-GB"/>
        </w:rPr>
        <w:t>, accessed 08/01/20.</w:t>
      </w:r>
    </w:p>
    <w:p w:rsidR="6F263F7F" w:rsidP="6F263F7F" w:rsidRDefault="6F263F7F" w14:paraId="7529A1FD" w14:textId="436162BA">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OECD, (2017), </w:t>
      </w:r>
      <w:r w:rsidRPr="6F263F7F" w:rsidR="6F263F7F">
        <w:rPr>
          <w:rFonts w:ascii="Arial" w:hAnsi="Arial" w:eastAsia="Arial" w:cs="Arial"/>
          <w:i w:val="1"/>
          <w:iCs w:val="1"/>
          <w:noProof w:val="0"/>
          <w:sz w:val="24"/>
          <w:szCs w:val="24"/>
          <w:lang w:val="en-GB"/>
        </w:rPr>
        <w:t>PISA for Development and the Sustainable Development Goals</w:t>
      </w:r>
      <w:r w:rsidRPr="6F263F7F" w:rsidR="6F263F7F">
        <w:rPr>
          <w:rFonts w:ascii="Arial" w:hAnsi="Arial" w:eastAsia="Arial" w:cs="Arial"/>
          <w:noProof w:val="0"/>
          <w:sz w:val="24"/>
          <w:szCs w:val="24"/>
          <w:lang w:val="en-GB"/>
        </w:rPr>
        <w:t xml:space="preserve">, available at </w:t>
      </w:r>
      <w:hyperlink r:id="R5d59a196310b4de2">
        <w:r w:rsidRPr="6F263F7F" w:rsidR="6F263F7F">
          <w:rPr>
            <w:rStyle w:val="Hyperlink"/>
            <w:rFonts w:ascii="Arial" w:hAnsi="Arial" w:eastAsia="Arial" w:cs="Arial"/>
            <w:noProof w:val="0"/>
            <w:color w:val="0563C1"/>
            <w:sz w:val="24"/>
            <w:szCs w:val="24"/>
            <w:u w:val="single"/>
            <w:lang w:val="en-GB"/>
          </w:rPr>
          <w:t>https://www.oecd.org/pisa/pisa-for-development/17-PISA-D-and-SDG4.pdf</w:t>
        </w:r>
      </w:hyperlink>
      <w:r w:rsidRPr="6F263F7F" w:rsidR="6F263F7F">
        <w:rPr>
          <w:rFonts w:ascii="Arial" w:hAnsi="Arial" w:eastAsia="Arial" w:cs="Arial"/>
          <w:noProof w:val="0"/>
          <w:color w:val="auto"/>
          <w:sz w:val="24"/>
          <w:szCs w:val="24"/>
          <w:u w:val="none"/>
          <w:lang w:val="en-GB"/>
        </w:rPr>
        <w:t>, accessed 19/11/19.</w:t>
      </w:r>
    </w:p>
    <w:p w:rsidR="6F263F7F" w:rsidP="6F263F7F" w:rsidRDefault="6F263F7F" w14:paraId="54637313" w14:textId="11C11C06">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OECD, (2010), </w:t>
      </w:r>
      <w:r w:rsidRPr="6F263F7F" w:rsidR="6F263F7F">
        <w:rPr>
          <w:rFonts w:ascii="Arial" w:hAnsi="Arial" w:eastAsia="Arial" w:cs="Arial"/>
          <w:i w:val="1"/>
          <w:iCs w:val="1"/>
          <w:noProof w:val="0"/>
          <w:sz w:val="24"/>
          <w:szCs w:val="24"/>
          <w:lang w:val="en-GB"/>
        </w:rPr>
        <w:t>PISA 2009 Results: Executive Summary</w:t>
      </w:r>
      <w:r w:rsidRPr="6F263F7F" w:rsidR="6F263F7F">
        <w:rPr>
          <w:rFonts w:ascii="Arial" w:hAnsi="Arial" w:eastAsia="Arial" w:cs="Arial"/>
          <w:noProof w:val="0"/>
          <w:sz w:val="24"/>
          <w:szCs w:val="24"/>
          <w:lang w:val="en-GB"/>
        </w:rPr>
        <w:t xml:space="preserve">, available at </w:t>
      </w:r>
      <w:hyperlink r:id="R4cf374ffce544ef0">
        <w:r w:rsidRPr="6F263F7F" w:rsidR="6F263F7F">
          <w:rPr>
            <w:rStyle w:val="Hyperlink"/>
            <w:rFonts w:ascii="Arial" w:hAnsi="Arial" w:eastAsia="Arial" w:cs="Arial"/>
            <w:noProof w:val="0"/>
            <w:color w:val="0563C1"/>
            <w:sz w:val="24"/>
            <w:szCs w:val="24"/>
            <w:u w:val="single"/>
            <w:lang w:val="en-GB"/>
          </w:rPr>
          <w:t>https://www.oecd.org/pisa/pisaproducts/46619703.pdf</w:t>
        </w:r>
      </w:hyperlink>
      <w:r w:rsidRPr="6F263F7F" w:rsidR="6F263F7F">
        <w:rPr>
          <w:rFonts w:ascii="Arial" w:hAnsi="Arial" w:eastAsia="Arial" w:cs="Arial"/>
          <w:noProof w:val="0"/>
          <w:color w:val="auto"/>
          <w:sz w:val="24"/>
          <w:szCs w:val="24"/>
          <w:u w:val="none"/>
          <w:lang w:val="en-GB"/>
        </w:rPr>
        <w:t>, accessed 21/11/19.</w:t>
      </w:r>
    </w:p>
    <w:p w:rsidR="6F263F7F" w:rsidP="6F263F7F" w:rsidRDefault="6F263F7F" w14:paraId="5E682BA3" w14:textId="042A1D46">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OECD, (2010), </w:t>
      </w:r>
      <w:r w:rsidRPr="6F263F7F" w:rsidR="6F263F7F">
        <w:rPr>
          <w:rFonts w:ascii="Arial" w:hAnsi="Arial" w:eastAsia="Arial" w:cs="Arial"/>
          <w:i w:val="1"/>
          <w:iCs w:val="1"/>
          <w:noProof w:val="0"/>
          <w:sz w:val="24"/>
          <w:szCs w:val="24"/>
          <w:lang w:val="en-GB"/>
        </w:rPr>
        <w:t>PISA 2009 Results: What Students Know and Can Do</w:t>
      </w:r>
      <w:r w:rsidRPr="6F263F7F" w:rsidR="6F263F7F">
        <w:rPr>
          <w:rFonts w:ascii="Arial" w:hAnsi="Arial" w:eastAsia="Arial" w:cs="Arial"/>
          <w:noProof w:val="0"/>
          <w:sz w:val="24"/>
          <w:szCs w:val="24"/>
          <w:lang w:val="en-GB"/>
        </w:rPr>
        <w:t xml:space="preserve">, available at </w:t>
      </w:r>
      <w:hyperlink r:id="Rc0a87334a8bd4d3c">
        <w:r w:rsidRPr="6F263F7F" w:rsidR="6F263F7F">
          <w:rPr>
            <w:rStyle w:val="Hyperlink"/>
            <w:rFonts w:ascii="Arial" w:hAnsi="Arial" w:eastAsia="Arial" w:cs="Arial"/>
            <w:noProof w:val="0"/>
            <w:color w:val="0563C1"/>
            <w:sz w:val="24"/>
            <w:szCs w:val="24"/>
            <w:u w:val="single"/>
            <w:lang w:val="en-GB"/>
          </w:rPr>
          <w:t>https://www.oecd.org/pisa/pisaproducts/48852548.pdf</w:t>
        </w:r>
      </w:hyperlink>
      <w:r w:rsidRPr="6F263F7F" w:rsidR="6F263F7F">
        <w:rPr>
          <w:rFonts w:ascii="Arial" w:hAnsi="Arial" w:eastAsia="Arial" w:cs="Arial"/>
          <w:noProof w:val="0"/>
          <w:color w:val="auto"/>
          <w:sz w:val="24"/>
          <w:szCs w:val="24"/>
          <w:u w:val="none"/>
          <w:lang w:val="en-GB"/>
        </w:rPr>
        <w:t>, accessed 21/11/19.</w:t>
      </w:r>
    </w:p>
    <w:p w:rsidR="6F263F7F" w:rsidP="6F263F7F" w:rsidRDefault="6F263F7F" w14:paraId="4E6D81C2" w14:textId="7BE6076C">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OECD, (2014), </w:t>
      </w:r>
      <w:r w:rsidRPr="6F263F7F" w:rsidR="6F263F7F">
        <w:rPr>
          <w:rFonts w:ascii="Arial" w:hAnsi="Arial" w:eastAsia="Arial" w:cs="Arial"/>
          <w:i w:val="1"/>
          <w:iCs w:val="1"/>
          <w:noProof w:val="0"/>
          <w:sz w:val="24"/>
          <w:szCs w:val="24"/>
          <w:lang w:val="en-GB"/>
        </w:rPr>
        <w:t>PISA 2012 Results in Focus: What 15-year-olds know and what they can do with what they know</w:t>
      </w:r>
      <w:r w:rsidRPr="6F263F7F" w:rsidR="6F263F7F">
        <w:rPr>
          <w:rFonts w:ascii="Arial" w:hAnsi="Arial" w:eastAsia="Arial" w:cs="Arial"/>
          <w:noProof w:val="0"/>
          <w:sz w:val="24"/>
          <w:szCs w:val="24"/>
          <w:lang w:val="en-GB"/>
        </w:rPr>
        <w:t xml:space="preserve">, available at </w:t>
      </w:r>
      <w:hyperlink r:id="R7c95c3b9191841fe">
        <w:r w:rsidRPr="6F263F7F" w:rsidR="6F263F7F">
          <w:rPr>
            <w:rStyle w:val="Hyperlink"/>
            <w:rFonts w:ascii="Arial" w:hAnsi="Arial" w:eastAsia="Arial" w:cs="Arial"/>
            <w:noProof w:val="0"/>
            <w:color w:val="0563C1"/>
            <w:sz w:val="24"/>
            <w:szCs w:val="24"/>
            <w:u w:val="single"/>
            <w:lang w:val="en-GB"/>
          </w:rPr>
          <w:t>https://www.oecd.org/pisa/keyfindings/pisa-2012-results-overview.pdf</w:t>
        </w:r>
      </w:hyperlink>
      <w:r w:rsidRPr="6F263F7F" w:rsidR="6F263F7F">
        <w:rPr>
          <w:rFonts w:ascii="Arial" w:hAnsi="Arial" w:eastAsia="Arial" w:cs="Arial"/>
          <w:noProof w:val="0"/>
          <w:color w:val="auto"/>
          <w:sz w:val="24"/>
          <w:szCs w:val="24"/>
          <w:u w:val="none"/>
          <w:lang w:val="en-GB"/>
        </w:rPr>
        <w:t>, accessed 20/11/19.</w:t>
      </w:r>
    </w:p>
    <w:p w:rsidR="6F263F7F" w:rsidP="6F263F7F" w:rsidRDefault="6F263F7F" w14:paraId="5365C4D5" w14:textId="4B28A6D4">
      <w:pPr>
        <w:pStyle w:val="Normal"/>
        <w:spacing w:after="160" w:line="259" w:lineRule="auto"/>
      </w:pPr>
      <w:r w:rsidRPr="6F263F7F" w:rsidR="6F263F7F">
        <w:rPr>
          <w:rFonts w:ascii="Arial" w:hAnsi="Arial" w:eastAsia="Arial" w:cs="Arial"/>
          <w:noProof w:val="0"/>
          <w:sz w:val="24"/>
          <w:szCs w:val="24"/>
          <w:lang w:val="en-GB"/>
        </w:rPr>
        <w:t xml:space="preserve">OECD, (2018), </w:t>
      </w:r>
      <w:r w:rsidRPr="6F263F7F" w:rsidR="6F263F7F">
        <w:rPr>
          <w:rFonts w:ascii="Arial" w:hAnsi="Arial" w:eastAsia="Arial" w:cs="Arial"/>
          <w:i w:val="1"/>
          <w:iCs w:val="1"/>
          <w:noProof w:val="0"/>
          <w:sz w:val="24"/>
          <w:szCs w:val="24"/>
          <w:lang w:val="en-GB"/>
        </w:rPr>
        <w:t>PISA 2015: PISA Results in Focus</w:t>
      </w:r>
      <w:r w:rsidRPr="6F263F7F" w:rsidR="6F263F7F">
        <w:rPr>
          <w:rFonts w:ascii="Arial" w:hAnsi="Arial" w:eastAsia="Arial" w:cs="Arial"/>
          <w:noProof w:val="0"/>
          <w:sz w:val="24"/>
          <w:szCs w:val="24"/>
          <w:lang w:val="en-GB"/>
        </w:rPr>
        <w:t xml:space="preserve">, available at </w:t>
      </w:r>
      <w:hyperlink r:id="R70ebf4c63492461f">
        <w:r w:rsidRPr="6F263F7F" w:rsidR="6F263F7F">
          <w:rPr>
            <w:rStyle w:val="Hyperlink"/>
            <w:rFonts w:ascii="Arial" w:hAnsi="Arial" w:eastAsia="Arial" w:cs="Arial"/>
            <w:noProof w:val="0"/>
            <w:color w:val="0563C1"/>
            <w:sz w:val="24"/>
            <w:szCs w:val="24"/>
            <w:u w:val="single"/>
            <w:lang w:val="en-GB"/>
          </w:rPr>
          <w:t>https://www.oecd.org/pisa/pisa-2015-results-in-focus.pdf</w:t>
        </w:r>
      </w:hyperlink>
      <w:r w:rsidRPr="6F263F7F" w:rsidR="6F263F7F">
        <w:rPr>
          <w:rFonts w:ascii="Arial" w:hAnsi="Arial" w:eastAsia="Arial" w:cs="Arial"/>
          <w:noProof w:val="0"/>
          <w:color w:val="auto"/>
          <w:sz w:val="24"/>
          <w:szCs w:val="24"/>
          <w:u w:val="none"/>
          <w:lang w:val="en-GB"/>
        </w:rPr>
        <w:t>, accessed 21/11/19.</w:t>
      </w:r>
    </w:p>
    <w:p w:rsidR="6F263F7F" w:rsidP="6F263F7F" w:rsidRDefault="6F263F7F" w14:paraId="5078E330" w14:textId="51FA7303">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OECD, 2019, </w:t>
      </w:r>
      <w:r w:rsidRPr="6F263F7F" w:rsidR="6F263F7F">
        <w:rPr>
          <w:rFonts w:ascii="Arial" w:hAnsi="Arial" w:eastAsia="Arial" w:cs="Arial"/>
          <w:i w:val="1"/>
          <w:iCs w:val="1"/>
          <w:noProof w:val="0"/>
          <w:sz w:val="24"/>
          <w:szCs w:val="24"/>
          <w:lang w:val="en-GB"/>
        </w:rPr>
        <w:t>PISA 2018 Results</w:t>
      </w:r>
      <w:r w:rsidRPr="6F263F7F" w:rsidR="6F263F7F">
        <w:rPr>
          <w:rFonts w:ascii="Arial" w:hAnsi="Arial" w:eastAsia="Arial" w:cs="Arial"/>
          <w:noProof w:val="0"/>
          <w:sz w:val="24"/>
          <w:szCs w:val="24"/>
          <w:lang w:val="en-GB"/>
        </w:rPr>
        <w:t xml:space="preserve">, available at </w:t>
      </w:r>
      <w:hyperlink r:id="Rebdeab522b354e3b">
        <w:r w:rsidRPr="6F263F7F" w:rsidR="6F263F7F">
          <w:rPr>
            <w:rStyle w:val="Hyperlink"/>
            <w:rFonts w:ascii="Arial" w:hAnsi="Arial" w:eastAsia="Arial" w:cs="Arial"/>
            <w:noProof w:val="0"/>
            <w:color w:val="0563C1"/>
            <w:sz w:val="24"/>
            <w:szCs w:val="24"/>
            <w:u w:val="single"/>
            <w:lang w:val="en-GB"/>
          </w:rPr>
          <w:t>https://www.oecd.org/pisa/publications/pisa-2018-results.htm</w:t>
        </w:r>
      </w:hyperlink>
      <w:r w:rsidRPr="6F263F7F" w:rsidR="6F263F7F">
        <w:rPr>
          <w:rFonts w:ascii="Arial" w:hAnsi="Arial" w:eastAsia="Arial" w:cs="Arial"/>
          <w:noProof w:val="0"/>
          <w:color w:val="auto"/>
          <w:sz w:val="24"/>
          <w:szCs w:val="24"/>
          <w:u w:val="none"/>
          <w:lang w:val="en-GB"/>
        </w:rPr>
        <w:t>, accessed 08/01/20.</w:t>
      </w:r>
    </w:p>
    <w:p w:rsidR="6F263F7F" w:rsidP="6F263F7F" w:rsidRDefault="6F263F7F" w14:paraId="0630FBC8" w14:textId="64E203B0">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OECD, (2012), </w:t>
      </w:r>
      <w:r w:rsidRPr="6F263F7F" w:rsidR="6F263F7F">
        <w:rPr>
          <w:rFonts w:ascii="Arial" w:hAnsi="Arial" w:eastAsia="Arial" w:cs="Arial"/>
          <w:i w:val="1"/>
          <w:iCs w:val="1"/>
          <w:noProof w:val="0"/>
          <w:sz w:val="24"/>
          <w:szCs w:val="24"/>
          <w:lang w:val="en-GB"/>
        </w:rPr>
        <w:t>Shanghai (China) - Strong Performers and Successful Reformers in Education</w:t>
      </w:r>
      <w:r w:rsidRPr="6F263F7F" w:rsidR="6F263F7F">
        <w:rPr>
          <w:rFonts w:ascii="Arial" w:hAnsi="Arial" w:eastAsia="Arial" w:cs="Arial"/>
          <w:noProof w:val="0"/>
          <w:sz w:val="24"/>
          <w:szCs w:val="24"/>
          <w:lang w:val="en-GB"/>
        </w:rPr>
        <w:t xml:space="preserve">, available at </w:t>
      </w:r>
      <w:hyperlink r:id="R7ca16ceb0df7484f">
        <w:r w:rsidRPr="6F263F7F" w:rsidR="6F263F7F">
          <w:rPr>
            <w:rStyle w:val="Hyperlink"/>
            <w:rFonts w:ascii="Arial" w:hAnsi="Arial" w:eastAsia="Arial" w:cs="Arial"/>
            <w:noProof w:val="0"/>
            <w:color w:val="0563C1"/>
            <w:sz w:val="24"/>
            <w:szCs w:val="24"/>
            <w:u w:val="single"/>
            <w:lang w:val="en-GB"/>
          </w:rPr>
          <w:t>https://www.youtube.com/watch?v=yxT94FXwSPM</w:t>
        </w:r>
      </w:hyperlink>
      <w:r w:rsidRPr="6F263F7F" w:rsidR="6F263F7F">
        <w:rPr>
          <w:rFonts w:ascii="Arial" w:hAnsi="Arial" w:eastAsia="Arial" w:cs="Arial"/>
          <w:noProof w:val="0"/>
          <w:color w:val="auto"/>
          <w:sz w:val="24"/>
          <w:szCs w:val="24"/>
          <w:u w:val="none"/>
          <w:lang w:val="en-GB"/>
        </w:rPr>
        <w:t>, accessed 1/11/19.</w:t>
      </w:r>
    </w:p>
    <w:p w:rsidR="6F263F7F" w:rsidP="6F263F7F" w:rsidRDefault="6F263F7F" w14:paraId="0BE688CD" w14:textId="5AFB336F">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OECD, (2019), </w:t>
      </w:r>
      <w:r w:rsidRPr="6F263F7F" w:rsidR="6F263F7F">
        <w:rPr>
          <w:rFonts w:ascii="Arial" w:hAnsi="Arial" w:eastAsia="Arial" w:cs="Arial"/>
          <w:i w:val="1"/>
          <w:iCs w:val="1"/>
          <w:noProof w:val="0"/>
          <w:sz w:val="24"/>
          <w:szCs w:val="24"/>
          <w:lang w:val="en-GB"/>
        </w:rPr>
        <w:t xml:space="preserve">What contributes to students’ well-being at </w:t>
      </w:r>
      <w:proofErr w:type="gramStart"/>
      <w:r w:rsidRPr="6F263F7F" w:rsidR="6F263F7F">
        <w:rPr>
          <w:rFonts w:ascii="Arial" w:hAnsi="Arial" w:eastAsia="Arial" w:cs="Arial"/>
          <w:i w:val="1"/>
          <w:iCs w:val="1"/>
          <w:noProof w:val="0"/>
          <w:sz w:val="24"/>
          <w:szCs w:val="24"/>
          <w:lang w:val="en-GB"/>
        </w:rPr>
        <w:t>school?</w:t>
      </w:r>
      <w:r w:rsidRPr="6F263F7F" w:rsidR="6F263F7F">
        <w:rPr>
          <w:rFonts w:ascii="Arial" w:hAnsi="Arial" w:eastAsia="Arial" w:cs="Arial"/>
          <w:noProof w:val="0"/>
          <w:sz w:val="24"/>
          <w:szCs w:val="24"/>
          <w:lang w:val="en-GB"/>
        </w:rPr>
        <w:t>,</w:t>
      </w:r>
      <w:proofErr w:type="gramEnd"/>
      <w:r w:rsidRPr="6F263F7F" w:rsidR="6F263F7F">
        <w:rPr>
          <w:rFonts w:ascii="Arial" w:hAnsi="Arial" w:eastAsia="Arial" w:cs="Arial"/>
          <w:noProof w:val="0"/>
          <w:sz w:val="24"/>
          <w:szCs w:val="24"/>
          <w:lang w:val="en-GB"/>
        </w:rPr>
        <w:t xml:space="preserve"> available at </w:t>
      </w:r>
      <w:hyperlink r:id="Red4441eec3ae4502">
        <w:r w:rsidRPr="6F263F7F" w:rsidR="6F263F7F">
          <w:rPr>
            <w:rStyle w:val="Hyperlink"/>
            <w:rFonts w:ascii="Arial" w:hAnsi="Arial" w:eastAsia="Arial" w:cs="Arial"/>
            <w:noProof w:val="0"/>
            <w:color w:val="0563C1"/>
            <w:sz w:val="24"/>
            <w:szCs w:val="24"/>
            <w:u w:val="single"/>
            <w:lang w:val="en-GB"/>
          </w:rPr>
          <w:t>https://www.oecd.org/pisa/Well-being-Infographics.pdf</w:t>
        </w:r>
      </w:hyperlink>
      <w:r w:rsidRPr="6F263F7F" w:rsidR="6F263F7F">
        <w:rPr>
          <w:rFonts w:ascii="Arial" w:hAnsi="Arial" w:eastAsia="Arial" w:cs="Arial"/>
          <w:noProof w:val="0"/>
          <w:color w:val="auto"/>
          <w:sz w:val="24"/>
          <w:szCs w:val="24"/>
          <w:u w:val="none"/>
          <w:lang w:val="en-GB"/>
        </w:rPr>
        <w:t>, accessed 08/01/2020.</w:t>
      </w:r>
    </w:p>
    <w:p w:rsidR="6F263F7F" w:rsidP="6F263F7F" w:rsidRDefault="6F263F7F" w14:paraId="0134385B" w14:textId="208C26A5">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Opfer, V.D. and Pedder, D., (2010), ‘Benefits, Status and Effectiveness of Continuous Professional Development for Teachers in England’, </w:t>
      </w:r>
      <w:r w:rsidRPr="6F263F7F" w:rsidR="6F263F7F">
        <w:rPr>
          <w:rFonts w:ascii="Arial" w:hAnsi="Arial" w:eastAsia="Arial" w:cs="Arial"/>
          <w:i w:val="1"/>
          <w:iCs w:val="1"/>
          <w:noProof w:val="0"/>
          <w:sz w:val="24"/>
          <w:szCs w:val="24"/>
          <w:lang w:val="en-GB"/>
        </w:rPr>
        <w:t>Curriculum Journal</w:t>
      </w:r>
      <w:r w:rsidRPr="6F263F7F" w:rsidR="6F263F7F">
        <w:rPr>
          <w:rFonts w:ascii="Arial" w:hAnsi="Arial" w:eastAsia="Arial" w:cs="Arial"/>
          <w:noProof w:val="0"/>
          <w:sz w:val="24"/>
          <w:szCs w:val="24"/>
          <w:lang w:val="en-GB"/>
        </w:rPr>
        <w:t>, vol.21, iss.4, pp.413-431.</w:t>
      </w:r>
    </w:p>
    <w:p w:rsidR="6F263F7F" w:rsidP="6F263F7F" w:rsidRDefault="6F263F7F" w14:paraId="6B47A7B7" w14:textId="1ECB3CEE">
      <w:pPr>
        <w:spacing w:after="160" w:line="259" w:lineRule="auto"/>
        <w:rPr>
          <w:rFonts w:ascii="Arial" w:hAnsi="Arial" w:eastAsia="Arial" w:cs="Arial"/>
          <w:noProof w:val="0"/>
          <w:sz w:val="24"/>
          <w:szCs w:val="24"/>
          <w:lang w:val="en-GB"/>
        </w:rPr>
      </w:pPr>
      <w:proofErr w:type="spellStart"/>
      <w:r w:rsidRPr="6F263F7F" w:rsidR="6F263F7F">
        <w:rPr>
          <w:rFonts w:ascii="Arial" w:hAnsi="Arial" w:eastAsia="Arial" w:cs="Arial"/>
          <w:noProof w:val="0"/>
          <w:sz w:val="24"/>
          <w:szCs w:val="24"/>
          <w:lang w:val="en-GB"/>
        </w:rPr>
        <w:t>Pirttilä</w:t>
      </w:r>
      <w:proofErr w:type="spellEnd"/>
      <w:r w:rsidRPr="6F263F7F" w:rsidR="6F263F7F">
        <w:rPr>
          <w:rFonts w:ascii="Arial" w:hAnsi="Arial" w:eastAsia="Arial" w:cs="Arial"/>
          <w:noProof w:val="0"/>
          <w:sz w:val="24"/>
          <w:szCs w:val="24"/>
          <w:lang w:val="en-GB"/>
        </w:rPr>
        <w:t xml:space="preserve">-Backman, A., Menard, R., Verma, J. and Kassea, R., (2017), ‘Social Representations of Trust Among Teachers and Principals in Cameroonian, Indian and Finnish Schools’, </w:t>
      </w:r>
      <w:r w:rsidRPr="6F263F7F" w:rsidR="6F263F7F">
        <w:rPr>
          <w:rFonts w:ascii="Arial" w:hAnsi="Arial" w:eastAsia="Arial" w:cs="Arial"/>
          <w:i w:val="1"/>
          <w:iCs w:val="1"/>
          <w:noProof w:val="0"/>
          <w:sz w:val="24"/>
          <w:szCs w:val="24"/>
          <w:lang w:val="en-GB"/>
        </w:rPr>
        <w:t>Journal of Social and Political Psychology</w:t>
      </w:r>
      <w:r w:rsidRPr="6F263F7F" w:rsidR="6F263F7F">
        <w:rPr>
          <w:rFonts w:ascii="Arial" w:hAnsi="Arial" w:eastAsia="Arial" w:cs="Arial"/>
          <w:noProof w:val="0"/>
          <w:sz w:val="24"/>
          <w:szCs w:val="24"/>
          <w:lang w:val="en-GB"/>
        </w:rPr>
        <w:t xml:space="preserve">, vol.5, </w:t>
      </w:r>
      <w:r w:rsidRPr="6F263F7F" w:rsidR="6F263F7F">
        <w:rPr>
          <w:rFonts w:ascii="Arial" w:hAnsi="Arial" w:eastAsia="Arial" w:cs="Arial"/>
          <w:noProof w:val="0"/>
          <w:sz w:val="24"/>
          <w:szCs w:val="24"/>
          <w:lang w:val="en-GB"/>
        </w:rPr>
        <w:t>iss</w:t>
      </w:r>
      <w:r w:rsidRPr="6F263F7F" w:rsidR="6F263F7F">
        <w:rPr>
          <w:rFonts w:ascii="Arial" w:hAnsi="Arial" w:eastAsia="Arial" w:cs="Arial"/>
          <w:noProof w:val="0"/>
          <w:sz w:val="24"/>
          <w:szCs w:val="24"/>
          <w:lang w:val="en-GB"/>
        </w:rPr>
        <w:t>.1, pp.29-57.</w:t>
      </w:r>
    </w:p>
    <w:p w:rsidR="6F263F7F" w:rsidP="6F263F7F" w:rsidRDefault="6F263F7F" w14:paraId="328B078F" w14:textId="185DFEC6">
      <w:pPr>
        <w:spacing w:after="160" w:line="259" w:lineRule="auto"/>
        <w:jc w:val="left"/>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Qiang, H., Walker, A., 2015, ‘The education of migrant children in Shanghai: The battle for equity’, </w:t>
      </w:r>
      <w:r w:rsidRPr="6F263F7F" w:rsidR="6F263F7F">
        <w:rPr>
          <w:rFonts w:ascii="Arial" w:hAnsi="Arial" w:eastAsia="Arial" w:cs="Arial"/>
          <w:i w:val="1"/>
          <w:iCs w:val="1"/>
          <w:noProof w:val="0"/>
          <w:sz w:val="24"/>
          <w:szCs w:val="24"/>
          <w:lang w:val="en-GB"/>
        </w:rPr>
        <w:t>International Journal of Educational Development</w:t>
      </w:r>
      <w:r w:rsidRPr="6F263F7F" w:rsidR="6F263F7F">
        <w:rPr>
          <w:rFonts w:ascii="Arial" w:hAnsi="Arial" w:eastAsia="Arial" w:cs="Arial"/>
          <w:noProof w:val="0"/>
          <w:sz w:val="24"/>
          <w:szCs w:val="24"/>
          <w:lang w:val="en-GB"/>
        </w:rPr>
        <w:t xml:space="preserve">, vol.44, pp.74-81, available at </w:t>
      </w:r>
      <w:hyperlink r:id="R22776901d02a424c">
        <w:r w:rsidRPr="6F263F7F" w:rsidR="6F263F7F">
          <w:rPr>
            <w:rStyle w:val="Hyperlink"/>
            <w:rFonts w:ascii="Arial" w:hAnsi="Arial" w:eastAsia="Arial" w:cs="Arial"/>
            <w:noProof w:val="0"/>
            <w:color w:val="0563C1"/>
            <w:sz w:val="24"/>
            <w:szCs w:val="24"/>
            <w:u w:val="single"/>
            <w:lang w:val="en-GB"/>
          </w:rPr>
          <w:t>https://www.sciencedirect.com/science/article/pii/S0738059315000851?via%3Dihub</w:t>
        </w:r>
      </w:hyperlink>
      <w:r w:rsidRPr="6F263F7F" w:rsidR="6F263F7F">
        <w:rPr>
          <w:rFonts w:ascii="Arial" w:hAnsi="Arial" w:eastAsia="Arial" w:cs="Arial"/>
          <w:noProof w:val="0"/>
          <w:sz w:val="24"/>
          <w:szCs w:val="24"/>
          <w:u w:val="none"/>
          <w:lang w:val="en-GB"/>
        </w:rPr>
        <w:t>, accessed, 08/01/20.</w:t>
      </w:r>
    </w:p>
    <w:p w:rsidR="6F263F7F" w:rsidP="6F263F7F" w:rsidRDefault="6F263F7F" w14:paraId="7AB60018" w14:textId="4F0E0E1D">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Rusitoru, M., (2018), ‘The “miracle” of education policies in Finland between equity and mutual trust. From performance to excellence’, </w:t>
      </w:r>
      <w:r w:rsidRPr="6F263F7F" w:rsidR="6F263F7F">
        <w:rPr>
          <w:rFonts w:ascii="Arial" w:hAnsi="Arial" w:eastAsia="Arial" w:cs="Arial"/>
          <w:i w:val="1"/>
          <w:iCs w:val="1"/>
          <w:noProof w:val="0"/>
          <w:sz w:val="24"/>
          <w:szCs w:val="24"/>
          <w:lang w:val="en-GB"/>
        </w:rPr>
        <w:t>Journal of Pedagogy</w:t>
      </w:r>
      <w:r w:rsidRPr="6F263F7F" w:rsidR="6F263F7F">
        <w:rPr>
          <w:rFonts w:ascii="Arial" w:hAnsi="Arial" w:eastAsia="Arial" w:cs="Arial"/>
          <w:noProof w:val="0"/>
          <w:sz w:val="24"/>
          <w:szCs w:val="24"/>
          <w:lang w:val="en-GB"/>
        </w:rPr>
        <w:t>, vol.67, iss.2, pp.93-102.</w:t>
      </w:r>
    </w:p>
    <w:p w:rsidR="6F263F7F" w:rsidP="6F263F7F" w:rsidRDefault="6F263F7F" w14:paraId="3982DACE" w14:textId="7466D058">
      <w:pPr>
        <w:spacing w:after="160" w:line="259" w:lineRule="auto"/>
        <w:jc w:val="left"/>
        <w:rPr>
          <w:rFonts w:ascii="Arial" w:hAnsi="Arial" w:eastAsia="Arial" w:cs="Arial"/>
          <w:noProof w:val="0"/>
          <w:sz w:val="24"/>
          <w:szCs w:val="24"/>
          <w:lang w:val="en-GB"/>
        </w:rPr>
      </w:pPr>
      <w:proofErr w:type="spellStart"/>
      <w:r w:rsidRPr="6F263F7F" w:rsidR="6F263F7F">
        <w:rPr>
          <w:rFonts w:ascii="Arial" w:hAnsi="Arial" w:eastAsia="Arial" w:cs="Arial"/>
          <w:noProof w:val="0"/>
          <w:sz w:val="24"/>
          <w:szCs w:val="24"/>
          <w:lang w:val="en-GB"/>
        </w:rPr>
        <w:t>Schleicher</w:t>
      </w:r>
      <w:proofErr w:type="spellEnd"/>
      <w:r w:rsidRPr="6F263F7F" w:rsidR="6F263F7F">
        <w:rPr>
          <w:rFonts w:ascii="Arial" w:hAnsi="Arial" w:eastAsia="Arial" w:cs="Arial"/>
          <w:noProof w:val="0"/>
          <w:sz w:val="24"/>
          <w:szCs w:val="24"/>
          <w:lang w:val="en-GB"/>
        </w:rPr>
        <w:t xml:space="preserve">, A., 2019, </w:t>
      </w:r>
      <w:r w:rsidRPr="6F263F7F" w:rsidR="6F263F7F">
        <w:rPr>
          <w:rFonts w:ascii="Arial" w:hAnsi="Arial" w:eastAsia="Arial" w:cs="Arial"/>
          <w:i w:val="1"/>
          <w:iCs w:val="1"/>
          <w:noProof w:val="0"/>
          <w:sz w:val="24"/>
          <w:szCs w:val="24"/>
          <w:lang w:val="en-GB"/>
        </w:rPr>
        <w:t>PISA 2018: Insights and Interpretations</w:t>
      </w:r>
      <w:r w:rsidRPr="6F263F7F" w:rsidR="6F263F7F">
        <w:rPr>
          <w:rFonts w:ascii="Arial" w:hAnsi="Arial" w:eastAsia="Arial" w:cs="Arial"/>
          <w:noProof w:val="0"/>
          <w:sz w:val="24"/>
          <w:szCs w:val="24"/>
          <w:lang w:val="en-GB"/>
        </w:rPr>
        <w:t xml:space="preserve">, available at </w:t>
      </w:r>
      <w:hyperlink r:id="Rd7e6af71c687453a">
        <w:r w:rsidRPr="6F263F7F" w:rsidR="6F263F7F">
          <w:rPr>
            <w:rStyle w:val="Hyperlink"/>
            <w:rFonts w:ascii="Arial" w:hAnsi="Arial" w:eastAsia="Arial" w:cs="Arial"/>
            <w:noProof w:val="0"/>
            <w:color w:val="0563C1"/>
            <w:sz w:val="24"/>
            <w:szCs w:val="24"/>
            <w:u w:val="single"/>
            <w:lang w:val="en-GB"/>
          </w:rPr>
          <w:t>https://www.oecd.org/pisa/publications/pisa-2018-results.htm</w:t>
        </w:r>
      </w:hyperlink>
      <w:r w:rsidRPr="6F263F7F" w:rsidR="6F263F7F">
        <w:rPr>
          <w:rFonts w:ascii="Arial" w:hAnsi="Arial" w:eastAsia="Arial" w:cs="Arial"/>
          <w:noProof w:val="0"/>
          <w:color w:val="auto"/>
          <w:sz w:val="24"/>
          <w:szCs w:val="24"/>
          <w:u w:val="none"/>
          <w:lang w:val="en-GB"/>
        </w:rPr>
        <w:t>, accessed 08/01/20.</w:t>
      </w:r>
    </w:p>
    <w:p w:rsidR="6F263F7F" w:rsidP="6F263F7F" w:rsidRDefault="6F263F7F" w14:paraId="28348488" w14:textId="4EC6560D">
      <w:pPr>
        <w:spacing w:after="160" w:line="259" w:lineRule="auto"/>
        <w:rPr>
          <w:rFonts w:ascii="Arial" w:hAnsi="Arial" w:eastAsia="Arial" w:cs="Arial"/>
          <w:noProof w:val="0"/>
          <w:sz w:val="24"/>
          <w:szCs w:val="24"/>
          <w:lang w:val="en-GB"/>
        </w:rPr>
      </w:pPr>
      <w:proofErr w:type="spellStart"/>
      <w:r w:rsidRPr="6F263F7F" w:rsidR="6F263F7F">
        <w:rPr>
          <w:rFonts w:ascii="Arial" w:hAnsi="Arial" w:eastAsia="Arial" w:cs="Arial"/>
          <w:noProof w:val="0"/>
          <w:sz w:val="24"/>
          <w:szCs w:val="24"/>
          <w:lang w:val="en-GB"/>
        </w:rPr>
        <w:t>Shaheen</w:t>
      </w:r>
      <w:proofErr w:type="spellEnd"/>
      <w:r w:rsidRPr="6F263F7F" w:rsidR="6F263F7F">
        <w:rPr>
          <w:rFonts w:ascii="Arial" w:hAnsi="Arial" w:eastAsia="Arial" w:cs="Arial"/>
          <w:noProof w:val="0"/>
          <w:sz w:val="24"/>
          <w:szCs w:val="24"/>
          <w:lang w:val="en-GB"/>
        </w:rPr>
        <w:t xml:space="preserve">, R., (2010), ‘Creativity and Education’, </w:t>
      </w:r>
      <w:r w:rsidRPr="6F263F7F" w:rsidR="6F263F7F">
        <w:rPr>
          <w:rFonts w:ascii="Arial" w:hAnsi="Arial" w:eastAsia="Arial" w:cs="Arial"/>
          <w:i w:val="1"/>
          <w:iCs w:val="1"/>
          <w:noProof w:val="0"/>
          <w:sz w:val="24"/>
          <w:szCs w:val="24"/>
          <w:lang w:val="en-GB"/>
        </w:rPr>
        <w:t>Creative Education</w:t>
      </w:r>
      <w:r w:rsidRPr="6F263F7F" w:rsidR="6F263F7F">
        <w:rPr>
          <w:rFonts w:ascii="Arial" w:hAnsi="Arial" w:eastAsia="Arial" w:cs="Arial"/>
          <w:noProof w:val="0"/>
          <w:sz w:val="24"/>
          <w:szCs w:val="24"/>
          <w:lang w:val="en-GB"/>
        </w:rPr>
        <w:t xml:space="preserve">, vol.1, </w:t>
      </w:r>
      <w:r w:rsidRPr="6F263F7F" w:rsidR="6F263F7F">
        <w:rPr>
          <w:rFonts w:ascii="Arial" w:hAnsi="Arial" w:eastAsia="Arial" w:cs="Arial"/>
          <w:noProof w:val="0"/>
          <w:sz w:val="24"/>
          <w:szCs w:val="24"/>
          <w:lang w:val="en-GB"/>
        </w:rPr>
        <w:t>iss</w:t>
      </w:r>
      <w:r w:rsidRPr="6F263F7F" w:rsidR="6F263F7F">
        <w:rPr>
          <w:rFonts w:ascii="Arial" w:hAnsi="Arial" w:eastAsia="Arial" w:cs="Arial"/>
          <w:noProof w:val="0"/>
          <w:sz w:val="24"/>
          <w:szCs w:val="24"/>
          <w:lang w:val="en-GB"/>
        </w:rPr>
        <w:t>.3, pp.166-169.</w:t>
      </w:r>
    </w:p>
    <w:p w:rsidR="6F263F7F" w:rsidP="6F263F7F" w:rsidRDefault="6F263F7F" w14:paraId="1305F02C" w14:textId="79A52B7F">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Sjoberg, S., (2015), ‘PISA and Global Education Governance – A Critique of the Project, its Uses and Implications’, </w:t>
      </w:r>
      <w:r w:rsidRPr="6F263F7F" w:rsidR="6F263F7F">
        <w:rPr>
          <w:rFonts w:ascii="Arial" w:hAnsi="Arial" w:eastAsia="Arial" w:cs="Arial"/>
          <w:i w:val="1"/>
          <w:iCs w:val="1"/>
          <w:noProof w:val="0"/>
          <w:sz w:val="24"/>
          <w:szCs w:val="24"/>
          <w:lang w:val="en-GB"/>
        </w:rPr>
        <w:t>Eurasia Journal of Mathematics, Science and Technology Education</w:t>
      </w:r>
      <w:r w:rsidRPr="6F263F7F" w:rsidR="6F263F7F">
        <w:rPr>
          <w:rFonts w:ascii="Arial" w:hAnsi="Arial" w:eastAsia="Arial" w:cs="Arial"/>
          <w:noProof w:val="0"/>
          <w:sz w:val="24"/>
          <w:szCs w:val="24"/>
          <w:lang w:val="en-GB"/>
        </w:rPr>
        <w:t xml:space="preserve">, vol.11, issue.2, pp.111-127, available at </w:t>
      </w:r>
      <w:hyperlink r:id="R91fa39d36799452f">
        <w:r w:rsidRPr="6F263F7F" w:rsidR="6F263F7F">
          <w:rPr>
            <w:rStyle w:val="Hyperlink"/>
            <w:rFonts w:ascii="Arial" w:hAnsi="Arial" w:eastAsia="Arial" w:cs="Arial"/>
            <w:noProof w:val="0"/>
            <w:color w:val="0563C1"/>
            <w:sz w:val="24"/>
            <w:szCs w:val="24"/>
            <w:u w:val="single"/>
            <w:lang w:val="en-GB"/>
          </w:rPr>
          <w:t>https://www.researchgate.net/publication/281684204_PISA_and_Global_Educational_Governance_-_A_Critique_of_the_Project_its_Uses_and_Implications</w:t>
        </w:r>
      </w:hyperlink>
      <w:r w:rsidRPr="6F263F7F" w:rsidR="6F263F7F">
        <w:rPr>
          <w:rFonts w:ascii="Arial" w:hAnsi="Arial" w:eastAsia="Arial" w:cs="Arial"/>
          <w:noProof w:val="0"/>
          <w:color w:val="auto"/>
          <w:sz w:val="24"/>
          <w:szCs w:val="24"/>
          <w:u w:val="none"/>
          <w:lang w:val="en-GB"/>
        </w:rPr>
        <w:t>, accessed 20/11/19.</w:t>
      </w:r>
    </w:p>
    <w:p w:rsidR="6F263F7F" w:rsidP="6F263F7F" w:rsidRDefault="6F263F7F" w14:paraId="3A556435" w14:textId="5A9562F9">
      <w:pPr>
        <w:pStyle w:val="Normal"/>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Sun-Keung Pang, N., and Miao, Z., (2017) ‘The Roles of Teacher Leadership in Shanghai Education Success’, </w:t>
      </w:r>
      <w:r w:rsidRPr="6F263F7F" w:rsidR="6F263F7F">
        <w:rPr>
          <w:rFonts w:ascii="Arial" w:hAnsi="Arial" w:eastAsia="Arial" w:cs="Arial"/>
          <w:i w:val="1"/>
          <w:iCs w:val="1"/>
          <w:noProof w:val="0"/>
          <w:sz w:val="24"/>
          <w:szCs w:val="24"/>
          <w:lang w:val="en-GB"/>
        </w:rPr>
        <w:t>BCES Conference Books</w:t>
      </w:r>
      <w:r w:rsidRPr="6F263F7F" w:rsidR="6F263F7F">
        <w:rPr>
          <w:rFonts w:ascii="Arial" w:hAnsi="Arial" w:eastAsia="Arial" w:cs="Arial"/>
          <w:noProof w:val="0"/>
          <w:sz w:val="24"/>
          <w:szCs w:val="24"/>
          <w:lang w:val="en-GB"/>
        </w:rPr>
        <w:t>, vol.15, pp.93-100.</w:t>
      </w:r>
    </w:p>
    <w:p w:rsidR="6F263F7F" w:rsidP="6F263F7F" w:rsidRDefault="6F263F7F" w14:paraId="0B93A5DF" w14:textId="56501D2E">
      <w:pPr>
        <w:spacing w:after="160" w:line="259" w:lineRule="auto"/>
        <w:jc w:val="left"/>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The Guardian</w:t>
      </w:r>
      <w:r w:rsidRPr="6F263F7F" w:rsidR="6F263F7F">
        <w:rPr>
          <w:rFonts w:ascii="Arial" w:hAnsi="Arial" w:eastAsia="Arial" w:cs="Arial"/>
          <w:noProof w:val="0"/>
          <w:sz w:val="24"/>
          <w:szCs w:val="24"/>
          <w:lang w:val="en-GB"/>
        </w:rPr>
        <w:t>,</w:t>
      </w:r>
      <w:r w:rsidRPr="6F263F7F" w:rsidR="6F263F7F">
        <w:rPr>
          <w:rFonts w:ascii="Arial" w:hAnsi="Arial" w:eastAsia="Arial" w:cs="Arial"/>
          <w:noProof w:val="0"/>
          <w:sz w:val="24"/>
          <w:szCs w:val="24"/>
          <w:lang w:val="en-GB"/>
        </w:rPr>
        <w:t xml:space="preserve"> (2014)</w:t>
      </w:r>
      <w:r w:rsidRPr="6F263F7F" w:rsidR="6F263F7F">
        <w:rPr>
          <w:rFonts w:ascii="Arial" w:hAnsi="Arial" w:eastAsia="Arial" w:cs="Arial"/>
          <w:noProof w:val="0"/>
          <w:sz w:val="24"/>
          <w:szCs w:val="24"/>
          <w:lang w:val="en-GB"/>
        </w:rPr>
        <w:t>,</w:t>
      </w:r>
      <w:r w:rsidRPr="6F263F7F" w:rsidR="6F263F7F">
        <w:rPr>
          <w:rFonts w:ascii="Arial" w:hAnsi="Arial" w:eastAsia="Arial" w:cs="Arial"/>
          <w:noProof w:val="0"/>
          <w:sz w:val="24"/>
          <w:szCs w:val="24"/>
          <w:lang w:val="en-GB"/>
        </w:rPr>
        <w:t xml:space="preserve"> </w:t>
      </w:r>
      <w:r w:rsidRPr="6F263F7F" w:rsidR="6F263F7F">
        <w:rPr>
          <w:rFonts w:ascii="Arial" w:hAnsi="Arial" w:eastAsia="Arial" w:cs="Arial"/>
          <w:i w:val="1"/>
          <w:iCs w:val="1"/>
          <w:noProof w:val="0"/>
          <w:sz w:val="24"/>
          <w:szCs w:val="24"/>
          <w:lang w:val="en-GB"/>
        </w:rPr>
        <w:t xml:space="preserve">OECD and Pisa tests are damaging education worldwide – academics, available at </w:t>
      </w:r>
      <w:hyperlink r:id="R11338d6033484c39">
        <w:r w:rsidRPr="6F263F7F" w:rsidR="6F263F7F">
          <w:rPr>
            <w:rStyle w:val="Hyperlink"/>
            <w:rFonts w:ascii="Arial" w:hAnsi="Arial" w:eastAsia="Arial" w:cs="Arial"/>
            <w:noProof w:val="0"/>
            <w:color w:val="0563C1"/>
            <w:sz w:val="24"/>
            <w:szCs w:val="24"/>
            <w:u w:val="single"/>
            <w:lang w:val="en-GB"/>
          </w:rPr>
          <w:t>https://www.theguardian.com/education/2014/may/06/oecd-pisa-tests-damaging-education-academics</w:t>
        </w:r>
      </w:hyperlink>
      <w:r w:rsidRPr="6F263F7F" w:rsidR="6F263F7F">
        <w:rPr>
          <w:rFonts w:ascii="Arial" w:hAnsi="Arial" w:eastAsia="Arial" w:cs="Arial"/>
          <w:noProof w:val="0"/>
          <w:color w:val="auto"/>
          <w:sz w:val="24"/>
          <w:szCs w:val="24"/>
          <w:u w:val="none"/>
          <w:lang w:val="en-GB"/>
        </w:rPr>
        <w:t>, accessed19/11/19.</w:t>
      </w:r>
    </w:p>
    <w:p w:rsidR="6F263F7F" w:rsidP="6F263F7F" w:rsidRDefault="6F263F7F" w14:paraId="14E772D3" w14:textId="6E708169">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United Nations, (2019), </w:t>
      </w:r>
      <w:r w:rsidRPr="6F263F7F" w:rsidR="6F263F7F">
        <w:rPr>
          <w:rFonts w:ascii="Arial" w:hAnsi="Arial" w:eastAsia="Arial" w:cs="Arial"/>
          <w:i w:val="1"/>
          <w:iCs w:val="1"/>
          <w:noProof w:val="0"/>
          <w:sz w:val="24"/>
          <w:szCs w:val="24"/>
          <w:lang w:val="en-GB"/>
        </w:rPr>
        <w:t>About the Sustainable Development Goals</w:t>
      </w:r>
      <w:r w:rsidRPr="6F263F7F" w:rsidR="6F263F7F">
        <w:rPr>
          <w:rFonts w:ascii="Arial" w:hAnsi="Arial" w:eastAsia="Arial" w:cs="Arial"/>
          <w:noProof w:val="0"/>
          <w:sz w:val="24"/>
          <w:szCs w:val="24"/>
          <w:lang w:val="en-GB"/>
        </w:rPr>
        <w:t xml:space="preserve">, available at </w:t>
      </w:r>
      <w:hyperlink r:id="R7614afc5933c4d24">
        <w:r w:rsidRPr="6F263F7F" w:rsidR="6F263F7F">
          <w:rPr>
            <w:rStyle w:val="Hyperlink"/>
            <w:rFonts w:ascii="Arial" w:hAnsi="Arial" w:eastAsia="Arial" w:cs="Arial"/>
            <w:noProof w:val="0"/>
            <w:color w:val="0563C1"/>
            <w:sz w:val="24"/>
            <w:szCs w:val="24"/>
            <w:u w:val="single"/>
            <w:lang w:val="en-GB"/>
          </w:rPr>
          <w:t>https://www.un.org/sustainabledevelopment/sustainable-development-goals/</w:t>
        </w:r>
      </w:hyperlink>
      <w:r w:rsidRPr="6F263F7F" w:rsidR="6F263F7F">
        <w:rPr>
          <w:rFonts w:ascii="Arial" w:hAnsi="Arial" w:eastAsia="Arial" w:cs="Arial"/>
          <w:noProof w:val="0"/>
          <w:color w:val="auto"/>
          <w:sz w:val="24"/>
          <w:szCs w:val="24"/>
          <w:u w:val="none"/>
          <w:lang w:val="en-GB"/>
        </w:rPr>
        <w:t>, accessed 19/11/19.</w:t>
      </w:r>
    </w:p>
    <w:p w:rsidR="6F263F7F" w:rsidP="6F263F7F" w:rsidRDefault="6F263F7F" w14:paraId="7907FC70" w14:textId="634ECE54">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United Nations, (n.d.), </w:t>
      </w:r>
      <w:r w:rsidRPr="6F263F7F" w:rsidR="6F263F7F">
        <w:rPr>
          <w:rFonts w:ascii="Arial" w:hAnsi="Arial" w:eastAsia="Arial" w:cs="Arial"/>
          <w:i w:val="1"/>
          <w:iCs w:val="1"/>
          <w:noProof w:val="0"/>
          <w:sz w:val="24"/>
          <w:szCs w:val="24"/>
          <w:lang w:val="en-GB"/>
        </w:rPr>
        <w:t>4 Quality Education</w:t>
      </w:r>
      <w:r w:rsidRPr="6F263F7F" w:rsidR="6F263F7F">
        <w:rPr>
          <w:rFonts w:ascii="Arial" w:hAnsi="Arial" w:eastAsia="Arial" w:cs="Arial"/>
          <w:noProof w:val="0"/>
          <w:sz w:val="24"/>
          <w:szCs w:val="24"/>
          <w:lang w:val="en-GB"/>
        </w:rPr>
        <w:t xml:space="preserve">, available at </w:t>
      </w:r>
      <w:hyperlink r:id="R8b4fddd84e684f44">
        <w:r w:rsidRPr="6F263F7F" w:rsidR="6F263F7F">
          <w:rPr>
            <w:rStyle w:val="Hyperlink"/>
            <w:rFonts w:ascii="Arial" w:hAnsi="Arial" w:eastAsia="Arial" w:cs="Arial"/>
            <w:noProof w:val="0"/>
            <w:color w:val="0563C1"/>
            <w:sz w:val="24"/>
            <w:szCs w:val="24"/>
            <w:u w:val="single"/>
            <w:lang w:val="en-GB"/>
          </w:rPr>
          <w:t>https://www.un.org/sustainabledevelopment/education/</w:t>
        </w:r>
      </w:hyperlink>
      <w:r w:rsidRPr="6F263F7F" w:rsidR="6F263F7F">
        <w:rPr>
          <w:rFonts w:ascii="Arial" w:hAnsi="Arial" w:eastAsia="Arial" w:cs="Arial"/>
          <w:noProof w:val="0"/>
          <w:color w:val="auto"/>
          <w:sz w:val="24"/>
          <w:szCs w:val="24"/>
          <w:u w:val="none"/>
          <w:lang w:val="en-GB"/>
        </w:rPr>
        <w:t>, accessed 19/11/19.</w:t>
      </w:r>
    </w:p>
    <w:p w:rsidR="6F263F7F" w:rsidP="6F263F7F" w:rsidRDefault="6F263F7F" w14:paraId="78921791" w14:textId="073675BE">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Walker, T., (2013), </w:t>
      </w:r>
      <w:r w:rsidRPr="6F263F7F" w:rsidR="6F263F7F">
        <w:rPr>
          <w:rFonts w:ascii="Arial" w:hAnsi="Arial" w:eastAsia="Arial" w:cs="Arial"/>
          <w:i w:val="1"/>
          <w:iCs w:val="1"/>
          <w:noProof w:val="0"/>
          <w:sz w:val="24"/>
          <w:szCs w:val="24"/>
          <w:lang w:val="en-GB"/>
        </w:rPr>
        <w:t>A U.S. Teacher in Finland: Teaching Less, Collaborating More</w:t>
      </w:r>
      <w:r w:rsidRPr="6F263F7F" w:rsidR="6F263F7F">
        <w:rPr>
          <w:rFonts w:ascii="Arial" w:hAnsi="Arial" w:eastAsia="Arial" w:cs="Arial"/>
          <w:noProof w:val="0"/>
          <w:sz w:val="24"/>
          <w:szCs w:val="24"/>
          <w:lang w:val="en-GB"/>
        </w:rPr>
        <w:t xml:space="preserve">, available at </w:t>
      </w:r>
      <w:hyperlink r:id="Rf93393ebfc4a4ba6">
        <w:r w:rsidRPr="6F263F7F" w:rsidR="6F263F7F">
          <w:rPr>
            <w:rStyle w:val="Hyperlink"/>
            <w:rFonts w:ascii="Arial" w:hAnsi="Arial" w:eastAsia="Arial" w:cs="Arial"/>
            <w:noProof w:val="0"/>
            <w:color w:val="0563C1"/>
            <w:sz w:val="24"/>
            <w:szCs w:val="24"/>
            <w:u w:val="single"/>
            <w:lang w:val="en-GB"/>
          </w:rPr>
          <w:t>http://blogs.edweek.org/teachers/teaching_ahead/2013/12/how_does_finland_support_teachers.html</w:t>
        </w:r>
      </w:hyperlink>
      <w:r w:rsidRPr="6F263F7F" w:rsidR="6F263F7F">
        <w:rPr>
          <w:rFonts w:ascii="Arial" w:hAnsi="Arial" w:eastAsia="Arial" w:cs="Arial"/>
          <w:noProof w:val="0"/>
          <w:color w:val="auto"/>
          <w:sz w:val="24"/>
          <w:szCs w:val="24"/>
          <w:u w:val="none"/>
          <w:lang w:val="en-GB"/>
        </w:rPr>
        <w:t>, accessed 18/11/19.</w:t>
      </w:r>
    </w:p>
    <w:p w:rsidR="6F263F7F" w:rsidP="6F263F7F" w:rsidRDefault="6F263F7F" w14:paraId="22304296" w14:textId="406FB12A">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Yiwen, C., (2016), </w:t>
      </w:r>
      <w:r w:rsidRPr="6F263F7F" w:rsidR="6F263F7F">
        <w:rPr>
          <w:rFonts w:ascii="Arial" w:hAnsi="Arial" w:eastAsia="Arial" w:cs="Arial"/>
          <w:i w:val="1"/>
          <w:iCs w:val="1"/>
          <w:noProof w:val="0"/>
          <w:sz w:val="24"/>
          <w:szCs w:val="24"/>
          <w:lang w:val="en-GB"/>
        </w:rPr>
        <w:t>Outside Shanghai, China Fails to Ace PISA Test</w:t>
      </w:r>
      <w:r w:rsidRPr="6F263F7F" w:rsidR="6F263F7F">
        <w:rPr>
          <w:rFonts w:ascii="Arial" w:hAnsi="Arial" w:eastAsia="Arial" w:cs="Arial"/>
          <w:noProof w:val="0"/>
          <w:sz w:val="24"/>
          <w:szCs w:val="24"/>
          <w:lang w:val="en-GB"/>
        </w:rPr>
        <w:t xml:space="preserve">, available at </w:t>
      </w:r>
      <w:hyperlink r:id="Red44b433d16e413e">
        <w:r w:rsidRPr="6F263F7F" w:rsidR="6F263F7F">
          <w:rPr>
            <w:rStyle w:val="Hyperlink"/>
            <w:rFonts w:ascii="Arial" w:hAnsi="Arial" w:eastAsia="Arial" w:cs="Arial"/>
            <w:noProof w:val="0"/>
            <w:color w:val="0563C1"/>
            <w:sz w:val="24"/>
            <w:szCs w:val="24"/>
            <w:u w:val="single"/>
            <w:lang w:val="en-GB"/>
          </w:rPr>
          <w:t>http://www.sixthtone.com/news/1659/outside-shanghai%2C-china-fails-to-ace-pisa-test</w:t>
        </w:r>
      </w:hyperlink>
      <w:r w:rsidRPr="6F263F7F" w:rsidR="6F263F7F">
        <w:rPr>
          <w:rFonts w:ascii="Arial" w:hAnsi="Arial" w:eastAsia="Arial" w:cs="Arial"/>
          <w:noProof w:val="0"/>
          <w:color w:val="auto"/>
          <w:sz w:val="24"/>
          <w:szCs w:val="24"/>
          <w:u w:val="none"/>
          <w:lang w:val="en-GB"/>
        </w:rPr>
        <w:t>, accessed 21/11/19.</w:t>
      </w:r>
    </w:p>
    <w:p w:rsidR="6F263F7F" w:rsidP="6F263F7F" w:rsidRDefault="6F263F7F" w14:paraId="1D36A757" w14:textId="79AF4EFC">
      <w:pPr>
        <w:spacing w:before="240" w:after="0" w:line="259" w:lineRule="auto"/>
        <w:rPr>
          <w:rFonts w:ascii="Arial" w:hAnsi="Arial" w:eastAsia="Arial" w:cs="Arial"/>
          <w:noProof w:val="0"/>
          <w:color w:val="2F5496" w:themeColor="accent1" w:themeTint="FF" w:themeShade="BF"/>
          <w:sz w:val="24"/>
          <w:szCs w:val="24"/>
          <w:lang w:val="en-GB"/>
        </w:rPr>
      </w:pPr>
      <w:r w:rsidRPr="6F263F7F" w:rsidR="6F263F7F">
        <w:rPr>
          <w:rFonts w:ascii="Arial" w:hAnsi="Arial" w:eastAsia="Arial" w:cs="Arial"/>
          <w:noProof w:val="0"/>
          <w:sz w:val="24"/>
          <w:szCs w:val="24"/>
          <w:lang w:val="en-GB"/>
        </w:rPr>
        <w:t xml:space="preserve">Zhang, J., Yuan, R., Yu, S., (2017), ‘What impedes the development of professional learning communities in China? Perceptions from leaders and frontline teachers in three schools in Shanghai’, </w:t>
      </w:r>
      <w:r w:rsidRPr="6F263F7F" w:rsidR="6F263F7F">
        <w:rPr>
          <w:rFonts w:ascii="Arial" w:hAnsi="Arial" w:eastAsia="Arial" w:cs="Arial"/>
          <w:i w:val="1"/>
          <w:iCs w:val="1"/>
          <w:noProof w:val="0"/>
          <w:sz w:val="24"/>
          <w:szCs w:val="24"/>
          <w:lang w:val="en-GB"/>
        </w:rPr>
        <w:t>Educational Management Administration &amp; Leadership</w:t>
      </w:r>
      <w:r w:rsidRPr="6F263F7F" w:rsidR="6F263F7F">
        <w:rPr>
          <w:rFonts w:ascii="Arial" w:hAnsi="Arial" w:eastAsia="Arial" w:cs="Arial"/>
          <w:noProof w:val="0"/>
          <w:sz w:val="24"/>
          <w:szCs w:val="24"/>
          <w:lang w:val="en-GB"/>
        </w:rPr>
        <w:t>, vol.45, iss.2, pp.219-237.</w:t>
      </w:r>
    </w:p>
    <w:p w:rsidR="6F263F7F" w:rsidP="6F263F7F" w:rsidRDefault="6F263F7F" w14:paraId="05DD4F34" w14:textId="0CEB8EA9">
      <w:pPr>
        <w:pStyle w:val="Normal"/>
        <w:spacing w:before="240" w:after="0" w:line="259" w:lineRule="auto"/>
        <w:rPr>
          <w:rFonts w:ascii="Arial" w:hAnsi="Arial" w:eastAsia="Arial" w:cs="Arial"/>
          <w:noProof w:val="0"/>
          <w:sz w:val="24"/>
          <w:szCs w:val="24"/>
          <w:lang w:val="en-GB"/>
        </w:rPr>
      </w:pPr>
    </w:p>
    <w:p w:rsidR="6F263F7F" w:rsidP="6F263F7F" w:rsidRDefault="6F263F7F" w14:paraId="64618600" w14:textId="52DC4F8C">
      <w:pPr>
        <w:pStyle w:val="Normal"/>
        <w:spacing w:after="160" w:line="259" w:lineRule="auto"/>
        <w:jc w:val="left"/>
        <w:rPr>
          <w:rFonts w:ascii="Arial" w:hAnsi="Arial" w:eastAsia="Arial" w:cs="Arial"/>
          <w:noProof w:val="0"/>
          <w:color w:val="auto"/>
          <w:sz w:val="24"/>
          <w:szCs w:val="24"/>
          <w:u w:val="none"/>
          <w:lang w:val="en-GB"/>
        </w:rPr>
      </w:pPr>
    </w:p>
    <w:p w:rsidR="6F263F7F" w:rsidP="6F263F7F" w:rsidRDefault="6F263F7F" w14:paraId="317AD956" w14:textId="1B0D0F1F">
      <w:pPr>
        <w:pStyle w:val="Normal"/>
        <w:spacing w:after="160" w:line="259" w:lineRule="auto"/>
        <w:jc w:val="left"/>
        <w:rPr>
          <w:rFonts w:ascii="Arial" w:hAnsi="Arial" w:eastAsia="Arial" w:cs="Arial"/>
          <w:b w:val="1"/>
          <w:bCs w:val="1"/>
          <w:noProof w:val="0"/>
          <w:color w:val="auto"/>
          <w:sz w:val="24"/>
          <w:szCs w:val="24"/>
          <w:u w:val="none"/>
          <w:lang w:val="en-GB"/>
        </w:rPr>
      </w:pPr>
      <w:r w:rsidRPr="6F263F7F" w:rsidR="6F263F7F">
        <w:rPr>
          <w:rFonts w:ascii="Arial" w:hAnsi="Arial" w:eastAsia="Arial" w:cs="Arial"/>
          <w:b w:val="1"/>
          <w:bCs w:val="1"/>
          <w:noProof w:val="0"/>
          <w:color w:val="auto"/>
          <w:sz w:val="24"/>
          <w:szCs w:val="24"/>
          <w:u w:val="single"/>
          <w:lang w:val="en-GB"/>
        </w:rPr>
        <w:t>Bibliograph</w:t>
      </w:r>
      <w:r w:rsidRPr="6F263F7F" w:rsidR="6F263F7F">
        <w:rPr>
          <w:rFonts w:ascii="Arial" w:hAnsi="Arial" w:eastAsia="Arial" w:cs="Arial"/>
          <w:b w:val="1"/>
          <w:bCs w:val="1"/>
          <w:noProof w:val="0"/>
          <w:color w:val="auto"/>
          <w:sz w:val="24"/>
          <w:szCs w:val="24"/>
          <w:u w:val="single"/>
          <w:lang w:val="en-GB"/>
        </w:rPr>
        <w:t>y</w:t>
      </w:r>
    </w:p>
    <w:p w:rsidR="6F263F7F" w:rsidP="6F263F7F" w:rsidRDefault="6F263F7F" w14:paraId="11C26AFB" w14:textId="4AAB0717">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Ahonen, E., (2017), </w:t>
      </w:r>
      <w:r w:rsidRPr="6F263F7F" w:rsidR="6F263F7F">
        <w:rPr>
          <w:rFonts w:ascii="Arial" w:hAnsi="Arial" w:eastAsia="Arial" w:cs="Arial"/>
          <w:i w:val="1"/>
          <w:iCs w:val="1"/>
          <w:noProof w:val="0"/>
          <w:sz w:val="24"/>
          <w:szCs w:val="24"/>
          <w:lang w:val="en-GB"/>
        </w:rPr>
        <w:t>Less is More in Finnish Education</w:t>
      </w:r>
      <w:r w:rsidRPr="6F263F7F" w:rsidR="6F263F7F">
        <w:rPr>
          <w:rFonts w:ascii="Arial" w:hAnsi="Arial" w:eastAsia="Arial" w:cs="Arial"/>
          <w:noProof w:val="0"/>
          <w:sz w:val="24"/>
          <w:szCs w:val="24"/>
          <w:lang w:val="en-GB"/>
        </w:rPr>
        <w:t xml:space="preserve">, available at </w:t>
      </w:r>
      <w:hyperlink r:id="R1f689891de7241e0">
        <w:r w:rsidRPr="6F263F7F" w:rsidR="6F263F7F">
          <w:rPr>
            <w:rStyle w:val="Hyperlink"/>
            <w:rFonts w:ascii="Arial" w:hAnsi="Arial" w:eastAsia="Arial" w:cs="Arial"/>
            <w:noProof w:val="0"/>
            <w:color w:val="0563C1"/>
            <w:sz w:val="24"/>
            <w:szCs w:val="24"/>
            <w:u w:val="single"/>
            <w:lang w:val="en-GB"/>
          </w:rPr>
          <w:t>https://learningscoop.fi/less-is-more-in-finnish-education/</w:t>
        </w:r>
      </w:hyperlink>
      <w:r w:rsidRPr="6F263F7F" w:rsidR="6F263F7F">
        <w:rPr>
          <w:rFonts w:ascii="Arial" w:hAnsi="Arial" w:eastAsia="Arial" w:cs="Arial"/>
          <w:noProof w:val="0"/>
          <w:color w:val="auto"/>
          <w:sz w:val="24"/>
          <w:szCs w:val="24"/>
          <w:u w:val="none"/>
          <w:lang w:val="en-GB"/>
        </w:rPr>
        <w:t>, accessed 10/01/20.</w:t>
      </w:r>
    </w:p>
    <w:p w:rsidR="6F263F7F" w:rsidP="6F263F7F" w:rsidRDefault="6F263F7F" w14:paraId="512F5A16" w14:textId="1196165D">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Amit, A., (2015), ‘Professional Development of Teachers’, </w:t>
      </w:r>
      <w:r w:rsidRPr="6F263F7F" w:rsidR="6F263F7F">
        <w:rPr>
          <w:rFonts w:ascii="Arial" w:hAnsi="Arial" w:eastAsia="Arial" w:cs="Arial"/>
          <w:i w:val="1"/>
          <w:iCs w:val="1"/>
          <w:noProof w:val="0"/>
          <w:sz w:val="24"/>
          <w:szCs w:val="24"/>
          <w:lang w:val="en-GB"/>
        </w:rPr>
        <w:t>Educational Quest</w:t>
      </w:r>
      <w:r w:rsidRPr="6F263F7F" w:rsidR="6F263F7F">
        <w:rPr>
          <w:rFonts w:ascii="Arial" w:hAnsi="Arial" w:eastAsia="Arial" w:cs="Arial"/>
          <w:noProof w:val="0"/>
          <w:sz w:val="24"/>
          <w:szCs w:val="24"/>
          <w:lang w:val="en-GB"/>
        </w:rPr>
        <w:t>, vol.6, iss.1, pp.11-15.</w:t>
      </w:r>
    </w:p>
    <w:p w:rsidR="6F263F7F" w:rsidP="6F263F7F" w:rsidRDefault="6F263F7F" w14:paraId="002AA166" w14:textId="4B71C6E9">
      <w:pPr>
        <w:spacing w:after="160" w:line="259" w:lineRule="auto"/>
        <w:jc w:val="left"/>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Chalabi, M. (2013) </w:t>
      </w:r>
      <w:r w:rsidRPr="6F263F7F" w:rsidR="6F263F7F">
        <w:rPr>
          <w:rFonts w:ascii="Arial" w:hAnsi="Arial" w:eastAsia="Arial" w:cs="Arial"/>
          <w:i w:val="1"/>
          <w:iCs w:val="1"/>
          <w:noProof w:val="0"/>
          <w:sz w:val="24"/>
          <w:szCs w:val="24"/>
          <w:lang w:val="en-GB"/>
        </w:rPr>
        <w:t xml:space="preserve">The Pisa methodology: do its education claims stack </w:t>
      </w:r>
      <w:proofErr w:type="gramStart"/>
      <w:r w:rsidRPr="6F263F7F" w:rsidR="6F263F7F">
        <w:rPr>
          <w:rFonts w:ascii="Arial" w:hAnsi="Arial" w:eastAsia="Arial" w:cs="Arial"/>
          <w:i w:val="1"/>
          <w:iCs w:val="1"/>
          <w:noProof w:val="0"/>
          <w:sz w:val="24"/>
          <w:szCs w:val="24"/>
          <w:lang w:val="en-GB"/>
        </w:rPr>
        <w:t>up?</w:t>
      </w:r>
      <w:r w:rsidRPr="6F263F7F" w:rsidR="6F263F7F">
        <w:rPr>
          <w:rFonts w:ascii="Arial" w:hAnsi="Arial" w:eastAsia="Arial" w:cs="Arial"/>
          <w:noProof w:val="0"/>
          <w:sz w:val="24"/>
          <w:szCs w:val="24"/>
          <w:lang w:val="en-GB"/>
        </w:rPr>
        <w:t>,</w:t>
      </w:r>
      <w:proofErr w:type="gramEnd"/>
      <w:r w:rsidRPr="6F263F7F" w:rsidR="6F263F7F">
        <w:rPr>
          <w:rFonts w:ascii="Arial" w:hAnsi="Arial" w:eastAsia="Arial" w:cs="Arial"/>
          <w:noProof w:val="0"/>
          <w:sz w:val="24"/>
          <w:szCs w:val="24"/>
          <w:lang w:val="en-GB"/>
        </w:rPr>
        <w:t xml:space="preserve"> available at </w:t>
      </w:r>
      <w:hyperlink r:id="Rdfd678ecf9c74b21">
        <w:r w:rsidRPr="6F263F7F" w:rsidR="6F263F7F">
          <w:rPr>
            <w:rStyle w:val="Hyperlink"/>
            <w:rFonts w:ascii="Arial" w:hAnsi="Arial" w:eastAsia="Arial" w:cs="Arial"/>
            <w:noProof w:val="0"/>
            <w:color w:val="0563C1"/>
            <w:sz w:val="24"/>
            <w:szCs w:val="24"/>
            <w:u w:val="single"/>
            <w:lang w:val="en-GB"/>
          </w:rPr>
          <w:t>https://www.theguardian.com/news/2013/dec/03/pisa-methodology-education-oecd-student-performance</w:t>
        </w:r>
      </w:hyperlink>
      <w:r w:rsidRPr="6F263F7F" w:rsidR="6F263F7F">
        <w:rPr>
          <w:rFonts w:ascii="Arial" w:hAnsi="Arial" w:eastAsia="Arial" w:cs="Arial"/>
          <w:noProof w:val="0"/>
          <w:color w:val="auto"/>
          <w:sz w:val="24"/>
          <w:szCs w:val="24"/>
          <w:u w:val="none"/>
          <w:lang w:val="en-GB"/>
        </w:rPr>
        <w:t>, accessed 19/11/19.</w:t>
      </w:r>
    </w:p>
    <w:p w:rsidR="6F263F7F" w:rsidP="6F263F7F" w:rsidRDefault="6F263F7F" w14:paraId="2CA8BE24" w14:textId="500F4A22">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Freeman, A., (2014), </w:t>
      </w:r>
      <w:r w:rsidRPr="6F263F7F" w:rsidR="6F263F7F">
        <w:rPr>
          <w:rFonts w:ascii="Arial" w:hAnsi="Arial" w:eastAsia="Arial" w:cs="Arial"/>
          <w:i w:val="1"/>
          <w:iCs w:val="1"/>
          <w:noProof w:val="0"/>
          <w:sz w:val="24"/>
          <w:szCs w:val="24"/>
          <w:lang w:val="en-GB"/>
        </w:rPr>
        <w:t>Transform Trust: Shanghai Research Project</w:t>
      </w:r>
      <w:r w:rsidRPr="6F263F7F" w:rsidR="6F263F7F">
        <w:rPr>
          <w:rFonts w:ascii="Arial" w:hAnsi="Arial" w:eastAsia="Arial" w:cs="Arial"/>
          <w:noProof w:val="0"/>
          <w:sz w:val="24"/>
          <w:szCs w:val="24"/>
          <w:lang w:val="en-GB"/>
        </w:rPr>
        <w:t xml:space="preserve">, available at </w:t>
      </w:r>
      <w:hyperlink r:id="R810532274ba64b0d">
        <w:r w:rsidRPr="6F263F7F" w:rsidR="6F263F7F">
          <w:rPr>
            <w:rStyle w:val="Hyperlink"/>
            <w:rFonts w:ascii="Arial" w:hAnsi="Arial" w:eastAsia="Arial" w:cs="Arial"/>
            <w:noProof w:val="0"/>
            <w:color w:val="0563C1"/>
            <w:sz w:val="24"/>
            <w:szCs w:val="24"/>
            <w:u w:val="single"/>
            <w:lang w:val="en-GB"/>
          </w:rPr>
          <w:t>http://www.george-spencer.notts.sch.uk/images/itl_demo/doc/Maths%20Hub/Shanghai%20Presentation.pdf</w:t>
        </w:r>
      </w:hyperlink>
      <w:r w:rsidRPr="6F263F7F" w:rsidR="6F263F7F">
        <w:rPr>
          <w:rFonts w:ascii="Arial" w:hAnsi="Arial" w:eastAsia="Arial" w:cs="Arial"/>
          <w:noProof w:val="0"/>
          <w:color w:val="auto"/>
          <w:sz w:val="24"/>
          <w:szCs w:val="24"/>
          <w:u w:val="none"/>
          <w:lang w:val="en-GB"/>
        </w:rPr>
        <w:t>, accessed 21/11/19.</w:t>
      </w:r>
    </w:p>
    <w:p w:rsidR="6F263F7F" w:rsidP="6F263F7F" w:rsidRDefault="6F263F7F" w14:paraId="6F421B02" w14:textId="7F22C008">
      <w:pPr>
        <w:pStyle w:val="Normal"/>
        <w:spacing w:after="160" w:line="259" w:lineRule="auto"/>
        <w:jc w:val="left"/>
      </w:pPr>
      <w:r w:rsidRPr="6F263F7F" w:rsidR="6F263F7F">
        <w:rPr>
          <w:rFonts w:ascii="Arial" w:hAnsi="Arial" w:eastAsia="Arial" w:cs="Arial"/>
          <w:noProof w:val="0"/>
          <w:sz w:val="24"/>
          <w:szCs w:val="24"/>
          <w:lang w:val="en-GB"/>
        </w:rPr>
        <w:t xml:space="preserve">Kemmis, S., Heikkinen, H.L.T., </w:t>
      </w:r>
      <w:proofErr w:type="spellStart"/>
      <w:r w:rsidRPr="6F263F7F" w:rsidR="6F263F7F">
        <w:rPr>
          <w:rFonts w:ascii="Arial" w:hAnsi="Arial" w:eastAsia="Arial" w:cs="Arial"/>
          <w:noProof w:val="0"/>
          <w:sz w:val="24"/>
          <w:szCs w:val="24"/>
          <w:lang w:val="en-GB"/>
        </w:rPr>
        <w:t>Fransson</w:t>
      </w:r>
      <w:proofErr w:type="spellEnd"/>
      <w:r w:rsidRPr="6F263F7F" w:rsidR="6F263F7F">
        <w:rPr>
          <w:rFonts w:ascii="Arial" w:hAnsi="Arial" w:eastAsia="Arial" w:cs="Arial"/>
          <w:noProof w:val="0"/>
          <w:sz w:val="24"/>
          <w:szCs w:val="24"/>
          <w:lang w:val="en-GB"/>
        </w:rPr>
        <w:t xml:space="preserve">, G., </w:t>
      </w:r>
      <w:proofErr w:type="spellStart"/>
      <w:r w:rsidRPr="6F263F7F" w:rsidR="6F263F7F">
        <w:rPr>
          <w:rFonts w:ascii="Arial" w:hAnsi="Arial" w:eastAsia="Arial" w:cs="Arial"/>
          <w:noProof w:val="0"/>
          <w:sz w:val="24"/>
          <w:szCs w:val="24"/>
          <w:lang w:val="en-GB"/>
        </w:rPr>
        <w:t>Aspfors</w:t>
      </w:r>
      <w:proofErr w:type="spellEnd"/>
      <w:r w:rsidRPr="6F263F7F" w:rsidR="6F263F7F">
        <w:rPr>
          <w:rFonts w:ascii="Arial" w:hAnsi="Arial" w:eastAsia="Arial" w:cs="Arial"/>
          <w:noProof w:val="0"/>
          <w:sz w:val="24"/>
          <w:szCs w:val="24"/>
          <w:lang w:val="en-GB"/>
        </w:rPr>
        <w:t xml:space="preserve">, J. and Edwards-Groves, C., (2014) ‘Mentoring of new teachers as a contested practice: Supervision, support and collaborative self-development', </w:t>
      </w:r>
      <w:r w:rsidRPr="6F263F7F" w:rsidR="6F263F7F">
        <w:rPr>
          <w:rFonts w:ascii="Arial" w:hAnsi="Arial" w:eastAsia="Arial" w:cs="Arial"/>
          <w:i w:val="1"/>
          <w:iCs w:val="1"/>
          <w:noProof w:val="0"/>
          <w:sz w:val="24"/>
          <w:szCs w:val="24"/>
          <w:lang w:val="en-GB"/>
        </w:rPr>
        <w:t>Teaching and Teacher Education</w:t>
      </w:r>
      <w:r w:rsidRPr="6F263F7F" w:rsidR="6F263F7F">
        <w:rPr>
          <w:rFonts w:ascii="Arial" w:hAnsi="Arial" w:eastAsia="Arial" w:cs="Arial"/>
          <w:noProof w:val="0"/>
          <w:sz w:val="24"/>
          <w:szCs w:val="24"/>
          <w:lang w:val="en-GB"/>
        </w:rPr>
        <w:t>, vol.43, pp.154-164.</w:t>
      </w:r>
    </w:p>
    <w:p w:rsidR="6F263F7F" w:rsidP="6F263F7F" w:rsidRDefault="6F263F7F" w14:paraId="227BA84D" w14:textId="3A78848A">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Kohn, A., (2006), </w:t>
      </w:r>
      <w:r w:rsidRPr="6F263F7F" w:rsidR="6F263F7F">
        <w:rPr>
          <w:rFonts w:ascii="Arial" w:hAnsi="Arial" w:eastAsia="Arial" w:cs="Arial"/>
          <w:i w:val="1"/>
          <w:iCs w:val="1"/>
          <w:noProof w:val="0"/>
          <w:sz w:val="24"/>
          <w:szCs w:val="24"/>
          <w:lang w:val="en-GB"/>
        </w:rPr>
        <w:t>The Truth About Homework: Needless Assignments Persist Because of Widespread Misconceptions About Learning</w:t>
      </w:r>
      <w:r w:rsidRPr="6F263F7F" w:rsidR="6F263F7F">
        <w:rPr>
          <w:rFonts w:ascii="Arial" w:hAnsi="Arial" w:eastAsia="Arial" w:cs="Arial"/>
          <w:noProof w:val="0"/>
          <w:sz w:val="24"/>
          <w:szCs w:val="24"/>
          <w:lang w:val="en-GB"/>
        </w:rPr>
        <w:t xml:space="preserve">, available at </w:t>
      </w:r>
      <w:hyperlink r:id="Rebcf52ca80d74bf7">
        <w:r w:rsidRPr="6F263F7F" w:rsidR="6F263F7F">
          <w:rPr>
            <w:rStyle w:val="Hyperlink"/>
            <w:rFonts w:ascii="Arial" w:hAnsi="Arial" w:eastAsia="Arial" w:cs="Arial"/>
            <w:noProof w:val="0"/>
            <w:color w:val="0563C1"/>
            <w:sz w:val="24"/>
            <w:szCs w:val="24"/>
            <w:u w:val="single"/>
            <w:lang w:val="en-GB"/>
          </w:rPr>
          <w:t>https://www.alfiekohn.org/article/truth-homework/</w:t>
        </w:r>
      </w:hyperlink>
      <w:r w:rsidRPr="6F263F7F" w:rsidR="6F263F7F">
        <w:rPr>
          <w:rFonts w:ascii="Arial" w:hAnsi="Arial" w:eastAsia="Arial" w:cs="Arial"/>
          <w:noProof w:val="0"/>
          <w:color w:val="auto"/>
          <w:sz w:val="24"/>
          <w:szCs w:val="24"/>
          <w:u w:val="none"/>
          <w:lang w:val="en-GB"/>
        </w:rPr>
        <w:t>, accessed 10/01/20.</w:t>
      </w:r>
    </w:p>
    <w:p w:rsidR="6F263F7F" w:rsidP="6F263F7F" w:rsidRDefault="6F263F7F" w14:paraId="752B7A6C" w14:textId="5C1D74D9">
      <w:pPr>
        <w:pStyle w:val="Normal"/>
        <w:spacing w:after="160" w:line="259" w:lineRule="auto"/>
        <w:jc w:val="left"/>
      </w:pPr>
      <w:r w:rsidRPr="6F263F7F" w:rsidR="6F263F7F">
        <w:rPr>
          <w:rFonts w:ascii="Arial" w:hAnsi="Arial" w:eastAsia="Arial" w:cs="Arial"/>
          <w:noProof w:val="0"/>
          <w:sz w:val="24"/>
          <w:szCs w:val="24"/>
          <w:lang w:val="en-GB"/>
        </w:rPr>
        <w:t>Loertscher, D. and Koechlin, C., (2015), ‘Finland, Collaboration, and Co-teaching',</w:t>
      </w:r>
      <w:r w:rsidRPr="6F263F7F" w:rsidR="6F263F7F">
        <w:rPr>
          <w:rFonts w:ascii="Arial" w:hAnsi="Arial" w:eastAsia="Arial" w:cs="Arial"/>
          <w:i w:val="1"/>
          <w:iCs w:val="1"/>
          <w:noProof w:val="0"/>
          <w:sz w:val="24"/>
          <w:szCs w:val="24"/>
          <w:lang w:val="en-GB"/>
        </w:rPr>
        <w:t xml:space="preserve"> Teacher Librarian</w:t>
      </w:r>
      <w:r w:rsidRPr="6F263F7F" w:rsidR="6F263F7F">
        <w:rPr>
          <w:rFonts w:ascii="Arial" w:hAnsi="Arial" w:eastAsia="Arial" w:cs="Arial"/>
          <w:noProof w:val="0"/>
          <w:sz w:val="24"/>
          <w:szCs w:val="24"/>
          <w:lang w:val="en-GB"/>
        </w:rPr>
        <w:t>, vol.42, iss.3, pp.56-57, 71.</w:t>
      </w:r>
    </w:p>
    <w:p w:rsidR="6F263F7F" w:rsidP="6F263F7F" w:rsidRDefault="6F263F7F" w14:paraId="3993CA2D" w14:textId="4E0982D5">
      <w:pPr>
        <w:spacing w:after="160" w:line="259" w:lineRule="auto"/>
        <w:jc w:val="left"/>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National Centre on Education and the Economy, (2019), </w:t>
      </w:r>
      <w:r w:rsidRPr="6F263F7F" w:rsidR="6F263F7F">
        <w:rPr>
          <w:rFonts w:ascii="Arial" w:hAnsi="Arial" w:eastAsia="Arial" w:cs="Arial"/>
          <w:i w:val="1"/>
          <w:iCs w:val="1"/>
          <w:noProof w:val="0"/>
          <w:sz w:val="24"/>
          <w:szCs w:val="24"/>
          <w:lang w:val="en-GB"/>
        </w:rPr>
        <w:t>Japan: Teacher and Principal Quality</w:t>
      </w:r>
      <w:r w:rsidRPr="6F263F7F" w:rsidR="6F263F7F">
        <w:rPr>
          <w:rFonts w:ascii="Arial" w:hAnsi="Arial" w:eastAsia="Arial" w:cs="Arial"/>
          <w:noProof w:val="0"/>
          <w:sz w:val="24"/>
          <w:szCs w:val="24"/>
          <w:lang w:val="en-GB"/>
        </w:rPr>
        <w:t xml:space="preserve">, available at </w:t>
      </w:r>
      <w:hyperlink r:id="R9bf89451cb7f4e0b">
        <w:r w:rsidRPr="6F263F7F" w:rsidR="6F263F7F">
          <w:rPr>
            <w:rStyle w:val="Hyperlink"/>
            <w:rFonts w:ascii="Arial" w:hAnsi="Arial" w:eastAsia="Arial" w:cs="Arial"/>
            <w:noProof w:val="0"/>
            <w:color w:val="0563C1"/>
            <w:sz w:val="24"/>
            <w:szCs w:val="24"/>
            <w:u w:val="single"/>
            <w:lang w:val="en-GB"/>
          </w:rPr>
          <w:t>http://ncee.org/what-we-do/center-on-international-education-benchmarking/top-performing-countries/japan-overview/japan-teacher-and-principal-quality/</w:t>
        </w:r>
      </w:hyperlink>
      <w:r w:rsidRPr="6F263F7F" w:rsidR="6F263F7F">
        <w:rPr>
          <w:rFonts w:ascii="Arial" w:hAnsi="Arial" w:eastAsia="Arial" w:cs="Arial"/>
          <w:noProof w:val="0"/>
          <w:color w:val="auto"/>
          <w:sz w:val="24"/>
          <w:szCs w:val="24"/>
          <w:u w:val="none"/>
          <w:lang w:val="en-GB"/>
        </w:rPr>
        <w:t>, accessed 18/11/19.</w:t>
      </w:r>
    </w:p>
    <w:p w:rsidR="6F263F7F" w:rsidP="6F263F7F" w:rsidRDefault="6F263F7F" w14:paraId="2FDB57CB" w14:textId="2EC628CC">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OECD, (2019), </w:t>
      </w:r>
      <w:r w:rsidRPr="6F263F7F" w:rsidR="6F263F7F">
        <w:rPr>
          <w:rFonts w:ascii="Arial" w:hAnsi="Arial" w:eastAsia="Arial" w:cs="Arial"/>
          <w:i w:val="1"/>
          <w:iCs w:val="1"/>
          <w:noProof w:val="0"/>
          <w:sz w:val="24"/>
          <w:szCs w:val="24"/>
          <w:lang w:val="en-GB"/>
        </w:rPr>
        <w:t>Finland</w:t>
      </w:r>
      <w:r w:rsidRPr="6F263F7F" w:rsidR="6F263F7F">
        <w:rPr>
          <w:rFonts w:ascii="Arial" w:hAnsi="Arial" w:eastAsia="Arial" w:cs="Arial"/>
          <w:noProof w:val="0"/>
          <w:sz w:val="24"/>
          <w:szCs w:val="24"/>
          <w:lang w:val="en-GB"/>
        </w:rPr>
        <w:t xml:space="preserve">, available at </w:t>
      </w:r>
      <w:hyperlink r:id="Rcdc8278a27904675">
        <w:r w:rsidRPr="6F263F7F" w:rsidR="6F263F7F">
          <w:rPr>
            <w:rStyle w:val="Hyperlink"/>
            <w:rFonts w:ascii="Arial" w:hAnsi="Arial" w:eastAsia="Arial" w:cs="Arial"/>
            <w:noProof w:val="0"/>
            <w:color w:val="0563C1"/>
            <w:sz w:val="24"/>
            <w:szCs w:val="24"/>
            <w:u w:val="single"/>
            <w:lang w:val="en-GB"/>
          </w:rPr>
          <w:t>https://www.oecd.org/pisa/publications/PISA2018_CN_FIN.pdf</w:t>
        </w:r>
      </w:hyperlink>
      <w:r w:rsidRPr="6F263F7F" w:rsidR="6F263F7F">
        <w:rPr>
          <w:rFonts w:ascii="Arial" w:hAnsi="Arial" w:eastAsia="Arial" w:cs="Arial"/>
          <w:noProof w:val="0"/>
          <w:color w:val="auto"/>
          <w:sz w:val="24"/>
          <w:szCs w:val="24"/>
          <w:u w:val="none"/>
          <w:lang w:val="en-GB"/>
        </w:rPr>
        <w:t>, accessed 08/01/20.</w:t>
      </w:r>
    </w:p>
    <w:p w:rsidR="6F263F7F" w:rsidP="6F263F7F" w:rsidRDefault="6F263F7F" w14:paraId="3114A145" w14:textId="2973A921">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OECD, (2012), </w:t>
      </w:r>
      <w:r w:rsidRPr="6F263F7F" w:rsidR="6F263F7F">
        <w:rPr>
          <w:rFonts w:ascii="Arial" w:hAnsi="Arial" w:eastAsia="Arial" w:cs="Arial"/>
          <w:i w:val="1"/>
          <w:iCs w:val="1"/>
          <w:noProof w:val="0"/>
          <w:sz w:val="24"/>
          <w:szCs w:val="24"/>
          <w:lang w:val="en-GB"/>
        </w:rPr>
        <w:t>Finland - Strong Performers and Successful Reformers in Education</w:t>
      </w:r>
      <w:r w:rsidRPr="6F263F7F" w:rsidR="6F263F7F">
        <w:rPr>
          <w:rFonts w:ascii="Arial" w:hAnsi="Arial" w:eastAsia="Arial" w:cs="Arial"/>
          <w:noProof w:val="0"/>
          <w:sz w:val="24"/>
          <w:szCs w:val="24"/>
          <w:lang w:val="en-GB"/>
        </w:rPr>
        <w:t xml:space="preserve">, available at </w:t>
      </w:r>
      <w:hyperlink r:id="R425208d235a94431">
        <w:r w:rsidRPr="6F263F7F" w:rsidR="6F263F7F">
          <w:rPr>
            <w:rStyle w:val="Hyperlink"/>
            <w:rFonts w:ascii="Arial" w:hAnsi="Arial" w:eastAsia="Arial" w:cs="Arial"/>
            <w:noProof w:val="0"/>
            <w:color w:val="0563C1"/>
            <w:sz w:val="24"/>
            <w:szCs w:val="24"/>
            <w:u w:val="single"/>
            <w:lang w:val="en-GB"/>
          </w:rPr>
          <w:t>https://www.youtube.com/watch?v=ZwD1v73O4VI</w:t>
        </w:r>
      </w:hyperlink>
      <w:r w:rsidRPr="6F263F7F" w:rsidR="6F263F7F">
        <w:rPr>
          <w:rFonts w:ascii="Arial" w:hAnsi="Arial" w:eastAsia="Arial" w:cs="Arial"/>
          <w:noProof w:val="0"/>
          <w:color w:val="auto"/>
          <w:sz w:val="24"/>
          <w:szCs w:val="24"/>
          <w:u w:val="none"/>
          <w:lang w:val="en-GB"/>
        </w:rPr>
        <w:t>, accessed 1/11/19.</w:t>
      </w:r>
    </w:p>
    <w:p w:rsidR="6F263F7F" w:rsidP="6F263F7F" w:rsidRDefault="6F263F7F" w14:paraId="275DD5D1" w14:textId="61DDE48F">
      <w:pPr>
        <w:pStyle w:val="Normal"/>
        <w:spacing w:after="160" w:line="259" w:lineRule="auto"/>
        <w:jc w:val="left"/>
      </w:pPr>
      <w:proofErr w:type="spellStart"/>
      <w:r w:rsidRPr="6F263F7F" w:rsidR="6F263F7F">
        <w:rPr>
          <w:rFonts w:ascii="Arial" w:hAnsi="Arial" w:eastAsia="Arial" w:cs="Arial"/>
          <w:noProof w:val="0"/>
          <w:sz w:val="24"/>
          <w:szCs w:val="24"/>
          <w:lang w:val="en-GB"/>
        </w:rPr>
        <w:t>Pennanen</w:t>
      </w:r>
      <w:proofErr w:type="spellEnd"/>
      <w:r w:rsidRPr="6F263F7F" w:rsidR="6F263F7F">
        <w:rPr>
          <w:rFonts w:ascii="Arial" w:hAnsi="Arial" w:eastAsia="Arial" w:cs="Arial"/>
          <w:noProof w:val="0"/>
          <w:sz w:val="24"/>
          <w:szCs w:val="24"/>
          <w:lang w:val="en-GB"/>
        </w:rPr>
        <w:t xml:space="preserve">, M., Bristol, L., Wilkinson, J. and Heikkinen, H.L.T., (2016) ‘What is ‘good’ mentoring? Understanding mentoring practices of teacher induction through case studies of Finland and Australia’, </w:t>
      </w:r>
      <w:r w:rsidRPr="6F263F7F" w:rsidR="6F263F7F">
        <w:rPr>
          <w:rFonts w:ascii="Arial" w:hAnsi="Arial" w:eastAsia="Arial" w:cs="Arial"/>
          <w:i w:val="1"/>
          <w:iCs w:val="1"/>
          <w:noProof w:val="0"/>
          <w:sz w:val="24"/>
          <w:szCs w:val="24"/>
          <w:lang w:val="en-GB"/>
        </w:rPr>
        <w:t>Pedagogy, Culture &amp; Society</w:t>
      </w:r>
      <w:r w:rsidRPr="6F263F7F" w:rsidR="6F263F7F">
        <w:rPr>
          <w:rFonts w:ascii="Arial" w:hAnsi="Arial" w:eastAsia="Arial" w:cs="Arial"/>
          <w:noProof w:val="0"/>
          <w:sz w:val="24"/>
          <w:szCs w:val="24"/>
          <w:lang w:val="en-GB"/>
        </w:rPr>
        <w:t>, vol.24, iss.1, pp.27-53.</w:t>
      </w:r>
    </w:p>
    <w:p w:rsidR="6F263F7F" w:rsidP="6F263F7F" w:rsidRDefault="6F263F7F" w14:paraId="48EEC940" w14:textId="532EAEF3">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Sahlberg, P., (2013), </w:t>
      </w:r>
      <w:r w:rsidRPr="6F263F7F" w:rsidR="6F263F7F">
        <w:rPr>
          <w:rFonts w:ascii="Arial" w:hAnsi="Arial" w:eastAsia="Arial" w:cs="Arial"/>
          <w:i w:val="1"/>
          <w:iCs w:val="1"/>
          <w:noProof w:val="0"/>
          <w:sz w:val="24"/>
          <w:szCs w:val="24"/>
          <w:lang w:val="en-GB"/>
        </w:rPr>
        <w:t>The Finnish Paradox</w:t>
      </w:r>
      <w:r w:rsidRPr="6F263F7F" w:rsidR="6F263F7F">
        <w:rPr>
          <w:rFonts w:ascii="Arial" w:hAnsi="Arial" w:eastAsia="Arial" w:cs="Arial"/>
          <w:noProof w:val="0"/>
          <w:sz w:val="24"/>
          <w:szCs w:val="24"/>
          <w:lang w:val="en-GB"/>
        </w:rPr>
        <w:t xml:space="preserve">, available at </w:t>
      </w:r>
      <w:hyperlink r:id="Re0b81f8630f440d1">
        <w:r w:rsidRPr="6F263F7F" w:rsidR="6F263F7F">
          <w:rPr>
            <w:rStyle w:val="Hyperlink"/>
            <w:rFonts w:ascii="Arial" w:hAnsi="Arial" w:eastAsia="Arial" w:cs="Arial"/>
            <w:noProof w:val="0"/>
            <w:color w:val="0563C1"/>
            <w:sz w:val="24"/>
            <w:szCs w:val="24"/>
            <w:u w:val="single"/>
            <w:lang w:val="en-GB"/>
          </w:rPr>
          <w:t>https://pasisahlberg.com/the-finnish-paradox/</w:t>
        </w:r>
      </w:hyperlink>
      <w:r w:rsidRPr="6F263F7F" w:rsidR="6F263F7F">
        <w:rPr>
          <w:rFonts w:ascii="Arial" w:hAnsi="Arial" w:eastAsia="Arial" w:cs="Arial"/>
          <w:noProof w:val="0"/>
          <w:color w:val="auto"/>
          <w:sz w:val="24"/>
          <w:szCs w:val="24"/>
          <w:u w:val="none"/>
          <w:lang w:val="en-GB"/>
        </w:rPr>
        <w:t>, accessed, 10/01/20.</w:t>
      </w:r>
    </w:p>
    <w:p w:rsidR="6F263F7F" w:rsidP="6F263F7F" w:rsidRDefault="6F263F7F" w14:paraId="4107A7BF" w14:textId="47FCB8C9">
      <w:pPr>
        <w:spacing w:after="160" w:line="259" w:lineRule="auto"/>
        <w:rPr>
          <w:rFonts w:ascii="Arial" w:hAnsi="Arial" w:eastAsia="Arial" w:cs="Arial"/>
          <w:noProof w:val="0"/>
          <w:sz w:val="24"/>
          <w:szCs w:val="24"/>
          <w:lang w:val="en-GB"/>
        </w:rPr>
      </w:pPr>
      <w:r w:rsidRPr="6F263F7F" w:rsidR="6F263F7F">
        <w:rPr>
          <w:rFonts w:ascii="Arial" w:hAnsi="Arial" w:eastAsia="Arial" w:cs="Arial"/>
          <w:noProof w:val="0"/>
          <w:sz w:val="24"/>
          <w:szCs w:val="24"/>
          <w:lang w:val="en-GB"/>
        </w:rPr>
        <w:t xml:space="preserve">Sahlgren, G.H., (2013), </w:t>
      </w:r>
      <w:r w:rsidRPr="6F263F7F" w:rsidR="6F263F7F">
        <w:rPr>
          <w:rFonts w:ascii="Arial" w:hAnsi="Arial" w:eastAsia="Arial" w:cs="Arial"/>
          <w:i w:val="1"/>
          <w:iCs w:val="1"/>
          <w:noProof w:val="0"/>
          <w:sz w:val="24"/>
          <w:szCs w:val="24"/>
          <w:lang w:val="en-GB"/>
        </w:rPr>
        <w:t>The truth about Finland’s education miracle</w:t>
      </w:r>
      <w:r w:rsidRPr="6F263F7F" w:rsidR="6F263F7F">
        <w:rPr>
          <w:rFonts w:ascii="Arial" w:hAnsi="Arial" w:eastAsia="Arial" w:cs="Arial"/>
          <w:noProof w:val="0"/>
          <w:sz w:val="24"/>
          <w:szCs w:val="24"/>
          <w:lang w:val="en-GB"/>
        </w:rPr>
        <w:t xml:space="preserve">, available at </w:t>
      </w:r>
      <w:hyperlink r:id="Rd94226bcdb4e48ba">
        <w:r w:rsidRPr="6F263F7F" w:rsidR="6F263F7F">
          <w:rPr>
            <w:rStyle w:val="Hyperlink"/>
            <w:rFonts w:ascii="Arial" w:hAnsi="Arial" w:eastAsia="Arial" w:cs="Arial"/>
            <w:noProof w:val="0"/>
            <w:color w:val="0563C1"/>
            <w:sz w:val="24"/>
            <w:szCs w:val="24"/>
            <w:u w:val="single"/>
            <w:lang w:val="en-GB"/>
          </w:rPr>
          <w:t>https://blogs.spectator.co.uk/2013/06/is-finland-a-choice-less-education-miracle/</w:t>
        </w:r>
      </w:hyperlink>
      <w:r w:rsidRPr="6F263F7F" w:rsidR="6F263F7F">
        <w:rPr>
          <w:rFonts w:ascii="Arial" w:hAnsi="Arial" w:eastAsia="Arial" w:cs="Arial"/>
          <w:noProof w:val="0"/>
          <w:color w:val="auto"/>
          <w:sz w:val="24"/>
          <w:szCs w:val="24"/>
          <w:u w:val="none"/>
          <w:lang w:val="en-GB"/>
        </w:rPr>
        <w:t>, accessed 20/11/19.</w:t>
      </w:r>
    </w:p>
    <w:p w:rsidR="6F263F7F" w:rsidP="6F263F7F" w:rsidRDefault="6F263F7F" w14:paraId="68449B79" w14:textId="0AAD13B8">
      <w:pPr>
        <w:pStyle w:val="Normal"/>
        <w:spacing w:after="160" w:line="259" w:lineRule="auto"/>
        <w:jc w:val="left"/>
      </w:pPr>
      <w:r w:rsidRPr="6F263F7F" w:rsidR="6F263F7F">
        <w:rPr>
          <w:rFonts w:ascii="Arial" w:hAnsi="Arial" w:eastAsia="Arial" w:cs="Arial"/>
          <w:noProof w:val="0"/>
          <w:sz w:val="24"/>
          <w:szCs w:val="24"/>
          <w:lang w:val="en-GB"/>
        </w:rPr>
        <w:t xml:space="preserve">Schatz, M., (2015), ‘Toward One of the Leading Education-Based Economies? Investigating Aims, Strategies, and Practices of Finland’s Education Export Landscape’. </w:t>
      </w:r>
      <w:r w:rsidRPr="6F263F7F" w:rsidR="6F263F7F">
        <w:rPr>
          <w:rFonts w:ascii="Arial" w:hAnsi="Arial" w:eastAsia="Arial" w:cs="Arial"/>
          <w:i w:val="1"/>
          <w:iCs w:val="1"/>
          <w:noProof w:val="0"/>
          <w:sz w:val="24"/>
          <w:szCs w:val="24"/>
          <w:lang w:val="en-GB"/>
        </w:rPr>
        <w:t>Journal of Studies in International Education</w:t>
      </w:r>
      <w:r w:rsidRPr="6F263F7F" w:rsidR="6F263F7F">
        <w:rPr>
          <w:rFonts w:ascii="Arial" w:hAnsi="Arial" w:eastAsia="Arial" w:cs="Arial"/>
          <w:noProof w:val="0"/>
          <w:sz w:val="24"/>
          <w:szCs w:val="24"/>
          <w:lang w:val="en-GB"/>
        </w:rPr>
        <w:t>, vol.19, iss.4, pp.327-340.</w:t>
      </w:r>
    </w:p>
    <w:p w:rsidR="6F263F7F" w:rsidP="6F263F7F" w:rsidRDefault="6F263F7F" w14:paraId="19FF65F8" w14:textId="32AC15B1">
      <w:pPr>
        <w:pStyle w:val="Normal"/>
        <w:spacing w:after="160" w:line="259" w:lineRule="auto"/>
        <w:jc w:val="left"/>
      </w:pPr>
      <w:r w:rsidRPr="6F263F7F" w:rsidR="6F263F7F">
        <w:rPr>
          <w:rFonts w:ascii="Arial" w:hAnsi="Arial" w:eastAsia="Arial" w:cs="Arial"/>
          <w:noProof w:val="0"/>
          <w:sz w:val="24"/>
          <w:szCs w:val="24"/>
          <w:lang w:val="en-GB"/>
        </w:rPr>
        <w:t>Spring, J., (2008), ‘</w:t>
      </w:r>
      <w:hyperlink r:id="R80ee7ec6057044db">
        <w:r w:rsidRPr="6F263F7F" w:rsidR="6F263F7F">
          <w:rPr>
            <w:rStyle w:val="Hyperlink"/>
            <w:rFonts w:ascii="Arial" w:hAnsi="Arial" w:eastAsia="Arial" w:cs="Arial"/>
            <w:noProof w:val="0"/>
            <w:sz w:val="24"/>
            <w:szCs w:val="24"/>
            <w:lang w:val="en-GB"/>
          </w:rPr>
          <w:t>Research on Globalization and Education</w:t>
        </w:r>
      </w:hyperlink>
      <w:r w:rsidRPr="6F263F7F" w:rsidR="6F263F7F">
        <w:rPr>
          <w:rFonts w:ascii="Arial" w:hAnsi="Arial" w:eastAsia="Arial" w:cs="Arial"/>
          <w:noProof w:val="0"/>
          <w:sz w:val="24"/>
          <w:szCs w:val="24"/>
          <w:lang w:val="en-GB"/>
        </w:rPr>
        <w:t xml:space="preserve">', </w:t>
      </w:r>
      <w:r w:rsidRPr="6F263F7F" w:rsidR="6F263F7F">
        <w:rPr>
          <w:rFonts w:ascii="Arial" w:hAnsi="Arial" w:eastAsia="Arial" w:cs="Arial"/>
          <w:i w:val="1"/>
          <w:iCs w:val="1"/>
          <w:noProof w:val="0"/>
          <w:sz w:val="24"/>
          <w:szCs w:val="24"/>
          <w:lang w:val="en-GB"/>
        </w:rPr>
        <w:t>Review of Educational Research</w:t>
      </w:r>
      <w:r w:rsidRPr="6F263F7F" w:rsidR="6F263F7F">
        <w:rPr>
          <w:rFonts w:ascii="Arial" w:hAnsi="Arial" w:eastAsia="Arial" w:cs="Arial"/>
          <w:noProof w:val="0"/>
          <w:sz w:val="24"/>
          <w:szCs w:val="24"/>
          <w:lang w:val="en-GB"/>
        </w:rPr>
        <w:t>, vol.78, iss.2, pp.330-363.</w:t>
      </w:r>
    </w:p>
    <w:p w:rsidR="6F263F7F" w:rsidP="6F263F7F" w:rsidRDefault="6F263F7F" w14:paraId="377D6F30" w14:textId="2F097580">
      <w:pPr>
        <w:pStyle w:val="Normal"/>
        <w:spacing w:after="160" w:line="259" w:lineRule="auto"/>
        <w:jc w:val="left"/>
        <w:rPr>
          <w:rFonts w:ascii="Arial" w:hAnsi="Arial" w:eastAsia="Arial" w:cs="Arial"/>
          <w:noProof w:val="0"/>
          <w:sz w:val="24"/>
          <w:szCs w:val="24"/>
          <w:lang w:val="en-GB"/>
        </w:rPr>
      </w:pPr>
    </w:p>
    <w:p w:rsidR="6F263F7F" w:rsidP="6F263F7F" w:rsidRDefault="6F263F7F" w14:paraId="348261B4" w14:textId="3A9A9C18">
      <w:pPr>
        <w:pStyle w:val="Normal"/>
        <w:spacing w:after="160" w:line="259" w:lineRule="auto"/>
        <w:jc w:val="left"/>
        <w:rPr>
          <w:rFonts w:ascii="Arial" w:hAnsi="Arial" w:eastAsia="Arial" w:cs="Arial"/>
          <w:noProof w:val="0"/>
          <w:color w:val="auto"/>
          <w:sz w:val="24"/>
          <w:szCs w:val="24"/>
          <w:u w:val="none"/>
          <w:lang w:val="en-GB"/>
        </w:rPr>
      </w:pPr>
    </w:p>
    <w:p w:rsidR="6F263F7F" w:rsidP="6F263F7F" w:rsidRDefault="6F263F7F" w14:paraId="79DFA85C" w14:textId="51B5CCAE">
      <w:pPr>
        <w:pStyle w:val="Normal"/>
        <w:spacing w:after="160" w:line="259" w:lineRule="auto"/>
        <w:jc w:val="left"/>
        <w:rPr>
          <w:rFonts w:ascii="Arial" w:hAnsi="Arial" w:eastAsia="Arial" w:cs="Arial"/>
          <w:noProof w:val="0"/>
          <w:color w:val="auto"/>
          <w:sz w:val="24"/>
          <w:szCs w:val="24"/>
          <w:u w:val="single"/>
          <w:lang w:val="en-GB"/>
        </w:rPr>
      </w:pPr>
    </w:p>
    <w:p w:rsidR="6F263F7F" w:rsidP="6F263F7F" w:rsidRDefault="6F263F7F" w14:paraId="7145E23B" w14:textId="15C2BB7B">
      <w:pPr>
        <w:pStyle w:val="Normal"/>
        <w:spacing w:after="160" w:line="360" w:lineRule="auto"/>
        <w:jc w:val="left"/>
        <w:rPr>
          <w:rFonts w:ascii="Arial" w:hAnsi="Arial" w:eastAsia="Arial" w:cs="Arial"/>
          <w:i w:val="0"/>
          <w:iCs w:val="0"/>
          <w:noProof w:val="0"/>
          <w:sz w:val="28"/>
          <w:szCs w:val="28"/>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4100F4E"/>
  <w15:docId w15:val="{4fd14966-421f-4b2e-af29-9f19fdf13c81}"/>
  <w:rsids>
    <w:rsidRoot w:val="14100F4E"/>
    <w:rsid w:val="02E23534"/>
    <w:rsid w:val="113A65CB"/>
    <w:rsid w:val="14100F4E"/>
    <w:rsid w:val="218F6893"/>
    <w:rsid w:val="278BF231"/>
    <w:rsid w:val="40FD1251"/>
    <w:rsid w:val="49340EA2"/>
    <w:rsid w:val="5A59C0A0"/>
    <w:rsid w:val="648282BE"/>
    <w:rsid w:val="69417536"/>
    <w:rsid w:val="6F263F7F"/>
    <w:rsid w:val="7518E3B8"/>
    <w:rsid w:val="7C26906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ciencedirect-com.ezproxy.uwtsd.ac.uk/science/article/pii/S0742051X16305273" TargetMode="External" Id="R65bb29eff0494ce0" /><Relationship Type="http://schemas.openxmlformats.org/officeDocument/2006/relationships/hyperlink" Target="https://www-sciencedirect-com.ezproxy.uwtsd.ac.uk/science/article/pii/S0742051X16305273" TargetMode="External" Id="Re37f7cda2da446d7" /><Relationship Type="http://schemas.openxmlformats.org/officeDocument/2006/relationships/hyperlink" Target="https://www.nasuwt.org.uk/uploads/assets/uploaded/ad5b4d73-76eb-462a-8ba00412eb6e572a.pdf" TargetMode="External" Id="R69f0d72426e840ac" /><Relationship Type="http://schemas.openxmlformats.org/officeDocument/2006/relationships/hyperlink" Target="https://shanghai.nyu.edu/sites/default/files/media/ChildWellBeingStudy0908.pdf" TargetMode="External" Id="R72197198c13748d9" /><Relationship Type="http://schemas.openxmlformats.org/officeDocument/2006/relationships/hyperlink" Target="https://www-sciencedirect-com.ezproxy.uwtsd.ac.uk/science/article/pii/S0742051X17309186" TargetMode="External" Id="R4afef7829b754bb2" /><Relationship Type="http://schemas.openxmlformats.org/officeDocument/2006/relationships/hyperlink" Target="https://www.washingtonpost.com/local/education/finlands-schools-were-once-the-envy-of-the-world-now-theyre-slipping/2016/12/08/dcfd0f56-bd60-11e6-91ee-1adddfe36cbe_story.html" TargetMode="External" Id="R45de6144abf041f6" /><Relationship Type="http://schemas.openxmlformats.org/officeDocument/2006/relationships/hyperlink" Target="https://cdn.americanprogress.org/wp-content/uploads/2013/05/ShanghaiReport-2.pdf" TargetMode="External" Id="R2afffb9ee4d54b1f" /><Relationship Type="http://schemas.openxmlformats.org/officeDocument/2006/relationships/hyperlink" Target="https://www-sciencedirect-com.ezproxy.uwtsd.ac.uk/science/article/pii/S0742051X16305273" TargetMode="External" Id="R33ba9dba02b544e9" /><Relationship Type="http://schemas.openxmlformats.org/officeDocument/2006/relationships/hyperlink" Target="https://www-sciencedirect-com.ezproxy.uwtsd.ac.uk/science/article/pii/S0742051X16305273" TargetMode="External" Id="R23820c6c7ba7476a" /><Relationship Type="http://schemas.openxmlformats.org/officeDocument/2006/relationships/hyperlink" Target="https://www-sciencedirect-com.ezproxy.uwtsd.ac.uk/science/article/pii/S0742051X16305273" TargetMode="External" Id="R600beca3284249a7" /><Relationship Type="http://schemas.openxmlformats.org/officeDocument/2006/relationships/hyperlink" Target="http://www.oecd.org/pisa/aboutpisa/" TargetMode="External" Id="Rf5f4b9156cb94415" /><Relationship Type="http://schemas.openxmlformats.org/officeDocument/2006/relationships/hyperlink" Target="https://www.oecd.org/pisa/publications/PISA2018_CN_QCI.pdf" TargetMode="External" Id="R87f2a396c8564ac9" /><Relationship Type="http://schemas.openxmlformats.org/officeDocument/2006/relationships/hyperlink" Target="https://www.oecd.org/pisa/pisa-for-development/17-PISA-D-and-SDG4.pdf" TargetMode="External" Id="R5d59a196310b4de2" /><Relationship Type="http://schemas.openxmlformats.org/officeDocument/2006/relationships/hyperlink" Target="https://www.oecd.org/pisa/pisaproducts/46619703.pdf" TargetMode="External" Id="R4cf374ffce544ef0" /><Relationship Type="http://schemas.openxmlformats.org/officeDocument/2006/relationships/hyperlink" Target="https://www.oecd.org/pisa/pisaproducts/48852548.pdf" TargetMode="External" Id="Rc0a87334a8bd4d3c" /><Relationship Type="http://schemas.openxmlformats.org/officeDocument/2006/relationships/hyperlink" Target="https://www.oecd.org/pisa/keyfindings/pisa-2012-results-overview.pdf" TargetMode="External" Id="R7c95c3b9191841fe" /><Relationship Type="http://schemas.openxmlformats.org/officeDocument/2006/relationships/hyperlink" Target="https://www.oecd.org/pisa/pisa-2015-results-in-focus.pdf" TargetMode="External" Id="R70ebf4c63492461f" /><Relationship Type="http://schemas.openxmlformats.org/officeDocument/2006/relationships/hyperlink" Target="https://www.oecd.org/pisa/publications/pisa-2018-results.htm" TargetMode="External" Id="Rebdeab522b354e3b" /><Relationship Type="http://schemas.openxmlformats.org/officeDocument/2006/relationships/hyperlink" Target="https://www.youtube.com/watch?v=yxT94FXwSPM" TargetMode="External" Id="R7ca16ceb0df7484f" /><Relationship Type="http://schemas.openxmlformats.org/officeDocument/2006/relationships/hyperlink" Target="https://www.oecd.org/pisa/Well-being-Infographics.pdf" TargetMode="External" Id="Red4441eec3ae4502" /><Relationship Type="http://schemas.openxmlformats.org/officeDocument/2006/relationships/hyperlink" Target="https://www.sciencedirect.com/science/article/pii/S0738059315000851?via%3Dihub" TargetMode="External" Id="R22776901d02a424c" /><Relationship Type="http://schemas.openxmlformats.org/officeDocument/2006/relationships/hyperlink" Target="https://www.oecd.org/pisa/publications/pisa-2018-results.htm" TargetMode="External" Id="Rd7e6af71c687453a" /><Relationship Type="http://schemas.openxmlformats.org/officeDocument/2006/relationships/hyperlink" Target="https://www.researchgate.net/publication/281684204_PISA_and_Global_Educational_Governance_-_A_Critique_of_the_Project_its_Uses_and_Implications" TargetMode="External" Id="R91fa39d36799452f" /><Relationship Type="http://schemas.openxmlformats.org/officeDocument/2006/relationships/hyperlink" Target="https://www.theguardian.com/education/2014/may/06/oecd-pisa-tests-damaging-education-academics" TargetMode="External" Id="R11338d6033484c39" /><Relationship Type="http://schemas.openxmlformats.org/officeDocument/2006/relationships/hyperlink" Target="https://www.un.org/sustainabledevelopment/sustainable-development-goals/" TargetMode="External" Id="R7614afc5933c4d24" /><Relationship Type="http://schemas.openxmlformats.org/officeDocument/2006/relationships/hyperlink" Target="https://www.un.org/sustainabledevelopment/education/" TargetMode="External" Id="R8b4fddd84e684f44" /><Relationship Type="http://schemas.openxmlformats.org/officeDocument/2006/relationships/hyperlink" Target="http://blogs.edweek.org/teachers/teaching_ahead/2013/12/how_does_finland_support_teachers.html" TargetMode="External" Id="Rf93393ebfc4a4ba6" /><Relationship Type="http://schemas.openxmlformats.org/officeDocument/2006/relationships/hyperlink" Target="http://www.sixthtone.com/news/1659/outside-shanghai%2C-china-fails-to-ace-pisa-test" TargetMode="External" Id="Red44b433d16e413e" /><Relationship Type="http://schemas.openxmlformats.org/officeDocument/2006/relationships/hyperlink" Target="https://learningscoop.fi/less-is-more-in-finnish-education/" TargetMode="External" Id="R1f689891de7241e0" /><Relationship Type="http://schemas.openxmlformats.org/officeDocument/2006/relationships/hyperlink" Target="https://www.theguardian.com/news/2013/dec/03/pisa-methodology-education-oecd-student-performance" TargetMode="External" Id="Rdfd678ecf9c74b21" /><Relationship Type="http://schemas.openxmlformats.org/officeDocument/2006/relationships/hyperlink" Target="http://www.george-spencer.notts.sch.uk/images/itl_demo/doc/Maths%20Hub/Shanghai%20Presentation.pdf" TargetMode="External" Id="R810532274ba64b0d" /><Relationship Type="http://schemas.openxmlformats.org/officeDocument/2006/relationships/hyperlink" Target="https://www.alfiekohn.org/article/truth-homework/" TargetMode="External" Id="Rebcf52ca80d74bf7" /><Relationship Type="http://schemas.openxmlformats.org/officeDocument/2006/relationships/hyperlink" Target="http://ncee.org/what-we-do/center-on-international-education-benchmarking/top-performing-countries/japan-overview/japan-teacher-and-principal-quality/" TargetMode="External" Id="R9bf89451cb7f4e0b" /><Relationship Type="http://schemas.openxmlformats.org/officeDocument/2006/relationships/hyperlink" Target="https://www.oecd.org/pisa/publications/PISA2018_CN_FIN.pdf" TargetMode="External" Id="Rcdc8278a27904675" /><Relationship Type="http://schemas.openxmlformats.org/officeDocument/2006/relationships/hyperlink" Target="https://www.youtube.com/watch?v=ZwD1v73O4VI" TargetMode="External" Id="R425208d235a94431" /><Relationship Type="http://schemas.openxmlformats.org/officeDocument/2006/relationships/hyperlink" Target="https://pasisahlberg.com/the-finnish-paradox/" TargetMode="External" Id="Re0b81f8630f440d1" /><Relationship Type="http://schemas.openxmlformats.org/officeDocument/2006/relationships/hyperlink" Target="https://blogs.spectator.co.uk/2013/06/is-finland-a-choice-less-education-miracle/" TargetMode="External" Id="Rd94226bcdb4e48ba" /><Relationship Type="http://schemas.openxmlformats.org/officeDocument/2006/relationships/hyperlink" Target="https://whel-primo.hosted.exlibrisgroup.com/primo-explore/fulldisplay?docid=TN_sage_s10_3102_0034654308317846&amp;context=PC&amp;vid=44WHELF_UWTSD_VU1&amp;lang=en_US&amp;search_scope=CSCOP_EVERYTHING&amp;adaptor=primo_central_multiple_fe&amp;tab=tab1&amp;query=any,contains,spring%20globalization%20of%20education&amp;offset=0" TargetMode="External" Id="R80ee7ec6057044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Joseph Sanderson (1500893)</dc:creator>
  <keywords/>
  <dc:description/>
  <lastModifiedBy>Joseph Sanderson (1500893)</lastModifiedBy>
  <revision>13</revision>
  <dcterms:created xsi:type="dcterms:W3CDTF">2019-11-19T11:22:48.6514624Z</dcterms:created>
  <dcterms:modified xsi:type="dcterms:W3CDTF">2020-01-13T14:43:36.6715620Z</dcterms:modified>
</coreProperties>
</file>