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CFA68" w14:textId="77777777" w:rsidR="00D94D78" w:rsidRDefault="00D94D78" w:rsidP="00D94D78">
      <w:pPr>
        <w:rPr>
          <w:b/>
          <w:bCs/>
          <w:sz w:val="40"/>
          <w:szCs w:val="40"/>
          <w:u w:val="single"/>
        </w:rPr>
      </w:pPr>
      <w:r w:rsidRPr="00181FDC">
        <w:rPr>
          <w:b/>
          <w:bCs/>
          <w:sz w:val="40"/>
          <w:szCs w:val="40"/>
          <w:u w:val="single"/>
        </w:rPr>
        <w:t xml:space="preserve">Reference list </w:t>
      </w:r>
    </w:p>
    <w:p w14:paraId="63DF57B9" w14:textId="77777777" w:rsidR="00D94D78" w:rsidRDefault="00D94D78" w:rsidP="00D94D78">
      <w:pPr>
        <w:rPr>
          <w:lang w:val="en-US"/>
        </w:rPr>
      </w:pPr>
      <w:r w:rsidRPr="00813BD9">
        <w:rPr>
          <w:lang w:val="en-US"/>
        </w:rPr>
        <w:t xml:space="preserve">Baker, C. (2011) </w:t>
      </w:r>
      <w:r w:rsidRPr="00813BD9">
        <w:rPr>
          <w:i/>
          <w:iCs/>
          <w:lang w:val="en-US"/>
        </w:rPr>
        <w:t>Foundations of Bilingual Education and Bilingualism</w:t>
      </w:r>
      <w:r w:rsidRPr="00813BD9">
        <w:rPr>
          <w:lang w:val="en-US"/>
        </w:rPr>
        <w:t xml:space="preserve"> (5th ed). Clevedon: Multilingual Matters</w:t>
      </w:r>
      <w:r>
        <w:rPr>
          <w:lang w:val="en-US"/>
        </w:rPr>
        <w:t xml:space="preserve">. </w:t>
      </w:r>
    </w:p>
    <w:p w14:paraId="0A353C49" w14:textId="77777777" w:rsidR="00D94D78" w:rsidRPr="008B7D29" w:rsidRDefault="00D94D78" w:rsidP="00D94D78">
      <w:r>
        <w:t xml:space="preserve">Bassett, M. (2019) </w:t>
      </w:r>
      <w:r w:rsidRPr="00A45AF0">
        <w:rPr>
          <w:i/>
          <w:iCs/>
        </w:rPr>
        <w:t>10 Benefits of being bilingual</w:t>
      </w:r>
      <w:r>
        <w:t xml:space="preserve">. Available at: </w:t>
      </w:r>
      <w:hyperlink r:id="rId4" w:history="1">
        <w:r w:rsidRPr="00A626A1">
          <w:rPr>
            <w:rStyle w:val="Hyperlink"/>
          </w:rPr>
          <w:t>https://unuhi.com/10-benefits-of-being-bilingual/</w:t>
        </w:r>
      </w:hyperlink>
      <w:r>
        <w:t xml:space="preserve"> (Accessed 22</w:t>
      </w:r>
      <w:r w:rsidRPr="00A45AF0">
        <w:rPr>
          <w:vertAlign w:val="superscript"/>
        </w:rPr>
        <w:t>nd</w:t>
      </w:r>
      <w:r>
        <w:t xml:space="preserve"> March 2022). </w:t>
      </w:r>
    </w:p>
    <w:p w14:paraId="37567B76" w14:textId="77777777" w:rsidR="00D94D78" w:rsidRDefault="00D94D78" w:rsidP="00D94D78">
      <w:pPr>
        <w:rPr>
          <w:lang w:val="en-US"/>
        </w:rPr>
      </w:pPr>
      <w:r>
        <w:rPr>
          <w:lang w:val="en-US"/>
        </w:rPr>
        <w:t xml:space="preserve">Esmee Fairbairn foundation. (2008) </w:t>
      </w:r>
      <w:r w:rsidRPr="000B3F12">
        <w:rPr>
          <w:i/>
          <w:iCs/>
          <w:lang w:val="en-US"/>
        </w:rPr>
        <w:t>Ensuring equality in childcare for black and minority ethnic families: a summary paper.</w:t>
      </w:r>
      <w:r>
        <w:rPr>
          <w:lang w:val="en-US"/>
        </w:rPr>
        <w:t xml:space="preserve"> Available at: </w:t>
      </w:r>
      <w:hyperlink r:id="rId5" w:history="1">
        <w:r w:rsidRPr="00A626A1">
          <w:rPr>
            <w:rStyle w:val="Hyperlink"/>
            <w:lang w:val="en-US"/>
          </w:rPr>
          <w:t>https://www.valeofglamorgan.gov.uk/Documents/Living/Social%20Care/Ensuring-Equality-in-childcare-for-black-and-minority-ethnic-families-a-summary%5B1%5D.pdf</w:t>
        </w:r>
      </w:hyperlink>
      <w:r>
        <w:rPr>
          <w:lang w:val="en-US"/>
        </w:rPr>
        <w:t xml:space="preserve"> (Accessed 22</w:t>
      </w:r>
      <w:r w:rsidRPr="000B3F12">
        <w:rPr>
          <w:vertAlign w:val="superscript"/>
          <w:lang w:val="en-US"/>
        </w:rPr>
        <w:t>nd</w:t>
      </w:r>
      <w:r>
        <w:rPr>
          <w:lang w:val="en-US"/>
        </w:rPr>
        <w:t xml:space="preserve"> March 2022). </w:t>
      </w:r>
    </w:p>
    <w:p w14:paraId="0BCB2786" w14:textId="77777777" w:rsidR="00D94D78" w:rsidRDefault="00D94D78" w:rsidP="00D94D78">
      <w:pPr>
        <w:spacing w:after="0" w:line="240" w:lineRule="auto"/>
        <w:rPr>
          <w:lang w:val="en-US"/>
        </w:rPr>
      </w:pPr>
      <w:r>
        <w:rPr>
          <w:lang w:val="en-US"/>
        </w:rPr>
        <w:t xml:space="preserve">Explearning. (2022) </w:t>
      </w:r>
      <w:r w:rsidRPr="00BF1B5E">
        <w:rPr>
          <w:i/>
          <w:iCs/>
          <w:lang w:val="en-US"/>
        </w:rPr>
        <w:t>Sensitivity in communication</w:t>
      </w:r>
      <w:r>
        <w:rPr>
          <w:lang w:val="en-US"/>
        </w:rPr>
        <w:t xml:space="preserve">. Available at: </w:t>
      </w:r>
      <w:hyperlink r:id="rId6" w:history="1">
        <w:r w:rsidRPr="00F4262A">
          <w:rPr>
            <w:rStyle w:val="Hyperlink"/>
            <w:lang w:val="en-US"/>
          </w:rPr>
          <w:t>https://explearning.co/blog/7ecshgq5/sensitivity-in-communication</w:t>
        </w:r>
      </w:hyperlink>
      <w:r>
        <w:rPr>
          <w:lang w:val="en-US"/>
        </w:rPr>
        <w:t xml:space="preserve"> (Accessed 24th March 2022). </w:t>
      </w:r>
    </w:p>
    <w:p w14:paraId="0BB8085D" w14:textId="77777777" w:rsidR="00D94D78" w:rsidRDefault="00D94D78" w:rsidP="00D94D78">
      <w:pPr>
        <w:spacing w:after="0" w:line="240" w:lineRule="auto"/>
        <w:rPr>
          <w:lang w:val="en-US"/>
        </w:rPr>
      </w:pPr>
    </w:p>
    <w:p w14:paraId="2E25929B" w14:textId="77777777" w:rsidR="00D94D78" w:rsidRDefault="00D94D78" w:rsidP="00D94D78">
      <w:pPr>
        <w:spacing w:after="0" w:line="240" w:lineRule="auto"/>
      </w:pPr>
      <w:r>
        <w:t xml:space="preserve">Gambi, K. (2015) </w:t>
      </w:r>
      <w:r w:rsidRPr="00AF3D0A">
        <w:rPr>
          <w:i/>
          <w:iCs/>
        </w:rPr>
        <w:t>Learning to read: does being bilingual help or hinder?</w:t>
      </w:r>
      <w:r>
        <w:t xml:space="preserve"> Available at: </w:t>
      </w:r>
      <w:hyperlink r:id="rId7" w:history="1">
        <w:r w:rsidRPr="00A626A1">
          <w:rPr>
            <w:rStyle w:val="Hyperlink"/>
          </w:rPr>
          <w:t>http://www.bilingualism-matters.ppls.ed.ac.uk/learning-read-bilingual-hinder/</w:t>
        </w:r>
      </w:hyperlink>
      <w:r>
        <w:t xml:space="preserve"> (Accessed 22</w:t>
      </w:r>
      <w:r w:rsidRPr="00AF3D0A">
        <w:rPr>
          <w:vertAlign w:val="superscript"/>
        </w:rPr>
        <w:t>nd</w:t>
      </w:r>
      <w:r>
        <w:t xml:space="preserve"> March 2022). </w:t>
      </w:r>
    </w:p>
    <w:p w14:paraId="72760E56" w14:textId="77777777" w:rsidR="00D94D78" w:rsidRDefault="00D94D78" w:rsidP="00D94D78">
      <w:pPr>
        <w:spacing w:after="0" w:line="240" w:lineRule="auto"/>
      </w:pPr>
    </w:p>
    <w:p w14:paraId="3610E4C4" w14:textId="77777777" w:rsidR="00D94D78" w:rsidRDefault="00D94D78" w:rsidP="00D94D78">
      <w:pPr>
        <w:rPr>
          <w:lang w:val="en-US"/>
        </w:rPr>
      </w:pPr>
      <w:r>
        <w:rPr>
          <w:lang w:val="en-US"/>
        </w:rPr>
        <w:t xml:space="preserve">Hwb. (No Date) </w:t>
      </w:r>
      <w:r w:rsidRPr="00913F3D">
        <w:rPr>
          <w:i/>
          <w:iCs/>
          <w:lang w:val="en-US"/>
        </w:rPr>
        <w:t>5 stage model of English as an additional language acquisition</w:t>
      </w:r>
      <w:r>
        <w:rPr>
          <w:lang w:val="en-US"/>
        </w:rPr>
        <w:t xml:space="preserve">. Available at: </w:t>
      </w:r>
      <w:hyperlink r:id="rId8" w:history="1">
        <w:r w:rsidRPr="00A626A1">
          <w:rPr>
            <w:rStyle w:val="Hyperlink"/>
            <w:lang w:val="en-US"/>
          </w:rPr>
          <w:t>https://hwb.gov.wales/api/storage/cefd3a14-bdf9-4db1-a8de-ed00199173b8/AnnexA5stagemodeloflanguageacquisition.pdf</w:t>
        </w:r>
      </w:hyperlink>
      <w:r>
        <w:rPr>
          <w:lang w:val="en-US"/>
        </w:rPr>
        <w:t xml:space="preserve"> (Accessed 22nd March 2022). </w:t>
      </w:r>
    </w:p>
    <w:p w14:paraId="4124FFDB" w14:textId="77777777" w:rsidR="00D94D78" w:rsidRDefault="00D94D78" w:rsidP="00D94D78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 xml:space="preserve">Jensen, M. (2014) </w:t>
      </w:r>
      <w:r w:rsidRPr="00392A68">
        <w:rPr>
          <w:rFonts w:eastAsia="Times New Roman" w:cstheme="minorHAnsi"/>
          <w:i/>
          <w:iCs/>
          <w:lang w:eastAsia="en-GB"/>
        </w:rPr>
        <w:t>Gray and white matter</w:t>
      </w:r>
      <w:r>
        <w:rPr>
          <w:rFonts w:eastAsia="Times New Roman" w:cstheme="minorHAnsi"/>
          <w:lang w:eastAsia="en-GB"/>
        </w:rPr>
        <w:t xml:space="preserve"> [Video]. Available at: </w:t>
      </w:r>
      <w:hyperlink r:id="rId9" w:history="1">
        <w:r w:rsidRPr="00F4262A">
          <w:rPr>
            <w:rStyle w:val="Hyperlink"/>
            <w:rFonts w:eastAsia="Times New Roman" w:cstheme="minorHAnsi"/>
            <w:lang w:eastAsia="en-GB"/>
          </w:rPr>
          <w:t>https://www.youtube.com/watch?v=ZZQzMeFoZY0</w:t>
        </w:r>
      </w:hyperlink>
      <w:r>
        <w:rPr>
          <w:rFonts w:eastAsia="Times New Roman" w:cstheme="minorHAnsi"/>
          <w:lang w:eastAsia="en-GB"/>
        </w:rPr>
        <w:t xml:space="preserve"> (Accessed 24</w:t>
      </w:r>
      <w:r w:rsidRPr="00392A68">
        <w:rPr>
          <w:rFonts w:eastAsia="Times New Roman" w:cstheme="minorHAnsi"/>
          <w:vertAlign w:val="superscript"/>
          <w:lang w:eastAsia="en-GB"/>
        </w:rPr>
        <w:t>th</w:t>
      </w:r>
      <w:r>
        <w:rPr>
          <w:rFonts w:eastAsia="Times New Roman" w:cstheme="minorHAnsi"/>
          <w:lang w:eastAsia="en-GB"/>
        </w:rPr>
        <w:t xml:space="preserve"> March 2022). </w:t>
      </w:r>
    </w:p>
    <w:p w14:paraId="4378476E" w14:textId="77777777" w:rsidR="00D94D78" w:rsidRDefault="00D94D78" w:rsidP="00D94D78">
      <w:pPr>
        <w:spacing w:after="0" w:line="240" w:lineRule="auto"/>
        <w:rPr>
          <w:rFonts w:eastAsia="Times New Roman" w:cstheme="minorHAnsi"/>
          <w:lang w:eastAsia="en-GB"/>
        </w:rPr>
      </w:pPr>
    </w:p>
    <w:p w14:paraId="78591CC0" w14:textId="77777777" w:rsidR="00D94D78" w:rsidRDefault="00D94D78" w:rsidP="00D94D78">
      <w:pPr>
        <w:rPr>
          <w:lang w:val="en-US"/>
        </w:rPr>
      </w:pPr>
      <w:r>
        <w:rPr>
          <w:lang w:val="en-US"/>
        </w:rPr>
        <w:t xml:space="preserve">Lemetyinen, H. (2012) </w:t>
      </w:r>
      <w:r w:rsidRPr="00163BC7">
        <w:rPr>
          <w:i/>
          <w:iCs/>
          <w:lang w:val="en-US"/>
        </w:rPr>
        <w:t>Language acquisition.</w:t>
      </w:r>
      <w:r>
        <w:rPr>
          <w:lang w:val="en-US"/>
        </w:rPr>
        <w:t xml:space="preserve"> Available at: </w:t>
      </w:r>
      <w:hyperlink r:id="rId10" w:history="1">
        <w:r w:rsidRPr="00A626A1">
          <w:rPr>
            <w:rStyle w:val="Hyperlink"/>
            <w:lang w:val="en-US"/>
          </w:rPr>
          <w:t>https://www.simplypsychology.org/language.html</w:t>
        </w:r>
      </w:hyperlink>
      <w:r>
        <w:rPr>
          <w:lang w:val="en-US"/>
        </w:rPr>
        <w:t xml:space="preserve"> (Accessed 22nd March 2022). </w:t>
      </w:r>
    </w:p>
    <w:p w14:paraId="0DB0F122" w14:textId="77777777" w:rsidR="00D94D78" w:rsidRDefault="00D94D78" w:rsidP="00D94D78">
      <w:r>
        <w:t xml:space="preserve">Limacher, U. (2022) </w:t>
      </w:r>
      <w:r w:rsidRPr="007B29E9">
        <w:rPr>
          <w:i/>
          <w:iCs/>
        </w:rPr>
        <w:t>Simultaneous and sequential bilingualism</w:t>
      </w:r>
      <w:r>
        <w:t xml:space="preserve">. Available at: </w:t>
      </w:r>
      <w:hyperlink r:id="rId11" w:history="1">
        <w:r w:rsidRPr="00A626A1">
          <w:rPr>
            <w:rStyle w:val="Hyperlink"/>
          </w:rPr>
          <w:t>https://utesinternationallounge.com/simultaneous-and-sequential-bilingualism/</w:t>
        </w:r>
      </w:hyperlink>
      <w:r>
        <w:t xml:space="preserve"> (Accessed 22</w:t>
      </w:r>
      <w:r w:rsidRPr="003D579F">
        <w:rPr>
          <w:vertAlign w:val="superscript"/>
        </w:rPr>
        <w:t>nd</w:t>
      </w:r>
      <w:r>
        <w:t xml:space="preserve"> March 2022). </w:t>
      </w:r>
    </w:p>
    <w:p w14:paraId="581F50BC" w14:textId="77777777" w:rsidR="00D94D78" w:rsidRPr="00D6344B" w:rsidRDefault="00D94D78" w:rsidP="00D94D78">
      <w:pPr>
        <w:rPr>
          <w:lang w:val="en-US"/>
        </w:rPr>
      </w:pPr>
      <w:r>
        <w:rPr>
          <w:lang w:val="en-US"/>
        </w:rPr>
        <w:t xml:space="preserve">Li, Pamela. (2022) </w:t>
      </w:r>
      <w:r w:rsidRPr="00894264">
        <w:rPr>
          <w:i/>
          <w:iCs/>
          <w:lang w:val="en-US"/>
        </w:rPr>
        <w:t>Divergent thinking</w:t>
      </w:r>
      <w:r>
        <w:rPr>
          <w:lang w:val="en-US"/>
        </w:rPr>
        <w:t xml:space="preserve">. Available at: </w:t>
      </w:r>
      <w:hyperlink r:id="rId12" w:history="1">
        <w:r w:rsidRPr="00A626A1">
          <w:rPr>
            <w:rStyle w:val="Hyperlink"/>
            <w:lang w:val="en-US"/>
          </w:rPr>
          <w:t>https://www.parentingforbrain.com/divergent-thinking/</w:t>
        </w:r>
      </w:hyperlink>
      <w:r>
        <w:rPr>
          <w:lang w:val="en-US"/>
        </w:rPr>
        <w:t xml:space="preserve"> (Accessed 23</w:t>
      </w:r>
      <w:r w:rsidRPr="00894264">
        <w:rPr>
          <w:vertAlign w:val="superscript"/>
          <w:lang w:val="en-US"/>
        </w:rPr>
        <w:t>rd</w:t>
      </w:r>
      <w:r>
        <w:rPr>
          <w:lang w:val="en-US"/>
        </w:rPr>
        <w:t xml:space="preserve"> March 2022). </w:t>
      </w:r>
    </w:p>
    <w:p w14:paraId="44691CA8" w14:textId="77777777" w:rsidR="00D94D78" w:rsidRDefault="00D94D78" w:rsidP="00D94D78">
      <w:r>
        <w:t xml:space="preserve">Raising Children. (2021) </w:t>
      </w:r>
      <w:r w:rsidRPr="00181FDC">
        <w:rPr>
          <w:i/>
          <w:iCs/>
        </w:rPr>
        <w:t xml:space="preserve">Multilingual and bilingual children: questions and answers. </w:t>
      </w:r>
      <w:r>
        <w:t xml:space="preserve">Available at: </w:t>
      </w:r>
      <w:hyperlink r:id="rId13" w:history="1">
        <w:r w:rsidRPr="00A626A1">
          <w:rPr>
            <w:rStyle w:val="Hyperlink"/>
          </w:rPr>
          <w:t>https://raisingchildren.net.au/babies/connecting-communicating/bilingualism-multilingualism/bilingualism</w:t>
        </w:r>
      </w:hyperlink>
      <w:r>
        <w:t xml:space="preserve"> (Accessed 22nd March 2022). </w:t>
      </w:r>
    </w:p>
    <w:p w14:paraId="0F7D2323" w14:textId="77777777" w:rsidR="00D94D78" w:rsidRDefault="00D94D78" w:rsidP="00D94D78">
      <w:pPr>
        <w:spacing w:after="0" w:line="240" w:lineRule="auto"/>
        <w:rPr>
          <w:lang w:val="en-US"/>
        </w:rPr>
      </w:pPr>
      <w:r w:rsidRPr="00E60309">
        <w:rPr>
          <w:rFonts w:eastAsia="Times New Roman" w:cstheme="minorHAnsi"/>
          <w:color w:val="333333"/>
          <w:shd w:val="clear" w:color="auto" w:fill="FCFCFC"/>
          <w:lang w:eastAsia="en-GB"/>
        </w:rPr>
        <w:t xml:space="preserve">Tajvidi, M., Karami, A. (2015). </w:t>
      </w:r>
      <w:r w:rsidRPr="00E60309">
        <w:rPr>
          <w:rFonts w:eastAsia="Times New Roman" w:cstheme="minorHAnsi"/>
          <w:i/>
          <w:iCs/>
          <w:color w:val="333333"/>
          <w:shd w:val="clear" w:color="auto" w:fill="FCFCFC"/>
          <w:lang w:eastAsia="en-GB"/>
        </w:rPr>
        <w:t>Innovation Capacity. In: Product Development Strategy</w:t>
      </w:r>
      <w:r w:rsidRPr="00E60309">
        <w:rPr>
          <w:rFonts w:eastAsia="Times New Roman" w:cstheme="minorHAnsi"/>
          <w:color w:val="333333"/>
          <w:shd w:val="clear" w:color="auto" w:fill="FCFCFC"/>
          <w:lang w:eastAsia="en-GB"/>
        </w:rPr>
        <w:t>. Palgrave Macmillan, London</w:t>
      </w:r>
      <w:r w:rsidRPr="001810FD">
        <w:rPr>
          <w:rFonts w:eastAsia="Times New Roman" w:cstheme="minorHAnsi"/>
          <w:lang w:eastAsia="en-GB"/>
        </w:rPr>
        <w:t xml:space="preserve">. </w:t>
      </w:r>
      <w:r w:rsidRPr="001810FD">
        <w:rPr>
          <w:lang w:val="en-US"/>
        </w:rPr>
        <w:t xml:space="preserve">Available at: </w:t>
      </w:r>
      <w:hyperlink r:id="rId14" w:history="1">
        <w:r w:rsidRPr="001810FD">
          <w:rPr>
            <w:rStyle w:val="Hyperlink"/>
            <w:lang w:val="en-US"/>
          </w:rPr>
          <w:t>https://link.springer.com/chapter/10.1057/9781137501394_5?noAccess=true</w:t>
        </w:r>
      </w:hyperlink>
      <w:r w:rsidRPr="001810FD">
        <w:rPr>
          <w:lang w:val="en-US"/>
        </w:rPr>
        <w:t xml:space="preserve"> (Accessed 24</w:t>
      </w:r>
      <w:r w:rsidRPr="001810FD">
        <w:rPr>
          <w:vertAlign w:val="superscript"/>
          <w:lang w:val="en-US"/>
        </w:rPr>
        <w:t>th</w:t>
      </w:r>
      <w:r w:rsidRPr="001810FD">
        <w:rPr>
          <w:lang w:val="en-US"/>
        </w:rPr>
        <w:t xml:space="preserve"> March 2022). </w:t>
      </w:r>
    </w:p>
    <w:p w14:paraId="4EB9C1D7" w14:textId="77777777" w:rsidR="00D94D78" w:rsidRDefault="00D94D78" w:rsidP="00D94D78">
      <w:pPr>
        <w:spacing w:after="0" w:line="240" w:lineRule="auto"/>
      </w:pPr>
    </w:p>
    <w:p w14:paraId="474E43ED" w14:textId="77777777" w:rsidR="00D94D78" w:rsidRDefault="00D94D78" w:rsidP="00D94D78">
      <w:pPr>
        <w:spacing w:after="0" w:line="240" w:lineRule="auto"/>
        <w:rPr>
          <w:rFonts w:eastAsia="Times New Roman" w:cstheme="minorHAnsi"/>
          <w:lang w:eastAsia="en-GB"/>
        </w:rPr>
      </w:pPr>
      <w:r w:rsidRPr="008B7D29">
        <w:t>Welsh government</w:t>
      </w:r>
      <w:r>
        <w:rPr>
          <w:sz w:val="24"/>
          <w:szCs w:val="24"/>
        </w:rPr>
        <w:t>. (</w:t>
      </w:r>
      <w:r w:rsidRPr="008B7D29">
        <w:t xml:space="preserve">2012) </w:t>
      </w:r>
      <w:r w:rsidRPr="008B7D29">
        <w:rPr>
          <w:i/>
          <w:iCs/>
        </w:rPr>
        <w:t>A living language, a language for living: welsh language strategy 2012-2017.</w:t>
      </w:r>
      <w:r w:rsidRPr="008B7D29">
        <w:t xml:space="preserve"> </w:t>
      </w:r>
      <w:r>
        <w:rPr>
          <w:rFonts w:eastAsia="Times New Roman" w:cstheme="minorHAnsi"/>
          <w:lang w:eastAsia="en-GB"/>
        </w:rPr>
        <w:t xml:space="preserve">Available at: </w:t>
      </w:r>
      <w:hyperlink r:id="rId15" w:history="1">
        <w:r w:rsidRPr="00F4262A">
          <w:rPr>
            <w:rStyle w:val="Hyperlink"/>
            <w:rFonts w:eastAsia="Times New Roman" w:cstheme="minorHAnsi"/>
            <w:lang w:eastAsia="en-GB"/>
          </w:rPr>
          <w:t>https://gov.wales/</w:t>
        </w:r>
        <w:r w:rsidRPr="00F4262A">
          <w:rPr>
            <w:rStyle w:val="Hyperlink"/>
            <w:rFonts w:eastAsia="Times New Roman" w:cstheme="minorHAnsi"/>
            <w:lang w:eastAsia="en-GB"/>
          </w:rPr>
          <w:t>s</w:t>
        </w:r>
        <w:r w:rsidRPr="00F4262A">
          <w:rPr>
            <w:rStyle w:val="Hyperlink"/>
            <w:rFonts w:eastAsia="Times New Roman" w:cstheme="minorHAnsi"/>
            <w:lang w:eastAsia="en-GB"/>
          </w:rPr>
          <w:t>ites/default/files/publications/2018-12/welsh-language-strategy-2012-to-2017-a-living-language-a-language-for-living.pdf</w:t>
        </w:r>
      </w:hyperlink>
      <w:r>
        <w:rPr>
          <w:rFonts w:eastAsia="Times New Roman" w:cstheme="minorHAnsi"/>
          <w:lang w:eastAsia="en-GB"/>
        </w:rPr>
        <w:t xml:space="preserve"> (Accessed 24th March 2022). </w:t>
      </w:r>
    </w:p>
    <w:p w14:paraId="2090A760" w14:textId="77777777" w:rsidR="00D94D78" w:rsidRDefault="00D94D78" w:rsidP="00D94D78">
      <w:pPr>
        <w:spacing w:after="0" w:line="240" w:lineRule="auto"/>
        <w:rPr>
          <w:rFonts w:eastAsia="Times New Roman" w:cstheme="minorHAnsi"/>
          <w:lang w:eastAsia="en-GB"/>
        </w:rPr>
      </w:pPr>
    </w:p>
    <w:p w14:paraId="6871E444" w14:textId="77777777" w:rsidR="00D94D78" w:rsidRDefault="00D94D78" w:rsidP="00D94D78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lastRenderedPageBreak/>
        <w:t xml:space="preserve">Welsh language commissioner. (2022) </w:t>
      </w:r>
      <w:r w:rsidRPr="00F32A2E">
        <w:rPr>
          <w:rFonts w:eastAsia="Times New Roman" w:cstheme="minorHAnsi"/>
          <w:i/>
          <w:iCs/>
          <w:lang w:eastAsia="en-GB"/>
        </w:rPr>
        <w:t>Welsh language commissioner</w:t>
      </w:r>
      <w:r>
        <w:rPr>
          <w:rFonts w:eastAsia="Times New Roman" w:cstheme="minorHAnsi"/>
          <w:lang w:eastAsia="en-GB"/>
        </w:rPr>
        <w:t xml:space="preserve">. Available at: </w:t>
      </w:r>
      <w:hyperlink r:id="rId16" w:history="1">
        <w:r w:rsidRPr="00F4262A">
          <w:rPr>
            <w:rStyle w:val="Hyperlink"/>
            <w:rFonts w:eastAsia="Times New Roman" w:cstheme="minorHAnsi"/>
            <w:lang w:eastAsia="en-GB"/>
          </w:rPr>
          <w:t>https://www.welshlanguagecommissioner.wales</w:t>
        </w:r>
      </w:hyperlink>
      <w:r>
        <w:rPr>
          <w:rFonts w:eastAsia="Times New Roman" w:cstheme="minorHAnsi"/>
          <w:lang w:eastAsia="en-GB"/>
        </w:rPr>
        <w:t xml:space="preserve"> (Accessed 24</w:t>
      </w:r>
      <w:r w:rsidRPr="00F32A2E">
        <w:rPr>
          <w:rFonts w:eastAsia="Times New Roman" w:cstheme="minorHAnsi"/>
          <w:vertAlign w:val="superscript"/>
          <w:lang w:eastAsia="en-GB"/>
        </w:rPr>
        <w:t>th</w:t>
      </w:r>
      <w:r>
        <w:rPr>
          <w:rFonts w:eastAsia="Times New Roman" w:cstheme="minorHAnsi"/>
          <w:lang w:eastAsia="en-GB"/>
        </w:rPr>
        <w:t xml:space="preserve"> March 2022). </w:t>
      </w:r>
    </w:p>
    <w:p w14:paraId="744EEF19" w14:textId="77777777" w:rsidR="00D94D78" w:rsidRDefault="00D94D78" w:rsidP="00D94D78">
      <w:pPr>
        <w:spacing w:after="0" w:line="240" w:lineRule="auto"/>
        <w:rPr>
          <w:rFonts w:eastAsia="Times New Roman" w:cstheme="minorHAnsi"/>
          <w:lang w:eastAsia="en-GB"/>
        </w:rPr>
      </w:pPr>
    </w:p>
    <w:p w14:paraId="13378F97" w14:textId="77777777" w:rsidR="00D94D78" w:rsidRDefault="00D94D78" w:rsidP="00D94D78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 xml:space="preserve">Welsh government. (2015) </w:t>
      </w:r>
      <w:r w:rsidRPr="00F32A2E">
        <w:rPr>
          <w:rFonts w:eastAsia="Times New Roman" w:cstheme="minorHAnsi"/>
          <w:i/>
          <w:iCs/>
          <w:lang w:eastAsia="en-GB"/>
        </w:rPr>
        <w:t>Curriculum for wales</w:t>
      </w:r>
      <w:r>
        <w:rPr>
          <w:rFonts w:eastAsia="Times New Roman" w:cstheme="minorHAnsi"/>
          <w:lang w:eastAsia="en-GB"/>
        </w:rPr>
        <w:t xml:space="preserve">. Available at: </w:t>
      </w:r>
      <w:hyperlink r:id="rId17" w:history="1">
        <w:r w:rsidRPr="00F4262A">
          <w:rPr>
            <w:rStyle w:val="Hyperlink"/>
            <w:rFonts w:eastAsia="Times New Roman" w:cstheme="minorHAnsi"/>
            <w:lang w:eastAsia="en-GB"/>
          </w:rPr>
          <w:t>https://hwb.gov.wales/storage/d5d8e39c-b534-40cb-a3f5-7e2e126d8077/foundation-phase-framework.pdf</w:t>
        </w:r>
      </w:hyperlink>
      <w:r>
        <w:rPr>
          <w:rFonts w:eastAsia="Times New Roman" w:cstheme="minorHAnsi"/>
          <w:lang w:eastAsia="en-GB"/>
        </w:rPr>
        <w:t xml:space="preserve"> (Accessed 24th March 2022). </w:t>
      </w:r>
    </w:p>
    <w:p w14:paraId="558C50EC" w14:textId="77777777" w:rsidR="00D94D78" w:rsidRPr="00D6344B" w:rsidRDefault="00D94D78" w:rsidP="00D94D78">
      <w:pPr>
        <w:spacing w:after="0" w:line="240" w:lineRule="auto"/>
        <w:rPr>
          <w:rFonts w:eastAsia="Times New Roman" w:cstheme="minorHAnsi"/>
          <w:lang w:eastAsia="en-GB"/>
        </w:rPr>
      </w:pPr>
    </w:p>
    <w:p w14:paraId="03094900" w14:textId="77777777" w:rsidR="00D94D78" w:rsidRPr="00D6344B" w:rsidRDefault="00D94D78" w:rsidP="00D94D78">
      <w:pPr>
        <w:rPr>
          <w:lang w:val="en-US"/>
        </w:rPr>
      </w:pPr>
      <w:r>
        <w:rPr>
          <w:lang w:val="en-US"/>
        </w:rPr>
        <w:t xml:space="preserve">Wiley online library. (2018) </w:t>
      </w:r>
      <w:r w:rsidRPr="00C24C54">
        <w:rPr>
          <w:i/>
          <w:iCs/>
          <w:lang w:val="en-US"/>
        </w:rPr>
        <w:t>Bilingualism and creativity: towards a situated cognition approach</w:t>
      </w:r>
      <w:r>
        <w:rPr>
          <w:lang w:val="en-US"/>
        </w:rPr>
        <w:t xml:space="preserve">. Available at: </w:t>
      </w:r>
      <w:hyperlink r:id="rId18" w:history="1">
        <w:r w:rsidRPr="00A626A1">
          <w:rPr>
            <w:rStyle w:val="Hyperlink"/>
            <w:lang w:val="en-US"/>
          </w:rPr>
          <w:t>https://onlinelibrary.wiley.com/doi/full/10.1002/jocb.238</w:t>
        </w:r>
      </w:hyperlink>
      <w:r>
        <w:rPr>
          <w:lang w:val="en-US"/>
        </w:rPr>
        <w:t xml:space="preserve"> (Accessed 23rd March 2022). </w:t>
      </w:r>
    </w:p>
    <w:p w14:paraId="1642419F" w14:textId="77777777" w:rsidR="00D94D78" w:rsidRDefault="00D94D78" w:rsidP="00D94D78">
      <w:pPr>
        <w:spacing w:after="0" w:line="240" w:lineRule="auto"/>
        <w:rPr>
          <w:rFonts w:eastAsia="Times New Roman" w:cstheme="minorHAnsi"/>
          <w:lang w:eastAsia="en-GB"/>
        </w:rPr>
      </w:pPr>
    </w:p>
    <w:p w14:paraId="06DC2238" w14:textId="77777777" w:rsidR="00D94D78" w:rsidRDefault="00D94D78" w:rsidP="00D94D78">
      <w:pPr>
        <w:spacing w:after="0" w:line="240" w:lineRule="auto"/>
        <w:rPr>
          <w:rFonts w:eastAsia="Times New Roman" w:cstheme="minorHAnsi"/>
          <w:lang w:eastAsia="en-GB"/>
        </w:rPr>
      </w:pPr>
    </w:p>
    <w:p w14:paraId="4010EA42" w14:textId="77777777" w:rsidR="00D94D78" w:rsidRDefault="00D94D78"/>
    <w:sectPr w:rsidR="00D94D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D78"/>
    <w:rsid w:val="00D94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811DE1"/>
  <w15:chartTrackingRefBased/>
  <w15:docId w15:val="{48FD1A2B-253B-3941-9D51-CD7BF3943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4D78"/>
    <w:pPr>
      <w:spacing w:after="160" w:line="259" w:lineRule="auto"/>
    </w:pPr>
    <w:rPr>
      <w:rFonts w:eastAsiaTheme="minorEastAsia"/>
      <w:sz w:val="22"/>
      <w:szCs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94D7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94D7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api/storage/cefd3a14-bdf9-4db1-a8de-ed00199173b8/AnnexA5stagemodeloflanguageacquisition.pdf" TargetMode="External"/><Relationship Id="rId13" Type="http://schemas.openxmlformats.org/officeDocument/2006/relationships/hyperlink" Target="https://raisingchildren.net.au/babies/connecting-communicating/bilingualism-multilingualism/bilingualism" TargetMode="External"/><Relationship Id="rId18" Type="http://schemas.openxmlformats.org/officeDocument/2006/relationships/hyperlink" Target="https://onlinelibrary.wiley.com/doi/full/10.1002/jocb.23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ilingualism-matters.ppls.ed.ac.uk/learning-read-bilingual-hinder/" TargetMode="External"/><Relationship Id="rId12" Type="http://schemas.openxmlformats.org/officeDocument/2006/relationships/hyperlink" Target="https://www.parentingforbrain.com/divergent-thinking/" TargetMode="External"/><Relationship Id="rId17" Type="http://schemas.openxmlformats.org/officeDocument/2006/relationships/hyperlink" Target="https://hwb.gov.wales/storage/d5d8e39c-b534-40cb-a3f5-7e2e126d8077/foundation-phase-framework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welshlanguagecommissioner.wales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explearning.co/blog/7ecshgq5/sensitivity-in-communication" TargetMode="External"/><Relationship Id="rId11" Type="http://schemas.openxmlformats.org/officeDocument/2006/relationships/hyperlink" Target="https://utesinternationallounge.com/simultaneous-and-sequential-bilingualism/" TargetMode="External"/><Relationship Id="rId5" Type="http://schemas.openxmlformats.org/officeDocument/2006/relationships/hyperlink" Target="https://www.valeofglamorgan.gov.uk/Documents/Living/Social%20Care/Ensuring-Equality-in-childcare-for-black-and-minority-ethnic-families-a-summary%5B1%5D.pdf" TargetMode="External"/><Relationship Id="rId15" Type="http://schemas.openxmlformats.org/officeDocument/2006/relationships/hyperlink" Target="https://gov.wales/sites/default/files/publications/2018-12/welsh-language-strategy-2012-to-2017-a-living-language-a-language-for-living.pdf" TargetMode="External"/><Relationship Id="rId10" Type="http://schemas.openxmlformats.org/officeDocument/2006/relationships/hyperlink" Target="https://www.simplypsychology.org/language.html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unuhi.com/10-benefits-of-being-bilingual/" TargetMode="External"/><Relationship Id="rId9" Type="http://schemas.openxmlformats.org/officeDocument/2006/relationships/hyperlink" Target="https://www.youtube.com/watch?v=ZZQzMeFoZY0" TargetMode="External"/><Relationship Id="rId14" Type="http://schemas.openxmlformats.org/officeDocument/2006/relationships/hyperlink" Target="https://link.springer.com/chapter/10.1057/9781137501394_5?noAccess=tr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673</Words>
  <Characters>3840</Characters>
  <Application>Microsoft Office Word</Application>
  <DocSecurity>0</DocSecurity>
  <Lines>32</Lines>
  <Paragraphs>9</Paragraphs>
  <ScaleCrop>false</ScaleCrop>
  <Company/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Grace Lovell (2100252)</dc:creator>
  <cp:keywords/>
  <dc:description/>
  <cp:lastModifiedBy>Hannah Grace Lovell (2100252)</cp:lastModifiedBy>
  <cp:revision>1</cp:revision>
  <dcterms:created xsi:type="dcterms:W3CDTF">2022-03-24T14:09:00Z</dcterms:created>
  <dcterms:modified xsi:type="dcterms:W3CDTF">2022-03-24T14:09:00Z</dcterms:modified>
</cp:coreProperties>
</file>