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63DE08" w14:textId="77925AD6" w:rsidR="00E91BE6" w:rsidRDefault="49BD3AA3" w:rsidP="49BD3AA3">
      <w:pPr>
        <w:spacing w:line="480" w:lineRule="auto"/>
        <w:rPr>
          <w:rFonts w:ascii="Times New Roman" w:eastAsia="Times New Roman" w:hAnsi="Times New Roman" w:cs="Times New Roman"/>
          <w:sz w:val="24"/>
          <w:szCs w:val="24"/>
        </w:rPr>
      </w:pPr>
      <w:r w:rsidRPr="49BD3AA3">
        <w:rPr>
          <w:rFonts w:ascii="Times New Roman" w:eastAsia="Times New Roman" w:hAnsi="Times New Roman" w:cs="Times New Roman"/>
          <w:sz w:val="24"/>
          <w:szCs w:val="24"/>
        </w:rPr>
        <w:t xml:space="preserve">     </w:t>
      </w:r>
    </w:p>
    <w:p w14:paraId="4496C4D3" w14:textId="2A7DBF22" w:rsidR="00E91BE6" w:rsidRDefault="00E91BE6" w:rsidP="49BD3AA3">
      <w:pPr>
        <w:spacing w:line="360" w:lineRule="auto"/>
        <w:jc w:val="center"/>
        <w:rPr>
          <w:rFonts w:ascii="Arial" w:eastAsia="Arial" w:hAnsi="Arial" w:cs="Arial"/>
          <w:sz w:val="28"/>
          <w:szCs w:val="28"/>
        </w:rPr>
      </w:pPr>
      <w:r>
        <w:rPr>
          <w:noProof/>
          <w:lang w:eastAsia="en-GB"/>
        </w:rPr>
        <w:drawing>
          <wp:inline distT="0" distB="0" distL="0" distR="0" wp14:anchorId="0E083B13" wp14:editId="2D082AEA">
            <wp:extent cx="3000375" cy="609600"/>
            <wp:effectExtent l="0" t="0" r="0" b="0"/>
            <wp:docPr id="145386113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3000375" cy="609600"/>
                    </a:xfrm>
                    <a:prstGeom prst="rect">
                      <a:avLst/>
                    </a:prstGeom>
                  </pic:spPr>
                </pic:pic>
              </a:graphicData>
            </a:graphic>
          </wp:inline>
        </w:drawing>
      </w:r>
    </w:p>
    <w:p w14:paraId="1462BA28" w14:textId="331C3F5A" w:rsidR="00E91BE6" w:rsidRDefault="00E91BE6" w:rsidP="49BD3AA3">
      <w:pPr>
        <w:spacing w:line="360" w:lineRule="auto"/>
        <w:jc w:val="center"/>
        <w:rPr>
          <w:rFonts w:ascii="Arial" w:eastAsia="Arial" w:hAnsi="Arial" w:cs="Arial"/>
          <w:sz w:val="32"/>
          <w:szCs w:val="32"/>
        </w:rPr>
      </w:pPr>
    </w:p>
    <w:p w14:paraId="58A2B67C" w14:textId="652D7FE8" w:rsidR="00E91BE6" w:rsidRDefault="49BD3AA3" w:rsidP="49BD3AA3">
      <w:pPr>
        <w:spacing w:line="360" w:lineRule="auto"/>
        <w:jc w:val="center"/>
        <w:rPr>
          <w:rFonts w:ascii="Arial" w:eastAsia="Arial" w:hAnsi="Arial" w:cs="Arial"/>
          <w:sz w:val="32"/>
          <w:szCs w:val="32"/>
        </w:rPr>
      </w:pPr>
      <w:r w:rsidRPr="49BD3AA3">
        <w:rPr>
          <w:rFonts w:ascii="Arial" w:eastAsia="Arial" w:hAnsi="Arial" w:cs="Arial"/>
          <w:b/>
          <w:bCs/>
          <w:color w:val="1F3864"/>
          <w:sz w:val="32"/>
          <w:szCs w:val="32"/>
        </w:rPr>
        <w:t>Academic Discipline of Social Justice and Inclusion</w:t>
      </w:r>
    </w:p>
    <w:p w14:paraId="64B32C7A" w14:textId="755F9431" w:rsidR="00E91BE6" w:rsidRDefault="49BD3AA3" w:rsidP="49BD3AA3">
      <w:pPr>
        <w:spacing w:line="360" w:lineRule="auto"/>
        <w:jc w:val="center"/>
        <w:rPr>
          <w:rFonts w:ascii="Arial" w:eastAsia="Arial" w:hAnsi="Arial" w:cs="Arial"/>
          <w:sz w:val="32"/>
          <w:szCs w:val="32"/>
        </w:rPr>
      </w:pPr>
      <w:proofErr w:type="spellStart"/>
      <w:r w:rsidRPr="49BD3AA3">
        <w:rPr>
          <w:rFonts w:ascii="Arial" w:eastAsia="Arial" w:hAnsi="Arial" w:cs="Arial"/>
          <w:b/>
          <w:bCs/>
          <w:color w:val="1F3864"/>
          <w:sz w:val="32"/>
          <w:szCs w:val="32"/>
        </w:rPr>
        <w:t>MArts</w:t>
      </w:r>
      <w:proofErr w:type="spellEnd"/>
      <w:r w:rsidRPr="49BD3AA3">
        <w:rPr>
          <w:rFonts w:ascii="Arial" w:eastAsia="Arial" w:hAnsi="Arial" w:cs="Arial"/>
          <w:b/>
          <w:bCs/>
          <w:color w:val="1F3864"/>
          <w:sz w:val="32"/>
          <w:szCs w:val="32"/>
        </w:rPr>
        <w:t>/BA Humanistic Counselling Practice</w:t>
      </w:r>
    </w:p>
    <w:p w14:paraId="3F7AF957" w14:textId="340E74C7" w:rsidR="00E91BE6" w:rsidRDefault="00E91BE6" w:rsidP="49BD3AA3">
      <w:pPr>
        <w:spacing w:line="240" w:lineRule="auto"/>
        <w:jc w:val="center"/>
        <w:rPr>
          <w:rFonts w:ascii="Arial" w:eastAsia="Arial" w:hAnsi="Arial" w:cs="Arial"/>
          <w:sz w:val="32"/>
          <w:szCs w:val="32"/>
        </w:rPr>
      </w:pPr>
    </w:p>
    <w:p w14:paraId="70BCC382" w14:textId="0EE18BDC" w:rsidR="00E91BE6" w:rsidRDefault="49BD3AA3" w:rsidP="49BD3AA3">
      <w:pPr>
        <w:pStyle w:val="Heading3"/>
        <w:spacing w:line="480" w:lineRule="auto"/>
        <w:jc w:val="center"/>
        <w:rPr>
          <w:rFonts w:ascii="Arial" w:eastAsia="Arial" w:hAnsi="Arial" w:cs="Arial"/>
          <w:b/>
          <w:bCs/>
          <w:color w:val="4472C4" w:themeColor="accent5"/>
          <w:sz w:val="32"/>
          <w:szCs w:val="32"/>
        </w:rPr>
      </w:pPr>
      <w:r w:rsidRPr="49BD3AA3">
        <w:rPr>
          <w:rFonts w:ascii="Arial" w:eastAsia="Arial" w:hAnsi="Arial" w:cs="Arial"/>
          <w:b/>
          <w:bCs/>
          <w:color w:val="1F3864"/>
          <w:sz w:val="32"/>
          <w:szCs w:val="32"/>
        </w:rPr>
        <w:t xml:space="preserve">Module: Maintaining a Framework to Practice </w:t>
      </w:r>
      <w:r w:rsidRPr="49BD3AA3">
        <w:rPr>
          <w:rFonts w:ascii="Arial" w:eastAsia="Arial" w:hAnsi="Arial" w:cs="Arial"/>
          <w:b/>
          <w:bCs/>
          <w:color w:val="002060"/>
          <w:sz w:val="32"/>
          <w:szCs w:val="32"/>
        </w:rPr>
        <w:t>ECHC4002</w:t>
      </w:r>
    </w:p>
    <w:p w14:paraId="73FD48F3" w14:textId="62DB0155" w:rsidR="00E91BE6" w:rsidRDefault="00E91BE6" w:rsidP="49BD3AA3">
      <w:pPr>
        <w:spacing w:line="240" w:lineRule="auto"/>
        <w:rPr>
          <w:rFonts w:ascii="Arial" w:eastAsia="Arial" w:hAnsi="Arial" w:cs="Arial"/>
          <w:b/>
          <w:bCs/>
          <w:color w:val="1F3864"/>
          <w:sz w:val="32"/>
          <w:szCs w:val="32"/>
        </w:rPr>
      </w:pPr>
    </w:p>
    <w:p w14:paraId="45AE45EC" w14:textId="4022AB32" w:rsidR="00E91BE6" w:rsidRDefault="49BD3AA3" w:rsidP="49BD3AA3">
      <w:pPr>
        <w:spacing w:line="240" w:lineRule="auto"/>
        <w:rPr>
          <w:rFonts w:ascii="Arial" w:eastAsia="Arial" w:hAnsi="Arial" w:cs="Arial"/>
          <w:sz w:val="32"/>
          <w:szCs w:val="32"/>
        </w:rPr>
      </w:pPr>
      <w:r w:rsidRPr="49BD3AA3">
        <w:rPr>
          <w:rFonts w:ascii="Arial" w:eastAsia="Arial" w:hAnsi="Arial" w:cs="Arial"/>
          <w:b/>
          <w:bCs/>
          <w:color w:val="1F3864"/>
          <w:sz w:val="32"/>
          <w:szCs w:val="32"/>
        </w:rPr>
        <w:t xml:space="preserve"> </w:t>
      </w:r>
    </w:p>
    <w:p w14:paraId="01C58253" w14:textId="1938CFDE" w:rsidR="00E91BE6" w:rsidRDefault="49BD3AA3" w:rsidP="49BD3AA3">
      <w:pPr>
        <w:spacing w:line="240" w:lineRule="auto"/>
        <w:jc w:val="center"/>
        <w:rPr>
          <w:rFonts w:ascii="Arial" w:eastAsia="Arial" w:hAnsi="Arial" w:cs="Arial"/>
          <w:sz w:val="32"/>
          <w:szCs w:val="32"/>
        </w:rPr>
      </w:pPr>
      <w:r w:rsidRPr="49BD3AA3">
        <w:rPr>
          <w:rFonts w:ascii="Arial" w:eastAsia="Arial" w:hAnsi="Arial" w:cs="Arial"/>
          <w:b/>
          <w:bCs/>
          <w:color w:val="1F3864"/>
          <w:sz w:val="32"/>
          <w:szCs w:val="32"/>
        </w:rPr>
        <w:t>Assessment Component: One</w:t>
      </w:r>
    </w:p>
    <w:p w14:paraId="72DA3321" w14:textId="787E5F86" w:rsidR="00E91BE6" w:rsidRDefault="00E91BE6" w:rsidP="49BD3AA3">
      <w:pPr>
        <w:spacing w:line="240" w:lineRule="auto"/>
        <w:jc w:val="center"/>
        <w:rPr>
          <w:rFonts w:ascii="Arial" w:eastAsia="Arial" w:hAnsi="Arial" w:cs="Arial"/>
          <w:sz w:val="32"/>
          <w:szCs w:val="32"/>
        </w:rPr>
      </w:pPr>
    </w:p>
    <w:p w14:paraId="61DEC1D8" w14:textId="21934FAE" w:rsidR="00E91BE6" w:rsidRDefault="49BD3AA3" w:rsidP="49BD3AA3">
      <w:pPr>
        <w:spacing w:line="240" w:lineRule="auto"/>
        <w:jc w:val="center"/>
        <w:rPr>
          <w:rFonts w:ascii="Arial" w:eastAsia="Arial" w:hAnsi="Arial" w:cs="Arial"/>
          <w:color w:val="002060"/>
          <w:sz w:val="32"/>
          <w:szCs w:val="32"/>
        </w:rPr>
      </w:pPr>
      <w:r w:rsidRPr="49BD3AA3">
        <w:rPr>
          <w:rFonts w:ascii="Arial" w:eastAsia="Arial" w:hAnsi="Arial" w:cs="Arial"/>
          <w:b/>
          <w:bCs/>
          <w:color w:val="002060"/>
          <w:sz w:val="32"/>
          <w:szCs w:val="32"/>
        </w:rPr>
        <w:t>Student Number: 1809488</w:t>
      </w:r>
    </w:p>
    <w:p w14:paraId="33B5695A" w14:textId="1EB67C26" w:rsidR="00E91BE6" w:rsidRDefault="00E91BE6" w:rsidP="49BD3AA3">
      <w:pPr>
        <w:spacing w:line="240" w:lineRule="auto"/>
        <w:jc w:val="center"/>
        <w:rPr>
          <w:rFonts w:ascii="Arial" w:eastAsia="Arial" w:hAnsi="Arial" w:cs="Arial"/>
          <w:color w:val="002060"/>
          <w:sz w:val="32"/>
          <w:szCs w:val="32"/>
        </w:rPr>
      </w:pPr>
    </w:p>
    <w:p w14:paraId="5AC38E96" w14:textId="47ABDEE4" w:rsidR="00E91BE6" w:rsidRDefault="49BD3AA3" w:rsidP="49BD3AA3">
      <w:pPr>
        <w:spacing w:line="240" w:lineRule="auto"/>
        <w:jc w:val="center"/>
        <w:rPr>
          <w:rFonts w:ascii="Arial" w:eastAsia="Arial" w:hAnsi="Arial" w:cs="Arial"/>
          <w:color w:val="002060"/>
          <w:sz w:val="32"/>
          <w:szCs w:val="32"/>
        </w:rPr>
      </w:pPr>
      <w:r w:rsidRPr="49BD3AA3">
        <w:rPr>
          <w:rFonts w:ascii="Arial" w:eastAsia="Arial" w:hAnsi="Arial" w:cs="Arial"/>
          <w:b/>
          <w:bCs/>
          <w:color w:val="002060"/>
          <w:sz w:val="32"/>
          <w:szCs w:val="32"/>
        </w:rPr>
        <w:t xml:space="preserve">Rachel Jones </w:t>
      </w:r>
    </w:p>
    <w:p w14:paraId="67CDCAB1" w14:textId="13180A2F" w:rsidR="00E91BE6" w:rsidRDefault="00E91BE6" w:rsidP="49BD3AA3">
      <w:pPr>
        <w:spacing w:line="240" w:lineRule="auto"/>
        <w:jc w:val="center"/>
        <w:rPr>
          <w:rFonts w:ascii="Arial" w:eastAsia="Arial" w:hAnsi="Arial" w:cs="Arial"/>
          <w:b/>
          <w:bCs/>
          <w:color w:val="002060"/>
          <w:sz w:val="32"/>
          <w:szCs w:val="32"/>
        </w:rPr>
      </w:pPr>
    </w:p>
    <w:p w14:paraId="423C1E31" w14:textId="1289E5E5" w:rsidR="00E91BE6" w:rsidRDefault="00E91BE6" w:rsidP="49BD3AA3">
      <w:pPr>
        <w:spacing w:line="240" w:lineRule="auto"/>
        <w:jc w:val="center"/>
        <w:rPr>
          <w:rFonts w:ascii="Arial" w:eastAsia="Arial" w:hAnsi="Arial" w:cs="Arial"/>
          <w:b/>
          <w:bCs/>
          <w:color w:val="002060"/>
          <w:sz w:val="32"/>
          <w:szCs w:val="32"/>
        </w:rPr>
      </w:pPr>
    </w:p>
    <w:p w14:paraId="78EBB437" w14:textId="36CAD16C" w:rsidR="00E91BE6" w:rsidRDefault="49BD3AA3" w:rsidP="49BD3AA3">
      <w:pPr>
        <w:spacing w:line="240" w:lineRule="auto"/>
        <w:jc w:val="center"/>
        <w:rPr>
          <w:rFonts w:ascii="Arial" w:eastAsia="Arial" w:hAnsi="Arial" w:cs="Arial"/>
          <w:b/>
          <w:bCs/>
          <w:i/>
          <w:iCs/>
          <w:color w:val="002060"/>
          <w:sz w:val="32"/>
          <w:szCs w:val="32"/>
        </w:rPr>
      </w:pPr>
      <w:r w:rsidRPr="49BD3AA3">
        <w:rPr>
          <w:rFonts w:ascii="Arial" w:eastAsia="Arial" w:hAnsi="Arial" w:cs="Arial"/>
          <w:b/>
          <w:bCs/>
          <w:i/>
          <w:iCs/>
          <w:color w:val="002060"/>
          <w:sz w:val="36"/>
          <w:szCs w:val="36"/>
        </w:rPr>
        <w:t>“</w:t>
      </w:r>
      <w:r w:rsidRPr="49BD3AA3">
        <w:rPr>
          <w:rFonts w:ascii="Arial" w:eastAsia="Arial" w:hAnsi="Arial" w:cs="Arial"/>
          <w:b/>
          <w:bCs/>
          <w:i/>
          <w:iCs/>
          <w:color w:val="002060"/>
          <w:sz w:val="32"/>
          <w:szCs w:val="32"/>
        </w:rPr>
        <w:t xml:space="preserve"> I swear by </w:t>
      </w:r>
      <w:hyperlink r:id="rId8">
        <w:r w:rsidRPr="003F767E">
          <w:rPr>
            <w:rStyle w:val="Hyperlink"/>
            <w:rFonts w:ascii="Arial" w:eastAsia="Arial" w:hAnsi="Arial" w:cs="Arial"/>
            <w:b/>
            <w:bCs/>
            <w:i/>
            <w:iCs/>
            <w:color w:val="002060"/>
            <w:sz w:val="32"/>
            <w:szCs w:val="32"/>
            <w:u w:val="none"/>
          </w:rPr>
          <w:t>Apollo</w:t>
        </w:r>
      </w:hyperlink>
      <w:r w:rsidRPr="49BD3AA3">
        <w:rPr>
          <w:rFonts w:ascii="Arial" w:eastAsia="Arial" w:hAnsi="Arial" w:cs="Arial"/>
          <w:b/>
          <w:bCs/>
          <w:i/>
          <w:iCs/>
          <w:color w:val="002060"/>
          <w:sz w:val="32"/>
          <w:szCs w:val="32"/>
        </w:rPr>
        <w:t xml:space="preserve"> the Healer, by </w:t>
      </w:r>
      <w:hyperlink r:id="rId9">
        <w:r w:rsidRPr="003F767E">
          <w:rPr>
            <w:rStyle w:val="Hyperlink"/>
            <w:rFonts w:ascii="Arial" w:eastAsia="Arial" w:hAnsi="Arial" w:cs="Arial"/>
            <w:b/>
            <w:bCs/>
            <w:i/>
            <w:iCs/>
            <w:color w:val="002060"/>
            <w:sz w:val="32"/>
            <w:szCs w:val="32"/>
            <w:u w:val="none"/>
          </w:rPr>
          <w:t>Asclepius</w:t>
        </w:r>
      </w:hyperlink>
      <w:r w:rsidRPr="49BD3AA3">
        <w:rPr>
          <w:rFonts w:ascii="Arial" w:eastAsia="Arial" w:hAnsi="Arial" w:cs="Arial"/>
          <w:b/>
          <w:bCs/>
          <w:i/>
          <w:iCs/>
          <w:color w:val="002060"/>
          <w:sz w:val="32"/>
          <w:szCs w:val="32"/>
        </w:rPr>
        <w:t xml:space="preserve">, by </w:t>
      </w:r>
      <w:hyperlink r:id="rId10">
        <w:proofErr w:type="spellStart"/>
        <w:r w:rsidRPr="003F767E">
          <w:rPr>
            <w:rStyle w:val="Hyperlink"/>
            <w:rFonts w:ascii="Arial" w:eastAsia="Arial" w:hAnsi="Arial" w:cs="Arial"/>
            <w:b/>
            <w:bCs/>
            <w:i/>
            <w:iCs/>
            <w:color w:val="002060"/>
            <w:sz w:val="32"/>
            <w:szCs w:val="32"/>
            <w:u w:val="none"/>
          </w:rPr>
          <w:t>Hygieia</w:t>
        </w:r>
        <w:proofErr w:type="spellEnd"/>
      </w:hyperlink>
      <w:r w:rsidRPr="49BD3AA3">
        <w:rPr>
          <w:rFonts w:ascii="Arial" w:eastAsia="Arial" w:hAnsi="Arial" w:cs="Arial"/>
          <w:b/>
          <w:bCs/>
          <w:i/>
          <w:iCs/>
          <w:color w:val="002060"/>
          <w:sz w:val="32"/>
          <w:szCs w:val="32"/>
        </w:rPr>
        <w:t xml:space="preserve">, by </w:t>
      </w:r>
      <w:hyperlink r:id="rId11">
        <w:r w:rsidRPr="003F767E">
          <w:rPr>
            <w:rStyle w:val="Hyperlink"/>
            <w:rFonts w:ascii="Arial" w:eastAsia="Arial" w:hAnsi="Arial" w:cs="Arial"/>
            <w:b/>
            <w:bCs/>
            <w:i/>
            <w:iCs/>
            <w:color w:val="002060"/>
            <w:sz w:val="32"/>
            <w:szCs w:val="32"/>
            <w:u w:val="none"/>
          </w:rPr>
          <w:t>Panacea</w:t>
        </w:r>
      </w:hyperlink>
      <w:r w:rsidRPr="49BD3AA3">
        <w:rPr>
          <w:rFonts w:ascii="Arial" w:eastAsia="Arial" w:hAnsi="Arial" w:cs="Arial"/>
          <w:b/>
          <w:bCs/>
          <w:i/>
          <w:iCs/>
          <w:color w:val="002060"/>
          <w:sz w:val="32"/>
          <w:szCs w:val="32"/>
        </w:rPr>
        <w:t>, and by all the gods and goddesses, making them my witnesses, that I will carry out, according to my ability and judgment, this oath and this indenture”.</w:t>
      </w:r>
    </w:p>
    <w:p w14:paraId="06BF91E0" w14:textId="4C9C5CFA" w:rsidR="00E91BE6" w:rsidRDefault="49BD3AA3" w:rsidP="49BD3AA3">
      <w:pPr>
        <w:spacing w:line="240" w:lineRule="auto"/>
        <w:jc w:val="right"/>
        <w:rPr>
          <w:rFonts w:ascii="Arial" w:eastAsia="Arial" w:hAnsi="Arial" w:cs="Arial"/>
          <w:b/>
          <w:bCs/>
          <w:color w:val="002060"/>
          <w:sz w:val="36"/>
          <w:szCs w:val="36"/>
        </w:rPr>
      </w:pPr>
      <w:r w:rsidRPr="49BD3AA3">
        <w:rPr>
          <w:rFonts w:ascii="Arial" w:eastAsia="Arial" w:hAnsi="Arial" w:cs="Arial"/>
          <w:b/>
          <w:bCs/>
          <w:color w:val="002060"/>
          <w:sz w:val="32"/>
          <w:szCs w:val="32"/>
        </w:rPr>
        <w:t>(Hippocrates c.</w:t>
      </w:r>
      <w:r w:rsidRPr="49BD3AA3">
        <w:rPr>
          <w:rFonts w:ascii="Arial" w:eastAsia="Arial" w:hAnsi="Arial" w:cs="Arial"/>
          <w:b/>
          <w:bCs/>
          <w:color w:val="002060"/>
          <w:sz w:val="28"/>
          <w:szCs w:val="28"/>
        </w:rPr>
        <w:t xml:space="preserve"> </w:t>
      </w:r>
      <w:r w:rsidRPr="49BD3AA3">
        <w:rPr>
          <w:rFonts w:ascii="Arial" w:eastAsia="Arial" w:hAnsi="Arial" w:cs="Arial"/>
          <w:b/>
          <w:bCs/>
          <w:color w:val="002060"/>
          <w:sz w:val="32"/>
          <w:szCs w:val="32"/>
        </w:rPr>
        <w:t>275 AD)</w:t>
      </w:r>
    </w:p>
    <w:p w14:paraId="07363427" w14:textId="73AB602C" w:rsidR="00E91BE6" w:rsidRDefault="00E91BE6" w:rsidP="49BD3AA3">
      <w:pPr>
        <w:spacing w:line="240" w:lineRule="auto"/>
        <w:jc w:val="center"/>
        <w:rPr>
          <w:rFonts w:ascii="Arial" w:eastAsia="Arial" w:hAnsi="Arial" w:cs="Arial"/>
          <w:sz w:val="36"/>
          <w:szCs w:val="36"/>
        </w:rPr>
      </w:pPr>
    </w:p>
    <w:p w14:paraId="53C69E38" w14:textId="18ABFFFD" w:rsidR="00E91BE6" w:rsidRDefault="00E91BE6" w:rsidP="49BD3AA3">
      <w:pPr>
        <w:spacing w:after="0" w:line="480" w:lineRule="auto"/>
        <w:rPr>
          <w:rFonts w:ascii="Times New Roman" w:eastAsia="Times New Roman" w:hAnsi="Times New Roman" w:cs="Times New Roman"/>
          <w:sz w:val="28"/>
          <w:szCs w:val="28"/>
        </w:rPr>
      </w:pPr>
    </w:p>
    <w:p w14:paraId="6FF9C759" w14:textId="4BB6EA5A" w:rsidR="00E91BE6" w:rsidRDefault="00F2152F" w:rsidP="49BD3AA3">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49BD3AA3" w:rsidRPr="49BD3AA3">
        <w:rPr>
          <w:rFonts w:ascii="Times New Roman" w:eastAsia="Times New Roman" w:hAnsi="Times New Roman" w:cs="Times New Roman"/>
          <w:sz w:val="24"/>
          <w:szCs w:val="24"/>
        </w:rPr>
        <w:t>The Ethical Framework set out by the BACP has been updated recently and is classed as a living document. The Framework has been designed to put clients at the core of the work, keep clients and counsellors safe and to maintain ethical practice while working with people. The Ethical Framework is a structure that counsellors can follow to show commitment to their clients, and for the client to feel they can trust the counsellor with their wellbeing and sensitive information (BACP, 2018). Counsellors or helping professionals will bring different personality types to the role, and therefore bring different ways of making decisions. Frameworks, such as the BACP’s, act as guidance when faced with difficult decisions. It is available on the BACP website for everyone, not just their members and is divided into three main sections – ‘Our Commitment to Clients, Ethics and Good Practice’. This essay will explore the BACP Ethical Framework (2018), and the impact on the therapeutic frame while working with clients.</w:t>
      </w:r>
    </w:p>
    <w:p w14:paraId="2132BDBF" w14:textId="48E99ECE" w:rsidR="00E91BE6" w:rsidRDefault="00E91BE6" w:rsidP="4E3C7050">
      <w:pPr>
        <w:spacing w:after="0" w:line="480" w:lineRule="auto"/>
        <w:rPr>
          <w:rFonts w:ascii="Times New Roman" w:eastAsia="Times New Roman" w:hAnsi="Times New Roman" w:cs="Times New Roman"/>
          <w:sz w:val="24"/>
          <w:szCs w:val="24"/>
        </w:rPr>
      </w:pPr>
    </w:p>
    <w:p w14:paraId="65B16BC0" w14:textId="77777777" w:rsidR="00F2152F" w:rsidRDefault="00D928D2" w:rsidP="49BD3AA3">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Framework is likely to be the</w:t>
      </w:r>
      <w:r w:rsidR="009A3BE0">
        <w:rPr>
          <w:rFonts w:ascii="Times New Roman" w:eastAsia="Times New Roman" w:hAnsi="Times New Roman" w:cs="Times New Roman"/>
          <w:sz w:val="24"/>
          <w:szCs w:val="24"/>
        </w:rPr>
        <w:t xml:space="preserve"> first</w:t>
      </w:r>
      <w:r>
        <w:rPr>
          <w:rFonts w:ascii="Times New Roman" w:eastAsia="Times New Roman" w:hAnsi="Times New Roman" w:cs="Times New Roman"/>
          <w:sz w:val="24"/>
          <w:szCs w:val="24"/>
        </w:rPr>
        <w:t xml:space="preserve"> source of guidance for counsellors </w:t>
      </w:r>
      <w:r w:rsidR="003F767E">
        <w:rPr>
          <w:rFonts w:ascii="Times New Roman" w:eastAsia="Times New Roman" w:hAnsi="Times New Roman" w:cs="Times New Roman"/>
          <w:sz w:val="24"/>
          <w:szCs w:val="24"/>
        </w:rPr>
        <w:t>(Bond, 2015, p. 45).</w:t>
      </w:r>
      <w:r w:rsidR="009A3BE0">
        <w:rPr>
          <w:rFonts w:ascii="Times New Roman" w:eastAsia="Times New Roman" w:hAnsi="Times New Roman" w:cs="Times New Roman"/>
          <w:sz w:val="24"/>
          <w:szCs w:val="24"/>
        </w:rPr>
        <w:t xml:space="preserve"> </w:t>
      </w:r>
      <w:r w:rsidR="00F2152F">
        <w:rPr>
          <w:rFonts w:ascii="Times New Roman" w:eastAsia="Times New Roman" w:hAnsi="Times New Roman" w:cs="Times New Roman"/>
          <w:sz w:val="24"/>
          <w:szCs w:val="24"/>
        </w:rPr>
        <w:t>Bond (2015</w:t>
      </w:r>
      <w:r w:rsidR="006019D6">
        <w:rPr>
          <w:rFonts w:ascii="Times New Roman" w:eastAsia="Times New Roman" w:hAnsi="Times New Roman" w:cs="Times New Roman"/>
          <w:sz w:val="24"/>
          <w:szCs w:val="24"/>
        </w:rPr>
        <w:t>) explains</w:t>
      </w:r>
      <w:r w:rsidR="009A3BE0">
        <w:rPr>
          <w:rFonts w:ascii="Times New Roman" w:eastAsia="Times New Roman" w:hAnsi="Times New Roman" w:cs="Times New Roman"/>
          <w:sz w:val="24"/>
          <w:szCs w:val="24"/>
        </w:rPr>
        <w:t xml:space="preserve"> that</w:t>
      </w:r>
      <w:r w:rsidR="009D3255">
        <w:rPr>
          <w:rFonts w:ascii="Times New Roman" w:eastAsia="Times New Roman" w:hAnsi="Times New Roman" w:cs="Times New Roman"/>
          <w:sz w:val="24"/>
          <w:szCs w:val="24"/>
        </w:rPr>
        <w:t xml:space="preserve"> Frameworks are a “collective source of wisdom” when at their best. The BACP Ethical Frame</w:t>
      </w:r>
      <w:r w:rsidR="009A3BE0">
        <w:rPr>
          <w:rFonts w:ascii="Times New Roman" w:eastAsia="Times New Roman" w:hAnsi="Times New Roman" w:cs="Times New Roman"/>
          <w:sz w:val="24"/>
          <w:szCs w:val="24"/>
        </w:rPr>
        <w:t>work has been created by a collective of professionals within the counselling and psychotherapeutic field,</w:t>
      </w:r>
      <w:r w:rsidR="00835BA3">
        <w:rPr>
          <w:rFonts w:ascii="Times New Roman" w:eastAsia="Times New Roman" w:hAnsi="Times New Roman" w:cs="Times New Roman"/>
          <w:sz w:val="24"/>
          <w:szCs w:val="24"/>
        </w:rPr>
        <w:t xml:space="preserve"> </w:t>
      </w:r>
      <w:r w:rsidR="00F2152F">
        <w:rPr>
          <w:rFonts w:ascii="Times New Roman" w:eastAsia="Times New Roman" w:hAnsi="Times New Roman" w:cs="Times New Roman"/>
          <w:sz w:val="24"/>
          <w:szCs w:val="24"/>
        </w:rPr>
        <w:t>in the aim that the input will be</w:t>
      </w:r>
      <w:r w:rsidR="00835BA3">
        <w:rPr>
          <w:rFonts w:ascii="Times New Roman" w:eastAsia="Times New Roman" w:hAnsi="Times New Roman" w:cs="Times New Roman"/>
          <w:sz w:val="24"/>
          <w:szCs w:val="24"/>
        </w:rPr>
        <w:t xml:space="preserve"> experiential and </w:t>
      </w:r>
      <w:r w:rsidR="009A3BE0">
        <w:rPr>
          <w:rFonts w:ascii="Times New Roman" w:eastAsia="Times New Roman" w:hAnsi="Times New Roman" w:cs="Times New Roman"/>
          <w:sz w:val="24"/>
          <w:szCs w:val="24"/>
        </w:rPr>
        <w:t xml:space="preserve">as </w:t>
      </w:r>
      <w:r w:rsidR="006019D6">
        <w:rPr>
          <w:rFonts w:ascii="Times New Roman" w:eastAsia="Times New Roman" w:hAnsi="Times New Roman" w:cs="Times New Roman"/>
          <w:sz w:val="24"/>
          <w:szCs w:val="24"/>
        </w:rPr>
        <w:t>congruent</w:t>
      </w:r>
      <w:r w:rsidR="009A3BE0">
        <w:rPr>
          <w:rFonts w:ascii="Times New Roman" w:eastAsia="Times New Roman" w:hAnsi="Times New Roman" w:cs="Times New Roman"/>
          <w:sz w:val="24"/>
          <w:szCs w:val="24"/>
        </w:rPr>
        <w:t xml:space="preserve"> as possible. </w:t>
      </w:r>
      <w:r w:rsidR="006019D6">
        <w:rPr>
          <w:rFonts w:ascii="Times New Roman" w:eastAsia="Times New Roman" w:hAnsi="Times New Roman" w:cs="Times New Roman"/>
          <w:sz w:val="24"/>
          <w:szCs w:val="24"/>
        </w:rPr>
        <w:t>According to Nelson-Jones (2003) t</w:t>
      </w:r>
      <w:r w:rsidR="00835BA3">
        <w:rPr>
          <w:rFonts w:ascii="Times New Roman" w:eastAsia="Times New Roman" w:hAnsi="Times New Roman" w:cs="Times New Roman"/>
          <w:sz w:val="24"/>
          <w:szCs w:val="24"/>
        </w:rPr>
        <w:t>he codes of conduct within such Frameworks allow an opening for development of ethical decision making as they map out best practise</w:t>
      </w:r>
      <w:r w:rsidR="005B2414">
        <w:rPr>
          <w:rFonts w:ascii="Times New Roman" w:eastAsia="Times New Roman" w:hAnsi="Times New Roman" w:cs="Times New Roman"/>
          <w:sz w:val="24"/>
          <w:szCs w:val="24"/>
        </w:rPr>
        <w:t xml:space="preserve">. Ethical dilemmas can put counsellors in difficult situations, ethical </w:t>
      </w:r>
      <w:r w:rsidR="00C058D9">
        <w:rPr>
          <w:rFonts w:ascii="Times New Roman" w:eastAsia="Times New Roman" w:hAnsi="Times New Roman" w:cs="Times New Roman"/>
          <w:sz w:val="24"/>
          <w:szCs w:val="24"/>
        </w:rPr>
        <w:t>f</w:t>
      </w:r>
      <w:r w:rsidR="002C4FC2">
        <w:rPr>
          <w:rFonts w:ascii="Times New Roman" w:eastAsia="Times New Roman" w:hAnsi="Times New Roman" w:cs="Times New Roman"/>
          <w:sz w:val="24"/>
          <w:szCs w:val="24"/>
        </w:rPr>
        <w:t xml:space="preserve">rameworks, such as the BACP’s can help counsellors by giving some guidance in </w:t>
      </w:r>
      <w:r w:rsidR="00C058D9">
        <w:rPr>
          <w:rFonts w:ascii="Times New Roman" w:eastAsia="Times New Roman" w:hAnsi="Times New Roman" w:cs="Times New Roman"/>
          <w:sz w:val="24"/>
          <w:szCs w:val="24"/>
        </w:rPr>
        <w:t xml:space="preserve">some </w:t>
      </w:r>
      <w:r w:rsidR="002C4FC2">
        <w:rPr>
          <w:rFonts w:ascii="Times New Roman" w:eastAsia="Times New Roman" w:hAnsi="Times New Roman" w:cs="Times New Roman"/>
          <w:sz w:val="24"/>
          <w:szCs w:val="24"/>
        </w:rPr>
        <w:t>very subjective areas of the work</w:t>
      </w:r>
      <w:r w:rsidR="00C058D9">
        <w:rPr>
          <w:rFonts w:ascii="Times New Roman" w:eastAsia="Times New Roman" w:hAnsi="Times New Roman" w:cs="Times New Roman"/>
          <w:sz w:val="24"/>
          <w:szCs w:val="24"/>
        </w:rPr>
        <w:t>. One of the ways it does this</w:t>
      </w:r>
      <w:r w:rsidR="005B2414">
        <w:rPr>
          <w:rFonts w:ascii="Times New Roman" w:eastAsia="Times New Roman" w:hAnsi="Times New Roman" w:cs="Times New Roman"/>
          <w:sz w:val="24"/>
          <w:szCs w:val="24"/>
        </w:rPr>
        <w:t xml:space="preserve"> </w:t>
      </w:r>
      <w:r w:rsidR="00C058D9">
        <w:rPr>
          <w:rFonts w:ascii="Times New Roman" w:eastAsia="Times New Roman" w:hAnsi="Times New Roman" w:cs="Times New Roman"/>
          <w:sz w:val="24"/>
          <w:szCs w:val="24"/>
        </w:rPr>
        <w:t xml:space="preserve">is </w:t>
      </w:r>
      <w:r w:rsidR="005B2414">
        <w:rPr>
          <w:rFonts w:ascii="Times New Roman" w:eastAsia="Times New Roman" w:hAnsi="Times New Roman" w:cs="Times New Roman"/>
          <w:sz w:val="24"/>
          <w:szCs w:val="24"/>
        </w:rPr>
        <w:t>by</w:t>
      </w:r>
      <w:r w:rsidR="00C058D9">
        <w:rPr>
          <w:rFonts w:ascii="Times New Roman" w:eastAsia="Times New Roman" w:hAnsi="Times New Roman" w:cs="Times New Roman"/>
          <w:sz w:val="24"/>
          <w:szCs w:val="24"/>
        </w:rPr>
        <w:t xml:space="preserve"> </w:t>
      </w:r>
      <w:r w:rsidR="009E5726">
        <w:rPr>
          <w:rFonts w:ascii="Times New Roman" w:eastAsia="Times New Roman" w:hAnsi="Times New Roman" w:cs="Times New Roman"/>
          <w:sz w:val="24"/>
          <w:szCs w:val="24"/>
        </w:rPr>
        <w:t>highlighting six principles, which are as followed – Non-Maleficent, Beneficent, Justice, Autonomy</w:t>
      </w:r>
      <w:r w:rsidR="00C058D9">
        <w:rPr>
          <w:rFonts w:ascii="Times New Roman" w:eastAsia="Times New Roman" w:hAnsi="Times New Roman" w:cs="Times New Roman"/>
          <w:sz w:val="24"/>
          <w:szCs w:val="24"/>
        </w:rPr>
        <w:t xml:space="preserve">, </w:t>
      </w:r>
      <w:r w:rsidR="005B2414">
        <w:rPr>
          <w:rFonts w:ascii="Times New Roman" w:eastAsia="Times New Roman" w:hAnsi="Times New Roman" w:cs="Times New Roman"/>
          <w:sz w:val="24"/>
          <w:szCs w:val="24"/>
        </w:rPr>
        <w:t xml:space="preserve">Trustworthy and Self-Respect. </w:t>
      </w:r>
      <w:r w:rsidR="6D327CFE" w:rsidRPr="4E3C7050">
        <w:rPr>
          <w:rFonts w:ascii="Times New Roman" w:eastAsia="Times New Roman" w:hAnsi="Times New Roman" w:cs="Times New Roman"/>
          <w:sz w:val="24"/>
          <w:szCs w:val="24"/>
        </w:rPr>
        <w:t xml:space="preserve">The BACP </w:t>
      </w:r>
      <w:r w:rsidR="005B2414" w:rsidRPr="49BD3AA3">
        <w:rPr>
          <w:rFonts w:ascii="Times New Roman" w:eastAsia="Times New Roman" w:hAnsi="Times New Roman" w:cs="Times New Roman"/>
          <w:sz w:val="24"/>
          <w:szCs w:val="24"/>
        </w:rPr>
        <w:t xml:space="preserve">(2018) </w:t>
      </w:r>
      <w:r w:rsidR="00DA1923">
        <w:rPr>
          <w:rFonts w:ascii="Times New Roman" w:eastAsia="Times New Roman" w:hAnsi="Times New Roman" w:cs="Times New Roman"/>
          <w:sz w:val="24"/>
          <w:szCs w:val="24"/>
        </w:rPr>
        <w:t>states - "</w:t>
      </w:r>
      <w:r w:rsidR="4E3C7050" w:rsidRPr="49BD3AA3">
        <w:rPr>
          <w:rFonts w:ascii="Times New Roman" w:eastAsia="Times New Roman" w:hAnsi="Times New Roman" w:cs="Times New Roman"/>
          <w:color w:val="1F1F20"/>
          <w:sz w:val="24"/>
          <w:szCs w:val="24"/>
        </w:rPr>
        <w:t xml:space="preserve">Ethical decisions that are strongly supported by one or more of these principles without any contradiction with the others may be regarded as well-founded”. </w:t>
      </w:r>
      <w:r w:rsidR="49BD3AA3" w:rsidRPr="49BD3AA3">
        <w:rPr>
          <w:rFonts w:ascii="Times New Roman" w:eastAsia="Times New Roman" w:hAnsi="Times New Roman" w:cs="Times New Roman"/>
          <w:sz w:val="24"/>
          <w:szCs w:val="24"/>
        </w:rPr>
        <w:lastRenderedPageBreak/>
        <w:t xml:space="preserve">It is an extensive document, which outlines what would be considered as good practice and acts as a guidance for counsellors and helping professionals. </w:t>
      </w:r>
    </w:p>
    <w:p w14:paraId="241CFCAF" w14:textId="77777777" w:rsidR="00F2152F" w:rsidRDefault="00F2152F" w:rsidP="49BD3AA3">
      <w:pPr>
        <w:spacing w:after="0" w:line="480" w:lineRule="auto"/>
        <w:rPr>
          <w:rFonts w:ascii="Times New Roman" w:eastAsia="Times New Roman" w:hAnsi="Times New Roman" w:cs="Times New Roman"/>
          <w:sz w:val="24"/>
          <w:szCs w:val="24"/>
        </w:rPr>
      </w:pPr>
    </w:p>
    <w:p w14:paraId="3E6A14BB" w14:textId="6E2283F5" w:rsidR="6D327CFE" w:rsidRPr="00F2152F" w:rsidRDefault="00F2152F" w:rsidP="49BD3AA3">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49BD3AA3" w:rsidRPr="49BD3AA3">
        <w:rPr>
          <w:rFonts w:ascii="Times New Roman" w:eastAsia="Times New Roman" w:hAnsi="Times New Roman" w:cs="Times New Roman"/>
          <w:sz w:val="24"/>
          <w:szCs w:val="24"/>
        </w:rPr>
        <w:t>The use of detailed contracts between client and counsellor</w:t>
      </w:r>
      <w:r>
        <w:rPr>
          <w:rFonts w:ascii="Times New Roman" w:eastAsia="Times New Roman" w:hAnsi="Times New Roman" w:cs="Times New Roman"/>
          <w:sz w:val="24"/>
          <w:szCs w:val="24"/>
        </w:rPr>
        <w:t>,</w:t>
      </w:r>
      <w:r w:rsidR="49BD3AA3" w:rsidRPr="49BD3AA3">
        <w:rPr>
          <w:rFonts w:ascii="Times New Roman" w:eastAsia="Times New Roman" w:hAnsi="Times New Roman" w:cs="Times New Roman"/>
          <w:sz w:val="24"/>
          <w:szCs w:val="24"/>
        </w:rPr>
        <w:t xml:space="preserve"> before therapy begins</w:t>
      </w:r>
      <w:r>
        <w:rPr>
          <w:rFonts w:ascii="Times New Roman" w:eastAsia="Times New Roman" w:hAnsi="Times New Roman" w:cs="Times New Roman"/>
          <w:sz w:val="24"/>
          <w:szCs w:val="24"/>
        </w:rPr>
        <w:t>,</w:t>
      </w:r>
      <w:r w:rsidR="49BD3AA3" w:rsidRPr="49BD3AA3">
        <w:rPr>
          <w:rFonts w:ascii="Times New Roman" w:eastAsia="Times New Roman" w:hAnsi="Times New Roman" w:cs="Times New Roman"/>
          <w:sz w:val="24"/>
          <w:szCs w:val="24"/>
        </w:rPr>
        <w:t xml:space="preserve"> protects the client’s autonomy (Feltham, Hanley, Winter, 2017, p. 97). A contract can also outline what the client can expect from the practitioner and the sessions, and what the practitioner expects from the client, setting out clear boundaries before the relationship forms. The BACP (2018) states - “</w:t>
      </w:r>
      <w:r w:rsidR="49BD3AA3" w:rsidRPr="49BD3AA3">
        <w:rPr>
          <w:rFonts w:ascii="Times New Roman" w:eastAsia="Times New Roman" w:hAnsi="Times New Roman" w:cs="Times New Roman"/>
          <w:color w:val="1F1F20"/>
          <w:sz w:val="24"/>
          <w:szCs w:val="24"/>
        </w:rPr>
        <w:t xml:space="preserve">It is good ethical practice to ensure that any contractual terms are clear and easily understandable”. This would ensure that the client knows what to expect of the process and give some structure to both client and counsellor. The BACP have now made a section of the Framework - ‘Our Commitment to Our clients’, easy to understand so that it can be printed and handed to clients as part of the contract if counsellors wish. The contract can contain things such as confidentiality, session timings, fees, informed consent etc. all of which the client may have had concerns around before coming to therapy. Contracting can ease these worries before a therapeutic relationship begins (Feltham, Hanley, Winter, 2017, p.98). McLeod and McLeod (2011) comment that before therapy starts, it is the clients right and the counsellor’s obligation to ensure that the client is well informed about confidentiality and informed consent. Using the contract and verbally communicating this also, so that all parties are comfortable with the processes before proceeding.  </w:t>
      </w:r>
    </w:p>
    <w:p w14:paraId="2E4454F2" w14:textId="5EEE4798" w:rsidR="6D327CFE" w:rsidRDefault="6D327CFE" w:rsidP="6D327CFE">
      <w:pPr>
        <w:spacing w:after="0" w:line="480" w:lineRule="auto"/>
        <w:rPr>
          <w:rFonts w:ascii="Times New Roman" w:eastAsia="Times New Roman" w:hAnsi="Times New Roman" w:cs="Times New Roman"/>
          <w:color w:val="1F1F20"/>
          <w:sz w:val="24"/>
          <w:szCs w:val="24"/>
        </w:rPr>
      </w:pPr>
    </w:p>
    <w:p w14:paraId="7348C102" w14:textId="1E688CE7" w:rsidR="00595297" w:rsidRDefault="4E3C7050" w:rsidP="4E3C7050">
      <w:pPr>
        <w:spacing w:after="0" w:line="480" w:lineRule="auto"/>
        <w:rPr>
          <w:rFonts w:ascii="Times New Roman" w:eastAsia="Times New Roman" w:hAnsi="Times New Roman" w:cs="Times New Roman"/>
          <w:color w:val="1F1F20"/>
          <w:sz w:val="24"/>
          <w:szCs w:val="24"/>
        </w:rPr>
      </w:pPr>
      <w:r w:rsidRPr="4E3C7050">
        <w:rPr>
          <w:rFonts w:ascii="Times New Roman" w:eastAsia="Times New Roman" w:hAnsi="Times New Roman" w:cs="Times New Roman"/>
          <w:color w:val="1F1F20"/>
          <w:sz w:val="24"/>
          <w:szCs w:val="24"/>
        </w:rPr>
        <w:t xml:space="preserve">     With the new GDPR policy that launched in May 2018, ensuring that the client is clear on what data will be stored about them, in which way it will be stored and who will have access to it, is now more important than ever. GDPR also states that the client has the right to see any of the information that is kept about them (GOV, 2018). Confidentiality is highlighted within the Framework, especially around identifiable information. It states that the ethical </w:t>
      </w:r>
      <w:r w:rsidRPr="4E3C7050">
        <w:rPr>
          <w:rFonts w:ascii="Times New Roman" w:eastAsia="Times New Roman" w:hAnsi="Times New Roman" w:cs="Times New Roman"/>
          <w:color w:val="1F1F20"/>
          <w:sz w:val="24"/>
          <w:szCs w:val="24"/>
        </w:rPr>
        <w:lastRenderedPageBreak/>
        <w:t>process for the client is to ensure that they understand that their information is protected, however, there is a ‘circle of confidentiality’ and some o</w:t>
      </w:r>
      <w:r w:rsidR="004C0E93">
        <w:rPr>
          <w:rFonts w:ascii="Times New Roman" w:eastAsia="Times New Roman" w:hAnsi="Times New Roman" w:cs="Times New Roman"/>
          <w:color w:val="1F1F20"/>
          <w:sz w:val="24"/>
          <w:szCs w:val="24"/>
        </w:rPr>
        <w:t>f the information is shared</w:t>
      </w:r>
      <w:r w:rsidRPr="4E3C7050">
        <w:rPr>
          <w:rFonts w:ascii="Times New Roman" w:eastAsia="Times New Roman" w:hAnsi="Times New Roman" w:cs="Times New Roman"/>
          <w:color w:val="1F1F20"/>
          <w:sz w:val="24"/>
          <w:szCs w:val="24"/>
        </w:rPr>
        <w:t xml:space="preserve"> e.g.</w:t>
      </w:r>
      <w:r w:rsidR="004C0E93">
        <w:rPr>
          <w:rFonts w:ascii="Times New Roman" w:eastAsia="Times New Roman" w:hAnsi="Times New Roman" w:cs="Times New Roman"/>
          <w:color w:val="1F1F20"/>
          <w:sz w:val="24"/>
          <w:szCs w:val="24"/>
        </w:rPr>
        <w:t xml:space="preserve"> with a</w:t>
      </w:r>
      <w:r w:rsidRPr="4E3C7050">
        <w:rPr>
          <w:rFonts w:ascii="Times New Roman" w:eastAsia="Times New Roman" w:hAnsi="Times New Roman" w:cs="Times New Roman"/>
          <w:color w:val="1F1F20"/>
          <w:sz w:val="24"/>
          <w:szCs w:val="24"/>
        </w:rPr>
        <w:t xml:space="preserve"> supervisor (BACP, 2018). As mentioned earlier, the Ethical Framework formed by the BACP is a living document and has been updated recently. The changes were made as a result of an extensive review of the 2016 version and came into effect on July 1</w:t>
      </w:r>
      <w:r w:rsidRPr="4E3C7050">
        <w:rPr>
          <w:rFonts w:ascii="Times New Roman" w:eastAsia="Times New Roman" w:hAnsi="Times New Roman" w:cs="Times New Roman"/>
          <w:color w:val="1F1F20"/>
          <w:sz w:val="24"/>
          <w:szCs w:val="24"/>
          <w:vertAlign w:val="superscript"/>
        </w:rPr>
        <w:t>st</w:t>
      </w:r>
      <w:r w:rsidRPr="4E3C7050">
        <w:rPr>
          <w:rFonts w:ascii="Times New Roman" w:eastAsia="Times New Roman" w:hAnsi="Times New Roman" w:cs="Times New Roman"/>
          <w:color w:val="1F1F20"/>
          <w:sz w:val="24"/>
          <w:szCs w:val="24"/>
        </w:rPr>
        <w:t xml:space="preserve">, 2018. This update not only included the recent changes to legislation to include GDPR but also topics that are relevant to current climates such as sexual orientation and gender identity, children and young people etc. As the world develops, so must the ethics (BACP, 2018). </w:t>
      </w:r>
    </w:p>
    <w:p w14:paraId="22B5B81A" w14:textId="77777777" w:rsidR="00595297" w:rsidRDefault="00595297" w:rsidP="3031EFE8">
      <w:pPr>
        <w:spacing w:after="0" w:line="480" w:lineRule="auto"/>
        <w:rPr>
          <w:rFonts w:ascii="Times New Roman" w:eastAsia="Times New Roman" w:hAnsi="Times New Roman" w:cs="Times New Roman"/>
          <w:color w:val="1F1F20"/>
          <w:sz w:val="24"/>
          <w:szCs w:val="24"/>
        </w:rPr>
      </w:pPr>
    </w:p>
    <w:p w14:paraId="75286DA9" w14:textId="0860AA77" w:rsidR="00D60581" w:rsidRDefault="004C0E93" w:rsidP="49BD3AA3">
      <w:pPr>
        <w:spacing w:after="0" w:line="480" w:lineRule="auto"/>
        <w:rPr>
          <w:rFonts w:ascii="Times New Roman" w:eastAsia="Times New Roman" w:hAnsi="Times New Roman" w:cs="Times New Roman"/>
          <w:color w:val="1F1F20"/>
          <w:sz w:val="24"/>
          <w:szCs w:val="24"/>
        </w:rPr>
      </w:pPr>
      <w:r>
        <w:rPr>
          <w:rFonts w:ascii="Times New Roman" w:eastAsia="Times New Roman" w:hAnsi="Times New Roman" w:cs="Times New Roman"/>
          <w:color w:val="1F1F20"/>
          <w:sz w:val="24"/>
          <w:szCs w:val="24"/>
        </w:rPr>
        <w:t xml:space="preserve">The BACP Ethical </w:t>
      </w:r>
      <w:r w:rsidR="49BD3AA3" w:rsidRPr="49BD3AA3">
        <w:rPr>
          <w:rFonts w:ascii="Times New Roman" w:eastAsia="Times New Roman" w:hAnsi="Times New Roman" w:cs="Times New Roman"/>
          <w:color w:val="1F1F20"/>
          <w:sz w:val="24"/>
          <w:szCs w:val="24"/>
        </w:rPr>
        <w:t>Framework</w:t>
      </w:r>
      <w:r>
        <w:rPr>
          <w:rFonts w:ascii="Times New Roman" w:eastAsia="Times New Roman" w:hAnsi="Times New Roman" w:cs="Times New Roman"/>
          <w:color w:val="1F1F20"/>
          <w:sz w:val="24"/>
          <w:szCs w:val="24"/>
        </w:rPr>
        <w:t xml:space="preserve"> (2018)</w:t>
      </w:r>
      <w:r w:rsidR="49BD3AA3" w:rsidRPr="49BD3AA3">
        <w:rPr>
          <w:rFonts w:ascii="Times New Roman" w:eastAsia="Times New Roman" w:hAnsi="Times New Roman" w:cs="Times New Roman"/>
          <w:color w:val="1F1F20"/>
          <w:sz w:val="24"/>
          <w:szCs w:val="24"/>
        </w:rPr>
        <w:t xml:space="preserve"> has clear guidelines around how the client must not only understand what informed consent is, but what positive and negative outcomes could arise as a result of it. Being transparent and congruent about this process and legal obligations with the client allows space for trust and for a therapeutic relationship to grow. By providing the client with the right information, they are able to make autonomous decisions about the next steps in disclosing</w:t>
      </w:r>
      <w:r>
        <w:rPr>
          <w:rFonts w:ascii="Times New Roman" w:eastAsia="Times New Roman" w:hAnsi="Times New Roman" w:cs="Times New Roman"/>
          <w:color w:val="1F1F20"/>
          <w:sz w:val="24"/>
          <w:szCs w:val="24"/>
        </w:rPr>
        <w:t xml:space="preserve"> information</w:t>
      </w:r>
      <w:r w:rsidR="49BD3AA3" w:rsidRPr="49BD3AA3">
        <w:rPr>
          <w:rFonts w:ascii="Times New Roman" w:eastAsia="Times New Roman" w:hAnsi="Times New Roman" w:cs="Times New Roman"/>
          <w:color w:val="1F1F20"/>
          <w:sz w:val="24"/>
          <w:szCs w:val="24"/>
        </w:rPr>
        <w:t xml:space="preserve"> and how that determines the next steps in their journey (McLeod</w:t>
      </w:r>
      <w:r>
        <w:rPr>
          <w:rFonts w:ascii="Times New Roman" w:eastAsia="Times New Roman" w:hAnsi="Times New Roman" w:cs="Times New Roman"/>
          <w:color w:val="1F1F20"/>
          <w:sz w:val="24"/>
          <w:szCs w:val="24"/>
        </w:rPr>
        <w:t xml:space="preserve"> and McL</w:t>
      </w:r>
      <w:r w:rsidR="49BD3AA3" w:rsidRPr="49BD3AA3">
        <w:rPr>
          <w:rFonts w:ascii="Times New Roman" w:eastAsia="Times New Roman" w:hAnsi="Times New Roman" w:cs="Times New Roman"/>
          <w:color w:val="1F1F20"/>
          <w:sz w:val="24"/>
          <w:szCs w:val="24"/>
        </w:rPr>
        <w:t>eod, 2011, p. 110). Clients having an awareness that counsellors have a duty of care to them and to the people around them and</w:t>
      </w:r>
      <w:r>
        <w:rPr>
          <w:rFonts w:ascii="Times New Roman" w:eastAsia="Times New Roman" w:hAnsi="Times New Roman" w:cs="Times New Roman"/>
          <w:color w:val="1F1F20"/>
          <w:sz w:val="24"/>
          <w:szCs w:val="24"/>
        </w:rPr>
        <w:t xml:space="preserve"> the counsellor adhering to</w:t>
      </w:r>
      <w:r w:rsidR="49BD3AA3" w:rsidRPr="49BD3AA3">
        <w:rPr>
          <w:rFonts w:ascii="Times New Roman" w:eastAsia="Times New Roman" w:hAnsi="Times New Roman" w:cs="Times New Roman"/>
          <w:color w:val="1F1F20"/>
          <w:sz w:val="24"/>
          <w:szCs w:val="24"/>
        </w:rPr>
        <w:t xml:space="preserve"> al</w:t>
      </w:r>
      <w:r>
        <w:rPr>
          <w:rFonts w:ascii="Times New Roman" w:eastAsia="Times New Roman" w:hAnsi="Times New Roman" w:cs="Times New Roman"/>
          <w:color w:val="1F1F20"/>
          <w:sz w:val="24"/>
          <w:szCs w:val="24"/>
        </w:rPr>
        <w:t xml:space="preserve">ways being congruent about this, as stated in the BACP Framework (2018). </w:t>
      </w:r>
      <w:r w:rsidR="49BD3AA3" w:rsidRPr="49BD3AA3">
        <w:rPr>
          <w:rFonts w:ascii="Times New Roman" w:eastAsia="Times New Roman" w:hAnsi="Times New Roman" w:cs="Times New Roman"/>
          <w:color w:val="1F1F20"/>
          <w:sz w:val="24"/>
          <w:szCs w:val="24"/>
        </w:rPr>
        <w:t xml:space="preserve"> </w:t>
      </w:r>
    </w:p>
    <w:p w14:paraId="401DA205" w14:textId="58265084" w:rsidR="00D60581" w:rsidRDefault="00D60581" w:rsidP="3031EFE8">
      <w:pPr>
        <w:spacing w:after="0" w:line="480" w:lineRule="auto"/>
        <w:rPr>
          <w:rFonts w:ascii="Times New Roman" w:eastAsia="Times New Roman" w:hAnsi="Times New Roman" w:cs="Times New Roman"/>
          <w:color w:val="1F1F20"/>
          <w:sz w:val="24"/>
          <w:szCs w:val="24"/>
        </w:rPr>
      </w:pPr>
    </w:p>
    <w:p w14:paraId="01F57E45" w14:textId="0EB47EFD" w:rsidR="3031EFE8" w:rsidRDefault="49BD3AA3" w:rsidP="49BD3AA3">
      <w:pPr>
        <w:spacing w:after="0" w:line="480" w:lineRule="auto"/>
        <w:rPr>
          <w:rFonts w:ascii="Times New Roman" w:eastAsia="Times New Roman" w:hAnsi="Times New Roman" w:cs="Times New Roman"/>
          <w:color w:val="1F1F20"/>
          <w:sz w:val="24"/>
          <w:szCs w:val="24"/>
        </w:rPr>
      </w:pPr>
      <w:r w:rsidRPr="49BD3AA3">
        <w:rPr>
          <w:rFonts w:ascii="Times New Roman" w:eastAsia="Times New Roman" w:hAnsi="Times New Roman" w:cs="Times New Roman"/>
          <w:color w:val="1F1F20"/>
          <w:sz w:val="24"/>
          <w:szCs w:val="24"/>
        </w:rPr>
        <w:t xml:space="preserve">     Ethical dilemmas or ethical decision making is not an easy process when working with clients (McLeod, McLeod, 2011, p. 120). The ‘Ethics’ section of BACP Framework can help counsellors work through these difficult moments. As mentioned earlier, there are six principles to start the process that can </w:t>
      </w:r>
      <w:r w:rsidR="004C0E93">
        <w:rPr>
          <w:rFonts w:ascii="Times New Roman" w:eastAsia="Times New Roman" w:hAnsi="Times New Roman" w:cs="Times New Roman"/>
          <w:color w:val="1F1F20"/>
          <w:sz w:val="24"/>
          <w:szCs w:val="24"/>
        </w:rPr>
        <w:t>guide counsellors to come to</w:t>
      </w:r>
      <w:r w:rsidRPr="49BD3AA3">
        <w:rPr>
          <w:rFonts w:ascii="Times New Roman" w:eastAsia="Times New Roman" w:hAnsi="Times New Roman" w:cs="Times New Roman"/>
          <w:color w:val="1F1F20"/>
          <w:sz w:val="24"/>
          <w:szCs w:val="24"/>
        </w:rPr>
        <w:t xml:space="preserve"> conclusions. As stated by the BACP (2018), using one or more of these principles can be seen as being ethical. For example, a counsellor asking themselves who benefits from the outcome as part of the </w:t>
      </w:r>
      <w:r w:rsidRPr="49BD3AA3">
        <w:rPr>
          <w:rFonts w:ascii="Times New Roman" w:eastAsia="Times New Roman" w:hAnsi="Times New Roman" w:cs="Times New Roman"/>
          <w:color w:val="1F1F20"/>
          <w:sz w:val="24"/>
          <w:szCs w:val="24"/>
        </w:rPr>
        <w:lastRenderedPageBreak/>
        <w:t xml:space="preserve">decision. As members of the BACP, counsellors are committing to working within the framework, and </w:t>
      </w:r>
      <w:r w:rsidRPr="49BD3AA3">
        <w:rPr>
          <w:rStyle w:val="Strong"/>
          <w:rFonts w:ascii="Times New Roman" w:hAnsi="Times New Roman" w:cs="Times New Roman"/>
          <w:b w:val="0"/>
          <w:bCs w:val="0"/>
          <w:color w:val="1F1F20"/>
          <w:sz w:val="24"/>
          <w:szCs w:val="24"/>
        </w:rPr>
        <w:t>Beneficence, stated by the BACP (2018), is a commitment to promote the client’s wellbeing. However, the BACP (2018) also states that these principles are best used when they are not contradicting one another. If</w:t>
      </w:r>
      <w:r w:rsidRPr="49BD3AA3">
        <w:rPr>
          <w:rFonts w:ascii="Times New Roman" w:eastAsia="Times New Roman" w:hAnsi="Times New Roman" w:cs="Times New Roman"/>
          <w:color w:val="1F1F20"/>
          <w:sz w:val="24"/>
          <w:szCs w:val="24"/>
        </w:rPr>
        <w:t xml:space="preserve"> the client is breaking the law, does the counsellor up hold their commitment to beneficence now that it contradicts the principle of justice? Which now contradicts the Autonomy of the client. Is the counsellor untrustworthy if the decision doesn’t go in the client’s favour? The BACP (2018) agrees that there are occasions where counsellors are unable to integrate all principles, but to prioritise the principles depending on the dilemma. According to the BACP (2018) decisions made do not become unethical if a counsellor reaches a different conclusion to another, or if the outcome is contentious. It continues – “</w:t>
      </w:r>
      <w:r w:rsidRPr="49BD3AA3">
        <w:rPr>
          <w:rFonts w:ascii="Times New Roman" w:hAnsi="Times New Roman" w:cs="Times New Roman"/>
          <w:color w:val="1F1F20"/>
          <w:sz w:val="24"/>
          <w:szCs w:val="24"/>
        </w:rPr>
        <w:t>A practitioner’s obligation is to consider all the relevant circumstances with as much care as possible and to be appropriately accountable for decisions made” (BACP, 2018).</w:t>
      </w:r>
      <w:r w:rsidRPr="49BD3AA3">
        <w:rPr>
          <w:rFonts w:ascii="Times New Roman" w:eastAsia="Times New Roman" w:hAnsi="Times New Roman" w:cs="Times New Roman"/>
          <w:color w:val="1F1F20"/>
          <w:sz w:val="28"/>
          <w:szCs w:val="28"/>
        </w:rPr>
        <w:t xml:space="preserve"> </w:t>
      </w:r>
      <w:r w:rsidRPr="49BD3AA3">
        <w:rPr>
          <w:rFonts w:ascii="Times New Roman" w:eastAsia="Times New Roman" w:hAnsi="Times New Roman" w:cs="Times New Roman"/>
          <w:color w:val="1F1F20"/>
          <w:sz w:val="24"/>
          <w:szCs w:val="24"/>
        </w:rPr>
        <w:t xml:space="preserve">To do this all relevant information must be collected and all consequences considered (McLeod, McLeod, 2011). McLeod and McLeod (2011) continue to advise counsellors, when the principles contradict one another and as part of the next steps in ethical decision making, to ask themselves - would they recommend this course of action if the situation were to arise for someone else? Would they excuse their behaviour? Would they tell other professionals their intentions or have their decision </w:t>
      </w:r>
      <w:r w:rsidRPr="49BD3AA3">
        <w:rPr>
          <w:rFonts w:ascii="Times New Roman" w:hAnsi="Times New Roman" w:cs="Times New Roman"/>
          <w:sz w:val="24"/>
          <w:szCs w:val="24"/>
          <w:lang w:val="en"/>
        </w:rPr>
        <w:t xml:space="preserve">analysed? Would they treat another client in the same way, a client of stature? </w:t>
      </w:r>
      <w:r w:rsidRPr="49BD3AA3">
        <w:rPr>
          <w:rFonts w:ascii="Times New Roman" w:eastAsia="Times New Roman" w:hAnsi="Times New Roman" w:cs="Times New Roman"/>
          <w:color w:val="1F1F20"/>
          <w:sz w:val="24"/>
          <w:szCs w:val="24"/>
        </w:rPr>
        <w:t>Bond (2015) also speaks of this process and refers to it as</w:t>
      </w:r>
      <w:r w:rsidR="004C0E93">
        <w:rPr>
          <w:rFonts w:ascii="Times New Roman" w:eastAsia="Times New Roman" w:hAnsi="Times New Roman" w:cs="Times New Roman"/>
          <w:color w:val="1F1F20"/>
          <w:sz w:val="24"/>
          <w:szCs w:val="24"/>
        </w:rPr>
        <w:t xml:space="preserve"> three titles -</w:t>
      </w:r>
      <w:r w:rsidRPr="49BD3AA3">
        <w:rPr>
          <w:rFonts w:ascii="Times New Roman" w:eastAsia="Times New Roman" w:hAnsi="Times New Roman" w:cs="Times New Roman"/>
          <w:color w:val="1F1F20"/>
          <w:sz w:val="24"/>
          <w:szCs w:val="24"/>
        </w:rPr>
        <w:t xml:space="preserve"> ‘Universally’ – could the counsellor advise another counsellor of the chosen option, ‘Publicity’ – could the counsellor explain their chosen option to another professional reasonably comfortable</w:t>
      </w:r>
      <w:r w:rsidR="004C0E93">
        <w:rPr>
          <w:rFonts w:ascii="Times New Roman" w:eastAsia="Times New Roman" w:hAnsi="Times New Roman" w:cs="Times New Roman"/>
          <w:color w:val="1F1F20"/>
          <w:sz w:val="24"/>
          <w:szCs w:val="24"/>
        </w:rPr>
        <w:t>,</w:t>
      </w:r>
      <w:r w:rsidRPr="49BD3AA3">
        <w:rPr>
          <w:rFonts w:ascii="Times New Roman" w:eastAsia="Times New Roman" w:hAnsi="Times New Roman" w:cs="Times New Roman"/>
          <w:color w:val="1F1F20"/>
          <w:sz w:val="24"/>
          <w:szCs w:val="24"/>
        </w:rPr>
        <w:t xml:space="preserve"> and ‘Justice’ – Would they make the same decision for another client. If the outcome is ‘no’ to any of the questions above, then reconsidering the decision is advisable. It’s also worth noting that taking ethical dilemmas to a supervisor </w:t>
      </w:r>
      <w:r w:rsidRPr="49BD3AA3">
        <w:rPr>
          <w:rFonts w:ascii="Times New Roman" w:eastAsia="Times New Roman" w:hAnsi="Times New Roman" w:cs="Times New Roman"/>
          <w:color w:val="1F1F20"/>
          <w:sz w:val="24"/>
          <w:szCs w:val="24"/>
        </w:rPr>
        <w:lastRenderedPageBreak/>
        <w:t xml:space="preserve">before the decision-making process begins and carry that dialogue through to the end is helpful to gain clarity and for personal and professional growth. </w:t>
      </w:r>
    </w:p>
    <w:p w14:paraId="78F26890" w14:textId="3EF26F23" w:rsidR="00A53646" w:rsidRDefault="00A53646" w:rsidP="3031EFE8">
      <w:pPr>
        <w:spacing w:after="0" w:line="480" w:lineRule="auto"/>
        <w:rPr>
          <w:rFonts w:ascii="Times New Roman" w:eastAsia="Times New Roman" w:hAnsi="Times New Roman" w:cs="Times New Roman"/>
          <w:color w:val="1F1F20"/>
          <w:sz w:val="24"/>
          <w:szCs w:val="24"/>
        </w:rPr>
      </w:pPr>
    </w:p>
    <w:p w14:paraId="759E5E4A" w14:textId="0E13B431" w:rsidR="00A53646" w:rsidRDefault="4E3C7050" w:rsidP="4E3C7050">
      <w:pPr>
        <w:spacing w:after="0" w:line="480" w:lineRule="auto"/>
        <w:rPr>
          <w:rFonts w:ascii="Times New Roman" w:eastAsia="Times New Roman" w:hAnsi="Times New Roman" w:cs="Times New Roman"/>
          <w:color w:val="1F1F20"/>
          <w:sz w:val="24"/>
          <w:szCs w:val="24"/>
        </w:rPr>
      </w:pPr>
      <w:r w:rsidRPr="4E3C7050">
        <w:rPr>
          <w:rFonts w:ascii="Times New Roman" w:eastAsia="Times New Roman" w:hAnsi="Times New Roman" w:cs="Times New Roman"/>
          <w:color w:val="1F1F20"/>
          <w:sz w:val="24"/>
          <w:szCs w:val="24"/>
        </w:rPr>
        <w:t xml:space="preserve">     To conclude, adhering to the ethical framework constructed by the BACP within practice sets good boundaries and structure for both client and counsellor. It enables good ethical decision making and guidance in difficult moments and is a good point of reference for best practice. Building contracts, transparency and congruence all play a major part in the ethics and having a clear understanding of legal legislations and the rights of the client are imperative to work ethically. All of which will ensure equality for each client. In counselling, dilemmas occur daily, the Framework is designed to be flexible because of this. The sixth principle asks counsellors to commit to self-respect. Counsellors asking the first five principles of themselves in reverse to understand their own ethics for situations such as taking on a new case, is just as effective as using the principles to make difficult ethical decisions. Not only does the Ethical Framework act as a structured document, but it also allows room for growth within personal and professional development when such dilemmas arise, as more experience in making such decision will improve professional skills. It asks counsellors to be aware of anxieties and needs when faced with ethical decision making and also to question their own values and beliefs while they move through the clients and their own journey of the profession. </w:t>
      </w:r>
    </w:p>
    <w:p w14:paraId="29799F14" w14:textId="4F27C003" w:rsidR="6D327CFE" w:rsidRDefault="6D327CFE" w:rsidP="6D327CFE">
      <w:pPr>
        <w:spacing w:after="0" w:line="480" w:lineRule="auto"/>
        <w:rPr>
          <w:rFonts w:ascii="Times New Roman" w:eastAsia="Times New Roman" w:hAnsi="Times New Roman" w:cs="Times New Roman"/>
          <w:color w:val="1F1F20"/>
          <w:sz w:val="24"/>
          <w:szCs w:val="24"/>
        </w:rPr>
      </w:pPr>
    </w:p>
    <w:p w14:paraId="27B31763" w14:textId="5694B132" w:rsidR="6D327CFE" w:rsidRDefault="6D327CFE" w:rsidP="6D327CFE">
      <w:pPr>
        <w:spacing w:after="0" w:line="480" w:lineRule="auto"/>
        <w:rPr>
          <w:rFonts w:ascii="Times New Roman" w:eastAsia="Times New Roman" w:hAnsi="Times New Roman" w:cs="Times New Roman"/>
          <w:color w:val="1F1F20"/>
          <w:sz w:val="24"/>
          <w:szCs w:val="24"/>
        </w:rPr>
      </w:pPr>
    </w:p>
    <w:p w14:paraId="06F393B4" w14:textId="615F2E3D" w:rsidR="6D327CFE" w:rsidRDefault="6D327CFE" w:rsidP="6D327CFE">
      <w:pPr>
        <w:spacing w:after="0" w:line="480" w:lineRule="auto"/>
        <w:rPr>
          <w:rFonts w:ascii="Times New Roman" w:eastAsia="Times New Roman" w:hAnsi="Times New Roman" w:cs="Times New Roman"/>
          <w:color w:val="1F1F20"/>
          <w:sz w:val="24"/>
          <w:szCs w:val="24"/>
        </w:rPr>
      </w:pPr>
    </w:p>
    <w:p w14:paraId="78E910B1" w14:textId="5403B69F" w:rsidR="6D327CFE" w:rsidRDefault="6D327CFE" w:rsidP="6D327CFE">
      <w:pPr>
        <w:spacing w:after="0" w:line="480" w:lineRule="auto"/>
        <w:rPr>
          <w:rFonts w:ascii="Times New Roman" w:eastAsia="Times New Roman" w:hAnsi="Times New Roman" w:cs="Times New Roman"/>
          <w:color w:val="1F1F20"/>
          <w:sz w:val="24"/>
          <w:szCs w:val="24"/>
        </w:rPr>
      </w:pPr>
    </w:p>
    <w:p w14:paraId="0322A3CD" w14:textId="121D58A5" w:rsidR="49BD3AA3" w:rsidRDefault="49BD3AA3" w:rsidP="49BD3AA3">
      <w:pPr>
        <w:spacing w:after="0" w:line="480" w:lineRule="auto"/>
        <w:rPr>
          <w:rFonts w:ascii="Times New Roman" w:eastAsia="Times New Roman" w:hAnsi="Times New Roman" w:cs="Times New Roman"/>
          <w:color w:val="1F1F20"/>
          <w:sz w:val="24"/>
          <w:szCs w:val="24"/>
        </w:rPr>
      </w:pPr>
    </w:p>
    <w:p w14:paraId="4A2B73B0" w14:textId="708A5629" w:rsidR="49BD3AA3" w:rsidRDefault="49BD3AA3" w:rsidP="49BD3AA3">
      <w:pPr>
        <w:spacing w:after="0" w:line="480" w:lineRule="auto"/>
        <w:rPr>
          <w:rFonts w:ascii="Times New Roman" w:eastAsia="Times New Roman" w:hAnsi="Times New Roman" w:cs="Times New Roman"/>
          <w:color w:val="1F1F20"/>
          <w:sz w:val="24"/>
          <w:szCs w:val="24"/>
        </w:rPr>
      </w:pPr>
    </w:p>
    <w:p w14:paraId="50ACCFB9" w14:textId="1D012191" w:rsidR="49BD3AA3" w:rsidRDefault="49BD3AA3" w:rsidP="49BD3AA3">
      <w:pPr>
        <w:spacing w:after="0" w:line="480" w:lineRule="auto"/>
        <w:rPr>
          <w:rFonts w:ascii="Times New Roman" w:eastAsia="Times New Roman" w:hAnsi="Times New Roman" w:cs="Times New Roman"/>
          <w:color w:val="1F1F20"/>
          <w:sz w:val="24"/>
          <w:szCs w:val="24"/>
        </w:rPr>
      </w:pPr>
    </w:p>
    <w:p w14:paraId="58341CD0" w14:textId="630AF7F4" w:rsidR="6D327CFE" w:rsidRDefault="49BD3AA3" w:rsidP="49BD3AA3">
      <w:pPr>
        <w:spacing w:after="0" w:line="480" w:lineRule="auto"/>
        <w:rPr>
          <w:rFonts w:ascii="Times New Roman" w:eastAsia="Times New Roman" w:hAnsi="Times New Roman" w:cs="Times New Roman"/>
          <w:color w:val="1F1F20"/>
          <w:sz w:val="24"/>
          <w:szCs w:val="24"/>
        </w:rPr>
      </w:pPr>
      <w:r w:rsidRPr="49BD3AA3">
        <w:rPr>
          <w:rFonts w:ascii="Times New Roman" w:eastAsia="Times New Roman" w:hAnsi="Times New Roman" w:cs="Times New Roman"/>
          <w:color w:val="1F1F20"/>
          <w:sz w:val="24"/>
          <w:szCs w:val="24"/>
        </w:rPr>
        <w:t xml:space="preserve">Reference List - </w:t>
      </w:r>
    </w:p>
    <w:p w14:paraId="2C5FCBE6" w14:textId="14BC5DF2" w:rsidR="49BD3AA3" w:rsidRDefault="49BD3AA3" w:rsidP="49BD3AA3">
      <w:pPr>
        <w:spacing w:after="0" w:line="360" w:lineRule="auto"/>
        <w:rPr>
          <w:rFonts w:ascii="Times New Roman" w:eastAsia="Times New Roman" w:hAnsi="Times New Roman" w:cs="Times New Roman"/>
          <w:color w:val="1F1F20"/>
          <w:sz w:val="24"/>
          <w:szCs w:val="24"/>
        </w:rPr>
      </w:pPr>
    </w:p>
    <w:p w14:paraId="64A2ED03" w14:textId="29DDD6F8" w:rsidR="49BD3AA3" w:rsidRDefault="49BD3AA3" w:rsidP="49BD3AA3">
      <w:pPr>
        <w:spacing w:line="240" w:lineRule="auto"/>
      </w:pPr>
      <w:r w:rsidRPr="49BD3AA3">
        <w:rPr>
          <w:rFonts w:ascii="-webkit-standard" w:eastAsia="-webkit-standard" w:hAnsi="-webkit-standard" w:cs="-webkit-standard"/>
          <w:color w:val="0A1914"/>
          <w:sz w:val="24"/>
          <w:szCs w:val="24"/>
        </w:rPr>
        <w:t xml:space="preserve">BACP (2018) </w:t>
      </w:r>
      <w:r w:rsidRPr="49BD3AA3">
        <w:rPr>
          <w:rFonts w:ascii="-webkit-standard" w:eastAsia="-webkit-standard" w:hAnsi="-webkit-standard" w:cs="-webkit-standard"/>
          <w:i/>
          <w:iCs/>
          <w:color w:val="0A1914"/>
          <w:sz w:val="24"/>
          <w:szCs w:val="24"/>
        </w:rPr>
        <w:t>Ethical Framework</w:t>
      </w:r>
      <w:r w:rsidRPr="49BD3AA3">
        <w:rPr>
          <w:rFonts w:ascii="-webkit-standard" w:eastAsia="-webkit-standard" w:hAnsi="-webkit-standard" w:cs="-webkit-standard"/>
          <w:color w:val="0A1914"/>
          <w:sz w:val="24"/>
          <w:szCs w:val="24"/>
        </w:rPr>
        <w:t xml:space="preserve">. Available at: </w:t>
      </w:r>
      <w:hyperlink r:id="rId12">
        <w:r w:rsidRPr="49BD3AA3">
          <w:rPr>
            <w:rStyle w:val="Hyperlink"/>
            <w:rFonts w:ascii="-webkit-standard" w:eastAsia="-webkit-standard" w:hAnsi="-webkit-standard" w:cs="-webkit-standard"/>
            <w:sz w:val="24"/>
            <w:szCs w:val="24"/>
          </w:rPr>
          <w:t>https://www.bacp.co.uk/events-and-resources/ethics-and-standards/ethical-framework-for-the-counselling-professions/</w:t>
        </w:r>
      </w:hyperlink>
    </w:p>
    <w:p w14:paraId="28A9F73B" w14:textId="3C123FF6" w:rsidR="49BD3AA3" w:rsidRDefault="49BD3AA3" w:rsidP="49BD3AA3">
      <w:pPr>
        <w:spacing w:line="240" w:lineRule="auto"/>
      </w:pPr>
      <w:r w:rsidRPr="49BD3AA3">
        <w:rPr>
          <w:rFonts w:ascii="-webkit-standard" w:eastAsia="-webkit-standard" w:hAnsi="-webkit-standard" w:cs="-webkit-standard"/>
          <w:color w:val="0A1914"/>
          <w:sz w:val="24"/>
          <w:szCs w:val="24"/>
        </w:rPr>
        <w:t>(Accessed: 12</w:t>
      </w:r>
      <w:r w:rsidRPr="49BD3AA3">
        <w:rPr>
          <w:rFonts w:ascii="-webkit-standard" w:eastAsia="-webkit-standard" w:hAnsi="-webkit-standard" w:cs="-webkit-standard"/>
          <w:color w:val="0A1914"/>
          <w:sz w:val="24"/>
          <w:szCs w:val="24"/>
          <w:vertAlign w:val="superscript"/>
        </w:rPr>
        <w:t>th</w:t>
      </w:r>
      <w:r w:rsidRPr="49BD3AA3">
        <w:rPr>
          <w:rFonts w:ascii="-webkit-standard" w:eastAsia="-webkit-standard" w:hAnsi="-webkit-standard" w:cs="-webkit-standard"/>
          <w:color w:val="0A1914"/>
          <w:sz w:val="24"/>
          <w:szCs w:val="24"/>
        </w:rPr>
        <w:t xml:space="preserve"> October 2018).</w:t>
      </w:r>
    </w:p>
    <w:p w14:paraId="03376DF7" w14:textId="77777777" w:rsidR="004C0E93" w:rsidRDefault="004C0E93" w:rsidP="49BD3AA3">
      <w:pPr>
        <w:spacing w:line="240" w:lineRule="auto"/>
        <w:rPr>
          <w:rFonts w:ascii="-webkit-standard" w:eastAsia="-webkit-standard" w:hAnsi="-webkit-standard" w:cs="-webkit-standard"/>
          <w:color w:val="0A1914"/>
          <w:sz w:val="24"/>
          <w:szCs w:val="24"/>
        </w:rPr>
      </w:pPr>
    </w:p>
    <w:p w14:paraId="4C369B06" w14:textId="075C83C2" w:rsidR="49BD3AA3" w:rsidRDefault="49BD3AA3" w:rsidP="49BD3AA3">
      <w:pPr>
        <w:spacing w:line="240" w:lineRule="auto"/>
        <w:rPr>
          <w:rFonts w:ascii="-webkit-standard" w:eastAsia="-webkit-standard" w:hAnsi="-webkit-standard" w:cs="-webkit-standard"/>
          <w:color w:val="0A1914"/>
          <w:sz w:val="24"/>
          <w:szCs w:val="24"/>
        </w:rPr>
      </w:pPr>
      <w:r w:rsidRPr="49BD3AA3">
        <w:rPr>
          <w:rFonts w:ascii="-webkit-standard" w:eastAsia="-webkit-standard" w:hAnsi="-webkit-standard" w:cs="-webkit-standard"/>
          <w:color w:val="0A1914"/>
          <w:sz w:val="24"/>
          <w:szCs w:val="24"/>
        </w:rPr>
        <w:t xml:space="preserve">Bond, T. (2015) </w:t>
      </w:r>
      <w:r w:rsidRPr="49BD3AA3">
        <w:rPr>
          <w:rFonts w:ascii="-webkit-standard" w:eastAsia="-webkit-standard" w:hAnsi="-webkit-standard" w:cs="-webkit-standard"/>
          <w:i/>
          <w:iCs/>
          <w:color w:val="0A1914"/>
          <w:sz w:val="24"/>
          <w:szCs w:val="24"/>
        </w:rPr>
        <w:t xml:space="preserve">Standards and Ethics for Counselling in Action. </w:t>
      </w:r>
      <w:r w:rsidRPr="49BD3AA3">
        <w:rPr>
          <w:rFonts w:ascii="-webkit-standard" w:eastAsia="-webkit-standard" w:hAnsi="-webkit-standard" w:cs="-webkit-standard"/>
          <w:color w:val="0A1914"/>
          <w:sz w:val="24"/>
          <w:szCs w:val="24"/>
        </w:rPr>
        <w:t>4</w:t>
      </w:r>
      <w:r w:rsidRPr="49BD3AA3">
        <w:rPr>
          <w:rFonts w:ascii="-webkit-standard" w:eastAsia="-webkit-standard" w:hAnsi="-webkit-standard" w:cs="-webkit-standard"/>
          <w:color w:val="0A1914"/>
          <w:sz w:val="24"/>
          <w:szCs w:val="24"/>
          <w:vertAlign w:val="superscript"/>
        </w:rPr>
        <w:t>th</w:t>
      </w:r>
      <w:r w:rsidRPr="49BD3AA3">
        <w:rPr>
          <w:rFonts w:ascii="-webkit-standard" w:eastAsia="-webkit-standard" w:hAnsi="-webkit-standard" w:cs="-webkit-standard"/>
          <w:color w:val="0A1914"/>
          <w:sz w:val="24"/>
          <w:szCs w:val="24"/>
        </w:rPr>
        <w:t xml:space="preserve"> Ed. London: SAGE</w:t>
      </w:r>
    </w:p>
    <w:p w14:paraId="19C73553" w14:textId="77777777" w:rsidR="004C0E93" w:rsidRDefault="004C0E93" w:rsidP="49BD3AA3">
      <w:pPr>
        <w:spacing w:line="240" w:lineRule="auto"/>
        <w:rPr>
          <w:rFonts w:ascii="-webkit-standard" w:eastAsia="-webkit-standard" w:hAnsi="-webkit-standard" w:cs="-webkit-standard"/>
          <w:color w:val="0A1914"/>
          <w:sz w:val="24"/>
          <w:szCs w:val="24"/>
        </w:rPr>
      </w:pPr>
    </w:p>
    <w:p w14:paraId="566455E5" w14:textId="567D237C" w:rsidR="49BD3AA3" w:rsidRDefault="49BD3AA3" w:rsidP="49BD3AA3">
      <w:pPr>
        <w:spacing w:line="240" w:lineRule="auto"/>
        <w:rPr>
          <w:rFonts w:ascii="-webkit-standard" w:eastAsia="-webkit-standard" w:hAnsi="-webkit-standard" w:cs="-webkit-standard"/>
          <w:color w:val="0A1914"/>
          <w:sz w:val="24"/>
          <w:szCs w:val="24"/>
        </w:rPr>
      </w:pPr>
      <w:r w:rsidRPr="49BD3AA3">
        <w:rPr>
          <w:rFonts w:ascii="-webkit-standard" w:eastAsia="-webkit-standard" w:hAnsi="-webkit-standard" w:cs="-webkit-standard"/>
          <w:color w:val="0A1914"/>
          <w:sz w:val="24"/>
          <w:szCs w:val="24"/>
        </w:rPr>
        <w:t xml:space="preserve">Feltham, C., Hanley, T., Winter, L. A. (2017) </w:t>
      </w:r>
      <w:r w:rsidRPr="49BD3AA3">
        <w:rPr>
          <w:rFonts w:ascii="-webkit-standard" w:eastAsia="-webkit-standard" w:hAnsi="-webkit-standard" w:cs="-webkit-standard"/>
          <w:i/>
          <w:iCs/>
          <w:color w:val="0A1914"/>
          <w:sz w:val="24"/>
          <w:szCs w:val="24"/>
        </w:rPr>
        <w:t xml:space="preserve">The Sage Handbook of Counselling and Psychotherapy. </w:t>
      </w:r>
      <w:r w:rsidRPr="49BD3AA3">
        <w:rPr>
          <w:rFonts w:ascii="-webkit-standard" w:eastAsia="-webkit-standard" w:hAnsi="-webkit-standard" w:cs="-webkit-standard"/>
          <w:color w:val="0A1914"/>
          <w:sz w:val="24"/>
          <w:szCs w:val="24"/>
        </w:rPr>
        <w:t>4</w:t>
      </w:r>
      <w:r w:rsidRPr="49BD3AA3">
        <w:rPr>
          <w:rFonts w:ascii="-webkit-standard" w:eastAsia="-webkit-standard" w:hAnsi="-webkit-standard" w:cs="-webkit-standard"/>
          <w:color w:val="0A1914"/>
          <w:sz w:val="24"/>
          <w:szCs w:val="24"/>
          <w:vertAlign w:val="superscript"/>
        </w:rPr>
        <w:t>th</w:t>
      </w:r>
      <w:r w:rsidRPr="49BD3AA3">
        <w:rPr>
          <w:rFonts w:ascii="-webkit-standard" w:eastAsia="-webkit-standard" w:hAnsi="-webkit-standard" w:cs="-webkit-standard"/>
          <w:color w:val="0A1914"/>
          <w:sz w:val="24"/>
          <w:szCs w:val="24"/>
        </w:rPr>
        <w:t xml:space="preserve"> Ed. London: SAGE</w:t>
      </w:r>
    </w:p>
    <w:p w14:paraId="1930B5C9" w14:textId="77777777" w:rsidR="004C0E93" w:rsidRDefault="004C0E93" w:rsidP="49BD3AA3">
      <w:pPr>
        <w:spacing w:line="240" w:lineRule="auto"/>
        <w:rPr>
          <w:rFonts w:ascii="-webkit-standard" w:eastAsia="-webkit-standard" w:hAnsi="-webkit-standard" w:cs="-webkit-standard"/>
          <w:color w:val="0A1914"/>
          <w:sz w:val="24"/>
          <w:szCs w:val="24"/>
        </w:rPr>
      </w:pPr>
    </w:p>
    <w:p w14:paraId="16EB7C46" w14:textId="163C0FA4" w:rsidR="49BD3AA3" w:rsidRDefault="49BD3AA3" w:rsidP="49BD3AA3">
      <w:pPr>
        <w:spacing w:line="240" w:lineRule="auto"/>
        <w:rPr>
          <w:rFonts w:ascii="-webkit-standard" w:eastAsia="-webkit-standard" w:hAnsi="-webkit-standard" w:cs="-webkit-standard"/>
          <w:color w:val="0A1914"/>
          <w:sz w:val="24"/>
          <w:szCs w:val="24"/>
        </w:rPr>
      </w:pPr>
      <w:r w:rsidRPr="49BD3AA3">
        <w:rPr>
          <w:rFonts w:ascii="-webkit-standard" w:eastAsia="-webkit-standard" w:hAnsi="-webkit-standard" w:cs="-webkit-standard"/>
          <w:color w:val="0A1914"/>
          <w:sz w:val="24"/>
          <w:szCs w:val="24"/>
        </w:rPr>
        <w:t xml:space="preserve">GOV. UK (2018) </w:t>
      </w:r>
      <w:r w:rsidRPr="49BD3AA3">
        <w:rPr>
          <w:rFonts w:ascii="-webkit-standard" w:eastAsia="-webkit-standard" w:hAnsi="-webkit-standard" w:cs="-webkit-standard"/>
          <w:i/>
          <w:iCs/>
          <w:color w:val="0A1914"/>
          <w:sz w:val="24"/>
          <w:szCs w:val="24"/>
        </w:rPr>
        <w:t xml:space="preserve">Guide to the General Data Protection Regulation. </w:t>
      </w:r>
      <w:r w:rsidRPr="49BD3AA3">
        <w:rPr>
          <w:rFonts w:ascii="-webkit-standard" w:eastAsia="-webkit-standard" w:hAnsi="-webkit-standard" w:cs="-webkit-standard"/>
          <w:color w:val="0A1914"/>
          <w:sz w:val="24"/>
          <w:szCs w:val="24"/>
        </w:rPr>
        <w:t xml:space="preserve">Available at: </w:t>
      </w:r>
      <w:hyperlink r:id="rId13">
        <w:r w:rsidRPr="49BD3AA3">
          <w:rPr>
            <w:rStyle w:val="Hyperlink"/>
            <w:rFonts w:ascii="-webkit-standard" w:eastAsia="-webkit-standard" w:hAnsi="-webkit-standard" w:cs="-webkit-standard"/>
            <w:sz w:val="24"/>
            <w:szCs w:val="24"/>
          </w:rPr>
          <w:t>https://www.gov.uk/search?q=gdpr</w:t>
        </w:r>
      </w:hyperlink>
      <w:r w:rsidRPr="49BD3AA3">
        <w:rPr>
          <w:rFonts w:ascii="-webkit-standard" w:eastAsia="-webkit-standard" w:hAnsi="-webkit-standard" w:cs="-webkit-standard"/>
          <w:sz w:val="24"/>
          <w:szCs w:val="24"/>
        </w:rPr>
        <w:t>+</w:t>
      </w:r>
    </w:p>
    <w:p w14:paraId="6D0C35D2" w14:textId="3F3957C0" w:rsidR="49BD3AA3" w:rsidRDefault="49BD3AA3" w:rsidP="49BD3AA3">
      <w:pPr>
        <w:spacing w:line="240" w:lineRule="auto"/>
        <w:rPr>
          <w:rFonts w:ascii="-webkit-standard" w:eastAsia="-webkit-standard" w:hAnsi="-webkit-standard" w:cs="-webkit-standard"/>
          <w:sz w:val="24"/>
          <w:szCs w:val="24"/>
        </w:rPr>
      </w:pPr>
      <w:r w:rsidRPr="49BD3AA3">
        <w:rPr>
          <w:rFonts w:ascii="-webkit-standard" w:eastAsia="-webkit-standard" w:hAnsi="-webkit-standard" w:cs="-webkit-standard"/>
          <w:sz w:val="24"/>
          <w:szCs w:val="24"/>
        </w:rPr>
        <w:t>(Accessed on: 7</w:t>
      </w:r>
      <w:r w:rsidRPr="49BD3AA3">
        <w:rPr>
          <w:rFonts w:ascii="-webkit-standard" w:eastAsia="-webkit-standard" w:hAnsi="-webkit-standard" w:cs="-webkit-standard"/>
          <w:sz w:val="24"/>
          <w:szCs w:val="24"/>
          <w:vertAlign w:val="superscript"/>
        </w:rPr>
        <w:t>th</w:t>
      </w:r>
      <w:r w:rsidRPr="49BD3AA3">
        <w:rPr>
          <w:rFonts w:ascii="-webkit-standard" w:eastAsia="-webkit-standard" w:hAnsi="-webkit-standard" w:cs="-webkit-standard"/>
          <w:sz w:val="24"/>
          <w:szCs w:val="24"/>
        </w:rPr>
        <w:t xml:space="preserve"> November 2018).</w:t>
      </w:r>
    </w:p>
    <w:p w14:paraId="3B91AF44" w14:textId="77777777" w:rsidR="004C0E93" w:rsidRDefault="004C0E93" w:rsidP="49BD3AA3">
      <w:pPr>
        <w:spacing w:line="240" w:lineRule="auto"/>
        <w:rPr>
          <w:rFonts w:ascii="-webkit-standard" w:eastAsia="-webkit-standard" w:hAnsi="-webkit-standard" w:cs="-webkit-standard"/>
          <w:sz w:val="24"/>
          <w:szCs w:val="24"/>
        </w:rPr>
      </w:pPr>
    </w:p>
    <w:p w14:paraId="437C4D17" w14:textId="796F3D5A" w:rsidR="49BD3AA3" w:rsidRDefault="49BD3AA3" w:rsidP="49BD3AA3">
      <w:pPr>
        <w:spacing w:line="240" w:lineRule="auto"/>
        <w:rPr>
          <w:rFonts w:ascii="-webkit-standard" w:eastAsia="-webkit-standard" w:hAnsi="-webkit-standard" w:cs="-webkit-standard"/>
          <w:sz w:val="24"/>
          <w:szCs w:val="24"/>
        </w:rPr>
      </w:pPr>
      <w:r w:rsidRPr="49BD3AA3">
        <w:rPr>
          <w:rFonts w:ascii="-webkit-standard" w:eastAsia="-webkit-standard" w:hAnsi="-webkit-standard" w:cs="-webkit-standard"/>
          <w:sz w:val="24"/>
          <w:szCs w:val="24"/>
        </w:rPr>
        <w:t xml:space="preserve">McLeod, J., McLeod, J. (2011) </w:t>
      </w:r>
      <w:r w:rsidRPr="49BD3AA3">
        <w:rPr>
          <w:rFonts w:ascii="-webkit-standard" w:eastAsia="-webkit-standard" w:hAnsi="-webkit-standard" w:cs="-webkit-standard"/>
          <w:i/>
          <w:iCs/>
          <w:sz w:val="24"/>
          <w:szCs w:val="24"/>
        </w:rPr>
        <w:t xml:space="preserve">Counselling Skills: A Practical Guide for Counsellors and Helping Professionals. </w:t>
      </w:r>
      <w:r w:rsidRPr="49BD3AA3">
        <w:rPr>
          <w:rFonts w:ascii="-webkit-standard" w:eastAsia="-webkit-standard" w:hAnsi="-webkit-standard" w:cs="-webkit-standard"/>
          <w:sz w:val="24"/>
          <w:szCs w:val="24"/>
        </w:rPr>
        <w:t>2</w:t>
      </w:r>
      <w:r w:rsidRPr="49BD3AA3">
        <w:rPr>
          <w:rFonts w:ascii="-webkit-standard" w:eastAsia="-webkit-standard" w:hAnsi="-webkit-standard" w:cs="-webkit-standard"/>
          <w:sz w:val="24"/>
          <w:szCs w:val="24"/>
          <w:vertAlign w:val="superscript"/>
        </w:rPr>
        <w:t>nd</w:t>
      </w:r>
      <w:r w:rsidRPr="49BD3AA3">
        <w:rPr>
          <w:rFonts w:ascii="-webkit-standard" w:eastAsia="-webkit-standard" w:hAnsi="-webkit-standard" w:cs="-webkit-standard"/>
          <w:sz w:val="24"/>
          <w:szCs w:val="24"/>
        </w:rPr>
        <w:t xml:space="preserve"> Ed. Maidenhead: Open University Press. </w:t>
      </w:r>
    </w:p>
    <w:p w14:paraId="5EF61200" w14:textId="77777777" w:rsidR="004C0E93" w:rsidRDefault="004C0E93" w:rsidP="49BD3AA3">
      <w:pPr>
        <w:spacing w:line="240" w:lineRule="auto"/>
        <w:rPr>
          <w:rFonts w:ascii="-webkit-standard" w:eastAsia="-webkit-standard" w:hAnsi="-webkit-standard" w:cs="-webkit-standard"/>
          <w:sz w:val="24"/>
          <w:szCs w:val="24"/>
        </w:rPr>
      </w:pPr>
    </w:p>
    <w:p w14:paraId="475C222E" w14:textId="51665C77" w:rsidR="49BD3AA3" w:rsidRDefault="49BD3AA3" w:rsidP="49BD3AA3">
      <w:pPr>
        <w:spacing w:line="240" w:lineRule="auto"/>
        <w:rPr>
          <w:rFonts w:ascii="-webkit-standard" w:eastAsia="-webkit-standard" w:hAnsi="-webkit-standard" w:cs="-webkit-standard"/>
          <w:sz w:val="24"/>
          <w:szCs w:val="24"/>
        </w:rPr>
      </w:pPr>
      <w:bookmarkStart w:id="0" w:name="_GoBack"/>
      <w:bookmarkEnd w:id="0"/>
      <w:r w:rsidRPr="49BD3AA3">
        <w:rPr>
          <w:rFonts w:ascii="-webkit-standard" w:eastAsia="-webkit-standard" w:hAnsi="-webkit-standard" w:cs="-webkit-standard"/>
          <w:sz w:val="24"/>
          <w:szCs w:val="24"/>
        </w:rPr>
        <w:t xml:space="preserve">Nelson-Jones, R. (2016) </w:t>
      </w:r>
      <w:r w:rsidRPr="49BD3AA3">
        <w:rPr>
          <w:rFonts w:ascii="-webkit-standard" w:eastAsia="-webkit-standard" w:hAnsi="-webkit-standard" w:cs="-webkit-standard"/>
          <w:i/>
          <w:iCs/>
          <w:sz w:val="24"/>
          <w:szCs w:val="24"/>
        </w:rPr>
        <w:t xml:space="preserve">Basic Counselling Skills: A Helpers Manual. </w:t>
      </w:r>
      <w:r w:rsidRPr="49BD3AA3">
        <w:rPr>
          <w:rFonts w:ascii="-webkit-standard" w:eastAsia="-webkit-standard" w:hAnsi="-webkit-standard" w:cs="-webkit-standard"/>
          <w:sz w:val="24"/>
          <w:szCs w:val="24"/>
        </w:rPr>
        <w:t>4</w:t>
      </w:r>
      <w:r w:rsidRPr="49BD3AA3">
        <w:rPr>
          <w:rFonts w:ascii="-webkit-standard" w:eastAsia="-webkit-standard" w:hAnsi="-webkit-standard" w:cs="-webkit-standard"/>
          <w:sz w:val="24"/>
          <w:szCs w:val="24"/>
          <w:vertAlign w:val="superscript"/>
        </w:rPr>
        <w:t>th</w:t>
      </w:r>
      <w:r w:rsidRPr="49BD3AA3">
        <w:rPr>
          <w:rFonts w:ascii="-webkit-standard" w:eastAsia="-webkit-standard" w:hAnsi="-webkit-standard" w:cs="-webkit-standard"/>
          <w:sz w:val="24"/>
          <w:szCs w:val="24"/>
        </w:rPr>
        <w:t xml:space="preserve"> Ed. London: SAGE. </w:t>
      </w:r>
    </w:p>
    <w:p w14:paraId="47552A55" w14:textId="568D3B55" w:rsidR="49BD3AA3" w:rsidRDefault="49BD3AA3" w:rsidP="49BD3AA3">
      <w:pPr>
        <w:spacing w:line="240" w:lineRule="auto"/>
        <w:rPr>
          <w:rFonts w:ascii="-webkit-standard" w:eastAsia="-webkit-standard" w:hAnsi="-webkit-standard" w:cs="-webkit-standard"/>
          <w:color w:val="0A1914"/>
          <w:sz w:val="24"/>
          <w:szCs w:val="24"/>
        </w:rPr>
      </w:pPr>
    </w:p>
    <w:p w14:paraId="0D77586F" w14:textId="278008D8" w:rsidR="49BD3AA3" w:rsidRDefault="49BD3AA3" w:rsidP="49BD3AA3">
      <w:pPr>
        <w:spacing w:line="240" w:lineRule="auto"/>
        <w:rPr>
          <w:rFonts w:ascii="-webkit-standard" w:eastAsia="-webkit-standard" w:hAnsi="-webkit-standard" w:cs="-webkit-standard"/>
          <w:color w:val="0A1914"/>
          <w:sz w:val="24"/>
          <w:szCs w:val="24"/>
        </w:rPr>
      </w:pPr>
    </w:p>
    <w:p w14:paraId="6B201EA9" w14:textId="37075738" w:rsidR="49BD3AA3" w:rsidRDefault="49BD3AA3" w:rsidP="49BD3AA3">
      <w:pPr>
        <w:spacing w:after="0" w:line="240" w:lineRule="auto"/>
        <w:rPr>
          <w:rFonts w:ascii="Times New Roman" w:eastAsia="Times New Roman" w:hAnsi="Times New Roman" w:cs="Times New Roman"/>
          <w:color w:val="1F1F20"/>
          <w:sz w:val="24"/>
          <w:szCs w:val="24"/>
        </w:rPr>
      </w:pPr>
    </w:p>
    <w:p w14:paraId="40515247" w14:textId="5259112D" w:rsidR="49BD3AA3" w:rsidRDefault="49BD3AA3" w:rsidP="49BD3AA3">
      <w:pPr>
        <w:spacing w:after="0" w:line="480" w:lineRule="auto"/>
        <w:rPr>
          <w:rFonts w:ascii="Times New Roman" w:eastAsia="Times New Roman" w:hAnsi="Times New Roman" w:cs="Times New Roman"/>
          <w:color w:val="1F1F20"/>
          <w:sz w:val="24"/>
          <w:szCs w:val="24"/>
        </w:rPr>
      </w:pPr>
    </w:p>
    <w:p w14:paraId="4B79AC3D" w14:textId="10ED15A2" w:rsidR="49BD3AA3" w:rsidRDefault="49BD3AA3" w:rsidP="49BD3AA3">
      <w:pPr>
        <w:spacing w:after="0" w:line="480" w:lineRule="auto"/>
        <w:rPr>
          <w:rFonts w:ascii="Times New Roman" w:eastAsia="Times New Roman" w:hAnsi="Times New Roman" w:cs="Times New Roman"/>
          <w:color w:val="1F1F20"/>
          <w:sz w:val="24"/>
          <w:szCs w:val="24"/>
        </w:rPr>
      </w:pPr>
    </w:p>
    <w:p w14:paraId="1AFB4DD7" w14:textId="3984E5BE" w:rsidR="49BD3AA3" w:rsidRDefault="49BD3AA3" w:rsidP="49BD3AA3">
      <w:pPr>
        <w:spacing w:after="0" w:line="480" w:lineRule="auto"/>
        <w:rPr>
          <w:rFonts w:ascii="Times New Roman" w:eastAsia="Times New Roman" w:hAnsi="Times New Roman" w:cs="Times New Roman"/>
          <w:color w:val="1F1F20"/>
          <w:sz w:val="24"/>
          <w:szCs w:val="24"/>
        </w:rPr>
      </w:pPr>
    </w:p>
    <w:p w14:paraId="157A25AA" w14:textId="3C909CB9" w:rsidR="49BD3AA3" w:rsidRDefault="49BD3AA3" w:rsidP="49BD3AA3">
      <w:pPr>
        <w:spacing w:after="0" w:line="480" w:lineRule="auto"/>
        <w:rPr>
          <w:rFonts w:ascii="Times New Roman" w:eastAsia="Times New Roman" w:hAnsi="Times New Roman" w:cs="Times New Roman"/>
          <w:color w:val="1F1F20"/>
          <w:sz w:val="24"/>
          <w:szCs w:val="24"/>
        </w:rPr>
      </w:pPr>
    </w:p>
    <w:p w14:paraId="13F4224E" w14:textId="0FD3F3B2" w:rsidR="49BD3AA3" w:rsidRDefault="49BD3AA3" w:rsidP="49BD3AA3">
      <w:pPr>
        <w:spacing w:after="0" w:line="480" w:lineRule="auto"/>
        <w:rPr>
          <w:rFonts w:ascii="Times New Roman" w:eastAsia="Times New Roman" w:hAnsi="Times New Roman" w:cs="Times New Roman"/>
          <w:color w:val="1F1F20"/>
          <w:sz w:val="24"/>
          <w:szCs w:val="24"/>
        </w:rPr>
      </w:pPr>
    </w:p>
    <w:p w14:paraId="511EBB7A" w14:textId="039B5FFB" w:rsidR="49BD3AA3" w:rsidRDefault="49BD3AA3" w:rsidP="49BD3AA3">
      <w:pPr>
        <w:spacing w:after="0" w:line="480" w:lineRule="auto"/>
        <w:rPr>
          <w:rFonts w:ascii="Times New Roman" w:eastAsia="Times New Roman" w:hAnsi="Times New Roman" w:cs="Times New Roman"/>
          <w:color w:val="1F1F20"/>
          <w:sz w:val="24"/>
          <w:szCs w:val="24"/>
        </w:rPr>
      </w:pPr>
    </w:p>
    <w:p w14:paraId="0858D268" w14:textId="433038B3" w:rsidR="49BD3AA3" w:rsidRDefault="49BD3AA3" w:rsidP="49BD3AA3">
      <w:pPr>
        <w:spacing w:after="0" w:line="480" w:lineRule="auto"/>
        <w:rPr>
          <w:rFonts w:ascii="Times New Roman" w:eastAsia="Times New Roman" w:hAnsi="Times New Roman" w:cs="Times New Roman"/>
          <w:color w:val="1F1F20"/>
          <w:sz w:val="24"/>
          <w:szCs w:val="24"/>
        </w:rPr>
      </w:pPr>
    </w:p>
    <w:p w14:paraId="1E9DD247" w14:textId="1E255959" w:rsidR="49BD3AA3" w:rsidRDefault="49BD3AA3" w:rsidP="49BD3AA3">
      <w:pPr>
        <w:spacing w:after="0" w:line="480" w:lineRule="auto"/>
        <w:rPr>
          <w:rFonts w:ascii="Times New Roman" w:eastAsia="Times New Roman" w:hAnsi="Times New Roman" w:cs="Times New Roman"/>
          <w:color w:val="1F1F20"/>
          <w:sz w:val="24"/>
          <w:szCs w:val="24"/>
        </w:rPr>
      </w:pPr>
    </w:p>
    <w:p w14:paraId="613C7693" w14:textId="39F94F0E" w:rsidR="49BD3AA3" w:rsidRDefault="49BD3AA3" w:rsidP="49BD3AA3">
      <w:pPr>
        <w:spacing w:after="0" w:line="480" w:lineRule="auto"/>
        <w:rPr>
          <w:rFonts w:ascii="Times New Roman" w:eastAsia="Times New Roman" w:hAnsi="Times New Roman" w:cs="Times New Roman"/>
          <w:color w:val="1F1F20"/>
          <w:sz w:val="24"/>
          <w:szCs w:val="24"/>
        </w:rPr>
      </w:pPr>
    </w:p>
    <w:p w14:paraId="21B61EB8" w14:textId="305F1AD5" w:rsidR="49BD3AA3" w:rsidRDefault="49BD3AA3" w:rsidP="49BD3AA3">
      <w:pPr>
        <w:spacing w:after="0" w:line="480" w:lineRule="auto"/>
        <w:rPr>
          <w:rFonts w:ascii="Times New Roman" w:eastAsia="Times New Roman" w:hAnsi="Times New Roman" w:cs="Times New Roman"/>
          <w:color w:val="1F1F20"/>
          <w:sz w:val="24"/>
          <w:szCs w:val="24"/>
        </w:rPr>
      </w:pPr>
    </w:p>
    <w:p w14:paraId="2A43DC1C" w14:textId="22879327" w:rsidR="49BD3AA3" w:rsidRDefault="49BD3AA3" w:rsidP="49BD3AA3">
      <w:pPr>
        <w:spacing w:after="0" w:line="480" w:lineRule="auto"/>
        <w:rPr>
          <w:rFonts w:ascii="Times New Roman" w:eastAsia="Times New Roman" w:hAnsi="Times New Roman" w:cs="Times New Roman"/>
          <w:color w:val="1F1F20"/>
          <w:sz w:val="24"/>
          <w:szCs w:val="24"/>
        </w:rPr>
      </w:pPr>
    </w:p>
    <w:p w14:paraId="613C2517" w14:textId="474DF0E6" w:rsidR="49BD3AA3" w:rsidRDefault="49BD3AA3" w:rsidP="49BD3AA3">
      <w:pPr>
        <w:spacing w:after="0" w:line="480" w:lineRule="auto"/>
        <w:rPr>
          <w:rFonts w:ascii="Times New Roman" w:eastAsia="Times New Roman" w:hAnsi="Times New Roman" w:cs="Times New Roman"/>
          <w:color w:val="1F1F20"/>
          <w:sz w:val="24"/>
          <w:szCs w:val="24"/>
        </w:rPr>
      </w:pPr>
    </w:p>
    <w:p w14:paraId="459099F8" w14:textId="35958FED" w:rsidR="49BD3AA3" w:rsidRDefault="49BD3AA3" w:rsidP="49BD3AA3">
      <w:pPr>
        <w:spacing w:after="0" w:line="480" w:lineRule="auto"/>
        <w:rPr>
          <w:rFonts w:ascii="Times New Roman" w:eastAsia="Times New Roman" w:hAnsi="Times New Roman" w:cs="Times New Roman"/>
          <w:color w:val="1F1F20"/>
          <w:sz w:val="24"/>
          <w:szCs w:val="24"/>
        </w:rPr>
      </w:pPr>
    </w:p>
    <w:p w14:paraId="4B7AF292" w14:textId="508B7382" w:rsidR="49BD3AA3" w:rsidRDefault="49BD3AA3" w:rsidP="49BD3AA3">
      <w:pPr>
        <w:spacing w:after="0" w:line="480" w:lineRule="auto"/>
        <w:rPr>
          <w:rFonts w:ascii="Times New Roman" w:eastAsia="Times New Roman" w:hAnsi="Times New Roman" w:cs="Times New Roman"/>
          <w:color w:val="1F1F20"/>
          <w:sz w:val="24"/>
          <w:szCs w:val="24"/>
        </w:rPr>
      </w:pPr>
    </w:p>
    <w:p w14:paraId="0A3FBBA2" w14:textId="04B3B0F6" w:rsidR="49BD3AA3" w:rsidRDefault="49BD3AA3" w:rsidP="49BD3AA3">
      <w:pPr>
        <w:spacing w:after="0" w:line="480" w:lineRule="auto"/>
        <w:rPr>
          <w:rFonts w:ascii="Times New Roman" w:eastAsia="Times New Roman" w:hAnsi="Times New Roman" w:cs="Times New Roman"/>
          <w:color w:val="1F1F20"/>
          <w:sz w:val="24"/>
          <w:szCs w:val="24"/>
        </w:rPr>
      </w:pPr>
    </w:p>
    <w:p w14:paraId="22EC0D04" w14:textId="2224454F" w:rsidR="49BD3AA3" w:rsidRDefault="49BD3AA3" w:rsidP="49BD3AA3">
      <w:pPr>
        <w:spacing w:after="0" w:line="480" w:lineRule="auto"/>
        <w:rPr>
          <w:rFonts w:ascii="Times New Roman" w:eastAsia="Times New Roman" w:hAnsi="Times New Roman" w:cs="Times New Roman"/>
          <w:color w:val="1F1F20"/>
          <w:sz w:val="24"/>
          <w:szCs w:val="24"/>
        </w:rPr>
      </w:pPr>
    </w:p>
    <w:p w14:paraId="447F400F" w14:textId="76F7E082" w:rsidR="49BD3AA3" w:rsidRDefault="49BD3AA3" w:rsidP="49BD3AA3">
      <w:pPr>
        <w:spacing w:after="0" w:line="480" w:lineRule="auto"/>
        <w:rPr>
          <w:rFonts w:ascii="Times New Roman" w:eastAsia="Times New Roman" w:hAnsi="Times New Roman" w:cs="Times New Roman"/>
          <w:color w:val="1F1F20"/>
          <w:sz w:val="24"/>
          <w:szCs w:val="24"/>
        </w:rPr>
      </w:pPr>
    </w:p>
    <w:p w14:paraId="3E0180CB" w14:textId="41374AE5" w:rsidR="49BD3AA3" w:rsidRDefault="49BD3AA3" w:rsidP="49BD3AA3">
      <w:pPr>
        <w:spacing w:after="0" w:line="480" w:lineRule="auto"/>
        <w:rPr>
          <w:rFonts w:ascii="Times New Roman" w:eastAsia="Times New Roman" w:hAnsi="Times New Roman" w:cs="Times New Roman"/>
          <w:color w:val="1F1F20"/>
          <w:sz w:val="24"/>
          <w:szCs w:val="24"/>
        </w:rPr>
      </w:pPr>
    </w:p>
    <w:p w14:paraId="0A61AB67" w14:textId="425BB054" w:rsidR="49BD3AA3" w:rsidRDefault="49BD3AA3" w:rsidP="49BD3AA3">
      <w:pPr>
        <w:spacing w:after="0" w:line="480" w:lineRule="auto"/>
        <w:rPr>
          <w:rFonts w:ascii="Times New Roman" w:eastAsia="Times New Roman" w:hAnsi="Times New Roman" w:cs="Times New Roman"/>
          <w:color w:val="1F1F20"/>
          <w:sz w:val="24"/>
          <w:szCs w:val="24"/>
        </w:rPr>
      </w:pPr>
    </w:p>
    <w:p w14:paraId="68409F9F" w14:textId="1DF336E8" w:rsidR="49BD3AA3" w:rsidRDefault="49BD3AA3" w:rsidP="49BD3AA3">
      <w:pPr>
        <w:spacing w:after="0" w:line="480" w:lineRule="auto"/>
        <w:rPr>
          <w:rFonts w:ascii="Times New Roman" w:eastAsia="Times New Roman" w:hAnsi="Times New Roman" w:cs="Times New Roman"/>
          <w:color w:val="1F1F20"/>
          <w:sz w:val="24"/>
          <w:szCs w:val="24"/>
        </w:rPr>
      </w:pPr>
    </w:p>
    <w:p w14:paraId="18237C77" w14:textId="7CDD3DBC" w:rsidR="49BD3AA3" w:rsidRDefault="49BD3AA3" w:rsidP="49BD3AA3">
      <w:pPr>
        <w:spacing w:after="0" w:line="480" w:lineRule="auto"/>
        <w:rPr>
          <w:rFonts w:ascii="Times New Roman" w:eastAsia="Times New Roman" w:hAnsi="Times New Roman" w:cs="Times New Roman"/>
          <w:color w:val="1F1F20"/>
          <w:sz w:val="24"/>
          <w:szCs w:val="24"/>
        </w:rPr>
      </w:pPr>
    </w:p>
    <w:p w14:paraId="57D0BF36" w14:textId="0553D146" w:rsidR="49BD3AA3" w:rsidRDefault="49BD3AA3" w:rsidP="49BD3AA3">
      <w:pPr>
        <w:spacing w:after="0" w:line="480" w:lineRule="auto"/>
        <w:rPr>
          <w:rFonts w:ascii="Times New Roman" w:eastAsia="Times New Roman" w:hAnsi="Times New Roman" w:cs="Times New Roman"/>
          <w:color w:val="1F1F20"/>
          <w:sz w:val="24"/>
          <w:szCs w:val="24"/>
        </w:rPr>
      </w:pPr>
    </w:p>
    <w:p w14:paraId="77E917B7" w14:textId="7E3FB89E" w:rsidR="49BD3AA3" w:rsidRDefault="49BD3AA3" w:rsidP="49BD3AA3">
      <w:pPr>
        <w:spacing w:after="0" w:line="480" w:lineRule="auto"/>
        <w:rPr>
          <w:rFonts w:ascii="Times New Roman" w:eastAsia="Times New Roman" w:hAnsi="Times New Roman" w:cs="Times New Roman"/>
          <w:color w:val="1F1F20"/>
          <w:sz w:val="24"/>
          <w:szCs w:val="24"/>
        </w:rPr>
      </w:pPr>
    </w:p>
    <w:p w14:paraId="2D3BBF4F" w14:textId="054BF802" w:rsidR="49BD3AA3" w:rsidRDefault="49BD3AA3" w:rsidP="49BD3AA3">
      <w:pPr>
        <w:spacing w:after="0" w:line="480" w:lineRule="auto"/>
        <w:rPr>
          <w:rFonts w:ascii="Times New Roman" w:eastAsia="Times New Roman" w:hAnsi="Times New Roman" w:cs="Times New Roman"/>
          <w:color w:val="1F1F20"/>
          <w:sz w:val="24"/>
          <w:szCs w:val="24"/>
        </w:rPr>
      </w:pPr>
    </w:p>
    <w:p w14:paraId="58C0040F" w14:textId="305801A8" w:rsidR="49BD3AA3" w:rsidRDefault="49BD3AA3" w:rsidP="49BD3AA3">
      <w:pPr>
        <w:spacing w:after="0" w:line="480" w:lineRule="auto"/>
        <w:rPr>
          <w:rFonts w:ascii="Times New Roman" w:eastAsia="Times New Roman" w:hAnsi="Times New Roman" w:cs="Times New Roman"/>
          <w:color w:val="1F1F20"/>
          <w:sz w:val="24"/>
          <w:szCs w:val="24"/>
        </w:rPr>
      </w:pPr>
    </w:p>
    <w:p w14:paraId="1EFA3800" w14:textId="38BDCDD6" w:rsidR="49BD3AA3" w:rsidRDefault="49BD3AA3" w:rsidP="49BD3AA3">
      <w:pPr>
        <w:spacing w:after="0" w:line="480" w:lineRule="auto"/>
        <w:rPr>
          <w:rFonts w:ascii="Times New Roman" w:eastAsia="Times New Roman" w:hAnsi="Times New Roman" w:cs="Times New Roman"/>
          <w:color w:val="1F1F20"/>
          <w:sz w:val="24"/>
          <w:szCs w:val="24"/>
        </w:rPr>
      </w:pPr>
    </w:p>
    <w:p w14:paraId="1C02D3CC" w14:textId="38BF4DE4" w:rsidR="49BD3AA3" w:rsidRDefault="49BD3AA3" w:rsidP="49BD3AA3">
      <w:pPr>
        <w:spacing w:after="0" w:line="480" w:lineRule="auto"/>
        <w:rPr>
          <w:rFonts w:ascii="Times New Roman" w:eastAsia="Times New Roman" w:hAnsi="Times New Roman" w:cs="Times New Roman"/>
          <w:color w:val="1F1F20"/>
          <w:sz w:val="24"/>
          <w:szCs w:val="24"/>
        </w:rPr>
      </w:pPr>
    </w:p>
    <w:p w14:paraId="005E42D2" w14:textId="1C104758" w:rsidR="49BD3AA3" w:rsidRDefault="49BD3AA3" w:rsidP="49BD3AA3">
      <w:pPr>
        <w:spacing w:after="0" w:line="480" w:lineRule="auto"/>
        <w:rPr>
          <w:rFonts w:ascii="Times New Roman" w:eastAsia="Times New Roman" w:hAnsi="Times New Roman" w:cs="Times New Roman"/>
          <w:color w:val="1F1F20"/>
          <w:sz w:val="24"/>
          <w:szCs w:val="24"/>
        </w:rPr>
      </w:pPr>
    </w:p>
    <w:p w14:paraId="097D3DF8" w14:textId="6DFC650C" w:rsidR="49BD3AA3" w:rsidRDefault="49BD3AA3" w:rsidP="49BD3AA3">
      <w:pPr>
        <w:spacing w:after="0" w:line="480" w:lineRule="auto"/>
        <w:rPr>
          <w:rFonts w:ascii="Times New Roman" w:eastAsia="Times New Roman" w:hAnsi="Times New Roman" w:cs="Times New Roman"/>
          <w:color w:val="1F1F20"/>
          <w:sz w:val="24"/>
          <w:szCs w:val="24"/>
        </w:rPr>
      </w:pPr>
    </w:p>
    <w:p w14:paraId="5445B71D" w14:textId="77A0FD4A" w:rsidR="6D327CFE" w:rsidRDefault="6D327CFE" w:rsidP="6D327CFE">
      <w:pPr>
        <w:spacing w:after="0" w:line="480" w:lineRule="auto"/>
        <w:rPr>
          <w:rFonts w:ascii="Times New Roman" w:eastAsia="Times New Roman" w:hAnsi="Times New Roman" w:cs="Times New Roman"/>
          <w:color w:val="1F1F20"/>
          <w:sz w:val="24"/>
          <w:szCs w:val="24"/>
        </w:rPr>
      </w:pPr>
    </w:p>
    <w:p w14:paraId="166B2066" w14:textId="19299A63" w:rsidR="6D327CFE" w:rsidRDefault="6D327CFE" w:rsidP="6D327CFE">
      <w:pPr>
        <w:spacing w:after="0" w:line="480" w:lineRule="auto"/>
        <w:rPr>
          <w:rFonts w:ascii="Times New Roman" w:eastAsia="Times New Roman" w:hAnsi="Times New Roman" w:cs="Times New Roman"/>
          <w:sz w:val="24"/>
          <w:szCs w:val="24"/>
        </w:rPr>
      </w:pPr>
    </w:p>
    <w:p w14:paraId="2F2F7B5C" w14:textId="1DF97F3F" w:rsidR="6D327CFE" w:rsidRDefault="6D327CFE" w:rsidP="6D327CFE">
      <w:pPr>
        <w:spacing w:after="0" w:line="480" w:lineRule="auto"/>
        <w:rPr>
          <w:rFonts w:ascii="Times New Roman" w:eastAsia="Times New Roman" w:hAnsi="Times New Roman" w:cs="Times New Roman"/>
          <w:sz w:val="24"/>
          <w:szCs w:val="24"/>
        </w:rPr>
      </w:pPr>
      <w:r w:rsidRPr="6D327CFE">
        <w:rPr>
          <w:rFonts w:ascii="Times New Roman" w:eastAsia="Times New Roman" w:hAnsi="Times New Roman" w:cs="Times New Roman"/>
          <w:sz w:val="24"/>
          <w:szCs w:val="24"/>
        </w:rPr>
        <w:t xml:space="preserve">     </w:t>
      </w:r>
    </w:p>
    <w:p w14:paraId="469CB5CD" w14:textId="354E0DBA" w:rsidR="6D327CFE" w:rsidRDefault="6D327CFE" w:rsidP="6D327CFE">
      <w:pPr>
        <w:spacing w:after="0" w:line="480" w:lineRule="auto"/>
        <w:rPr>
          <w:rFonts w:ascii="Times New Roman" w:eastAsia="Times New Roman" w:hAnsi="Times New Roman" w:cs="Times New Roman"/>
          <w:sz w:val="24"/>
          <w:szCs w:val="24"/>
        </w:rPr>
      </w:pPr>
    </w:p>
    <w:p w14:paraId="443808E9" w14:textId="61C5AAD5" w:rsidR="6D327CFE" w:rsidRDefault="6D327CFE" w:rsidP="6D327CFE">
      <w:pPr>
        <w:spacing w:after="0" w:line="480" w:lineRule="auto"/>
        <w:rPr>
          <w:rFonts w:ascii="Times New Roman" w:eastAsia="Times New Roman" w:hAnsi="Times New Roman" w:cs="Times New Roman"/>
          <w:sz w:val="24"/>
          <w:szCs w:val="24"/>
        </w:rPr>
      </w:pPr>
    </w:p>
    <w:p w14:paraId="23F83E18" w14:textId="77777777" w:rsidR="00153F81" w:rsidRDefault="00153F81" w:rsidP="006B0A3F">
      <w:pPr>
        <w:spacing w:after="0" w:line="480" w:lineRule="auto"/>
      </w:pPr>
    </w:p>
    <w:sectPr w:rsidR="00153F8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41521" w14:textId="77777777" w:rsidR="00E27BA8" w:rsidRDefault="00E27BA8">
      <w:pPr>
        <w:spacing w:after="0" w:line="240" w:lineRule="auto"/>
      </w:pPr>
      <w:r>
        <w:separator/>
      </w:r>
    </w:p>
  </w:endnote>
  <w:endnote w:type="continuationSeparator" w:id="0">
    <w:p w14:paraId="5F62B9DB" w14:textId="77777777" w:rsidR="00E27BA8" w:rsidRDefault="00E27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ebkit-standar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56A8290E" w14:paraId="4183C6F7" w14:textId="77777777" w:rsidTr="56A8290E">
      <w:tc>
        <w:tcPr>
          <w:tcW w:w="3009" w:type="dxa"/>
        </w:tcPr>
        <w:p w14:paraId="51124FE1" w14:textId="17BF11EE" w:rsidR="56A8290E" w:rsidRDefault="56A8290E" w:rsidP="56A8290E">
          <w:pPr>
            <w:pStyle w:val="Header"/>
            <w:ind w:left="-115"/>
          </w:pPr>
          <w:r>
            <w:t>1809488</w:t>
          </w:r>
        </w:p>
      </w:tc>
      <w:tc>
        <w:tcPr>
          <w:tcW w:w="3009" w:type="dxa"/>
        </w:tcPr>
        <w:p w14:paraId="3E224CE8" w14:textId="3EF63056" w:rsidR="56A8290E" w:rsidRDefault="56A8290E" w:rsidP="56A8290E">
          <w:pPr>
            <w:pStyle w:val="Header"/>
            <w:jc w:val="center"/>
          </w:pPr>
        </w:p>
      </w:tc>
      <w:tc>
        <w:tcPr>
          <w:tcW w:w="3009" w:type="dxa"/>
        </w:tcPr>
        <w:p w14:paraId="4765128F" w14:textId="67A60AE0" w:rsidR="56A8290E" w:rsidRDefault="56A8290E" w:rsidP="56A8290E">
          <w:pPr>
            <w:pStyle w:val="Header"/>
            <w:ind w:right="-115"/>
            <w:jc w:val="right"/>
          </w:pPr>
        </w:p>
      </w:tc>
    </w:tr>
  </w:tbl>
  <w:p w14:paraId="59D74031" w14:textId="61224D00" w:rsidR="56A8290E" w:rsidRDefault="56A8290E" w:rsidP="56A8290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6BA57" w14:textId="77777777" w:rsidR="00E27BA8" w:rsidRDefault="00E27BA8">
      <w:pPr>
        <w:spacing w:after="0" w:line="240" w:lineRule="auto"/>
      </w:pPr>
      <w:r>
        <w:separator/>
      </w:r>
    </w:p>
  </w:footnote>
  <w:footnote w:type="continuationSeparator" w:id="0">
    <w:p w14:paraId="495E11FD" w14:textId="77777777" w:rsidR="00E27BA8" w:rsidRDefault="00E27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147413"/>
      <w:docPartObj>
        <w:docPartGallery w:val="Page Numbers (Top of Page)"/>
        <w:docPartUnique/>
      </w:docPartObj>
    </w:sdtPr>
    <w:sdtEndPr>
      <w:rPr>
        <w:noProof/>
      </w:rPr>
    </w:sdtEndPr>
    <w:sdtContent>
      <w:p w14:paraId="11A0BAAB" w14:textId="0ABC7941" w:rsidR="003F767E" w:rsidRDefault="003F767E">
        <w:pPr>
          <w:pStyle w:val="Header"/>
          <w:jc w:val="right"/>
        </w:pPr>
        <w:r>
          <w:fldChar w:fldCharType="begin"/>
        </w:r>
        <w:r>
          <w:instrText xml:space="preserve"> PAGE   \* MERGEFORMAT </w:instrText>
        </w:r>
        <w:r>
          <w:fldChar w:fldCharType="separate"/>
        </w:r>
        <w:r w:rsidR="004C0E93">
          <w:rPr>
            <w:noProof/>
          </w:rPr>
          <w:t>9</w:t>
        </w:r>
        <w:r>
          <w:rPr>
            <w:noProof/>
          </w:rPr>
          <w:fldChar w:fldCharType="end"/>
        </w:r>
      </w:p>
    </w:sdtContent>
  </w:sdt>
  <w:p w14:paraId="0446F617" w14:textId="26F9E1FC" w:rsidR="56A8290E" w:rsidRDefault="56A8290E" w:rsidP="56A829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A3F"/>
    <w:rsid w:val="000411D4"/>
    <w:rsid w:val="00153F81"/>
    <w:rsid w:val="0018565F"/>
    <w:rsid w:val="002C4FC2"/>
    <w:rsid w:val="003F767E"/>
    <w:rsid w:val="004C0E93"/>
    <w:rsid w:val="0052495B"/>
    <w:rsid w:val="00595297"/>
    <w:rsid w:val="005B2414"/>
    <w:rsid w:val="006019D6"/>
    <w:rsid w:val="006B0A3F"/>
    <w:rsid w:val="00747565"/>
    <w:rsid w:val="007F7365"/>
    <w:rsid w:val="00835BA3"/>
    <w:rsid w:val="00836A37"/>
    <w:rsid w:val="00972D2F"/>
    <w:rsid w:val="00987578"/>
    <w:rsid w:val="009A3BE0"/>
    <w:rsid w:val="009D3255"/>
    <w:rsid w:val="009E5726"/>
    <w:rsid w:val="00A150BE"/>
    <w:rsid w:val="00A53646"/>
    <w:rsid w:val="00B55F99"/>
    <w:rsid w:val="00B6483D"/>
    <w:rsid w:val="00C058D9"/>
    <w:rsid w:val="00D60581"/>
    <w:rsid w:val="00D928D2"/>
    <w:rsid w:val="00DA1923"/>
    <w:rsid w:val="00E27BA8"/>
    <w:rsid w:val="00E34774"/>
    <w:rsid w:val="00E751B8"/>
    <w:rsid w:val="00E91BE6"/>
    <w:rsid w:val="00EE11E4"/>
    <w:rsid w:val="00F2152F"/>
    <w:rsid w:val="3031EFE8"/>
    <w:rsid w:val="49BD3AA3"/>
    <w:rsid w:val="4E3C7050"/>
    <w:rsid w:val="56A8290E"/>
    <w:rsid w:val="6D32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12E7"/>
  <w15:chartTrackingRefBased/>
  <w15:docId w15:val="{12D9D13B-037D-4E6B-A185-41F4C8F24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A3F"/>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411D4"/>
    <w:rPr>
      <w:b/>
      <w:bCs/>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56574">
      <w:bodyDiv w:val="1"/>
      <w:marLeft w:val="0"/>
      <w:marRight w:val="0"/>
      <w:marTop w:val="0"/>
      <w:marBottom w:val="0"/>
      <w:divBdr>
        <w:top w:val="none" w:sz="0" w:space="0" w:color="auto"/>
        <w:left w:val="none" w:sz="0" w:space="0" w:color="auto"/>
        <w:bottom w:val="none" w:sz="0" w:space="0" w:color="auto"/>
        <w:right w:val="none" w:sz="0" w:space="0" w:color="auto"/>
      </w:divBdr>
    </w:div>
    <w:div w:id="371924949">
      <w:bodyDiv w:val="1"/>
      <w:marLeft w:val="0"/>
      <w:marRight w:val="0"/>
      <w:marTop w:val="0"/>
      <w:marBottom w:val="0"/>
      <w:divBdr>
        <w:top w:val="none" w:sz="0" w:space="0" w:color="auto"/>
        <w:left w:val="none" w:sz="0" w:space="0" w:color="auto"/>
        <w:bottom w:val="none" w:sz="0" w:space="0" w:color="auto"/>
        <w:right w:val="none" w:sz="0" w:space="0" w:color="auto"/>
      </w:divBdr>
    </w:div>
    <w:div w:id="1034770844">
      <w:bodyDiv w:val="1"/>
      <w:marLeft w:val="0"/>
      <w:marRight w:val="0"/>
      <w:marTop w:val="0"/>
      <w:marBottom w:val="0"/>
      <w:divBdr>
        <w:top w:val="none" w:sz="0" w:space="0" w:color="auto"/>
        <w:left w:val="none" w:sz="0" w:space="0" w:color="auto"/>
        <w:bottom w:val="none" w:sz="0" w:space="0" w:color="auto"/>
        <w:right w:val="none" w:sz="0" w:space="0" w:color="auto"/>
      </w:divBdr>
    </w:div>
    <w:div w:id="1205407940">
      <w:bodyDiv w:val="1"/>
      <w:marLeft w:val="0"/>
      <w:marRight w:val="0"/>
      <w:marTop w:val="0"/>
      <w:marBottom w:val="0"/>
      <w:divBdr>
        <w:top w:val="none" w:sz="0" w:space="0" w:color="auto"/>
        <w:left w:val="none" w:sz="0" w:space="0" w:color="auto"/>
        <w:bottom w:val="none" w:sz="0" w:space="0" w:color="auto"/>
        <w:right w:val="none" w:sz="0" w:space="0" w:color="auto"/>
      </w:divBdr>
    </w:div>
    <w:div w:id="182905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pollo" TargetMode="External"/><Relationship Id="rId13" Type="http://schemas.openxmlformats.org/officeDocument/2006/relationships/hyperlink" Target="https://www.gov.uk/search?q=gdp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acp.co.uk/events-and-resources/ethics-and-standards/ethical-framework-for-the-counselling-professi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Panace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n.wikipedia.org/wiki/Hygieia" TargetMode="External"/><Relationship Id="rId4" Type="http://schemas.openxmlformats.org/officeDocument/2006/relationships/webSettings" Target="webSettings.xml"/><Relationship Id="rId9" Type="http://schemas.openxmlformats.org/officeDocument/2006/relationships/hyperlink" Target="https://en.wikipedia.org/wiki/Asclepiu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Tim93</b:Tag>
    <b:SourceType>Book</b:SourceType>
    <b:Guid>{92EE83EE-A7AD-4D03-8533-181249531E42}</b:Guid>
    <b:Author>
      <b:Author>
        <b:NameList>
          <b:Person>
            <b:Last>Bond</b:Last>
            <b:First>Tim</b:First>
          </b:Person>
        </b:NameList>
      </b:Author>
    </b:Author>
    <b:Title>Standards and Ethics for Counselling in Action</b:Title>
    <b:Year>1993</b:Year>
    <b:City>London</b:City>
    <b:Publisher>Sage</b:Publisher>
    <b:Edition>4th</b:Edition>
    <b:RefOrder>1</b:RefOrder>
  </b:Source>
  <b:Source>
    <b:Tag>Ric03</b:Tag>
    <b:SourceType>Book</b:SourceType>
    <b:Guid>{F56AF276-0028-426D-B0AA-7C39B20CD425}</b:Guid>
    <b:Author>
      <b:Author>
        <b:NameList>
          <b:Person>
            <b:Last>Richard</b:Last>
          </b:Person>
        </b:NameList>
      </b:Author>
    </b:Author>
    <b:Title>Basic Counselling Skills</b:Title>
    <b:Year>2003</b:Year>
    <b:City>London</b:City>
    <b:Publisher>Sage</b:Publisher>
    <b:Edition>4th</b:Edition>
    <b:RefOrder>2</b:RefOrder>
  </b:Source>
</b:Sources>
</file>

<file path=customXml/itemProps1.xml><?xml version="1.0" encoding="utf-8"?>
<ds:datastoreItem xmlns:ds="http://schemas.openxmlformats.org/officeDocument/2006/customXml" ds:itemID="{2AC1889A-C00D-4CE9-BBC1-372B1F002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1752</Words>
  <Characters>9990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3</cp:revision>
  <dcterms:created xsi:type="dcterms:W3CDTF">2018-11-26T11:15:00Z</dcterms:created>
  <dcterms:modified xsi:type="dcterms:W3CDTF">2018-11-26T11:29:00Z</dcterms:modified>
</cp:coreProperties>
</file>