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autoSpaceDE w:val="0"/>
        <w:autoSpaceDN w:val="0"/>
        <w:adjustRightInd w:val="0"/>
        <w:spacing w:after="160" w:line="259" w:lineRule="auto"/>
        <w:jc w:val="center"/>
        <w:rPr>
          <w:rFonts w:hint="default" w:hAnsi="Verdana" w:eastAsia="宋体" w:cs="Calibri" w:asciiTheme="minorAscii"/>
          <w:b/>
          <w:caps/>
          <w:color w:val="0000FF"/>
          <w:kern w:val="0"/>
          <w:sz w:val="52"/>
          <w:szCs w:val="52"/>
          <w:lang w:val="en-US" w:eastAsia="zh-CN"/>
        </w:rPr>
      </w:pPr>
      <w:r>
        <w:rPr>
          <w:rFonts w:hAnsi="Verdana" w:eastAsia="Calibri" w:cs="Calibri" w:asciiTheme="minorAscii"/>
          <w:b/>
          <w:i/>
          <w:kern w:val="0"/>
          <w:sz w:val="52"/>
          <w:szCs w:val="52"/>
          <w:lang w:val="en-GB" w:eastAsia="en-US"/>
        </w:rPr>
        <w:t xml:space="preserve"> Strategic Management Assignment 1</w:t>
      </w:r>
      <w:r>
        <w:rPr>
          <w:rFonts w:hint="eastAsia" w:hAnsi="Verdana" w:eastAsia="宋体" w:cs="Calibri" w:asciiTheme="minorAscii"/>
          <w:b/>
          <w:i/>
          <w:kern w:val="0"/>
          <w:sz w:val="52"/>
          <w:szCs w:val="52"/>
          <w:lang w:val="en-US" w:eastAsia="zh-CN"/>
        </w:rPr>
        <w:t xml:space="preserve"> </w:t>
      </w:r>
      <w:r>
        <w:rPr>
          <w:rFonts w:hAnsi="Verdana" w:eastAsia="Calibri" w:cs="Calibri" w:asciiTheme="minorAscii"/>
          <w:b/>
          <w:i/>
          <w:kern w:val="0"/>
          <w:sz w:val="52"/>
          <w:szCs w:val="52"/>
          <w:lang w:val="en-GB" w:eastAsia="en-US"/>
        </w:rPr>
        <w:t>201</w:t>
      </w:r>
      <w:r>
        <w:rPr>
          <w:rFonts w:hint="eastAsia" w:hAnsi="Verdana" w:eastAsia="宋体" w:cs="Calibri" w:asciiTheme="minorAscii"/>
          <w:b/>
          <w:i/>
          <w:kern w:val="0"/>
          <w:sz w:val="52"/>
          <w:szCs w:val="52"/>
          <w:lang w:val="en-US" w:eastAsia="zh-CN"/>
        </w:rPr>
        <w:t>9</w:t>
      </w:r>
      <w:r>
        <w:rPr>
          <w:rFonts w:hAnsi="Verdana" w:eastAsia="Calibri" w:cs="Calibri" w:asciiTheme="minorAscii"/>
          <w:b/>
          <w:i/>
          <w:kern w:val="0"/>
          <w:sz w:val="52"/>
          <w:szCs w:val="52"/>
          <w:lang w:val="en-GB" w:eastAsia="en-US"/>
        </w:rPr>
        <w:t xml:space="preserve"> – </w:t>
      </w:r>
      <w:r>
        <w:rPr>
          <w:rFonts w:hint="eastAsia" w:hAnsi="Verdana" w:cs="Calibri" w:asciiTheme="minorAscii"/>
          <w:b/>
          <w:i/>
          <w:kern w:val="0"/>
          <w:sz w:val="52"/>
          <w:szCs w:val="52"/>
          <w:lang w:val="en-US" w:eastAsia="zh-CN"/>
        </w:rPr>
        <w:t>A</w:t>
      </w:r>
      <w:r>
        <w:rPr>
          <w:rFonts w:hint="eastAsia" w:hAnsi="Verdana" w:eastAsia="宋体" w:cs="Calibri" w:asciiTheme="minorAscii"/>
          <w:b/>
          <w:i/>
          <w:color w:val="auto"/>
          <w:kern w:val="0"/>
          <w:sz w:val="52"/>
          <w:szCs w:val="52"/>
          <w:lang w:val="en-US" w:eastAsia="zh-CN"/>
        </w:rPr>
        <w:t xml:space="preserve">nalyze and Research strategies used by LIDL </w:t>
      </w:r>
    </w:p>
    <w:p>
      <w:pPr>
        <w:widowControl/>
        <w:autoSpaceDE w:val="0"/>
        <w:autoSpaceDN w:val="0"/>
        <w:adjustRightInd w:val="0"/>
        <w:spacing w:after="160" w:line="259" w:lineRule="auto"/>
        <w:jc w:val="left"/>
        <w:rPr>
          <w:rFonts w:ascii="Verdana" w:hAnsi="Verdana" w:eastAsia="Calibri" w:cs="Calibri"/>
          <w:b/>
          <w:caps/>
          <w:kern w:val="0"/>
          <w:sz w:val="18"/>
          <w:szCs w:val="18"/>
          <w:lang w:val="en-GB" w:eastAsia="en-US"/>
        </w:rPr>
      </w:pPr>
    </w:p>
    <w:p>
      <w:pPr>
        <w:widowControl/>
        <w:autoSpaceDE w:val="0"/>
        <w:autoSpaceDN w:val="0"/>
        <w:adjustRightInd w:val="0"/>
        <w:spacing w:after="160" w:line="259" w:lineRule="auto"/>
        <w:jc w:val="center"/>
        <w:rPr>
          <w:rFonts w:ascii="Verdana" w:hAnsi="Verdana" w:eastAsia="Calibri" w:cs="Calibri"/>
          <w:b/>
          <w:caps/>
          <w:kern w:val="0"/>
          <w:sz w:val="18"/>
          <w:szCs w:val="18"/>
          <w:lang w:val="en-GB" w:eastAsia="en-US"/>
        </w:rPr>
      </w:pPr>
      <w:r>
        <w:rPr>
          <w:rFonts w:ascii="Calibri" w:hAnsi="Calibri" w:eastAsia="Calibri" w:cs="Calibri"/>
          <w:b w:val="0"/>
          <w:kern w:val="0"/>
          <w:sz w:val="22"/>
          <w:szCs w:val="22"/>
          <w:lang w:val="en-GB" w:eastAsia="en-GB"/>
        </w:rPr>
        <w:drawing>
          <wp:inline distT="0" distB="0" distL="0" distR="0">
            <wp:extent cx="2860040" cy="3172460"/>
            <wp:effectExtent l="0" t="0" r="1651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widowControl/>
        <w:autoSpaceDE w:val="0"/>
        <w:autoSpaceDN w:val="0"/>
        <w:adjustRightInd w:val="0"/>
        <w:spacing w:after="160" w:line="259" w:lineRule="auto"/>
        <w:jc w:val="left"/>
        <w:rPr>
          <w:rFonts w:ascii="Verdana" w:hAnsi="Verdana" w:eastAsia="Calibri" w:cs="Calibri"/>
          <w:b/>
          <w:caps/>
          <w:kern w:val="0"/>
          <w:sz w:val="18"/>
          <w:szCs w:val="18"/>
          <w:lang w:val="en-GB" w:eastAsia="en-US"/>
        </w:rPr>
      </w:pPr>
    </w:p>
    <w:p>
      <w:pPr>
        <w:widowControl/>
        <w:autoSpaceDE w:val="0"/>
        <w:autoSpaceDN w:val="0"/>
        <w:adjustRightInd w:val="0"/>
        <w:spacing w:after="160" w:line="259" w:lineRule="auto"/>
        <w:jc w:val="center"/>
        <w:rPr>
          <w:rFonts w:hint="eastAsia" w:ascii="Verdana" w:hAnsi="Verdana" w:eastAsia="宋体" w:cs="Calibri"/>
          <w:b/>
          <w:kern w:val="0"/>
          <w:sz w:val="44"/>
          <w:szCs w:val="22"/>
          <w:lang w:val="en-US" w:eastAsia="zh-CN"/>
        </w:rPr>
      </w:pPr>
      <w:r>
        <w:rPr>
          <w:rFonts w:hint="eastAsia" w:ascii="Verdana" w:hAnsi="Verdana" w:eastAsia="宋体" w:cs="Calibri"/>
          <w:b/>
          <w:kern w:val="0"/>
          <w:sz w:val="44"/>
          <w:szCs w:val="22"/>
          <w:lang w:val="en-US" w:eastAsia="zh-CN"/>
        </w:rPr>
        <w:t>November</w:t>
      </w:r>
      <w:r>
        <w:rPr>
          <w:rFonts w:ascii="Verdana" w:hAnsi="Verdana" w:eastAsia="Calibri" w:cs="Calibri"/>
          <w:b/>
          <w:kern w:val="0"/>
          <w:sz w:val="44"/>
          <w:szCs w:val="22"/>
          <w:lang w:val="en-GB" w:eastAsia="en-US"/>
        </w:rPr>
        <w:t xml:space="preserve"> 201</w:t>
      </w:r>
      <w:r>
        <w:rPr>
          <w:rFonts w:hint="eastAsia" w:ascii="Verdana" w:hAnsi="Verdana" w:eastAsia="宋体" w:cs="Calibri"/>
          <w:b/>
          <w:kern w:val="0"/>
          <w:sz w:val="44"/>
          <w:szCs w:val="22"/>
          <w:lang w:val="en-US" w:eastAsia="zh-CN"/>
        </w:rPr>
        <w:t>9</w:t>
      </w:r>
    </w:p>
    <w:p>
      <w:pPr>
        <w:widowControl/>
        <w:autoSpaceDE w:val="0"/>
        <w:autoSpaceDN w:val="0"/>
        <w:adjustRightInd w:val="0"/>
        <w:spacing w:after="160" w:line="259" w:lineRule="auto"/>
        <w:jc w:val="left"/>
        <w:rPr>
          <w:rFonts w:hAnsi="Verdana" w:eastAsia="Calibri" w:cs="Calibri" w:asciiTheme="majorAscii"/>
          <w:b/>
          <w:caps/>
          <w:kern w:val="0"/>
          <w:sz w:val="24"/>
          <w:szCs w:val="24"/>
          <w:lang w:val="en-GB" w:eastAsia="en-US"/>
        </w:rPr>
      </w:pPr>
    </w:p>
    <w:p>
      <w:pPr>
        <w:widowControl/>
        <w:autoSpaceDE w:val="0"/>
        <w:autoSpaceDN w:val="0"/>
        <w:adjustRightInd w:val="0"/>
        <w:spacing w:after="160" w:line="259" w:lineRule="auto"/>
        <w:jc w:val="left"/>
        <w:rPr>
          <w:rFonts w:hint="eastAsia" w:hAnsi="Verdana" w:eastAsia="宋体" w:cs="Calibri" w:asciiTheme="majorAscii"/>
          <w:b/>
          <w:caps/>
          <w:kern w:val="0"/>
          <w:sz w:val="24"/>
          <w:szCs w:val="24"/>
          <w:lang w:val="en-US" w:eastAsia="zh-CN"/>
        </w:rPr>
      </w:pPr>
      <w:r>
        <w:rPr>
          <w:rFonts w:hAnsi="Verdana" w:eastAsia="Calibri" w:cs="Calibri" w:asciiTheme="majorAscii"/>
          <w:b/>
          <w:caps/>
          <w:kern w:val="0"/>
          <w:sz w:val="24"/>
          <w:szCs w:val="24"/>
          <w:lang w:val="en-GB" w:eastAsia="en-US"/>
        </w:rPr>
        <w:t>MODULE NAME:</w:t>
      </w:r>
      <w:r>
        <w:rPr>
          <w:rFonts w:hAnsi="Verdana" w:eastAsia="Calibri" w:cs="Calibri" w:asciiTheme="majorAscii"/>
          <w:b/>
          <w:caps/>
          <w:kern w:val="0"/>
          <w:sz w:val="24"/>
          <w:szCs w:val="24"/>
          <w:lang w:val="en-GB" w:eastAsia="en-US"/>
        </w:rPr>
        <w:tab/>
      </w:r>
      <w:r>
        <w:rPr>
          <w:rFonts w:hAnsi="Verdana" w:eastAsia="Calibri" w:cs="Calibri" w:asciiTheme="majorAscii"/>
          <w:b/>
          <w:caps/>
          <w:kern w:val="0"/>
          <w:sz w:val="24"/>
          <w:szCs w:val="24"/>
          <w:lang w:val="en-GB" w:eastAsia="en-US"/>
        </w:rPr>
        <w:tab/>
      </w:r>
      <w:r>
        <w:rPr>
          <w:rFonts w:hAnsi="Calibri" w:cs="Arial" w:asciiTheme="majorAscii"/>
          <w:b/>
          <w:sz w:val="24"/>
          <w:szCs w:val="24"/>
        </w:rPr>
        <w:t>Strategic Management and Sustainability</w:t>
      </w:r>
      <w:r>
        <w:rPr>
          <w:rFonts w:hint="eastAsia" w:hAnsi="Calibri" w:eastAsia="宋体" w:cs="Arial" w:asciiTheme="majorAscii"/>
          <w:b/>
          <w:sz w:val="24"/>
          <w:szCs w:val="24"/>
          <w:lang w:val="en-US" w:eastAsia="zh-CN"/>
        </w:rPr>
        <w:t xml:space="preserve"> </w:t>
      </w:r>
      <w:r>
        <w:rPr>
          <w:rFonts w:hAnsi="Calibri" w:cs="Arial" w:asciiTheme="majorAscii"/>
          <w:b/>
          <w:sz w:val="24"/>
          <w:szCs w:val="24"/>
        </w:rPr>
        <w:t>M3X9111</w:t>
      </w:r>
    </w:p>
    <w:p>
      <w:pPr>
        <w:widowControl/>
        <w:autoSpaceDE w:val="0"/>
        <w:autoSpaceDN w:val="0"/>
        <w:adjustRightInd w:val="0"/>
        <w:spacing w:after="160" w:line="259" w:lineRule="auto"/>
        <w:jc w:val="left"/>
        <w:rPr>
          <w:rFonts w:hint="eastAsia" w:hAnsi="Verdana" w:cs="Calibri" w:asciiTheme="majorAscii"/>
          <w:b/>
          <w:caps/>
          <w:color w:val="auto"/>
          <w:kern w:val="0"/>
          <w:sz w:val="24"/>
          <w:szCs w:val="24"/>
          <w:lang w:val="en-US" w:eastAsia="zh-CN"/>
        </w:rPr>
      </w:pPr>
      <w:r>
        <w:rPr>
          <w:rFonts w:hAnsi="Verdana" w:eastAsia="Calibri" w:cs="Calibri" w:asciiTheme="majorAscii"/>
          <w:b/>
          <w:caps/>
          <w:kern w:val="0"/>
          <w:sz w:val="24"/>
          <w:szCs w:val="24"/>
          <w:lang w:val="en-GB" w:eastAsia="en-US"/>
        </w:rPr>
        <w:t>Name:</w:t>
      </w:r>
      <w:r>
        <w:rPr>
          <w:rFonts w:hAnsi="Verdana" w:eastAsia="Calibri" w:cs="Calibri" w:asciiTheme="majorAscii"/>
          <w:b/>
          <w:caps/>
          <w:kern w:val="0"/>
          <w:sz w:val="24"/>
          <w:szCs w:val="24"/>
          <w:lang w:val="en-GB" w:eastAsia="en-US"/>
        </w:rPr>
        <w:tab/>
      </w:r>
      <w:r>
        <w:rPr>
          <w:rFonts w:hAnsi="Verdana" w:eastAsia="Calibri" w:cs="Calibri" w:asciiTheme="majorAscii"/>
          <w:b/>
          <w:caps/>
          <w:kern w:val="0"/>
          <w:sz w:val="24"/>
          <w:szCs w:val="24"/>
          <w:lang w:val="en-GB" w:eastAsia="en-US"/>
        </w:rPr>
        <w:tab/>
      </w:r>
      <w:r>
        <w:rPr>
          <w:rFonts w:hAnsi="Verdana" w:eastAsia="Calibri" w:cs="Calibri" w:asciiTheme="majorAscii"/>
          <w:b/>
          <w:caps/>
          <w:kern w:val="0"/>
          <w:sz w:val="24"/>
          <w:szCs w:val="24"/>
          <w:lang w:val="en-GB" w:eastAsia="en-US"/>
        </w:rPr>
        <w:tab/>
      </w:r>
      <w:r>
        <w:rPr>
          <w:rFonts w:hAnsi="Verdana" w:eastAsia="Calibri" w:cs="Calibri" w:asciiTheme="majorAscii"/>
          <w:b/>
          <w:caps/>
          <w:kern w:val="0"/>
          <w:sz w:val="24"/>
          <w:szCs w:val="24"/>
          <w:lang w:val="en-GB" w:eastAsia="en-US"/>
        </w:rPr>
        <w:tab/>
      </w:r>
      <w:r>
        <w:rPr>
          <w:rFonts w:hint="eastAsia" w:hAnsi="Verdana" w:cs="Calibri" w:asciiTheme="majorAscii"/>
          <w:b/>
          <w:caps/>
          <w:kern w:val="0"/>
          <w:sz w:val="24"/>
          <w:szCs w:val="24"/>
          <w:lang w:val="en-US" w:eastAsia="zh-CN"/>
        </w:rPr>
        <w:t xml:space="preserve">   </w:t>
      </w:r>
      <w:r>
        <w:rPr>
          <w:rFonts w:hint="eastAsia" w:hAnsi="Verdana" w:cs="Calibri" w:asciiTheme="majorAscii"/>
          <w:b/>
          <w:caps/>
          <w:color w:val="auto"/>
          <w:kern w:val="0"/>
          <w:sz w:val="24"/>
          <w:szCs w:val="24"/>
          <w:lang w:val="en-US" w:eastAsia="zh-CN"/>
        </w:rPr>
        <w:t>MINGFEI XIE</w:t>
      </w:r>
    </w:p>
    <w:p>
      <w:pPr>
        <w:widowControl/>
        <w:autoSpaceDE w:val="0"/>
        <w:autoSpaceDN w:val="0"/>
        <w:adjustRightInd w:val="0"/>
        <w:spacing w:after="160" w:line="259" w:lineRule="auto"/>
        <w:jc w:val="left"/>
        <w:rPr>
          <w:rFonts w:hint="default"/>
          <w:lang w:val="en-US" w:eastAsia="zh-CN"/>
        </w:rPr>
      </w:pPr>
      <w:r>
        <w:rPr>
          <w:rFonts w:hAnsi="Verdana" w:eastAsia="Calibri" w:cs="Calibri" w:asciiTheme="majorAscii"/>
          <w:b/>
          <w:caps/>
          <w:color w:val="auto"/>
          <w:kern w:val="0"/>
          <w:sz w:val="24"/>
          <w:szCs w:val="24"/>
          <w:lang w:val="en-GB" w:eastAsia="en-US"/>
        </w:rPr>
        <w:t>Student Number:</w:t>
      </w:r>
      <w:r>
        <w:rPr>
          <w:rFonts w:hAnsi="Verdana" w:eastAsia="Calibri" w:cs="Calibri" w:asciiTheme="majorAscii"/>
          <w:b/>
          <w:caps/>
          <w:color w:val="auto"/>
          <w:kern w:val="0"/>
          <w:sz w:val="24"/>
          <w:szCs w:val="24"/>
          <w:lang w:val="en-GB" w:eastAsia="en-US"/>
        </w:rPr>
        <w:tab/>
      </w:r>
      <w:r>
        <w:rPr>
          <w:rFonts w:hint="eastAsia" w:hAnsi="Verdana" w:eastAsia="宋体" w:cs="Calibri" w:asciiTheme="majorAscii"/>
          <w:b/>
          <w:caps/>
          <w:color w:val="auto"/>
          <w:kern w:val="0"/>
          <w:sz w:val="24"/>
          <w:szCs w:val="24"/>
          <w:lang w:val="en-US" w:eastAsia="zh-CN"/>
        </w:rPr>
        <w:t>190</w:t>
      </w:r>
      <w:r>
        <w:rPr>
          <w:rFonts w:hint="eastAsia" w:hAnsi="Verdana" w:cs="Calibri" w:asciiTheme="majorAscii"/>
          <w:b/>
          <w:caps/>
          <w:color w:val="auto"/>
          <w:kern w:val="0"/>
          <w:sz w:val="24"/>
          <w:szCs w:val="24"/>
          <w:lang w:val="en-US" w:eastAsia="zh-CN"/>
        </w:rPr>
        <w:t>3731</w:t>
      </w:r>
    </w:p>
    <w:p>
      <w:pPr>
        <w:numPr>
          <w:ilvl w:val="0"/>
          <w:numId w:val="0"/>
        </w:numPr>
        <w:spacing w:beforeLines="0" w:after="200" w:afterLines="0" w:line="276" w:lineRule="auto"/>
        <w:jc w:val="left"/>
        <w:rPr>
          <w:rFonts w:hint="eastAsia" w:hAnsi="宋体" w:eastAsia="宋体" w:asciiTheme="minorAscii" w:cstheme="minorBidi"/>
          <w:kern w:val="2"/>
          <w:sz w:val="28"/>
          <w:szCs w:val="28"/>
          <w:lang w:val="en-US" w:eastAsia="zh-CN" w:bidi="ar-SA"/>
        </w:rPr>
      </w:pPr>
    </w:p>
    <w:p>
      <w:pPr>
        <w:numPr>
          <w:ilvl w:val="0"/>
          <w:numId w:val="0"/>
        </w:numPr>
        <w:spacing w:beforeLines="0" w:after="200" w:afterLines="0" w:line="276" w:lineRule="auto"/>
        <w:ind w:leftChars="0" w:firstLine="2520" w:firstLineChars="900"/>
        <w:jc w:val="left"/>
        <w:rPr>
          <w:rFonts w:hint="eastAsia" w:hAnsi="宋体" w:eastAsia="宋体" w:asciiTheme="minorAscii" w:cstheme="minorBidi"/>
          <w:kern w:val="2"/>
          <w:sz w:val="28"/>
          <w:szCs w:val="28"/>
          <w:lang w:val="en-US" w:eastAsia="zh-CN" w:bidi="ar-SA"/>
        </w:rPr>
      </w:pPr>
    </w:p>
    <w:p>
      <w:pPr>
        <w:numPr>
          <w:ilvl w:val="0"/>
          <w:numId w:val="0"/>
        </w:numPr>
        <w:spacing w:beforeLines="0" w:after="200" w:afterLines="0" w:line="276" w:lineRule="auto"/>
        <w:ind w:firstLine="2400" w:firstLineChars="1000"/>
        <w:jc w:val="left"/>
        <w:rPr>
          <w:rFonts w:hint="default" w:ascii="Times New Roman" w:hAnsi="Times New Roman" w:eastAsia="宋体" w:cs="Times New Roman"/>
          <w:kern w:val="2"/>
          <w:sz w:val="24"/>
          <w:szCs w:val="24"/>
          <w:lang w:val="en-US" w:eastAsia="zh-CN" w:bidi="ar-SA"/>
        </w:rPr>
        <w:sectPr>
          <w:pgSz w:w="11906" w:h="16838"/>
          <w:pgMar w:top="1440" w:right="1800" w:bottom="1440" w:left="1800" w:header="851" w:footer="992" w:gutter="0"/>
          <w:pgNumType w:fmt="decimal"/>
          <w:cols w:space="720" w:num="1"/>
          <w:docGrid w:type="lines" w:linePitch="312" w:charSpace="0"/>
        </w:sectPr>
      </w:pPr>
    </w:p>
    <w:p>
      <w:pPr>
        <w:numPr>
          <w:ilvl w:val="0"/>
          <w:numId w:val="0"/>
        </w:numPr>
        <w:spacing w:beforeLines="0" w:after="200" w:afterLines="0" w:line="276" w:lineRule="auto"/>
        <w:ind w:firstLine="2400" w:firstLineChars="1000"/>
        <w:jc w:val="left"/>
        <w:rPr>
          <w:rFonts w:hint="default" w:ascii="Times New Roman" w:hAnsi="Times New Roman" w:cs="Times New Roman"/>
          <w:b/>
          <w:bCs/>
          <w:sz w:val="24"/>
          <w:szCs w:val="24"/>
          <w:lang w:val="en-US" w:eastAsia="zh-CN"/>
        </w:rPr>
      </w:pPr>
      <w:r>
        <w:rPr>
          <w:rFonts w:hint="default" w:ascii="Times New Roman" w:hAnsi="Times New Roman" w:eastAsia="宋体" w:cs="Times New Roman"/>
          <w:kern w:val="2"/>
          <w:sz w:val="24"/>
          <w:szCs w:val="24"/>
          <w:lang w:val="en-US" w:eastAsia="zh-CN" w:bidi="ar-SA"/>
        </w:rPr>
        <w:t>TABLE OF CONTENTS</w:t>
      </w:r>
      <w:r>
        <w:rPr>
          <w:rFonts w:hint="default" w:ascii="Times New Roman" w:hAnsi="Times New Roman" w:cs="Times New Roman"/>
          <w:kern w:val="2"/>
          <w:sz w:val="24"/>
          <w:szCs w:val="24"/>
          <w:lang w:val="en-US" w:eastAsia="zh-CN" w:bidi="ar-SA"/>
        </w:rPr>
        <w:t xml:space="preserve">  </w:t>
      </w:r>
    </w:p>
    <w:p>
      <w:pPr>
        <w:widowControl w:val="0"/>
        <w:numPr>
          <w:ilvl w:val="0"/>
          <w:numId w:val="0"/>
        </w:numPr>
        <w:spacing w:beforeLines="0" w:after="200" w:afterLines="0" w:line="276" w:lineRule="auto"/>
        <w:jc w:val="left"/>
        <w:rPr>
          <w:rFonts w:hint="default" w:ascii="Times New Roman" w:hAnsi="Times New Roman" w:cs="Times New Roman"/>
          <w:b/>
          <w:bCs/>
          <w:sz w:val="24"/>
          <w:szCs w:val="24"/>
          <w:lang w:val="en-US" w:eastAsia="zh-CN"/>
        </w:rPr>
      </w:pPr>
    </w:p>
    <w:p>
      <w:pPr>
        <w:pStyle w:val="11"/>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_Toc5818_WPSOffice_Level1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8f029b22-e171-4ea5-a1c5-5c3848bb15f5}"/>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 xml:space="preserve">1. </w:t>
          </w:r>
          <w:r>
            <w:rPr>
              <w:rFonts w:hint="eastAsia" w:eastAsia="宋体" w:cs="Times New Roman"/>
              <w:sz w:val="24"/>
              <w:szCs w:val="24"/>
              <w:lang w:val="en-US" w:eastAsia="zh-CN"/>
            </w:rPr>
            <w:t xml:space="preserve">Executive </w:t>
          </w:r>
          <w:r>
            <w:rPr>
              <w:rFonts w:hint="default" w:ascii="Times New Roman" w:hAnsi="Times New Roman" w:eastAsia="Calibri" w:cs="Times New Roman"/>
              <w:sz w:val="24"/>
              <w:szCs w:val="24"/>
            </w:rPr>
            <w:t>Summary</w:t>
          </w:r>
        </w:sdtContent>
      </w:sdt>
      <w:r>
        <w:rPr>
          <w:rFonts w:hint="default" w:ascii="Times New Roman" w:hAnsi="Times New Roman" w:cs="Times New Roman"/>
          <w:sz w:val="24"/>
          <w:szCs w:val="24"/>
        </w:rPr>
        <w:tab/>
      </w:r>
      <w:r>
        <w:rPr>
          <w:rFonts w:hint="eastAsia" w:eastAsia="宋体" w:cs="Times New Roman"/>
          <w:sz w:val="24"/>
          <w:szCs w:val="24"/>
          <w:lang w:val="en-US" w:eastAsia="zh-CN"/>
        </w:rPr>
        <w:t>1</w:t>
      </w:r>
      <w:r>
        <w:rPr>
          <w:rFonts w:hint="default" w:ascii="Times New Roman" w:hAnsi="Times New Roman" w:cs="Times New Roman"/>
          <w:sz w:val="24"/>
          <w:szCs w:val="24"/>
        </w:rPr>
        <w:fldChar w:fldCharType="end"/>
      </w:r>
    </w:p>
    <w:p>
      <w:pPr>
        <w:pStyle w:val="11"/>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_Toc31680_WPSOffice_Level1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c423e5c7-0fb9-4d34-a466-dd4f30fe2e20}"/>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2. Introduction</w:t>
          </w:r>
        </w:sdtContent>
      </w:sdt>
      <w:r>
        <w:rPr>
          <w:rFonts w:hint="default" w:ascii="Times New Roman" w:hAnsi="Times New Roman" w:cs="Times New Roman"/>
          <w:sz w:val="24"/>
          <w:szCs w:val="24"/>
        </w:rPr>
        <w:tab/>
      </w:r>
      <w:r>
        <w:rPr>
          <w:rFonts w:hint="eastAsia" w:eastAsia="宋体" w:cs="Times New Roman"/>
          <w:sz w:val="24"/>
          <w:szCs w:val="24"/>
          <w:lang w:val="en-US" w:eastAsia="zh-CN"/>
        </w:rPr>
        <w:t>2</w:t>
      </w:r>
      <w:r>
        <w:rPr>
          <w:rFonts w:hint="default" w:ascii="Times New Roman" w:hAnsi="Times New Roman" w:cs="Times New Roman"/>
          <w:sz w:val="24"/>
          <w:szCs w:val="24"/>
        </w:rPr>
        <w:fldChar w:fldCharType="end"/>
      </w:r>
    </w:p>
    <w:p>
      <w:pPr>
        <w:pStyle w:val="12"/>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_Toc31680_WPSOffice_Level2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b55c8f44-9867-4aac-816c-2ce9bc81c578}"/>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2.3.1 Strategy</w:t>
          </w:r>
        </w:sdtContent>
      </w:sdt>
      <w:r>
        <w:rPr>
          <w:rFonts w:hint="default" w:ascii="Times New Roman" w:hAnsi="Times New Roman" w:cs="Times New Roman"/>
          <w:sz w:val="24"/>
          <w:szCs w:val="24"/>
        </w:rPr>
        <w:tab/>
      </w:r>
      <w:r>
        <w:rPr>
          <w:rFonts w:hint="eastAsia" w:eastAsia="宋体" w:cs="Times New Roman"/>
          <w:sz w:val="24"/>
          <w:szCs w:val="24"/>
          <w:lang w:val="en-US" w:eastAsia="zh-CN"/>
        </w:rPr>
        <w:t>2</w:t>
      </w:r>
      <w:r>
        <w:rPr>
          <w:rFonts w:hint="default" w:ascii="Times New Roman" w:hAnsi="Times New Roman" w:cs="Times New Roman"/>
          <w:sz w:val="24"/>
          <w:szCs w:val="24"/>
        </w:rPr>
        <w:fldChar w:fldCharType="end"/>
      </w:r>
    </w:p>
    <w:p>
      <w:pPr>
        <w:pStyle w:val="12"/>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_Toc19923_WPSOffice_Level2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9b2d534c-107e-43cf-96f3-594850b204d7}"/>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2.3.2 Business-level strategy</w:t>
          </w:r>
        </w:sdtContent>
      </w:sdt>
      <w:r>
        <w:rPr>
          <w:rFonts w:hint="default" w:ascii="Times New Roman" w:hAnsi="Times New Roman" w:cs="Times New Roman"/>
          <w:sz w:val="24"/>
          <w:szCs w:val="24"/>
        </w:rPr>
        <w:tab/>
      </w:r>
      <w:r>
        <w:rPr>
          <w:rFonts w:hint="eastAsia" w:eastAsia="宋体" w:cs="Times New Roman"/>
          <w:sz w:val="24"/>
          <w:szCs w:val="24"/>
          <w:lang w:val="en-US" w:eastAsia="zh-CN"/>
        </w:rPr>
        <w:t>3</w:t>
      </w:r>
      <w:r>
        <w:rPr>
          <w:rFonts w:hint="default" w:ascii="Times New Roman" w:hAnsi="Times New Roman" w:cs="Times New Roman"/>
          <w:sz w:val="24"/>
          <w:szCs w:val="24"/>
        </w:rPr>
        <w:fldChar w:fldCharType="end"/>
      </w:r>
    </w:p>
    <w:p>
      <w:pPr>
        <w:pStyle w:val="12"/>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_Toc847_WPSOffice_Level2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d182a6d1-3b0c-4466-bfb4-c83b04689f8f}"/>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2.3.3 Competitive advantages</w:t>
          </w:r>
        </w:sdtContent>
      </w:sdt>
      <w:r>
        <w:rPr>
          <w:rFonts w:hint="default" w:ascii="Times New Roman" w:hAnsi="Times New Roman" w:cs="Times New Roman"/>
          <w:sz w:val="24"/>
          <w:szCs w:val="24"/>
        </w:rPr>
        <w:tab/>
      </w:r>
      <w:r>
        <w:rPr>
          <w:rFonts w:hint="eastAsia" w:eastAsia="宋体" w:cs="Times New Roman"/>
          <w:sz w:val="24"/>
          <w:szCs w:val="24"/>
          <w:lang w:val="en-US" w:eastAsia="zh-CN"/>
        </w:rPr>
        <w:t>3</w:t>
      </w:r>
      <w:r>
        <w:rPr>
          <w:rFonts w:hint="default" w:ascii="Times New Roman" w:hAnsi="Times New Roman" w:cs="Times New Roman"/>
          <w:sz w:val="24"/>
          <w:szCs w:val="24"/>
        </w:rPr>
        <w:fldChar w:fldCharType="end"/>
      </w:r>
    </w:p>
    <w:p>
      <w:pPr>
        <w:pStyle w:val="12"/>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_Toc1522_WPSOffice_Level2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3f3cc8bc-4818-4a05-9ed5-b8232d60f430}"/>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 xml:space="preserve">2.3.4 </w:t>
          </w:r>
          <w:r>
            <w:rPr>
              <w:rFonts w:hint="default" w:ascii="Times New Roman" w:hAnsi="Times New Roman" w:eastAsia="宋体" w:cs="Times New Roman"/>
              <w:sz w:val="24"/>
              <w:szCs w:val="24"/>
              <w:lang w:val="en-US" w:eastAsia="zh-CN"/>
            </w:rPr>
            <w:t>porter's Generic Strategies</w:t>
          </w:r>
        </w:sdtContent>
      </w:sdt>
      <w:r>
        <w:rPr>
          <w:rFonts w:hint="default" w:ascii="Times New Roman" w:hAnsi="Times New Roman" w:cs="Times New Roman"/>
          <w:sz w:val="24"/>
          <w:szCs w:val="24"/>
        </w:rPr>
        <w:tab/>
      </w:r>
      <w:r>
        <w:rPr>
          <w:rFonts w:hint="eastAsia" w:eastAsia="宋体" w:cs="Times New Roman"/>
          <w:sz w:val="24"/>
          <w:szCs w:val="24"/>
          <w:lang w:val="en-US" w:eastAsia="zh-CN"/>
        </w:rPr>
        <w:t>3</w:t>
      </w:r>
      <w:r>
        <w:rPr>
          <w:rFonts w:hint="default" w:ascii="Times New Roman" w:hAnsi="Times New Roman" w:cs="Times New Roman"/>
          <w:sz w:val="24"/>
          <w:szCs w:val="24"/>
        </w:rPr>
        <w:fldChar w:fldCharType="end"/>
      </w:r>
    </w:p>
    <w:p>
      <w:pPr>
        <w:pStyle w:val="12"/>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_Toc25146_WPSOffice_Level2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0a0ff3ae-ceed-4848-91dc-97f210ed62d0}"/>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2.4.1 Cost Leadership</w:t>
          </w:r>
        </w:sdtContent>
      </w:sdt>
      <w:r>
        <w:rPr>
          <w:rFonts w:hint="default" w:ascii="Times New Roman" w:hAnsi="Times New Roman" w:cs="Times New Roman"/>
          <w:sz w:val="24"/>
          <w:szCs w:val="24"/>
        </w:rPr>
        <w:tab/>
      </w:r>
      <w:r>
        <w:rPr>
          <w:rFonts w:hint="eastAsia" w:eastAsia="宋体" w:cs="Times New Roman"/>
          <w:sz w:val="24"/>
          <w:szCs w:val="24"/>
          <w:lang w:val="en-US" w:eastAsia="zh-CN"/>
        </w:rPr>
        <w:t>4</w:t>
      </w:r>
      <w:r>
        <w:rPr>
          <w:rFonts w:hint="default" w:ascii="Times New Roman" w:hAnsi="Times New Roman" w:cs="Times New Roman"/>
          <w:sz w:val="24"/>
          <w:szCs w:val="24"/>
        </w:rPr>
        <w:fldChar w:fldCharType="end"/>
      </w:r>
    </w:p>
    <w:p>
      <w:pPr>
        <w:pStyle w:val="12"/>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_Toc30842_WPSOffice_Level2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94070355-ae1e-43ea-864a-af1a7c43fd84}"/>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2.4.2 Cost Focus</w:t>
          </w:r>
        </w:sdtContent>
      </w:sdt>
      <w:r>
        <w:rPr>
          <w:rFonts w:hint="default" w:ascii="Times New Roman" w:hAnsi="Times New Roman" w:cs="Times New Roman"/>
          <w:sz w:val="24"/>
          <w:szCs w:val="24"/>
        </w:rPr>
        <w:tab/>
      </w:r>
      <w:r>
        <w:rPr>
          <w:rFonts w:hint="eastAsia" w:eastAsia="宋体" w:cs="Times New Roman"/>
          <w:sz w:val="24"/>
          <w:szCs w:val="24"/>
          <w:lang w:val="en-US" w:eastAsia="zh-CN"/>
        </w:rPr>
        <w:t>5</w:t>
      </w:r>
      <w:r>
        <w:rPr>
          <w:rFonts w:hint="default" w:ascii="Times New Roman" w:hAnsi="Times New Roman" w:cs="Times New Roman"/>
          <w:sz w:val="24"/>
          <w:szCs w:val="24"/>
        </w:rPr>
        <w:fldChar w:fldCharType="end"/>
      </w:r>
    </w:p>
    <w:p>
      <w:pPr>
        <w:pStyle w:val="12"/>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_Toc27999_WPSOffice_Level2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cc8e56f8-281e-4969-9e65-a54f26ffb5f0}"/>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黑体" w:cs="Times New Roman"/>
              <w:sz w:val="24"/>
              <w:szCs w:val="24"/>
            </w:rPr>
            <w:t>2.4.3 Differentiation</w:t>
          </w:r>
          <w:r>
            <w:rPr>
              <w:rFonts w:hint="default" w:ascii="Times New Roman" w:hAnsi="Times New Roman" w:eastAsia="黑体" w:cs="Times New Roman"/>
              <w:sz w:val="24"/>
              <w:szCs w:val="24"/>
              <w:lang w:val="en-US" w:eastAsia="zh-CN"/>
            </w:rPr>
            <w:t xml:space="preserve"> </w:t>
          </w:r>
          <w:r>
            <w:rPr>
              <w:rFonts w:hint="default" w:ascii="Times New Roman" w:hAnsi="Times New Roman" w:eastAsia="Calibri" w:cs="Times New Roman"/>
              <w:sz w:val="24"/>
              <w:szCs w:val="24"/>
            </w:rPr>
            <w:t>Focus</w:t>
          </w:r>
        </w:sdtContent>
      </w:sdt>
      <w:r>
        <w:rPr>
          <w:rFonts w:hint="default" w:ascii="Times New Roman" w:hAnsi="Times New Roman" w:cs="Times New Roman"/>
          <w:sz w:val="24"/>
          <w:szCs w:val="24"/>
        </w:rPr>
        <w:tab/>
      </w:r>
      <w:r>
        <w:rPr>
          <w:rFonts w:hint="eastAsia" w:eastAsia="宋体" w:cs="Times New Roman"/>
          <w:sz w:val="24"/>
          <w:szCs w:val="24"/>
          <w:lang w:val="en-US" w:eastAsia="zh-CN"/>
        </w:rPr>
        <w:t>5</w:t>
      </w:r>
      <w:r>
        <w:rPr>
          <w:rFonts w:hint="default" w:ascii="Times New Roman" w:hAnsi="Times New Roman" w:cs="Times New Roman"/>
          <w:sz w:val="24"/>
          <w:szCs w:val="24"/>
        </w:rPr>
        <w:fldChar w:fldCharType="end"/>
      </w:r>
    </w:p>
    <w:p>
      <w:pPr>
        <w:pStyle w:val="12"/>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_Toc31990_WPSOffice_Level2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7d965324-6bdc-457e-a7dc-c9b8d2ded11e}"/>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2.4.4 Differentiation</w:t>
          </w:r>
          <w:r>
            <w:rPr>
              <w:rFonts w:hint="default" w:ascii="Times New Roman" w:hAnsi="Times New Roman" w:eastAsia="宋体" w:cs="Times New Roman"/>
              <w:sz w:val="24"/>
              <w:szCs w:val="24"/>
              <w:lang w:val="en-US" w:eastAsia="zh-CN"/>
            </w:rPr>
            <w:t xml:space="preserve"> leadership</w:t>
          </w:r>
        </w:sdtContent>
      </w:sdt>
      <w:r>
        <w:rPr>
          <w:rFonts w:hint="default" w:ascii="Times New Roman" w:hAnsi="Times New Roman" w:cs="Times New Roman"/>
          <w:sz w:val="24"/>
          <w:szCs w:val="24"/>
        </w:rPr>
        <w:tab/>
      </w:r>
      <w:r>
        <w:rPr>
          <w:rFonts w:hint="eastAsia" w:eastAsia="宋体" w:cs="Times New Roman"/>
          <w:sz w:val="24"/>
          <w:szCs w:val="24"/>
          <w:lang w:val="en-US" w:eastAsia="zh-CN"/>
        </w:rPr>
        <w:t>5</w:t>
      </w:r>
      <w:r>
        <w:rPr>
          <w:rFonts w:hint="default" w:ascii="Times New Roman" w:hAnsi="Times New Roman" w:cs="Times New Roman"/>
          <w:sz w:val="24"/>
          <w:szCs w:val="24"/>
        </w:rPr>
        <w:fldChar w:fldCharType="end"/>
      </w:r>
    </w:p>
    <w:p>
      <w:pPr>
        <w:pStyle w:val="11"/>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_Toc19923_WPSOffice_Level1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bb61dc67-7d2e-47db-bd23-f295791e1f65}"/>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3. Main body</w:t>
          </w:r>
        </w:sdtContent>
      </w:sdt>
      <w:r>
        <w:rPr>
          <w:rFonts w:hint="default" w:ascii="Times New Roman" w:hAnsi="Times New Roman" w:cs="Times New Roman"/>
          <w:sz w:val="24"/>
          <w:szCs w:val="24"/>
        </w:rPr>
        <w:tab/>
      </w:r>
      <w:r>
        <w:rPr>
          <w:rFonts w:hint="eastAsia" w:eastAsia="宋体" w:cs="Times New Roman"/>
          <w:sz w:val="24"/>
          <w:szCs w:val="24"/>
          <w:lang w:val="en-US" w:eastAsia="zh-CN"/>
        </w:rPr>
        <w:t>7</w:t>
      </w:r>
      <w:r>
        <w:rPr>
          <w:rFonts w:hint="default" w:ascii="Times New Roman" w:hAnsi="Times New Roman" w:cs="Times New Roman"/>
          <w:sz w:val="24"/>
          <w:szCs w:val="24"/>
        </w:rPr>
        <w:fldChar w:fldCharType="end"/>
      </w:r>
    </w:p>
    <w:p>
      <w:pPr>
        <w:pStyle w:val="12"/>
        <w:tabs>
          <w:tab w:val="right" w:leader="dot" w:pos="8306"/>
        </w:tabs>
        <w:jc w:val="both"/>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_Toc976_WPSOffice_Level2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7dab9f75-77bc-4f2d-8ea2-32de94660e2c}"/>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3.1 Implement of the strategy</w:t>
          </w:r>
        </w:sdtContent>
      </w:sdt>
      <w:r>
        <w:rPr>
          <w:rFonts w:hint="default" w:ascii="Times New Roman" w:hAnsi="Times New Roman" w:cs="Times New Roman"/>
          <w:sz w:val="24"/>
          <w:szCs w:val="24"/>
        </w:rPr>
        <w:tab/>
      </w:r>
      <w:r>
        <w:rPr>
          <w:rFonts w:hint="eastAsia" w:eastAsia="宋体" w:cs="Times New Roman"/>
          <w:sz w:val="24"/>
          <w:szCs w:val="24"/>
          <w:lang w:val="en-US" w:eastAsia="zh-CN"/>
        </w:rPr>
        <w:t>7</w:t>
      </w:r>
      <w:r>
        <w:rPr>
          <w:rFonts w:hint="default" w:ascii="Times New Roman" w:hAnsi="Times New Roman" w:cs="Times New Roman"/>
          <w:sz w:val="24"/>
          <w:szCs w:val="24"/>
        </w:rPr>
        <w:fldChar w:fldCharType="end"/>
      </w:r>
    </w:p>
    <w:p>
      <w:pPr>
        <w:pStyle w:val="12"/>
        <w:tabs>
          <w:tab w:val="right" w:leader="dot" w:pos="8306"/>
        </w:tabs>
        <w:jc w:val="both"/>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_Toc3345_WPSOffice_Level2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69a5380e-7d70-4e3e-96c8-459cd8689731}"/>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3.2</w:t>
          </w:r>
          <w:r>
            <w:rPr>
              <w:rFonts w:hint="default" w:ascii="Times New Roman" w:hAnsi="Times New Roman" w:eastAsia="宋体" w:cs="Times New Roman"/>
              <w:sz w:val="24"/>
              <w:szCs w:val="24"/>
              <w:lang w:val="en-US" w:eastAsia="zh-CN"/>
            </w:rPr>
            <w:t xml:space="preserve"> </w:t>
          </w:r>
          <w:r>
            <w:rPr>
              <w:rFonts w:hint="default" w:ascii="Times New Roman" w:hAnsi="Times New Roman" w:cs="Times New Roman"/>
              <w:b w:val="0"/>
              <w:bCs w:val="0"/>
              <w:sz w:val="24"/>
              <w:szCs w:val="24"/>
              <w:lang w:val="en-US" w:eastAsia="zh-CN"/>
            </w:rPr>
            <w:t>ADVANTAGES ＆DISADVANTAGES OF THE STRATEGY</w:t>
          </w:r>
        </w:sdtContent>
      </w:sdt>
      <w:r>
        <w:rPr>
          <w:rFonts w:hint="default" w:ascii="Times New Roman" w:hAnsi="Times New Roman" w:cs="Times New Roman"/>
          <w:sz w:val="24"/>
          <w:szCs w:val="24"/>
        </w:rPr>
        <w:tab/>
      </w:r>
      <w:r>
        <w:rPr>
          <w:rFonts w:hint="eastAsia" w:eastAsia="宋体" w:cs="Times New Roman"/>
          <w:sz w:val="24"/>
          <w:szCs w:val="24"/>
          <w:lang w:val="en-US" w:eastAsia="zh-CN"/>
        </w:rPr>
        <w:t>8</w:t>
      </w:r>
      <w:r>
        <w:rPr>
          <w:rFonts w:hint="default" w:ascii="Times New Roman" w:hAnsi="Times New Roman" w:cs="Times New Roman"/>
          <w:sz w:val="24"/>
          <w:szCs w:val="24"/>
        </w:rPr>
        <w:fldChar w:fldCharType="end"/>
      </w:r>
    </w:p>
    <w:p>
      <w:pPr>
        <w:pStyle w:val="13"/>
        <w:tabs>
          <w:tab w:val="right" w:leader="dot" w:pos="8306"/>
        </w:tabs>
        <w:jc w:val="both"/>
        <w:rPr>
          <w:rFonts w:hint="default" w:ascii="Times New Roman" w:hAnsi="Times New Roman" w:cs="Times New Roman"/>
          <w:sz w:val="24"/>
          <w:szCs w:val="24"/>
        </w:rPr>
      </w:pPr>
    </w:p>
    <w:p>
      <w:pPr>
        <w:pStyle w:val="11"/>
        <w:tabs>
          <w:tab w:val="right" w:leader="dot" w:pos="8306"/>
        </w:tabs>
        <w:jc w:val="both"/>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_Toc847_WPSOffice_Level1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5ef8c966-8548-4edb-a47b-4b2eefe847a8}"/>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sz w:val="24"/>
              <w:szCs w:val="24"/>
            </w:rPr>
            <w:t>4. Conclusion</w:t>
          </w:r>
        </w:sdtContent>
      </w:sdt>
      <w:r>
        <w:rPr>
          <w:rFonts w:hint="default" w:ascii="Times New Roman" w:hAnsi="Times New Roman" w:cs="Times New Roman"/>
          <w:sz w:val="24"/>
          <w:szCs w:val="24"/>
        </w:rPr>
        <w:tab/>
      </w:r>
      <w:r>
        <w:rPr>
          <w:rFonts w:hint="default" w:ascii="Times New Roman" w:hAnsi="Times New Roman" w:eastAsia="宋体" w:cs="Times New Roman"/>
          <w:sz w:val="24"/>
          <w:szCs w:val="24"/>
          <w:lang w:val="en-US" w:eastAsia="zh-CN"/>
        </w:rPr>
        <w:t>1</w:t>
      </w:r>
      <w:r>
        <w:rPr>
          <w:rFonts w:hint="default" w:ascii="Times New Roman" w:hAnsi="Times New Roman" w:cs="Times New Roman"/>
          <w:sz w:val="24"/>
          <w:szCs w:val="24"/>
        </w:rPr>
        <w:fldChar w:fldCharType="end"/>
      </w:r>
      <w:r>
        <w:rPr>
          <w:rFonts w:hint="eastAsia" w:eastAsia="宋体" w:cs="Times New Roman"/>
          <w:sz w:val="24"/>
          <w:szCs w:val="24"/>
          <w:lang w:val="en-US" w:eastAsia="zh-CN"/>
        </w:rPr>
        <w:t>0</w:t>
      </w:r>
    </w:p>
    <w:p>
      <w:pPr>
        <w:pStyle w:val="11"/>
        <w:tabs>
          <w:tab w:val="right" w:leader="dot" w:pos="8306"/>
        </w:tabs>
        <w:jc w:val="both"/>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_Toc1522_WPSOffice_Level1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kern w:val="2"/>
            <w:sz w:val="24"/>
            <w:szCs w:val="24"/>
            <w:lang w:val="en-US" w:eastAsia="zh-CN" w:bidi="ar-SA"/>
          </w:rPr>
          <w:id w:val="147479160"/>
          <w:placeholder>
            <w:docPart w:val="{0e84eade-69ab-40ed-8c36-6ba478deb903}"/>
          </w:placeholder>
          <w15:color w:val="509DF3"/>
        </w:sdtPr>
        <w:sdtEndPr>
          <w:rPr>
            <w:rFonts w:hint="default" w:ascii="Times New Roman" w:hAnsi="Times New Roman" w:eastAsia="Calibri" w:cs="Times New Roman"/>
            <w:kern w:val="2"/>
            <w:sz w:val="24"/>
            <w:szCs w:val="24"/>
            <w:lang w:val="en-US" w:eastAsia="zh-CN" w:bidi="ar-SA"/>
          </w:rPr>
        </w:sdtEndPr>
        <w:sdtContent>
          <w:r>
            <w:rPr>
              <w:rFonts w:hint="default" w:ascii="Times New Roman" w:hAnsi="Times New Roman" w:eastAsia="Calibri" w:cs="Times New Roman"/>
              <w:kern w:val="2"/>
              <w:sz w:val="24"/>
              <w:szCs w:val="24"/>
              <w:lang w:val="en-US" w:eastAsia="zh-CN" w:bidi="ar-SA"/>
            </w:rPr>
            <w:t xml:space="preserve">   4.1</w:t>
          </w:r>
          <w:r>
            <w:rPr>
              <w:rFonts w:hint="default" w:ascii="Times New Roman" w:hAnsi="Times New Roman" w:eastAsia="Calibri" w:cs="Times New Roman"/>
              <w:sz w:val="24"/>
              <w:szCs w:val="24"/>
            </w:rPr>
            <w:t>. Recommendations for Lidl</w:t>
          </w:r>
        </w:sdtContent>
      </w:sdt>
      <w:r>
        <w:rPr>
          <w:rFonts w:hint="default" w:ascii="Times New Roman" w:hAnsi="Times New Roman" w:cs="Times New Roman"/>
          <w:sz w:val="24"/>
          <w:szCs w:val="24"/>
        </w:rPr>
        <w:tab/>
      </w:r>
      <w:r>
        <w:rPr>
          <w:rFonts w:hint="default" w:ascii="Times New Roman" w:hAnsi="Times New Roman" w:eastAsia="宋体" w:cs="Times New Roman"/>
          <w:sz w:val="24"/>
          <w:szCs w:val="24"/>
          <w:lang w:val="en-US" w:eastAsia="zh-CN"/>
        </w:rPr>
        <w:t>1</w:t>
      </w:r>
      <w:r>
        <w:rPr>
          <w:rFonts w:hint="default" w:ascii="Times New Roman" w:hAnsi="Times New Roman" w:cs="Times New Roman"/>
          <w:sz w:val="24"/>
          <w:szCs w:val="24"/>
        </w:rPr>
        <w:fldChar w:fldCharType="end"/>
      </w:r>
      <w:r>
        <w:rPr>
          <w:rFonts w:hint="eastAsia" w:eastAsia="宋体" w:cs="Times New Roman"/>
          <w:sz w:val="24"/>
          <w:szCs w:val="24"/>
          <w:lang w:val="en-US" w:eastAsia="zh-CN"/>
        </w:rPr>
        <w:t>0</w:t>
      </w: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_Toc25146_WPSOffice_Level1 </w:instrText>
      </w:r>
      <w:r>
        <w:rPr>
          <w:rFonts w:hint="default" w:ascii="Times New Roman" w:hAnsi="Times New Roman" w:cs="Times New Roman"/>
          <w:sz w:val="24"/>
          <w:szCs w:val="24"/>
        </w:rPr>
        <w:fldChar w:fldCharType="separate"/>
      </w:r>
      <w:sdt>
        <w:sdtPr>
          <w:rPr>
            <w:rFonts w:hint="default" w:ascii="Times New Roman" w:hAnsi="Times New Roman" w:eastAsia="Calibri" w:cs="Times New Roman"/>
            <w:b w:val="0"/>
            <w:bCs w:val="0"/>
            <w:kern w:val="2"/>
            <w:sz w:val="24"/>
            <w:szCs w:val="24"/>
            <w:lang w:val="en-US" w:eastAsia="zh-CN" w:bidi="ar-SA"/>
          </w:rPr>
          <w:id w:val="147479160"/>
          <w:placeholder>
            <w:docPart w:val="{018c40fb-c6aa-4e68-99a2-cb45180c21b7}"/>
          </w:placeholder>
          <w15:color w:val="509DF3"/>
        </w:sdtPr>
        <w:sdtEndPr>
          <w:rPr>
            <w:rFonts w:hint="default" w:ascii="Times New Roman" w:hAnsi="Times New Roman" w:eastAsia="Calibri" w:cs="Times New Roman"/>
            <w:b w:val="0"/>
            <w:bCs w:val="0"/>
            <w:kern w:val="2"/>
            <w:sz w:val="24"/>
            <w:szCs w:val="24"/>
            <w:lang w:val="en-US" w:eastAsia="zh-CN" w:bidi="ar-SA"/>
          </w:rPr>
        </w:sdtEndPr>
        <w:sdtContent>
          <w:r>
            <w:rPr>
              <w:rFonts w:hint="default" w:ascii="Times New Roman" w:hAnsi="Times New Roman" w:eastAsia="Calibri" w:cs="Times New Roman"/>
              <w:b w:val="0"/>
              <w:bCs w:val="0"/>
              <w:kern w:val="2"/>
              <w:sz w:val="24"/>
              <w:szCs w:val="24"/>
              <w:lang w:val="en-US" w:eastAsia="zh-CN" w:bidi="ar-SA"/>
            </w:rPr>
            <w:t>5</w:t>
          </w:r>
          <w:r>
            <w:rPr>
              <w:rFonts w:hint="eastAsia" w:ascii="Times New Roman" w:hAnsi="Times New Roman" w:eastAsia="Calibri" w:cs="Times New Roman"/>
              <w:b w:val="0"/>
              <w:bCs w:val="0"/>
              <w:kern w:val="2"/>
              <w:sz w:val="24"/>
              <w:szCs w:val="24"/>
              <w:lang w:val="en-US" w:eastAsia="zh-CN" w:bidi="ar-SA"/>
            </w:rPr>
            <w:t xml:space="preserve"> </w:t>
          </w:r>
          <w:r>
            <w:rPr>
              <w:rFonts w:hint="default" w:ascii="Times New Roman" w:hAnsi="Times New Roman" w:eastAsia="Calibri" w:cs="Times New Roman"/>
              <w:b w:val="0"/>
              <w:bCs w:val="0"/>
              <w:sz w:val="24"/>
              <w:szCs w:val="24"/>
            </w:rPr>
            <w:t>Reference</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w:t>
          </w:r>
          <w:r>
            <w:rPr>
              <w:rFonts w:hint="eastAsia" w:ascii="Times New Roman" w:hAnsi="Times New Roman" w:cs="Times New Roman"/>
              <w:sz w:val="24"/>
              <w:szCs w:val="24"/>
              <w:lang w:val="en-US" w:eastAsia="zh-CN"/>
            </w:rPr>
            <w:t>...................................................</w:t>
          </w:r>
          <w:r>
            <w:rPr>
              <w:rFonts w:hint="default" w:ascii="Times New Roman" w:hAnsi="Times New Roman" w:cs="Times New Roman"/>
              <w:b w:val="0"/>
              <w:bCs w:val="0"/>
              <w:sz w:val="24"/>
              <w:szCs w:val="24"/>
              <w:lang w:val="en-US" w:eastAsia="zh-CN"/>
            </w:rPr>
            <w:t>......1</w:t>
          </w:r>
          <w:r>
            <w:rPr>
              <w:rFonts w:hint="eastAsia" w:ascii="Times New Roman" w:hAnsi="Times New Roman" w:cs="Times New Roman"/>
              <w:b w:val="0"/>
              <w:bCs w:val="0"/>
              <w:sz w:val="24"/>
              <w:szCs w:val="24"/>
              <w:lang w:val="en-US" w:eastAsia="zh-CN"/>
            </w:rPr>
            <w:t>1</w:t>
          </w:r>
        </w:sdtContent>
      </w:sdt>
      <w:r>
        <w:rPr>
          <w:rFonts w:hint="default" w:ascii="Times New Roman" w:hAnsi="Times New Roman" w:cs="Times New Roman"/>
          <w:sz w:val="24"/>
          <w:szCs w:val="24"/>
        </w:rPr>
        <w:tab/>
      </w:r>
      <w:r>
        <w:rPr>
          <w:rFonts w:hint="default" w:ascii="Times New Roman" w:hAnsi="Times New Roman" w:cs="Times New Roman"/>
          <w:sz w:val="24"/>
          <w:szCs w:val="24"/>
        </w:rPr>
        <w:tab/>
      </w:r>
      <w:r>
        <w:rPr>
          <w:rFonts w:hint="default" w:ascii="Times New Roman" w:hAnsi="Times New Roman" w:cs="Times New Roman"/>
          <w:sz w:val="24"/>
          <w:szCs w:val="24"/>
        </w:rPr>
        <w:tab/>
      </w:r>
      <w:r>
        <w:rPr>
          <w:rFonts w:hint="default" w:ascii="Times New Roman" w:hAnsi="Times New Roman" w:cs="Times New Roman"/>
          <w:sz w:val="24"/>
          <w:szCs w:val="24"/>
        </w:rPr>
        <w:tab/>
      </w:r>
      <w:r>
        <w:rPr>
          <w:rFonts w:hint="default" w:ascii="Times New Roman" w:hAnsi="Times New Roman" w:cs="Times New Roman"/>
          <w:sz w:val="24"/>
          <w:szCs w:val="24"/>
        </w:rPr>
        <w:tab/>
      </w:r>
      <w:r>
        <w:rPr>
          <w:rFonts w:hint="default" w:ascii="Times New Roman" w:hAnsi="Times New Roman" w:cs="Times New Roman"/>
          <w:sz w:val="24"/>
          <w:szCs w:val="24"/>
        </w:rPr>
        <w:tab/>
      </w:r>
      <w:r>
        <w:rPr>
          <w:rFonts w:hint="default" w:ascii="Times New Roman" w:hAnsi="Times New Roman" w:cs="Times New Roman"/>
          <w:sz w:val="24"/>
          <w:szCs w:val="24"/>
        </w:rPr>
        <w:fldChar w:fldCharType="end"/>
      </w:r>
    </w:p>
    <w:p>
      <w:pPr>
        <w:numPr>
          <w:ilvl w:val="0"/>
          <w:numId w:val="0"/>
        </w:numPr>
        <w:spacing w:beforeLines="0" w:after="200" w:afterLines="0" w:line="276" w:lineRule="auto"/>
        <w:ind w:leftChars="0"/>
        <w:jc w:val="left"/>
        <w:rPr>
          <w:rFonts w:hint="eastAsia"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eastAsia"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eastAsia"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left"/>
        <w:rPr>
          <w:rFonts w:hint="default" w:ascii="Times New Roman" w:hAnsi="Times New Roman" w:cs="Times New Roman"/>
          <w:b/>
          <w:bCs/>
          <w:sz w:val="24"/>
          <w:szCs w:val="24"/>
          <w:lang w:val="en-US" w:eastAsia="zh-CN"/>
        </w:rPr>
        <w:sectPr>
          <w:footerReference r:id="rId3" w:type="default"/>
          <w:pgSz w:w="11906" w:h="16838"/>
          <w:pgMar w:top="1440" w:right="1800" w:bottom="1440" w:left="1800" w:header="851" w:footer="992" w:gutter="0"/>
          <w:pgNumType w:fmt="decimal" w:start="1"/>
          <w:cols w:space="720" w:num="1"/>
          <w:docGrid w:type="lines" w:linePitch="312" w:charSpace="0"/>
        </w:sectPr>
      </w:pP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1.0 </w:t>
      </w:r>
      <w:r>
        <w:rPr>
          <w:rFonts w:hint="eastAsia" w:ascii="Times New Roman" w:hAnsi="Times New Roman" w:cs="Times New Roman"/>
          <w:b/>
          <w:bCs/>
          <w:sz w:val="24"/>
          <w:szCs w:val="24"/>
          <w:lang w:val="en-US" w:eastAsia="zh-CN"/>
        </w:rPr>
        <w:t xml:space="preserve">EXECUTIVE </w:t>
      </w:r>
      <w:r>
        <w:rPr>
          <w:rFonts w:hint="default" w:ascii="Times New Roman" w:hAnsi="Times New Roman" w:cs="Times New Roman"/>
          <w:b/>
          <w:bCs/>
          <w:sz w:val="24"/>
          <w:szCs w:val="24"/>
          <w:lang w:val="en-US" w:eastAsia="zh-CN"/>
        </w:rPr>
        <w:t>SUMMARY</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main content and theme of this report is to help Lidl analyze its corporate competitive strategy and make recommendations. In order to better analyze Lidl store, so the collection of the current Lidl store company status, and Lidl store background information, and to better the Lidl store used strategies, this report also analyses the porter's theory of general strategy and described in detail, which can be found using Lidl store strategy of cost leadership strategy, in order to reduce their own costs as the core to promote the company's operating strategy, in order to better implement the strategy, the company has taken many measures, such as reducing labor costs, reduce the company's products of the cost of product research and development, To reduce the amount of advertising, Lidl store is now analyzing various problems it has encountered, making some Suggestions to adjust its original strategy, so as to attract more customers and promote the development of the company.</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For the development of Lidl store, some Suggestions are needed. For example, Lidl store can cooperate with other high-end companies to enhance the image of Lidl store and promote the product positioning of Lidl store. Lidl store needs to increase the research and development cost of new products. Innovation is crucial for every company. Lidl store needs to consider more Suggestions from its customers and feedback in shopping, so as to improve its conditions and better serve customers.</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2.0 Introduction</w:t>
      </w:r>
    </w:p>
    <w:p>
      <w:pPr>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2.1 REPORT PERMIT</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content of this report is mainly to analyze the competitive strategy of Lidl Stiftung &amp; Co. KG, and to analyze the advantages and limitations of the company's adoption of this competitive strategy in the current social context, and ultimately the competition adopted by the company. The strategy puts forward some appropriate recommendations. In the analysis of the company's competitive strategy, it also uses the evidence that the company uses the strategy and exemplifies the company's actions to achieve the strategy. And the target audience for this report may be the management of Lidl Stiftung &amp; Co.KG. The purpose of this report is to let Lidl Stiftung &amp; Co. KG understand the operating conditions of its competitors, understand the future needs of its target customers and discover new consumer points and new customer segments that will eventually dominate the future market competition.</w:t>
      </w:r>
    </w:p>
    <w:p>
      <w:pPr>
        <w:jc w:val="both"/>
        <w:rPr>
          <w:rFonts w:hint="default" w:ascii="Times New Roman" w:hAnsi="Times New Roman" w:cs="Times New Roman"/>
          <w:b/>
          <w:bCs/>
          <w:sz w:val="24"/>
          <w:szCs w:val="24"/>
          <w:lang w:val="en-US" w:eastAsia="zh-CN"/>
        </w:rPr>
      </w:pPr>
    </w:p>
    <w:p>
      <w:pPr>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2.2 BACKGROUND OF THE ORGANISATION</w:t>
      </w:r>
    </w:p>
    <w:p>
      <w:pPr>
        <w:spacing w:beforeLines="0" w:after="200" w:afterLines="0" w:line="276" w:lineRule="auto"/>
        <w:jc w:val="both"/>
        <w:rPr>
          <w:rFonts w:hint="default" w:ascii="Times New Roman" w:hAnsi="Times New Roman" w:eastAsia="宋体" w:cs="Times New Roman"/>
          <w:sz w:val="24"/>
          <w:szCs w:val="24"/>
          <w:lang w:val="zh-CN" w:eastAsia="zh-CN"/>
        </w:rPr>
      </w:pPr>
      <w:r>
        <w:rPr>
          <w:rFonts w:hint="default" w:ascii="Times New Roman" w:hAnsi="Times New Roman" w:cs="Times New Roman"/>
          <w:sz w:val="24"/>
          <w:szCs w:val="24"/>
          <w:lang w:val="zh-CN"/>
        </w:rPr>
        <w:t>Lidl is a global discount supermarket chain with more than 10,000 stores worldwide. The company's full name is Lidl Stiftung &amp; Co. KG, a subsidiary of Schwarz Holdings, headquartered in Neckarsulm, Germany.The Lidl Supermarket was founded by a member of the Schwarz family in the 1930s. Currently, Lidl Supermarket has branches in more than 20 countries around the world</w:t>
      </w:r>
      <w:r>
        <w:rPr>
          <w:rFonts w:hint="default" w:ascii="Times New Roman" w:hAnsi="Times New Roman" w:cs="Times New Roman"/>
          <w:sz w:val="24"/>
          <w:szCs w:val="24"/>
          <w:lang w:val="en-US" w:eastAsia="zh-CN"/>
        </w:rPr>
        <w:t>.（</w:t>
      </w:r>
      <w:r>
        <w:rPr>
          <w:rFonts w:hint="default" w:ascii="Times New Roman" w:hAnsi="Times New Roman" w:eastAsia="Segoe UI" w:cs="Times New Roman"/>
          <w:i w:val="0"/>
          <w:caps w:val="0"/>
          <w:color w:val="000000" w:themeColor="text1"/>
          <w:spacing w:val="0"/>
          <w:sz w:val="24"/>
          <w:szCs w:val="24"/>
          <w:shd w:val="clear" w:fill="FFFFFF"/>
          <w14:textFill>
            <w14:solidFill>
              <w14:schemeClr w14:val="tx1"/>
            </w14:solidFill>
          </w14:textFill>
        </w:rPr>
        <w:t>Felsted, 2014</w:t>
      </w:r>
      <w:r>
        <w:rPr>
          <w:rFonts w:hint="default" w:ascii="Times New Roman" w:hAnsi="Times New Roman" w:cs="Times New Roman"/>
          <w:sz w:val="24"/>
          <w:szCs w:val="24"/>
          <w:lang w:val="en-US" w:eastAsia="zh-CN"/>
        </w:rPr>
        <w:t>)</w:t>
      </w:r>
    </w:p>
    <w:p>
      <w:pPr>
        <w:spacing w:beforeLines="0" w:after="200" w:afterLines="0" w:line="276" w:lineRule="auto"/>
        <w:jc w:val="both"/>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lang w:val="zh-CN"/>
        </w:rPr>
        <w:t>In 1930, Josef Schwarz became a partner at S</w:t>
      </w:r>
      <w:r>
        <w:rPr>
          <w:rFonts w:hint="default" w:ascii="Times New Roman" w:hAnsi="Times New Roman" w:cs="Times New Roman"/>
          <w:sz w:val="24"/>
          <w:szCs w:val="24"/>
          <w:lang w:val="en-US"/>
        </w:rPr>
        <w:t>üdfrüchte Großhandel Lidl &amp; Co. He is a fruit producer and has successfully developed Lidl Supermarket into a wholesaler of mass food. In 1977, his son Dieter Schwarz took over and the Schwarz Group began to concentrate on the parity market, large supermarkets and wholesale markets.  The first Lidl parity market opened in 1973 with reference to the idea of the Alecchi supermarket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rPr>
        <w:t>Lidl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rPr>
        <w:t>2015</w:t>
      </w:r>
      <w:r>
        <w:rPr>
          <w:rFonts w:hint="default" w:ascii="Times New Roman" w:hAnsi="Times New Roman" w:cs="Times New Roman"/>
          <w:sz w:val="24"/>
          <w:szCs w:val="24"/>
          <w:lang w:val="en-US" w:eastAsia="zh-CN"/>
        </w:rPr>
        <w:t>)</w:t>
      </w:r>
    </w:p>
    <w:p>
      <w:pPr>
        <w:spacing w:beforeLines="0" w:after="200" w:afterLines="0" w:line="276" w:lineRule="auto"/>
        <w:jc w:val="both"/>
        <w:rPr>
          <w:rFonts w:hint="default" w:ascii="Times New Roman" w:hAnsi="Times New Roman" w:cs="Times New Roman"/>
          <w:sz w:val="24"/>
          <w:szCs w:val="24"/>
          <w:lang w:val="zh-CN"/>
        </w:rPr>
      </w:pPr>
      <w:r>
        <w:rPr>
          <w:rFonts w:hint="default" w:ascii="Times New Roman" w:hAnsi="Times New Roman" w:cs="Times New Roman"/>
          <w:sz w:val="24"/>
          <w:szCs w:val="24"/>
          <w:lang w:val="zh-CN"/>
        </w:rPr>
        <w:t>Lidl Stiftung &amp; Co. KG has also developed a number of other services, such as the establishment of a DVD rental service at the Lidl branch in the UK, and Lidl has launched a bakery in a bakery across Europe. Lidl UK also launched an online photo service that prints photos at a discounted price. And Lidl US and Boxed.com collaborate to form an online retailer and launch a home delivery service.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rPr>
        <w:t>Lidl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rPr>
        <w:t>2015</w:t>
      </w:r>
      <w:r>
        <w:rPr>
          <w:rFonts w:hint="default" w:ascii="Times New Roman" w:hAnsi="Times New Roman" w:cs="Times New Roman"/>
          <w:sz w:val="24"/>
          <w:szCs w:val="24"/>
          <w:lang w:val="en-US" w:eastAsia="zh-CN"/>
        </w:rPr>
        <w:t>)</w:t>
      </w:r>
    </w:p>
    <w:p>
      <w:pPr>
        <w:spacing w:beforeLines="0" w:after="200" w:afterLines="0" w:line="276" w:lineRule="auto"/>
        <w:jc w:val="both"/>
        <w:rPr>
          <w:rFonts w:hint="default" w:ascii="Times New Roman" w:hAnsi="Times New Roman" w:cs="Times New Roman"/>
          <w:sz w:val="24"/>
          <w:szCs w:val="24"/>
          <w:lang w:val="zh-CN"/>
        </w:rPr>
      </w:pPr>
    </w:p>
    <w:p>
      <w:pPr>
        <w:spacing w:beforeLines="0" w:after="200" w:afterLines="0" w:line="276"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2.3 DEFINITIONS OF MAJOR CONCEPTS</w:t>
      </w:r>
    </w:p>
    <w:p>
      <w:pPr>
        <w:widowControl w:val="0"/>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2.3.1 Strategy</w:t>
      </w:r>
    </w:p>
    <w:p>
      <w:pPr>
        <w:widowControl w:val="0"/>
        <w:numPr>
          <w:ilvl w:val="0"/>
          <w:numId w:val="0"/>
        </w:numPr>
        <w:spacing w:beforeLines="0" w:after="200" w:afterLines="0" w:line="276"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Strategic refers to the overall and long-term development direction, goals, tasks and policies of an enterprise or organization, as well as the art of decision-making and management of resource allocation in a certain period.</w:t>
      </w:r>
    </w:p>
    <w:p>
      <w:pPr>
        <w:widowControl w:val="0"/>
        <w:numPr>
          <w:ilvl w:val="0"/>
          <w:numId w:val="0"/>
        </w:numPr>
        <w:spacing w:beforeLines="0" w:after="200" w:afterLines="0" w:line="276"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From the perspective of the company's future development, strategy is a plan, and from the perspective of the company's past development history, strategy is a model. From the perspective of industry level, strategy manifests itself as a kind of positioning. At the enterprise level, the strategy is a concept. In addition, the strategy also manifests itself as a strategy used by companies in competition. (Garcia, 2018)</w:t>
      </w:r>
    </w:p>
    <w:p>
      <w:pPr>
        <w:widowControl w:val="0"/>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p>
    <w:p>
      <w:pPr>
        <w:widowControl w:val="0"/>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2.3.2 Business level strategy</w:t>
      </w:r>
    </w:p>
    <w:p>
      <w:pPr>
        <w:widowControl w:val="0"/>
        <w:numPr>
          <w:ilvl w:val="0"/>
          <w:numId w:val="0"/>
        </w:numPr>
        <w:spacing w:beforeLines="0" w:after="200" w:afterLines="0" w:line="276"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 business-level strategy is a well-designed approach that helps companies implement and execute actions designed to achieve the financial and other goals set by the business. This type of strategy will cover all the key elements of a company's operations. The various parts of the process are designed to maintain good customer support for customers, provide high-quality goods and services, and often take actions that enhance the reputation of the business community and consumers. Companies that implement business-level strategies focus on placing themselves in the industry while providing value to their customers. These companies aim to acquire and attract customers, gain competitive advantage and increase profits. (Proth,2010)</w:t>
      </w:r>
    </w:p>
    <w:p>
      <w:pPr>
        <w:widowControl w:val="0"/>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2.3.3 Competitive advantage</w:t>
      </w:r>
    </w:p>
    <w:p>
      <w:pPr>
        <w:widowControl w:val="0"/>
        <w:numPr>
          <w:ilvl w:val="0"/>
          <w:numId w:val="0"/>
        </w:numPr>
        <w:spacing w:beforeLines="0" w:after="200" w:afterLines="0" w:line="276" w:lineRule="auto"/>
        <w:jc w:val="both"/>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Competitive advantage is the advantage of a company relative to its competitors. This can be achieved by providing customers with better and greater value. Low-priced or high-quality advertising products or services are of interest to consumers. The target market recognizes these unique products or services. This is the reason behind brand loyalty, which is why customers prefer a particular product or service. The three forms of competitive advantage including the general competitive strategy are: the cost leadership strategy, the differential strategy, the focus strategy. And there are certain internal factors: corporate image and core competence.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Dolgui</w:t>
      </w:r>
      <w:r>
        <w:rPr>
          <w:rFonts w:hint="default" w:ascii="Times New Roman" w:hAnsi="Times New Roman" w:cs="Times New Roman"/>
          <w:sz w:val="24"/>
          <w:szCs w:val="24"/>
          <w:lang w:val="en-US" w:eastAsia="zh-CN"/>
        </w:rPr>
        <w:t>,2010)</w:t>
      </w:r>
    </w:p>
    <w:p>
      <w:pPr>
        <w:widowControl w:val="0"/>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p>
    <w:p>
      <w:pPr>
        <w:widowControl w:val="0"/>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2.3.4 Porter's Generic Strategies</w:t>
      </w:r>
    </w:p>
    <w:p>
      <w:pPr>
        <w:widowControl w:val="0"/>
        <w:numPr>
          <w:ilvl w:val="0"/>
          <w:numId w:val="0"/>
        </w:numPr>
        <w:spacing w:beforeLines="0" w:after="200" w:afterLines="0" w:line="276"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Porter's Generic Strategies is a useful framework to help organizations identify a potential niche market and gain a competitive advantage in any industry.</w:t>
      </w:r>
    </w:p>
    <w:p>
      <w:pPr>
        <w:widowControl w:val="0"/>
        <w:numPr>
          <w:ilvl w:val="0"/>
          <w:numId w:val="0"/>
        </w:numPr>
        <w:spacing w:beforeLines="0" w:after="200" w:afterLines="0" w:line="276"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 proposes four "universal" business strategies that can be used to gain a competitive advantage. These strategies relate to whether a company's activities are narrow or wide, and to what extent a company seeks product differentiation. For most companies, the most critical strategic challenge is to find a way to gain competitive advantage in the marketplace against competing products of other companies and the sustainability of the company. Competitive advantage refers to the advantage over competitors obtained by providing consumers with greater value .By lowering prices or by offering greater benefits and services to prove higher prices.(.Porter 2015).</w:t>
      </w:r>
    </w:p>
    <w:p>
      <w:pPr>
        <w:widowControl w:val="0"/>
        <w:numPr>
          <w:ilvl w:val="0"/>
          <w:numId w:val="0"/>
        </w:numPr>
        <w:spacing w:beforeLines="0" w:after="200" w:afterLines="0" w:line="276" w:lineRule="auto"/>
        <w:jc w:val="both"/>
        <w:rPr>
          <w:rFonts w:hint="default" w:ascii="Times New Roman" w:hAnsi="Times New Roman" w:cs="Times New Roman"/>
          <w:sz w:val="24"/>
          <w:szCs w:val="24"/>
          <w:lang w:val="en-US" w:eastAsia="zh-CN"/>
        </w:rPr>
      </w:pPr>
    </w:p>
    <w:p>
      <w:pPr>
        <w:widowControl w:val="0"/>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The four strategies are summarized as follows:</w:t>
      </w:r>
    </w:p>
    <w:p>
      <w:pPr>
        <w:widowControl w:val="0"/>
        <w:numPr>
          <w:ilvl w:val="0"/>
          <w:numId w:val="0"/>
        </w:numPr>
        <w:spacing w:beforeLines="0" w:after="200" w:afterLines="0" w:line="276"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971290" cy="2955290"/>
            <wp:effectExtent l="0" t="0" r="10160" b="16510"/>
            <wp:docPr id="1" name="图片 5" descr="81f4c22bb8478990c0c0126769ee5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5" descr="81f4c22bb8478990c0c0126769ee58a"/>
                    <pic:cNvPicPr>
                      <a:picLocks noChangeAspect="1"/>
                    </pic:cNvPicPr>
                  </pic:nvPicPr>
                  <pic:blipFill>
                    <a:blip r:embed="rId7"/>
                    <a:stretch>
                      <a:fillRect/>
                    </a:stretch>
                  </pic:blipFill>
                  <pic:spPr>
                    <a:xfrm>
                      <a:off x="0" y="0"/>
                      <a:ext cx="3971290" cy="2955290"/>
                    </a:xfrm>
                    <a:prstGeom prst="rect">
                      <a:avLst/>
                    </a:prstGeom>
                    <a:noFill/>
                    <a:ln>
                      <a:noFill/>
                    </a:ln>
                  </pic:spPr>
                </pic:pic>
              </a:graphicData>
            </a:graphic>
          </wp:inline>
        </w:drawing>
      </w:r>
    </w:p>
    <w:p>
      <w:pPr>
        <w:widowControl w:val="0"/>
        <w:numPr>
          <w:ilvl w:val="0"/>
          <w:numId w:val="0"/>
        </w:numPr>
        <w:spacing w:beforeLines="0" w:after="200" w:afterLines="0" w:line="276" w:lineRule="auto"/>
        <w:jc w:val="both"/>
        <w:rPr>
          <w:rFonts w:hint="default" w:ascii="Times New Roman" w:hAnsi="Times New Roman" w:cs="Times New Roman"/>
          <w:sz w:val="24"/>
          <w:szCs w:val="24"/>
          <w:lang w:val="en-US" w:eastAsia="zh-CN"/>
        </w:rPr>
      </w:pPr>
      <w:r>
        <w:rPr>
          <w:rFonts w:hint="default" w:ascii="Times New Roman" w:hAnsi="Times New Roman" w:eastAsia="Open Sans" w:cs="Times New Roman"/>
          <w:i w:val="0"/>
          <w:caps w:val="0"/>
          <w:color w:val="000000"/>
          <w:spacing w:val="0"/>
          <w:sz w:val="24"/>
          <w:szCs w:val="24"/>
          <w:shd w:val="clear" w:color="auto" w:fill="FFFFFF"/>
        </w:rPr>
        <w:t>Porter, M. (201</w:t>
      </w:r>
      <w:r>
        <w:rPr>
          <w:rFonts w:hint="default" w:ascii="Times New Roman" w:hAnsi="Times New Roman" w:cs="Times New Roman"/>
          <w:i w:val="0"/>
          <w:caps w:val="0"/>
          <w:color w:val="000000"/>
          <w:spacing w:val="0"/>
          <w:sz w:val="24"/>
          <w:szCs w:val="24"/>
          <w:shd w:val="clear" w:color="auto" w:fill="FFFFFF"/>
          <w:lang w:val="en-US" w:eastAsia="zh-CN"/>
        </w:rPr>
        <w:t>5</w:t>
      </w:r>
      <w:r>
        <w:rPr>
          <w:rFonts w:hint="default" w:ascii="Times New Roman" w:hAnsi="Times New Roman" w:eastAsia="Open Sans" w:cs="Times New Roman"/>
          <w:i w:val="0"/>
          <w:caps w:val="0"/>
          <w:color w:val="000000"/>
          <w:spacing w:val="0"/>
          <w:sz w:val="24"/>
          <w:szCs w:val="24"/>
          <w:shd w:val="clear" w:color="auto" w:fill="FFFFFF"/>
        </w:rPr>
        <w:t>). Porter's Generic Strategies. [online] Quickmba.com. Available at: http://www.quickmba.com/strategy/generic.shtml [Accessed 21 Nov. 2019].</w:t>
      </w:r>
    </w:p>
    <w:p>
      <w:pPr>
        <w:widowControl w:val="0"/>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p>
    <w:p>
      <w:pPr>
        <w:widowControl w:val="0"/>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2.4.1 Cost Leadership</w:t>
      </w:r>
    </w:p>
    <w:p>
      <w:pPr>
        <w:spacing w:beforeLines="0" w:after="200" w:afterLines="0" w:line="276" w:lineRule="auto"/>
        <w:jc w:val="both"/>
        <w:rPr>
          <w:rFonts w:hint="default" w:ascii="Times New Roman" w:hAnsi="Times New Roman" w:cs="Times New Roman"/>
          <w:sz w:val="24"/>
          <w:szCs w:val="24"/>
        </w:rPr>
      </w:pPr>
      <w:r>
        <w:rPr>
          <w:rFonts w:hint="default" w:ascii="Times New Roman" w:hAnsi="Times New Roman" w:cs="Times New Roman"/>
          <w:sz w:val="24"/>
          <w:szCs w:val="24"/>
        </w:rPr>
        <w:t>Through this strategy, the goal is that companies can become the lowest-cost producers in the industry. The traditional way to achieve this is mass production, enabling companies to take advantage of economies of scale. Why is cost leadership so important? Many market segments in the industry emphasize the need to minimize costs. If the sales price reached is at least equal to the average price of the market, the producer with the lowest cost will enjoy the best profit. Some cost-leading organizations may also sell products at below-average prices, giving them a larger share of their customers than their competitors. This strategy is often associated with large companies that offer “standard” products. Product differentiation is relatively low and most customers are easy to accept. The cost leadership strategy requires close collaboration between all functions of the company. (Mack, 2018)</w:t>
      </w: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2.4.2 Cost Focus</w:t>
      </w:r>
    </w:p>
    <w:p>
      <w:pPr>
        <w:spacing w:beforeLines="0" w:after="200" w:afterLines="0" w:line="276" w:lineRule="auto"/>
        <w:jc w:val="both"/>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Cost focus refers to those seeking to develop low-cost advantages in which a firm seeks a lower cost advantage in only one or a small segment of the market. But only for small market organizations. These products are usually basic and somewhat similar to the general market-leading products (although the more popular products can be charged at a higher price) and will be accepted by enough customers to make a profit.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Klein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2006</w:t>
      </w:r>
      <w:r>
        <w:rPr>
          <w:rFonts w:hint="default" w:ascii="Times New Roman" w:hAnsi="Times New Roman" w:cs="Times New Roman"/>
          <w:sz w:val="24"/>
          <w:szCs w:val="24"/>
          <w:lang w:val="en-US" w:eastAsia="zh-CN"/>
        </w:rPr>
        <w:t>)</w:t>
      </w:r>
    </w:p>
    <w:p>
      <w:pPr>
        <w:numPr>
          <w:ilvl w:val="0"/>
          <w:numId w:val="0"/>
        </w:numPr>
        <w:spacing w:beforeLines="0" w:after="200" w:afterLines="0" w:line="276" w:lineRule="auto"/>
        <w:ind w:leftChars="0"/>
        <w:jc w:val="both"/>
        <w:rPr>
          <w:rFonts w:hint="default" w:ascii="Times New Roman" w:hAnsi="Times New Roman" w:cs="Times New Roman"/>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t xml:space="preserve">2.4.3 </w:t>
      </w:r>
      <w:r>
        <w:rPr>
          <w:rFonts w:hint="default" w:ascii="Times New Roman" w:hAnsi="Times New Roman" w:cs="Times New Roman"/>
          <w:b/>
          <w:bCs/>
          <w:sz w:val="24"/>
          <w:szCs w:val="24"/>
        </w:rPr>
        <w:t>Differentiation focus</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The general focus of differentiated leadership organizations is to differentiate their products from any other organization within the industry, or to be more attractive to achieve a competitive advantage. These organizations typically target larger markets and focus on broader differentiation within the industry than on cost-leading companies. The way to achieve differentiation can vary greatly across industries, products, and services; When designing a product, the organization will focus on the various criteria considered by consumers within the industry and will then meet these criteria in a unique direction. (Swoboda,2016)</w:t>
      </w: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2.4.4 Differentiation Leadership</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Under differentiated leadership, companies are targeting larger markets and achieving competitive advantage through differentiation across the industry. This strategy involves selecting the criteria that one or more buyers use on the market and then uniquely positioning the business to meet these criteria. This strategy is often associated with a premium on the product – usually to reflect higher production costs and additional value-added features for consumers. Differentiation means charging a premium above the extra production cost and giving customers a clear reason to prefer the product rather than other less differentiated products. There are several ways to do this, although this is not easy and requires a large and ongoing marketing investment. (Kuijk,2018) </w:t>
      </w: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(5)Porter's generic strategy evaluation.</w:t>
      </w:r>
    </w:p>
    <w:p>
      <w:pPr>
        <w:spacing w:beforeLines="0" w:after="200" w:afterLines="0" w:line="276" w:lineRule="auto"/>
        <w:jc w:val="both"/>
        <w:rPr>
          <w:rFonts w:hint="default" w:ascii="Times New Roman" w:hAnsi="Times New Roman" w:cs="Times New Roman"/>
          <w:sz w:val="24"/>
          <w:szCs w:val="24"/>
        </w:rPr>
      </w:pPr>
      <w:r>
        <w:rPr>
          <w:rFonts w:hint="default" w:ascii="Times New Roman" w:hAnsi="Times New Roman" w:cs="Times New Roman"/>
          <w:sz w:val="24"/>
          <w:szCs w:val="24"/>
        </w:rPr>
        <w:t>The use of porter's generic strategy lacks certain specificity, flexibility and limitations. Because the market environment is more complicated, there will be various uncertain factors, and the theory mentioned that differentiation will bring costs to enterprises, which obviously contradicts the foundation of low-cost strategy; so low-cost leadership and differentiation The two focus objectives conflict with each other, causing the company to have no correct direction, so the theory needs to consider more uncertainty and resolve the contradictions in the theory.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Porter,201</w:t>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Cost Leadership:</w:t>
      </w:r>
      <w:r>
        <w:rPr>
          <w:rFonts w:hint="default" w:ascii="Times New Roman" w:hAnsi="Times New Roman" w:cs="Times New Roman"/>
          <w:b w:val="0"/>
          <w:bCs w:val="0"/>
          <w:sz w:val="24"/>
          <w:szCs w:val="24"/>
          <w:lang w:val="en-US" w:eastAsia="zh-CN"/>
        </w:rPr>
        <w:t xml:space="preserve"> The </w:t>
      </w:r>
      <w:r>
        <w:rPr>
          <w:rFonts w:hint="default" w:ascii="Times New Roman" w:hAnsi="Times New Roman" w:cs="Times New Roman"/>
          <w:b/>
          <w:bCs/>
          <w:sz w:val="24"/>
          <w:szCs w:val="24"/>
          <w:lang w:val="en-US" w:eastAsia="zh-CN"/>
        </w:rPr>
        <w:t>advantages</w:t>
      </w:r>
      <w:r>
        <w:rPr>
          <w:rFonts w:hint="default" w:ascii="Times New Roman" w:hAnsi="Times New Roman" w:cs="Times New Roman"/>
          <w:b w:val="0"/>
          <w:bCs w:val="0"/>
          <w:sz w:val="24"/>
          <w:szCs w:val="24"/>
          <w:lang w:val="en-US" w:eastAsia="zh-CN"/>
        </w:rPr>
        <w:t xml:space="preserve"> of Cost Leadership are ①. Ability to outperform rivals ②. Erect barriers to entry ③. Resist the five forces. ④. This strategy can better provide enterprises with better profits. ⑤. Can increase the company's product market share. and also have certain </w:t>
      </w:r>
      <w:r>
        <w:rPr>
          <w:rFonts w:hint="default" w:ascii="Times New Roman" w:hAnsi="Times New Roman" w:cs="Times New Roman"/>
          <w:b/>
          <w:bCs/>
          <w:sz w:val="24"/>
          <w:szCs w:val="24"/>
          <w:lang w:val="en-US" w:eastAsia="zh-CN"/>
        </w:rPr>
        <w:t>disadvantages</w:t>
      </w:r>
      <w:r>
        <w:rPr>
          <w:rFonts w:hint="default" w:ascii="Times New Roman" w:hAnsi="Times New Roman" w:cs="Times New Roman"/>
          <w:b w:val="0"/>
          <w:bCs w:val="0"/>
          <w:sz w:val="24"/>
          <w:szCs w:val="24"/>
          <w:lang w:val="en-US" w:eastAsia="zh-CN"/>
        </w:rPr>
        <w:t>, such as ①. Vulnerability to Lower Cost operators ②. Possible Price Wars ③. Difficulty of sustaining it long Term. ④ Lower Customer Loyalty ⑤. Association with lower quality.⑥. Lead to slower product innovation.（Butler, 2014.）</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3 MAIN BODY </w:t>
      </w: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3.1 IMPLEMENTATION OF STRATEGY</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Lidl's key strategy is to sell high-quality products at the lowest possible cost. That means they are taking advantage of Porter's Generic Strategies for cost leadership.</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lidl's business strategy, cost leadership establishes a competitive advantage by having the lowest operating costs in the industry. Cost leadership is usually driven by lidl's efficiency, scale, scale, scope and accumulated experience. Lidl reduces costs at every point of production, so it can provide consumers with high-quality products at low prices.（</w:t>
      </w:r>
      <w:r>
        <w:rPr>
          <w:rFonts w:hint="default" w:ascii="Times New Roman" w:hAnsi="Times New Roman" w:eastAsia="Open Sans" w:cs="Times New Roman"/>
          <w:i w:val="0"/>
          <w:caps w:val="0"/>
          <w:color w:val="000000"/>
          <w:spacing w:val="0"/>
          <w:sz w:val="24"/>
          <w:szCs w:val="24"/>
          <w:shd w:val="clear" w:color="auto" w:fill="FFFFFF"/>
          <w:lang w:val="en-US" w:eastAsia="zh-CN"/>
        </w:rPr>
        <w:t>Lidl, 2015</w:t>
      </w:r>
      <w:r>
        <w:rPr>
          <w:rFonts w:hint="default" w:ascii="Times New Roman" w:hAnsi="Times New Roman" w:cs="Times New Roman"/>
          <w:b w:val="0"/>
          <w:bCs w:val="0"/>
          <w:sz w:val="24"/>
          <w:szCs w:val="24"/>
          <w:lang w:val="en-US" w:eastAsia="zh-CN"/>
        </w:rPr>
        <w:t>)</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lidl's cost leadership strategy, first of all, about 90% of the products in lidl stores are private brands. So the manufacturers of lidl store's products are specialized in making products for lidl. So the benefits of being able to sell these private brands are twofold. First lidl cut the middleman, eliminating any additional costs for the supplier. Second, the company can better control the manufacturing cost and set its own price. In turn, this means that compared with the original brand, the sales profit margin of the product is higher than that of the national brand, because the initial cost is much lower.(Mack,2018)</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color w:val="auto"/>
          <w:sz w:val="24"/>
          <w:szCs w:val="24"/>
          <w:lang w:val="en-US" w:eastAsia="zh-CN"/>
        </w:rPr>
        <w:t>In ord</w:t>
      </w:r>
      <w:r>
        <w:rPr>
          <w:rFonts w:hint="default" w:ascii="Times New Roman" w:hAnsi="Times New Roman" w:cs="Times New Roman"/>
          <w:b w:val="0"/>
          <w:bCs w:val="0"/>
          <w:sz w:val="24"/>
          <w:szCs w:val="24"/>
          <w:lang w:val="en-US" w:eastAsia="zh-CN"/>
        </w:rPr>
        <w:t>er to implement the cost leadership strategy, lidl stores need to maintain low labor costs, so lidl stores have few staff to reduce labor costs. To limit human interaction, lidl uses efficient technology and automation in the background. In the store, lidl stores ask customers to weigh their products and package their own food. Moreover, employees of lidl store have received cross training, so they can work in any department, so that every employee of lidl store can work more efficiently and flexibly.（</w:t>
      </w:r>
      <w:r>
        <w:rPr>
          <w:rFonts w:hint="default" w:ascii="Times New Roman" w:hAnsi="Times New Roman" w:eastAsia="Open Sans" w:cs="Times New Roman"/>
          <w:i w:val="0"/>
          <w:caps w:val="0"/>
          <w:color w:val="000000"/>
          <w:spacing w:val="0"/>
          <w:sz w:val="24"/>
          <w:szCs w:val="24"/>
          <w:shd w:val="clear" w:color="auto" w:fill="FFFFFF"/>
          <w:lang w:val="en-US" w:eastAsia="zh-CN"/>
        </w:rPr>
        <w:t>Lidl, 2015</w:t>
      </w:r>
      <w:r>
        <w:rPr>
          <w:rFonts w:hint="default" w:ascii="Times New Roman" w:hAnsi="Times New Roman" w:cs="Times New Roman"/>
          <w:b w:val="0"/>
          <w:bCs w:val="0"/>
          <w:sz w:val="24"/>
          <w:szCs w:val="24"/>
          <w:lang w:val="en-US" w:eastAsia="zh-CN"/>
        </w:rPr>
        <w:t>)</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Lidl store, there are limited choices for various types of products. Maybe in one type of products, only two brands of the same type of products are provided, ie private brand and traditional brand. For example: the milk sold in the lidl store is large Most are their own brand of milk and another well-known milk brand. In this way, the variety of products in the store can be increased, more goods and products can be stored than other stores, and Lidl store is more attractive to consumers than stores with fewer goods. And it is also possible to increase the sales of own brand products.（</w:t>
      </w:r>
      <w:r>
        <w:rPr>
          <w:rFonts w:hint="default" w:ascii="Times New Roman" w:hAnsi="Times New Roman" w:eastAsia="Open Sans" w:cs="Times New Roman"/>
          <w:i w:val="0"/>
          <w:caps w:val="0"/>
          <w:color w:val="000000"/>
          <w:spacing w:val="0"/>
          <w:sz w:val="24"/>
          <w:szCs w:val="24"/>
          <w:shd w:val="clear" w:color="auto" w:fill="FFFFFF"/>
          <w:lang w:val="en-US" w:eastAsia="zh-CN"/>
        </w:rPr>
        <w:t>Lidl, 2015</w:t>
      </w:r>
      <w:r>
        <w:rPr>
          <w:rFonts w:hint="default" w:ascii="Times New Roman" w:hAnsi="Times New Roman" w:cs="Times New Roman"/>
          <w:b w:val="0"/>
          <w:bCs w:val="0"/>
          <w:sz w:val="24"/>
          <w:szCs w:val="24"/>
          <w:lang w:val="en-US" w:eastAsia="zh-CN"/>
        </w:rPr>
        <w:t>)</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Lidl stores and their stores have relatively small floor space, for example: Lidl's new store has an average size of 20,000 square feet and has six aisles. But it is only about a quarter of the traditional supermarkets in Europe and the United States such as Kroger. So Lidl stores can save the cost of the store and reduce the cost of each store. Lidl store will display the names and categories of most of its products on the packaging of the shipped goods. Lidl store will arrange suppliers to sort and stack them, So it can speed up the purchase process and reduce manpower. Lidl also spends less on in-store purchases because it doesn't stock many national brands, most of which are private brand products. So it can display products with simple labels, rather than With exquisite and high-cost labels.(Brown, 2015)</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Lidl store adheres to the local small-scale marketing, it will not spend a lot of advertising expenses, thus reducing the cost of advertising. And lidl stores will try to reduce the cost of lighting and other costs in each store, so that the store can use natural light as much as possible.(.Poulter,2014)</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Lidl store adopts the Cost Leadership strategy. Because the company uses lower costs, the sale price of the goods is lower, so the Lidl store can be more easily dominated in the market, and it is easier to attract customers due to the low price of goods. And the adoption of the Cost Leadership strategy will cause the Lidl store to pursue a more efficient corporate culture and create more technology to reduce costs. However, the Cost Leadership strategy also has certain negative effects. For example, because the Lidl store pays too much attention to cost factors, it ignores the inefficiency of employees at work. Due to the reduction of advertising budget and the reduction of workers' wages, the quality of their products may be caused. Declining, low retention rates for employees, etc.And it is also possible that due to the need to reduce costs, the Lidl store needs to reduce the research and development costs of product innovation, which leads to a decrease in the innovation capacity of the Lidl company, and may also cause the Lidl store to provide more quality to the market. Lower product, while also reducing the corporate image. (.Poulter, 2014)</w:t>
      </w:r>
      <w:r>
        <w:rPr>
          <w:rFonts w:hint="default" w:ascii="Times New Roman" w:hAnsi="Times New Roman" w:cs="Times New Roman"/>
          <w:b w:val="0"/>
          <w:bCs w:val="0"/>
          <w:sz w:val="24"/>
          <w:szCs w:val="24"/>
          <w:lang w:val="en-US" w:eastAsia="zh-CN"/>
        </w:rPr>
        <w:br w:type="textWrapping"/>
      </w: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3.2 ADVANTAGES ＆DISADVANTAGES OF THE STRATEGY</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Cost Leadership strategy adopted by lidl stores has certain advantages and disadvantages. Advantages: 1. It can increase the market share of lidl stores, for example, the price of goods in lidl stores is lower, and the customers who realize the budget will balance the cost demand and value demand, and because the price of lidl stores is lower, So customers first consider buying your goods. Over time, lidl stores can attract more market share from mature markets.（</w:t>
      </w:r>
      <w:r>
        <w:rPr>
          <w:rFonts w:hint="default" w:ascii="Times New Roman" w:hAnsi="Times New Roman" w:eastAsia="Open Sans" w:cs="Times New Roman"/>
          <w:i w:val="0"/>
          <w:caps w:val="0"/>
          <w:color w:val="000000"/>
          <w:spacing w:val="0"/>
          <w:sz w:val="24"/>
          <w:szCs w:val="24"/>
          <w:shd w:val="clear" w:color="auto" w:fill="FFFFFF"/>
          <w:lang w:val="en-US" w:eastAsia="zh-CN"/>
        </w:rPr>
        <w:t>Felsted, 2014</w:t>
      </w:r>
      <w:r>
        <w:rPr>
          <w:rFonts w:hint="default" w:ascii="Times New Roman" w:hAnsi="Times New Roman" w:cs="Times New Roman"/>
          <w:b w:val="0"/>
          <w:bCs w:val="0"/>
          <w:sz w:val="24"/>
          <w:szCs w:val="24"/>
          <w:lang w:val="en-US" w:eastAsia="zh-CN"/>
        </w:rPr>
        <w:t>） 2. The Cost Leadership strategy can provide a better profit for the lidl store. The Cost Leadership strategy focuses on creating low-cost operations in the market and within the industry.（</w:t>
      </w:r>
      <w:r>
        <w:rPr>
          <w:rFonts w:hint="default" w:ascii="Times New Roman" w:hAnsi="Times New Roman" w:eastAsia="Segoe UI" w:cs="Times New Roman"/>
          <w:b w:val="0"/>
          <w:bCs w:val="0"/>
          <w:i w:val="0"/>
          <w:iCs w:val="0"/>
          <w:caps w:val="0"/>
          <w:color w:val="auto"/>
          <w:spacing w:val="0"/>
          <w:sz w:val="24"/>
          <w:szCs w:val="24"/>
          <w:shd w:val="clear" w:fill="FFFFFF"/>
        </w:rPr>
        <w:t>European supermarket magazine</w:t>
      </w:r>
      <w:r>
        <w:rPr>
          <w:rFonts w:hint="default" w:ascii="Times New Roman" w:hAnsi="Times New Roman" w:cs="Times New Roman"/>
          <w:b w:val="0"/>
          <w:bCs w:val="0"/>
          <w:i w:val="0"/>
          <w:iCs w:val="0"/>
          <w:caps w:val="0"/>
          <w:color w:val="auto"/>
          <w:spacing w:val="0"/>
          <w:sz w:val="24"/>
          <w:szCs w:val="24"/>
          <w:shd w:val="clear" w:fill="FFFFFF"/>
          <w:lang w:val="en-US" w:eastAsia="zh-CN"/>
        </w:rPr>
        <w:t>,</w:t>
      </w:r>
      <w:r>
        <w:rPr>
          <w:rFonts w:hint="default" w:ascii="Times New Roman" w:hAnsi="Times New Roman" w:eastAsia="Segoe UI" w:cs="Times New Roman"/>
          <w:b w:val="0"/>
          <w:bCs w:val="0"/>
          <w:i w:val="0"/>
          <w:iCs w:val="0"/>
          <w:caps w:val="0"/>
          <w:color w:val="auto"/>
          <w:spacing w:val="0"/>
          <w:sz w:val="24"/>
          <w:szCs w:val="24"/>
          <w:shd w:val="clear" w:fill="FFFFFF"/>
        </w:rPr>
        <w:t>2017</w:t>
      </w:r>
      <w:r>
        <w:rPr>
          <w:rFonts w:hint="default" w:ascii="Times New Roman" w:hAnsi="Times New Roman" w:cs="Times New Roman"/>
          <w:b w:val="0"/>
          <w:bCs w:val="0"/>
          <w:sz w:val="24"/>
          <w:szCs w:val="24"/>
          <w:lang w:val="en-US" w:eastAsia="zh-CN"/>
        </w:rPr>
        <w:t>)By reducing development and production costs, lidl stores may create higher profit margins. As a result, its profit margin exceeds the level that other companies can achieve. There are certain disadvantages in the presence of advantages: 1. Reduce product innovation. Adopting the Cost Leadership strategy often cuts the cost of developing new products. For the lidl store, the R&amp;D fee is an extra charge. As a result of cutting back on research and development of new products, the new products or services that lidl stores have entered the market are becoming less and less, and the opportunities for innovation in lidl stores will be less and less. 2.lidl store is very easy to be affected by low-cost operators. If the cost of the cost operator fluctuates greatly, the impact on the lidl store will be greater, and the price fluctuation of the commodity will be greater, which will reduce the customer's loyalty..(Regoli,2018）</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p>
    <w:p>
      <w:pPr>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p>
    <w:p>
      <w:pPr>
        <w:numPr>
          <w:ilvl w:val="0"/>
          <w:numId w:val="0"/>
        </w:numPr>
        <w:spacing w:beforeLines="0" w:after="200" w:afterLines="0" w:line="276" w:lineRule="auto"/>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4.CONCLUSION</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Lidl store uses the Cost Leadership Strategy in porter's generic strategy. Using this strategy not only brings benefits to the Lidl store, but also has certain shortcomings. First this strategy determines the market position of the Lidl store and effectively guarantees the Lidl store's profit. But The Cost Leadership Strategy used by the Lidl store also results in a slow product innovation capability of the Lidl store and will provide lower-quality products to the market, which is not conducive to the image of the Lidl store.</w:t>
      </w:r>
    </w:p>
    <w:p>
      <w:pPr>
        <w:numPr>
          <w:ilvl w:val="0"/>
          <w:numId w:val="0"/>
        </w:numPr>
        <w:spacing w:beforeLines="0" w:after="200" w:afterLines="0" w:line="276"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4.1 RECOMMENDATIONS</w:t>
      </w:r>
    </w:p>
    <w:p>
      <w:pPr>
        <w:numPr>
          <w:ilvl w:val="0"/>
          <w:numId w:val="0"/>
        </w:numPr>
        <w:spacing w:beforeLines="0" w:after="200" w:afterLines="0" w:line="276" w:lineRule="auto"/>
        <w:ind w:leftChars="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Due to the Cost Leadership strategy adopted by the lidl store, the price of the products it sells is lower, so for the customer, the positioning of the lidl store is in the market position of selling low-end products, so the lidl store can cooperate with other high-end companies. For example, clothing companies, high-end daily necessities companies, etc. It is can promote the image of the lidl store, and help the lidl store to increase the market positioning of its products. Since the lidl store has significantly reduced the research and development costs of new products, the new products of the lidl store are slower and tend to cause lower customer loyalty. Therefore, the lidl store can increase the research and development costs of its products, or with other R&amp;D. Product organizations cooperate to outsource product development, thereby minimizing the research and development costs of their products, and increasing the company's product research and development to ensure the company's product competitiveness in the market. And the Cost Leadership strategy is very easy to follow by other companies, because other companies will follow the lidl store strategy and start copying the technology to lower the price after seeing the success of the strategy in the lidl store, so the benefits of this strategy are only Temporarily, the future is likely to cause price wars, which will put some pressure on the lidl store and impact the market share of the lidl store, so the lidl store needs to innovate new strategies and analyze the current market demand to adjust itself.</w:t>
      </w:r>
    </w:p>
    <w:p>
      <w:pPr>
        <w:widowControl w:val="0"/>
        <w:numPr>
          <w:ilvl w:val="0"/>
          <w:numId w:val="0"/>
        </w:numPr>
        <w:spacing w:beforeLines="0" w:after="200" w:afterLines="0" w:line="276" w:lineRule="auto"/>
        <w:jc w:val="left"/>
        <w:rPr>
          <w:rFonts w:hint="default" w:ascii="Times New Roman" w:hAnsi="Times New Roman" w:cs="Times New Roman"/>
          <w:b/>
          <w:bCs/>
          <w:sz w:val="24"/>
          <w:szCs w:val="24"/>
          <w:lang w:val="en-US" w:eastAsia="zh-CN"/>
        </w:rPr>
      </w:pPr>
    </w:p>
    <w:p>
      <w:pPr>
        <w:widowControl w:val="0"/>
        <w:numPr>
          <w:ilvl w:val="0"/>
          <w:numId w:val="0"/>
        </w:numPr>
        <w:spacing w:beforeLines="0" w:after="200" w:afterLines="0" w:line="276" w:lineRule="auto"/>
        <w:jc w:val="left"/>
        <w:rPr>
          <w:rFonts w:hint="default" w:ascii="Times New Roman" w:hAnsi="Times New Roman" w:cs="Times New Roman"/>
          <w:b/>
          <w:bCs/>
          <w:sz w:val="24"/>
          <w:szCs w:val="24"/>
          <w:lang w:val="en-US" w:eastAsia="zh-CN"/>
        </w:rPr>
      </w:pPr>
    </w:p>
    <w:p>
      <w:pPr>
        <w:widowControl w:val="0"/>
        <w:numPr>
          <w:ilvl w:val="0"/>
          <w:numId w:val="0"/>
        </w:numPr>
        <w:spacing w:beforeLines="0" w:after="200" w:afterLines="0" w:line="276" w:lineRule="auto"/>
        <w:jc w:val="left"/>
        <w:rPr>
          <w:rFonts w:hint="default" w:ascii="Times New Roman" w:hAnsi="Times New Roman" w:cs="Times New Roman"/>
          <w:b/>
          <w:bCs/>
          <w:sz w:val="24"/>
          <w:szCs w:val="24"/>
          <w:lang w:val="en-US" w:eastAsia="zh-CN"/>
        </w:rPr>
      </w:pPr>
    </w:p>
    <w:p>
      <w:pPr>
        <w:widowControl w:val="0"/>
        <w:numPr>
          <w:ilvl w:val="0"/>
          <w:numId w:val="0"/>
        </w:numPr>
        <w:spacing w:beforeLines="0" w:after="200" w:afterLines="0" w:line="276" w:lineRule="auto"/>
        <w:jc w:val="left"/>
        <w:rPr>
          <w:rFonts w:hint="default" w:ascii="Times New Roman" w:hAnsi="Times New Roman" w:cs="Times New Roman"/>
          <w:b/>
          <w:bCs/>
          <w:sz w:val="24"/>
          <w:szCs w:val="24"/>
          <w:lang w:val="en-US" w:eastAsia="zh-CN"/>
        </w:rPr>
      </w:pPr>
    </w:p>
    <w:p>
      <w:pPr>
        <w:pStyle w:val="4"/>
        <w:keepNext w:val="0"/>
        <w:keepLines w:val="0"/>
        <w:widowControl/>
        <w:suppressLineNumbers w:val="0"/>
        <w:shd w:val="clear" w:color="auto" w:fill="FFFFFF"/>
        <w:spacing w:before="0" w:beforeAutospacing="0"/>
        <w:ind w:left="0" w:firstLine="0"/>
        <w:jc w:val="left"/>
        <w:rPr>
          <w:rFonts w:hint="default" w:ascii="Times New Roman" w:hAnsi="Times New Roman" w:eastAsia="Open Sans" w:cs="Times New Roman"/>
          <w:b/>
          <w:bCs/>
          <w:i w:val="0"/>
          <w:color w:val="000000"/>
          <w:spacing w:val="0"/>
          <w:sz w:val="24"/>
          <w:szCs w:val="24"/>
          <w:shd w:val="clear" w:color="auto" w:fill="FFFFFF"/>
          <w:lang w:val="en-US" w:eastAsia="zh-CN"/>
        </w:rPr>
      </w:pPr>
    </w:p>
    <w:p>
      <w:pPr>
        <w:pStyle w:val="4"/>
        <w:keepNext w:val="0"/>
        <w:keepLines w:val="0"/>
        <w:widowControl/>
        <w:suppressLineNumbers w:val="0"/>
        <w:shd w:val="clear" w:color="auto" w:fill="FFFFFF"/>
        <w:spacing w:before="0" w:beforeAutospacing="0"/>
        <w:ind w:left="0" w:firstLine="0"/>
        <w:jc w:val="left"/>
        <w:rPr>
          <w:rFonts w:hint="default" w:ascii="Times New Roman" w:hAnsi="Times New Roman" w:eastAsia="Open Sans" w:cs="Times New Roman"/>
          <w:b/>
          <w:bCs/>
          <w:i w:val="0"/>
          <w:caps w:val="0"/>
          <w:color w:val="000000"/>
          <w:spacing w:val="0"/>
          <w:sz w:val="24"/>
          <w:szCs w:val="24"/>
          <w:shd w:val="clear" w:color="auto" w:fill="FFFFFF"/>
          <w:lang w:val="en-US" w:eastAsia="zh-CN"/>
        </w:rPr>
      </w:pPr>
      <w:r>
        <w:rPr>
          <w:rFonts w:hint="default" w:ascii="Times New Roman" w:hAnsi="Times New Roman" w:eastAsia="Open Sans" w:cs="Times New Roman"/>
          <w:b/>
          <w:bCs/>
          <w:i w:val="0"/>
          <w:color w:val="000000"/>
          <w:spacing w:val="0"/>
          <w:sz w:val="24"/>
          <w:szCs w:val="24"/>
          <w:shd w:val="clear" w:color="auto" w:fill="FFFFFF"/>
          <w:lang w:val="en-US" w:eastAsia="zh-CN"/>
        </w:rPr>
        <w:t>5 R</w:t>
      </w:r>
      <w:r>
        <w:rPr>
          <w:rFonts w:hint="default" w:ascii="Times New Roman" w:hAnsi="Times New Roman" w:eastAsia="Open Sans" w:cs="Times New Roman"/>
          <w:b/>
          <w:bCs/>
          <w:i w:val="0"/>
          <w:caps w:val="0"/>
          <w:color w:val="000000"/>
          <w:spacing w:val="0"/>
          <w:sz w:val="24"/>
          <w:szCs w:val="24"/>
          <w:shd w:val="clear" w:color="auto" w:fill="FFFFFF"/>
          <w:lang w:val="en-US" w:eastAsia="zh-CN"/>
        </w:rPr>
        <w:t>eference</w:t>
      </w: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Booms, B. H. &amp; Bitner, M. J., 1981. Marketing strategies and organization structures for service firms. In: Marketing of Services. Chicago: American Marketing Association, pp. 47-51[Accessed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Brown, G., 2015. Giant Lidl distribution hub to create 500 West Midlands jobs. [Online] Available at: http://www.birminghampost.co.uk/business/business-news/giant-lidl-distribution-hub-create-8883111[Accessed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 xml:space="preserve">Butler, S., 2014. </w:t>
      </w:r>
      <w:r>
        <w:rPr>
          <w:rFonts w:hint="default" w:ascii="Times New Roman" w:hAnsi="Times New Roman" w:eastAsia="Segoe UI" w:cs="Times New Roman"/>
          <w:i w:val="0"/>
          <w:caps w:val="0"/>
          <w:color w:val="212529"/>
          <w:spacing w:val="0"/>
          <w:sz w:val="24"/>
          <w:szCs w:val="24"/>
          <w:shd w:val="clear" w:fill="FFFFFF"/>
        </w:rPr>
        <w:t> </w:t>
      </w:r>
      <w:r>
        <w:rPr>
          <w:rStyle w:val="7"/>
          <w:rFonts w:hint="default" w:ascii="Times New Roman" w:hAnsi="Times New Roman" w:eastAsia="Segoe UI" w:cs="Times New Roman"/>
          <w:caps w:val="0"/>
          <w:color w:val="212529"/>
          <w:spacing w:val="0"/>
          <w:sz w:val="24"/>
          <w:szCs w:val="24"/>
          <w:shd w:val="clear" w:fill="FFFFFF"/>
        </w:rPr>
        <w:t>A Lidl bigger: £1.5bn store expansion to include self-checkouts and toilets</w:t>
      </w:r>
      <w:r>
        <w:rPr>
          <w:rFonts w:hint="default" w:ascii="Times New Roman" w:hAnsi="Times New Roman" w:eastAsia="Segoe UI" w:cs="Times New Roman"/>
          <w:i w:val="0"/>
          <w:caps w:val="0"/>
          <w:color w:val="212529"/>
          <w:spacing w:val="0"/>
          <w:sz w:val="24"/>
          <w:szCs w:val="24"/>
          <w:shd w:val="clear" w:fill="FFFFFF"/>
        </w:rPr>
        <w:t> </w:t>
      </w:r>
      <w:r>
        <w:rPr>
          <w:rFonts w:hint="default" w:ascii="Times New Roman" w:hAnsi="Times New Roman" w:eastAsia="Open Sans" w:cs="Times New Roman"/>
          <w:i w:val="0"/>
          <w:caps w:val="0"/>
          <w:color w:val="000000"/>
          <w:spacing w:val="0"/>
          <w:sz w:val="24"/>
          <w:szCs w:val="24"/>
          <w:shd w:val="clear" w:color="auto" w:fill="FFFFFF"/>
          <w:lang w:val="en-US" w:eastAsia="zh-CN"/>
        </w:rPr>
        <w:t>[Online] Available at: http://www.theguardian.com/business/2014/jun/27/lidl-launches-store-expansion-programme[Accessed 21 Nov. 2019].</w:t>
      </w:r>
    </w:p>
    <w:p>
      <w:pPr>
        <w:pStyle w:val="4"/>
        <w:keepNext w:val="0"/>
        <w:keepLines w:val="0"/>
        <w:widowControl/>
        <w:suppressLineNumbers w:val="0"/>
        <w:shd w:val="clear" w:color="auto" w:fill="FFFFFF"/>
        <w:spacing w:before="0" w:beforeAutospacing="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Dolgui, A. &amp; Proth, J. M., 2010. Pricing strategies and models. Annual Reviews in Control, 34(1), pp. 101-110[Accessed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b w:val="0"/>
          <w:bCs w:val="0"/>
          <w:i w:val="0"/>
          <w:iCs w:val="0"/>
          <w:caps w:val="0"/>
          <w:color w:val="auto"/>
          <w:spacing w:val="0"/>
          <w:sz w:val="24"/>
          <w:szCs w:val="24"/>
          <w:shd w:val="clear" w:color="auto" w:fill="FFFFFF"/>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rPr>
        <w:t>European supermarket magazine. (2017) </w:t>
      </w:r>
      <w:r>
        <w:rPr>
          <w:rStyle w:val="7"/>
          <w:rFonts w:hint="default" w:ascii="Times New Roman" w:hAnsi="Times New Roman" w:eastAsia="Segoe UI" w:cs="Times New Roman"/>
          <w:b w:val="0"/>
          <w:bCs w:val="0"/>
          <w:i w:val="0"/>
          <w:iCs w:val="0"/>
          <w:caps w:val="0"/>
          <w:color w:val="auto"/>
          <w:spacing w:val="0"/>
          <w:sz w:val="24"/>
          <w:szCs w:val="24"/>
          <w:shd w:val="clear" w:fill="FFFFFF"/>
        </w:rPr>
        <w:t>Lidl UK Launches New Ad Campaign: Big On Quality, Lidl On Price</w:t>
      </w:r>
      <w:r>
        <w:rPr>
          <w:rFonts w:hint="default" w:ascii="Times New Roman" w:hAnsi="Times New Roman" w:eastAsia="Segoe UI" w:cs="Times New Roman"/>
          <w:b w:val="0"/>
          <w:bCs w:val="0"/>
          <w:i w:val="0"/>
          <w:iCs w:val="0"/>
          <w:caps w:val="0"/>
          <w:color w:val="auto"/>
          <w:spacing w:val="0"/>
          <w:sz w:val="24"/>
          <w:szCs w:val="24"/>
          <w:shd w:val="clear" w:fill="FFFFFF"/>
        </w:rPr>
        <w:t> [online] Available from: </w:t>
      </w:r>
      <w:r>
        <w:rPr>
          <w:rFonts w:hint="default" w:ascii="Times New Roman" w:hAnsi="Times New Roman" w:eastAsia="Segoe UI" w:cs="Times New Roman"/>
          <w:b w:val="0"/>
          <w:bCs w:val="0"/>
          <w:i w:val="0"/>
          <w:iCs w:val="0"/>
          <w:caps w:val="0"/>
          <w:color w:val="auto"/>
          <w:spacing w:val="0"/>
          <w:sz w:val="24"/>
          <w:szCs w:val="24"/>
          <w:u w:val="none"/>
          <w:shd w:val="clear" w:fill="FFFFFF"/>
        </w:rPr>
        <w:fldChar w:fldCharType="begin"/>
      </w:r>
      <w:r>
        <w:rPr>
          <w:rFonts w:hint="default" w:ascii="Times New Roman" w:hAnsi="Times New Roman" w:eastAsia="Segoe UI" w:cs="Times New Roman"/>
          <w:b w:val="0"/>
          <w:bCs w:val="0"/>
          <w:i w:val="0"/>
          <w:iCs w:val="0"/>
          <w:caps w:val="0"/>
          <w:color w:val="auto"/>
          <w:spacing w:val="0"/>
          <w:sz w:val="24"/>
          <w:szCs w:val="24"/>
          <w:u w:val="none"/>
          <w:shd w:val="clear" w:fill="FFFFFF"/>
        </w:rPr>
        <w:instrText xml:space="preserve"> HYPERLINK "https://www.esmmagazine.com/lidl-uk-launches-new-ad-campaign-big-quality-lidl-price/37006" </w:instrText>
      </w:r>
      <w:r>
        <w:rPr>
          <w:rFonts w:hint="default" w:ascii="Times New Roman" w:hAnsi="Times New Roman" w:eastAsia="Segoe UI" w:cs="Times New Roman"/>
          <w:b w:val="0"/>
          <w:bCs w:val="0"/>
          <w:i w:val="0"/>
          <w:iCs w:val="0"/>
          <w:caps w:val="0"/>
          <w:color w:val="auto"/>
          <w:spacing w:val="0"/>
          <w:sz w:val="24"/>
          <w:szCs w:val="24"/>
          <w:u w:val="none"/>
          <w:shd w:val="clear" w:fill="FFFFFF"/>
        </w:rPr>
        <w:fldChar w:fldCharType="separate"/>
      </w:r>
      <w:r>
        <w:rPr>
          <w:rStyle w:val="8"/>
          <w:rFonts w:hint="default" w:ascii="Times New Roman" w:hAnsi="Times New Roman" w:eastAsia="Segoe UI" w:cs="Times New Roman"/>
          <w:b w:val="0"/>
          <w:bCs w:val="0"/>
          <w:i w:val="0"/>
          <w:iCs w:val="0"/>
          <w:caps w:val="0"/>
          <w:color w:val="auto"/>
          <w:spacing w:val="0"/>
          <w:sz w:val="24"/>
          <w:szCs w:val="24"/>
          <w:u w:val="none"/>
          <w:shd w:val="clear" w:fill="FFFFFF"/>
        </w:rPr>
        <w:t>https://www.esmmagazine.com/lidl-uk-launches-new-ad-campaign-big-quality-lidl-price/37006</w:t>
      </w:r>
      <w:r>
        <w:rPr>
          <w:rFonts w:hint="default" w:ascii="Times New Roman" w:hAnsi="Times New Roman" w:eastAsia="Segoe UI" w:cs="Times New Roman"/>
          <w:b w:val="0"/>
          <w:bCs w:val="0"/>
          <w:i w:val="0"/>
          <w:iCs w:val="0"/>
          <w:caps w:val="0"/>
          <w:color w:val="auto"/>
          <w:spacing w:val="0"/>
          <w:sz w:val="24"/>
          <w:szCs w:val="24"/>
          <w:u w:val="none"/>
          <w:shd w:val="clear" w:fill="FFFFFF"/>
        </w:rPr>
        <w:fldChar w:fldCharType="end"/>
      </w:r>
      <w:r>
        <w:rPr>
          <w:rFonts w:hint="default" w:ascii="Times New Roman" w:hAnsi="Times New Roman" w:eastAsia="Segoe UI" w:cs="Times New Roman"/>
          <w:b w:val="0"/>
          <w:bCs w:val="0"/>
          <w:i w:val="0"/>
          <w:iCs w:val="0"/>
          <w:caps w:val="0"/>
          <w:color w:val="auto"/>
          <w:spacing w:val="0"/>
          <w:sz w:val="24"/>
          <w:szCs w:val="24"/>
          <w:u w:val="none"/>
          <w:shd w:val="clear" w:fill="FFFFFF"/>
        </w:rPr>
        <w:t> </w:t>
      </w:r>
      <w:r>
        <w:rPr>
          <w:rFonts w:hint="default" w:ascii="Times New Roman" w:hAnsi="Times New Roman" w:eastAsia="Open Sans" w:cs="Times New Roman"/>
          <w:i w:val="0"/>
          <w:iCs w:val="0"/>
          <w:caps w:val="0"/>
          <w:color w:val="000000"/>
          <w:spacing w:val="0"/>
          <w:sz w:val="24"/>
          <w:szCs w:val="24"/>
          <w:shd w:val="clear" w:color="auto" w:fill="FFFFFF"/>
          <w:lang w:val="en-US" w:eastAsia="zh-CN"/>
        </w:rPr>
        <w:t>[Accessed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Felsted, A., 2014. Lidl expansion to crank up pressure on big stores. [Online] Available at: http://www.ft.com/cms/s/0/2465c426-fd53-11e3-bc93-00144feab7de.html#axzz3giD80B9c[Accessed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Segoe UI" w:cs="Times New Roman"/>
          <w:i w:val="0"/>
          <w:caps w:val="0"/>
          <w:color w:val="000000" w:themeColor="text1"/>
          <w:spacing w:val="0"/>
          <w:sz w:val="24"/>
          <w:szCs w:val="24"/>
          <w:shd w:val="clear" w:fill="FFFFFF"/>
          <w14:textFill>
            <w14:solidFill>
              <w14:schemeClr w14:val="tx1"/>
            </w14:solidFill>
          </w14:textFill>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themeColor="text1"/>
          <w:spacing w:val="0"/>
          <w:sz w:val="24"/>
          <w:szCs w:val="24"/>
          <w:shd w:val="clear" w:color="auto" w:fill="FFFFFF"/>
          <w:lang w:val="en-US" w:eastAsia="zh-CN"/>
          <w14:textFill>
            <w14:solidFill>
              <w14:schemeClr w14:val="tx1"/>
            </w14:solidFill>
          </w14:textFill>
        </w:rPr>
      </w:pPr>
      <w:r>
        <w:rPr>
          <w:rFonts w:hint="default" w:ascii="Times New Roman" w:hAnsi="Times New Roman" w:eastAsia="Segoe UI" w:cs="Times New Roman"/>
          <w:i w:val="0"/>
          <w:caps w:val="0"/>
          <w:color w:val="000000" w:themeColor="text1"/>
          <w:spacing w:val="0"/>
          <w:sz w:val="24"/>
          <w:szCs w:val="24"/>
          <w:shd w:val="clear" w:fill="FFFFFF"/>
          <w14:textFill>
            <w14:solidFill>
              <w14:schemeClr w14:val="tx1"/>
            </w14:solidFill>
          </w14:textFill>
        </w:rPr>
        <w:t xml:space="preserve">Felsted, A </w:t>
      </w:r>
      <w:r>
        <w:rPr>
          <w:rFonts w:hint="default" w:ascii="Times New Roman" w:hAnsi="Times New Roman" w:cs="Times New Roman"/>
          <w:i w:val="0"/>
          <w:caps w:val="0"/>
          <w:color w:val="000000" w:themeColor="text1"/>
          <w:spacing w:val="0"/>
          <w:sz w:val="24"/>
          <w:szCs w:val="24"/>
          <w:shd w:val="clear" w:fill="FFFFFF"/>
          <w:lang w:val="en-US" w:eastAsia="zh-CN"/>
          <w14:textFill>
            <w14:solidFill>
              <w14:schemeClr w14:val="tx1"/>
            </w14:solidFill>
          </w14:textFill>
        </w:rPr>
        <w:t>,</w:t>
      </w:r>
      <w:r>
        <w:rPr>
          <w:rFonts w:hint="default" w:ascii="Times New Roman" w:hAnsi="Times New Roman" w:eastAsia="Segoe UI" w:cs="Times New Roman"/>
          <w:i w:val="0"/>
          <w:caps w:val="0"/>
          <w:color w:val="000000" w:themeColor="text1"/>
          <w:spacing w:val="0"/>
          <w:sz w:val="24"/>
          <w:szCs w:val="24"/>
          <w:shd w:val="clear" w:fill="FFFFFF"/>
          <w14:textFill>
            <w14:solidFill>
              <w14:schemeClr w14:val="tx1"/>
            </w14:solidFill>
          </w14:textFill>
        </w:rPr>
        <w:t>2014</w:t>
      </w:r>
      <w:r>
        <w:rPr>
          <w:rFonts w:hint="default" w:ascii="Times New Roman" w:hAnsi="Times New Roman" w:cs="Times New Roman"/>
          <w:i w:val="0"/>
          <w:caps w:val="0"/>
          <w:color w:val="000000" w:themeColor="text1"/>
          <w:spacing w:val="0"/>
          <w:sz w:val="24"/>
          <w:szCs w:val="24"/>
          <w:shd w:val="clear" w:fill="FFFFFF"/>
          <w:lang w:val="en-US" w:eastAsia="zh-CN"/>
          <w14:textFill>
            <w14:solidFill>
              <w14:schemeClr w14:val="tx1"/>
            </w14:solidFill>
          </w14:textFill>
        </w:rPr>
        <w:t xml:space="preserve"> </w:t>
      </w:r>
      <w:r>
        <w:rPr>
          <w:rStyle w:val="7"/>
          <w:rFonts w:hint="default" w:ascii="Times New Roman" w:hAnsi="Times New Roman" w:eastAsia="Segoe UI" w:cs="Times New Roman"/>
          <w:caps w:val="0"/>
          <w:color w:val="000000" w:themeColor="text1"/>
          <w:spacing w:val="0"/>
          <w:sz w:val="24"/>
          <w:szCs w:val="24"/>
          <w:shd w:val="clear" w:fill="FFFFFF"/>
          <w14:textFill>
            <w14:solidFill>
              <w14:schemeClr w14:val="tx1"/>
            </w14:solidFill>
          </w14:textFill>
        </w:rPr>
        <w:t>Aldi and Lidl lead charge of discount supermarkets </w:t>
      </w:r>
      <w:r>
        <w:rPr>
          <w:rFonts w:hint="default" w:ascii="Times New Roman" w:hAnsi="Times New Roman" w:eastAsia="Segoe UI" w:cs="Times New Roman"/>
          <w:i w:val="0"/>
          <w:caps w:val="0"/>
          <w:color w:val="000000" w:themeColor="text1"/>
          <w:spacing w:val="0"/>
          <w:sz w:val="24"/>
          <w:szCs w:val="24"/>
          <w:shd w:val="clear" w:fill="FFFFFF"/>
          <w14:textFill>
            <w14:solidFill>
              <w14:schemeClr w14:val="tx1"/>
            </w14:solidFill>
          </w14:textFill>
        </w:rPr>
        <w:t xml:space="preserve">[online] Available </w:t>
      </w:r>
      <w:r>
        <w:rPr>
          <w:rFonts w:hint="default" w:ascii="Times New Roman" w:hAnsi="Times New Roman" w:cs="Times New Roman"/>
          <w:i w:val="0"/>
          <w:caps w:val="0"/>
          <w:color w:val="000000" w:themeColor="text1"/>
          <w:spacing w:val="0"/>
          <w:sz w:val="24"/>
          <w:szCs w:val="24"/>
          <w:shd w:val="clear" w:fill="FFFFFF"/>
          <w:lang w:val="en-US" w:eastAsia="zh-CN"/>
          <w14:textFill>
            <w14:solidFill>
              <w14:schemeClr w14:val="tx1"/>
            </w14:solidFill>
          </w14:textFill>
        </w:rPr>
        <w:t>at</w:t>
      </w:r>
      <w:r>
        <w:rPr>
          <w:rFonts w:hint="default" w:ascii="Times New Roman" w:hAnsi="Times New Roman" w:eastAsia="Segoe UI" w:cs="Times New Roman"/>
          <w:i w:val="0"/>
          <w:caps w:val="0"/>
          <w:color w:val="000000" w:themeColor="text1"/>
          <w:spacing w:val="0"/>
          <w:sz w:val="24"/>
          <w:szCs w:val="24"/>
          <w:shd w:val="clear" w:fill="FFFFFF"/>
          <w14:textFill>
            <w14:solidFill>
              <w14:schemeClr w14:val="tx1"/>
            </w14:solidFill>
          </w14:textFill>
        </w:rPr>
        <w:t>: </w:t>
      </w:r>
      <w:r>
        <w:rPr>
          <w:rFonts w:hint="default" w:ascii="Times New Roman" w:hAnsi="Times New Roman" w:eastAsia="Segoe UI" w:cs="Times New Roman"/>
          <w:i w:val="0"/>
          <w:caps w:val="0"/>
          <w:color w:val="000000" w:themeColor="text1"/>
          <w:spacing w:val="0"/>
          <w:sz w:val="24"/>
          <w:szCs w:val="24"/>
          <w:u w:val="none"/>
          <w:shd w:val="clear" w:fill="FFFFFF"/>
          <w14:textFill>
            <w14:solidFill>
              <w14:schemeClr w14:val="tx1"/>
            </w14:solidFill>
          </w14:textFill>
        </w:rPr>
        <w:fldChar w:fldCharType="begin"/>
      </w:r>
      <w:r>
        <w:rPr>
          <w:rFonts w:hint="default" w:ascii="Times New Roman" w:hAnsi="Times New Roman" w:eastAsia="Segoe UI" w:cs="Times New Roman"/>
          <w:i w:val="0"/>
          <w:caps w:val="0"/>
          <w:color w:val="000000" w:themeColor="text1"/>
          <w:spacing w:val="0"/>
          <w:sz w:val="24"/>
          <w:szCs w:val="24"/>
          <w:u w:val="none"/>
          <w:shd w:val="clear" w:fill="FFFFFF"/>
          <w14:textFill>
            <w14:solidFill>
              <w14:schemeClr w14:val="tx1"/>
            </w14:solidFill>
          </w14:textFill>
        </w:rPr>
        <w:instrText xml:space="preserve"> HYPERLINK "https://www.ft.com/content/cbdf0bfa-fd61-11e3-bc93-00144feab7de" </w:instrText>
      </w:r>
      <w:r>
        <w:rPr>
          <w:rFonts w:hint="default" w:ascii="Times New Roman" w:hAnsi="Times New Roman" w:eastAsia="Segoe UI" w:cs="Times New Roman"/>
          <w:i w:val="0"/>
          <w:caps w:val="0"/>
          <w:color w:val="000000" w:themeColor="text1"/>
          <w:spacing w:val="0"/>
          <w:sz w:val="24"/>
          <w:szCs w:val="24"/>
          <w:u w:val="none"/>
          <w:shd w:val="clear" w:fill="FFFFFF"/>
          <w14:textFill>
            <w14:solidFill>
              <w14:schemeClr w14:val="tx1"/>
            </w14:solidFill>
          </w14:textFill>
        </w:rPr>
        <w:fldChar w:fldCharType="separate"/>
      </w:r>
      <w:r>
        <w:rPr>
          <w:rStyle w:val="8"/>
          <w:rFonts w:hint="default" w:ascii="Times New Roman" w:hAnsi="Times New Roman" w:eastAsia="Segoe UI" w:cs="Times New Roman"/>
          <w:i w:val="0"/>
          <w:caps w:val="0"/>
          <w:color w:val="000000" w:themeColor="text1"/>
          <w:spacing w:val="0"/>
          <w:sz w:val="24"/>
          <w:szCs w:val="24"/>
          <w:u w:val="none"/>
          <w:shd w:val="clear" w:fill="FFFFFF"/>
          <w14:textFill>
            <w14:solidFill>
              <w14:schemeClr w14:val="tx1"/>
            </w14:solidFill>
          </w14:textFill>
        </w:rPr>
        <w:t>https://www.ft.com/content/cbdf0bfa-fd61-11e3-bc93-00144feab7de</w:t>
      </w:r>
      <w:r>
        <w:rPr>
          <w:rFonts w:hint="default" w:ascii="Times New Roman" w:hAnsi="Times New Roman" w:eastAsia="Segoe UI" w:cs="Times New Roman"/>
          <w:i w:val="0"/>
          <w:caps w:val="0"/>
          <w:color w:val="000000" w:themeColor="text1"/>
          <w:spacing w:val="0"/>
          <w:sz w:val="24"/>
          <w:szCs w:val="24"/>
          <w:u w:val="none"/>
          <w:shd w:val="clear" w:fill="FFFFFF"/>
          <w14:textFill>
            <w14:solidFill>
              <w14:schemeClr w14:val="tx1"/>
            </w14:solidFill>
          </w14:textFill>
        </w:rPr>
        <w:fldChar w:fldCharType="end"/>
      </w:r>
      <w:r>
        <w:rPr>
          <w:rFonts w:hint="default" w:ascii="Times New Roman" w:hAnsi="Times New Roman" w:eastAsia="Open Sans" w:cs="Times New Roman"/>
          <w:i w:val="0"/>
          <w:caps w:val="0"/>
          <w:color w:val="000000"/>
          <w:spacing w:val="0"/>
          <w:sz w:val="24"/>
          <w:szCs w:val="24"/>
          <w:shd w:val="clear" w:color="auto" w:fill="FFFFFF"/>
          <w:lang w:val="en-US" w:eastAsia="zh-CN"/>
        </w:rPr>
        <w:t>[Accessed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FT, 2015. Half of UK shoppers visited Lidl, Aldi over Xmas. [Online] Available at: http://www.ft.com/fastft/260632/half-of-uk-shoppers-visited-lidl-aldi-over-xmas[Accessed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Garcia, M. (2018). Business Level Strategy Vs. Corporate Level Strategy. [online] Bizfluent.com. Available at: https://bizfluent.com/info-7900064-business-vs-corporate-level-strategy.html [Accessed 19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Hanbury, M. (2017). A German grocery chain that's coming to America is already dominating Walmart on prices — here's why it's so cheap. [online] Business Insider. Available at: https://www.businessinsider.com/how-lidl-keeps-its-prices-down-2017-6?r=US&amp;IR=T#3-it-stocks-fast-moving-items-3 [Accessed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Kuijk, A. (2018). Porter's Generic Strategies, a great strategy tool | ToolsHero. [online] toolshero. Available at: https://www.toolshero.com/strategy/porters-generic-strategies/ [Accessed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Lidl, 2015. Customer orientated expansion. [Online] Available at: http://property.lidl.co.uk/cps/rde/xchg/lidl_uk/hs.xsl/5187.htm[Accessed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Segoe UI" w:cs="Times New Roman"/>
          <w:i w:val="0"/>
          <w:caps w:val="0"/>
          <w:color w:val="212529"/>
          <w:spacing w:val="0"/>
          <w:sz w:val="24"/>
          <w:szCs w:val="24"/>
          <w:shd w:val="clear" w:color="auto" w:fill="FFFFFF"/>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Segoe UI" w:cs="Times New Roman"/>
          <w:i w:val="0"/>
          <w:caps w:val="0"/>
          <w:color w:val="212529"/>
          <w:spacing w:val="0"/>
          <w:sz w:val="24"/>
          <w:szCs w:val="24"/>
          <w:shd w:val="clear" w:color="auto" w:fill="FFFFFF"/>
        </w:rPr>
        <w:t>Lazenby, P (2016) </w:t>
      </w:r>
      <w:r>
        <w:rPr>
          <w:rStyle w:val="7"/>
          <w:rFonts w:hint="default" w:ascii="Times New Roman" w:hAnsi="Times New Roman" w:eastAsia="Segoe UI" w:cs="Times New Roman"/>
          <w:caps w:val="0"/>
          <w:color w:val="212529"/>
          <w:spacing w:val="0"/>
          <w:sz w:val="24"/>
          <w:szCs w:val="24"/>
          <w:shd w:val="clear" w:color="auto" w:fill="FFFFFF"/>
        </w:rPr>
        <w:t>GMB wins Lidl Recognition</w:t>
      </w:r>
      <w:r>
        <w:rPr>
          <w:rFonts w:hint="default" w:ascii="Times New Roman" w:hAnsi="Times New Roman" w:eastAsia="Segoe UI" w:cs="Times New Roman"/>
          <w:i w:val="0"/>
          <w:caps w:val="0"/>
          <w:color w:val="212529"/>
          <w:spacing w:val="0"/>
          <w:sz w:val="24"/>
          <w:szCs w:val="24"/>
          <w:shd w:val="clear" w:color="auto" w:fill="FFFFFF"/>
        </w:rPr>
        <w:t> [online] Available from: https://www.morningstaronline.co.uk/a-ab71-GMB-wins-Lidl-recognition#.WhapYjOcZp9</w:t>
      </w:r>
      <w:r>
        <w:rPr>
          <w:rFonts w:hint="default" w:ascii="Times New Roman" w:hAnsi="Times New Roman" w:eastAsia="Open Sans" w:cs="Times New Roman"/>
          <w:i w:val="0"/>
          <w:caps w:val="0"/>
          <w:color w:val="000000"/>
          <w:spacing w:val="0"/>
          <w:sz w:val="24"/>
          <w:szCs w:val="24"/>
          <w:shd w:val="clear" w:color="auto" w:fill="FFFFFF"/>
          <w:lang w:val="en-US" w:eastAsia="zh-CN"/>
        </w:rPr>
        <w:t>[Accessed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Lidl, 2015.Big on Quality, Lidl on Price [Online] Available at: http://www.lidl.co.uk/en/659.htm[Accessed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Mack, S. (2018). Advantages of the Cost-Leader Strategy. [online] Smallbusiness.chron.com. Available at: https://smallbusiness.chron.com/advantages-costleader-strategy-67155.html [Accessed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Morschett, D., Swoboda, B. &amp; Schramm-Klein, H., 2006. Porter outlines four generic strategies; differentiation, cost leadership, differentiation focus and cost focus (Porter, 1980).. Journal of Retailing and Consumer Services, 13(4), pp. 275-287.</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Porter, M. (2018). Porter's Generic Strategies. [online] Quickmba.com. Available at: http://www.quickmba.com/strategy/generic.shtml [Accessed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Poulter, S., 2014. Aldi and Lidl to force ‘big four’ supermarkets into price war to stop stampede of customers to discount chains. [Online] Available at: http://www.dailymail.co.uk/news/article-2539064/Aldi-Lidl-force-big-four-supermarkets-price-war-stop-stampede-customers-discount-chains.html[Accessed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Regoli, N. (2018). 14 Advantages and Disadvantages of Cost Leadership Styles. [online] FutureofWorking.com. Available at: https://futureofworking.com/14-advantages-and-disadvantages-of-cost-leadership-styles/ [Accessed 21 Nov. 2019].</w:t>
      </w:r>
      <w:bookmarkStart w:id="0" w:name="_GoBack"/>
      <w:bookmarkEnd w:id="0"/>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Ruddick, G., 2015. Supermarkets could increase prices to pay for living wage. [Online] Available at: http://www.telegraph.co.uk/finance/newsbysector/retailandconsumer/11736662/Supermarkets-could-increase-prices-to-pay-for-living-wage.html[Accessed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Siro, I., Kapolna, E., Kapolna, B. &amp; Lugasi, A., 2008. Functional food. Product development, marketing and consumer acceptance—A review. Appetite, 51(3), pp. 456-467[Accessed 21 Nov. 2019].</w:t>
      </w:r>
    </w:p>
    <w:p>
      <w:pPr>
        <w:pStyle w:val="4"/>
        <w:keepNext w:val="0"/>
        <w:keepLines w:val="0"/>
        <w:widowControl/>
        <w:suppressLineNumbers w:val="0"/>
        <w:shd w:val="clear" w:color="auto" w:fill="FFFFFF"/>
        <w:spacing w:before="0" w:beforeAutospacing="0"/>
        <w:ind w:left="0" w:firstLine="0"/>
        <w:jc w:val="both"/>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numPr>
          <w:ilvl w:val="0"/>
          <w:numId w:val="1"/>
        </w:numPr>
        <w:suppressLineNumbers w:val="0"/>
        <w:shd w:val="clear" w:color="auto" w:fill="FFFFFF"/>
        <w:spacing w:before="0" w:beforeAutospacing="0"/>
        <w:ind w:left="425" w:leftChars="0" w:hanging="425" w:firstLineChars="0"/>
        <w:jc w:val="both"/>
        <w:rPr>
          <w:rFonts w:hint="default" w:ascii="Times New Roman" w:hAnsi="Times New Roman" w:eastAsia="Open Sans" w:cs="Times New Roman"/>
          <w:i w:val="0"/>
          <w:caps w:val="0"/>
          <w:color w:val="000000"/>
          <w:spacing w:val="0"/>
          <w:sz w:val="24"/>
          <w:szCs w:val="24"/>
          <w:shd w:val="clear" w:color="auto" w:fill="FFFFFF"/>
          <w:lang w:val="en-US" w:eastAsia="zh-CN"/>
        </w:rPr>
      </w:pPr>
      <w:r>
        <w:rPr>
          <w:rFonts w:hint="default" w:ascii="Times New Roman" w:hAnsi="Times New Roman" w:eastAsia="Open Sans" w:cs="Times New Roman"/>
          <w:i w:val="0"/>
          <w:caps w:val="0"/>
          <w:color w:val="000000"/>
          <w:spacing w:val="0"/>
          <w:sz w:val="24"/>
          <w:szCs w:val="24"/>
          <w:shd w:val="clear" w:color="auto" w:fill="FFFFFF"/>
          <w:lang w:val="en-US" w:eastAsia="zh-CN"/>
        </w:rPr>
        <w:t xml:space="preserve">Vizard, S. (2017) Lidl reveals ‘Big on quality, Lidl on price’ strapline[online] Available from:  https://www.marketingweek.com/2017/01/03/lidl-reveals-new-big-quality-lidl-price-tagline[Accessed 21 Nov. 2019].   </w:t>
      </w:r>
    </w:p>
    <w:p>
      <w:pPr>
        <w:pStyle w:val="4"/>
        <w:keepNext w:val="0"/>
        <w:keepLines w:val="0"/>
        <w:widowControl/>
        <w:suppressLineNumbers w:val="0"/>
        <w:shd w:val="clear" w:color="auto" w:fill="FFFFFF"/>
        <w:spacing w:before="0" w:beforeAutospacing="0"/>
        <w:ind w:left="0" w:firstLine="0"/>
        <w:jc w:val="left"/>
        <w:rPr>
          <w:rFonts w:hint="default" w:ascii="Times New Roman" w:hAnsi="Times New Roman" w:eastAsia="Open Sans" w:cs="Times New Roman"/>
          <w:i w:val="0"/>
          <w:caps w:val="0"/>
          <w:color w:val="000000"/>
          <w:spacing w:val="0"/>
          <w:sz w:val="24"/>
          <w:szCs w:val="24"/>
          <w:shd w:val="clear" w:color="auto" w:fill="FFFFFF"/>
          <w:lang w:val="en-US" w:eastAsia="zh-CN"/>
        </w:rPr>
      </w:pPr>
    </w:p>
    <w:p>
      <w:pPr>
        <w:pStyle w:val="4"/>
        <w:keepNext w:val="0"/>
        <w:keepLines w:val="0"/>
        <w:widowControl/>
        <w:suppressLineNumbers w:val="0"/>
        <w:shd w:val="clear" w:color="auto" w:fill="FFFFFF"/>
        <w:spacing w:before="0" w:beforeAutospacing="0"/>
        <w:ind w:left="0" w:firstLine="0"/>
        <w:jc w:val="left"/>
        <w:rPr>
          <w:rFonts w:hint="default" w:ascii="Times New Roman" w:hAnsi="Times New Roman" w:eastAsia="Open Sans" w:cs="Times New Roman"/>
          <w:i w:val="0"/>
          <w:caps w:val="0"/>
          <w:color w:val="000000"/>
          <w:spacing w:val="0"/>
          <w:sz w:val="24"/>
          <w:szCs w:val="24"/>
          <w:shd w:val="clear" w:color="auto" w:fill="FFFFFF"/>
          <w:lang w:val="en-US" w:eastAsia="zh-CN"/>
        </w:rPr>
      </w:pPr>
    </w:p>
    <w:sectPr>
      <w:footerReference r:id="rId4" w:type="default"/>
      <w:pgSz w:w="11906" w:h="16838"/>
      <w:pgMar w:top="1440" w:right="1800" w:bottom="1440" w:left="1800" w:header="851" w:footer="992" w:gutter="0"/>
      <w:pgNumType w:fmt="decimal" w:start="1"/>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Open Sans">
    <w:panose1 w:val="020B0606030504020204"/>
    <w:charset w:val="00"/>
    <w:family w:val="auto"/>
    <w:pitch w:val="default"/>
    <w:sig w:usb0="E00002EF" w:usb1="4000205B" w:usb2="00000028" w:usb3="00000000" w:csb0="2000019F" w:csb1="00000000"/>
  </w:font>
  <w:font w:name="Verdana">
    <w:panose1 w:val="020B0604030504040204"/>
    <w:charset w:val="00"/>
    <w:family w:val="swiss"/>
    <w:pitch w:val="default"/>
    <w:sig w:usb0="A10006FF" w:usb1="4000205B" w:usb2="00000010" w:usb3="00000000" w:csb0="2000019F" w:csb1="00000000"/>
  </w:font>
  <w:font w:name="Cambria">
    <w:panose1 w:val="02040503050406030204"/>
    <w:charset w:val="00"/>
    <w:family w:val="auto"/>
    <w:pitch w:val="default"/>
    <w:sig w:usb0="E00002FF" w:usb1="400004FF" w:usb2="00000000" w:usb3="00000000" w:csb0="2000019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pPr>
                            <w:pStyle w:val="2"/>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vert="horz" wrap="none" lIns="0" tIns="0" rIns="0" bIns="0" anchor="t" upright="0">
                      <a:spAutoFit/>
                    </wps:bodyPr>
                  </wps:wsp>
                </a:graphicData>
              </a:graphic>
            </wp:anchor>
          </w:drawing>
        </mc:Choice>
        <mc:Fallback>
          <w:pict>
            <v:shape id="文本框 1"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">
              <v:fill on="f" focussize="0,0"/>
              <v:stroke on="f"/>
              <v:imagedata o:title=""/>
              <o:lock v:ext="edit" aspectratio="f"/>
              <v:textbox inset="0mm,0mm,0mm,0mm" style="mso-fit-shape-to-text:t;">
                <w:txbxContent>
                  <w:p>
                    <w:pPr>
                      <w:pStyle w:val="2"/>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5377E33"/>
    <w:multiLevelType w:val="singleLevel"/>
    <w:tmpl w:val="E5377E33"/>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bordersDoNotSurroundHeader w:val="0"/>
  <w:bordersDoNotSurroundFooter w:val="0"/>
  <w:documentProtection w:enforcement="0"/>
  <w:defaultTabStop w:val="420"/>
  <w:hyphenationZone w:val="36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03F636E"/>
    <w:rsid w:val="00DA52B0"/>
    <w:rsid w:val="01380378"/>
    <w:rsid w:val="0182333A"/>
    <w:rsid w:val="03AC60F8"/>
    <w:rsid w:val="04066A6D"/>
    <w:rsid w:val="04496D83"/>
    <w:rsid w:val="05774339"/>
    <w:rsid w:val="05ED31DC"/>
    <w:rsid w:val="06AF7CD3"/>
    <w:rsid w:val="06C750F7"/>
    <w:rsid w:val="06E36228"/>
    <w:rsid w:val="0726488C"/>
    <w:rsid w:val="073C0996"/>
    <w:rsid w:val="07A60BF7"/>
    <w:rsid w:val="081714A8"/>
    <w:rsid w:val="085611EF"/>
    <w:rsid w:val="08A36889"/>
    <w:rsid w:val="093509CA"/>
    <w:rsid w:val="09732ED6"/>
    <w:rsid w:val="09990828"/>
    <w:rsid w:val="0A0D150B"/>
    <w:rsid w:val="0AC93A37"/>
    <w:rsid w:val="0AD7707A"/>
    <w:rsid w:val="0B945CCF"/>
    <w:rsid w:val="0B952E5D"/>
    <w:rsid w:val="0C157C31"/>
    <w:rsid w:val="0C1F3EDD"/>
    <w:rsid w:val="0CA130B6"/>
    <w:rsid w:val="0CEB7001"/>
    <w:rsid w:val="0D164F7E"/>
    <w:rsid w:val="0D54555B"/>
    <w:rsid w:val="0D9F4E91"/>
    <w:rsid w:val="0DB173C0"/>
    <w:rsid w:val="0E323B54"/>
    <w:rsid w:val="0E6F050E"/>
    <w:rsid w:val="0F392090"/>
    <w:rsid w:val="0F6625BB"/>
    <w:rsid w:val="0F992487"/>
    <w:rsid w:val="0FB150D1"/>
    <w:rsid w:val="0FC94934"/>
    <w:rsid w:val="10722859"/>
    <w:rsid w:val="10AA7B56"/>
    <w:rsid w:val="10BF76E1"/>
    <w:rsid w:val="10E823F8"/>
    <w:rsid w:val="10F45B3C"/>
    <w:rsid w:val="114B3320"/>
    <w:rsid w:val="1162306F"/>
    <w:rsid w:val="11CB1209"/>
    <w:rsid w:val="11E85515"/>
    <w:rsid w:val="123F1FF8"/>
    <w:rsid w:val="124A1834"/>
    <w:rsid w:val="127F637E"/>
    <w:rsid w:val="132950C3"/>
    <w:rsid w:val="13377BF9"/>
    <w:rsid w:val="13556AB2"/>
    <w:rsid w:val="135E2863"/>
    <w:rsid w:val="13DB62FE"/>
    <w:rsid w:val="13ED1D02"/>
    <w:rsid w:val="14715D24"/>
    <w:rsid w:val="14757ED5"/>
    <w:rsid w:val="14867C15"/>
    <w:rsid w:val="14A95FE1"/>
    <w:rsid w:val="15617439"/>
    <w:rsid w:val="15B53711"/>
    <w:rsid w:val="15C90E39"/>
    <w:rsid w:val="15D73D6A"/>
    <w:rsid w:val="166E0420"/>
    <w:rsid w:val="166F19E1"/>
    <w:rsid w:val="170758E3"/>
    <w:rsid w:val="1817128F"/>
    <w:rsid w:val="18471FE4"/>
    <w:rsid w:val="19120F80"/>
    <w:rsid w:val="19446EFD"/>
    <w:rsid w:val="194B754D"/>
    <w:rsid w:val="198D5D66"/>
    <w:rsid w:val="19A35CE4"/>
    <w:rsid w:val="1A043BBD"/>
    <w:rsid w:val="1A191D4B"/>
    <w:rsid w:val="1A2C4B53"/>
    <w:rsid w:val="1AFA3230"/>
    <w:rsid w:val="1B5D308F"/>
    <w:rsid w:val="1BBD65EE"/>
    <w:rsid w:val="1C101C57"/>
    <w:rsid w:val="1C4616A9"/>
    <w:rsid w:val="1C720EAD"/>
    <w:rsid w:val="1D07240B"/>
    <w:rsid w:val="1D1246AE"/>
    <w:rsid w:val="1D3F48F3"/>
    <w:rsid w:val="1E0066C0"/>
    <w:rsid w:val="1E083B66"/>
    <w:rsid w:val="1E4F2CA2"/>
    <w:rsid w:val="1E654B52"/>
    <w:rsid w:val="1E8979AB"/>
    <w:rsid w:val="1F892BB2"/>
    <w:rsid w:val="1FE754DB"/>
    <w:rsid w:val="20156431"/>
    <w:rsid w:val="20267652"/>
    <w:rsid w:val="20E72382"/>
    <w:rsid w:val="218F6C0F"/>
    <w:rsid w:val="22813668"/>
    <w:rsid w:val="242D51CB"/>
    <w:rsid w:val="24385DE6"/>
    <w:rsid w:val="24392A08"/>
    <w:rsid w:val="24780C5B"/>
    <w:rsid w:val="2495523A"/>
    <w:rsid w:val="26836684"/>
    <w:rsid w:val="27733BB3"/>
    <w:rsid w:val="280D608D"/>
    <w:rsid w:val="281A2E48"/>
    <w:rsid w:val="28793212"/>
    <w:rsid w:val="28842191"/>
    <w:rsid w:val="29132AAA"/>
    <w:rsid w:val="29FA54E3"/>
    <w:rsid w:val="29FB3FE4"/>
    <w:rsid w:val="2A8F7141"/>
    <w:rsid w:val="2AB45C2B"/>
    <w:rsid w:val="2AEA54C8"/>
    <w:rsid w:val="2B076060"/>
    <w:rsid w:val="2B387163"/>
    <w:rsid w:val="2BA11218"/>
    <w:rsid w:val="2BF35D31"/>
    <w:rsid w:val="2C535785"/>
    <w:rsid w:val="2E557FC2"/>
    <w:rsid w:val="2E5B5640"/>
    <w:rsid w:val="2F2C39E6"/>
    <w:rsid w:val="2F803F12"/>
    <w:rsid w:val="30810602"/>
    <w:rsid w:val="308C74FA"/>
    <w:rsid w:val="30C26438"/>
    <w:rsid w:val="318A797A"/>
    <w:rsid w:val="31AC19D0"/>
    <w:rsid w:val="323E07D6"/>
    <w:rsid w:val="32937ED3"/>
    <w:rsid w:val="331F4361"/>
    <w:rsid w:val="3323572D"/>
    <w:rsid w:val="33466482"/>
    <w:rsid w:val="348503A0"/>
    <w:rsid w:val="349C4084"/>
    <w:rsid w:val="354925A4"/>
    <w:rsid w:val="35923113"/>
    <w:rsid w:val="35E0295D"/>
    <w:rsid w:val="35F14966"/>
    <w:rsid w:val="36297C1E"/>
    <w:rsid w:val="36762EC8"/>
    <w:rsid w:val="36F02C21"/>
    <w:rsid w:val="37515803"/>
    <w:rsid w:val="38F74B53"/>
    <w:rsid w:val="39024086"/>
    <w:rsid w:val="3A1B095C"/>
    <w:rsid w:val="3A1C6794"/>
    <w:rsid w:val="3AA4239D"/>
    <w:rsid w:val="3B662F28"/>
    <w:rsid w:val="3B6F6373"/>
    <w:rsid w:val="3B73392E"/>
    <w:rsid w:val="3B835CC6"/>
    <w:rsid w:val="3BB32E75"/>
    <w:rsid w:val="3C167D64"/>
    <w:rsid w:val="3CE44BC4"/>
    <w:rsid w:val="3D4C1179"/>
    <w:rsid w:val="3E7959CA"/>
    <w:rsid w:val="3E8A77D2"/>
    <w:rsid w:val="3EC71185"/>
    <w:rsid w:val="3F481CB4"/>
    <w:rsid w:val="405E7973"/>
    <w:rsid w:val="407D1E76"/>
    <w:rsid w:val="40CA2B17"/>
    <w:rsid w:val="40D11CCF"/>
    <w:rsid w:val="40D261B2"/>
    <w:rsid w:val="43A77033"/>
    <w:rsid w:val="43AC7D41"/>
    <w:rsid w:val="43C71E8B"/>
    <w:rsid w:val="44016218"/>
    <w:rsid w:val="44823B04"/>
    <w:rsid w:val="44940112"/>
    <w:rsid w:val="4559590D"/>
    <w:rsid w:val="455D2042"/>
    <w:rsid w:val="457136BE"/>
    <w:rsid w:val="45766B60"/>
    <w:rsid w:val="45940BB1"/>
    <w:rsid w:val="45C70C08"/>
    <w:rsid w:val="46FC45EF"/>
    <w:rsid w:val="46FE38F9"/>
    <w:rsid w:val="472810FA"/>
    <w:rsid w:val="473B2251"/>
    <w:rsid w:val="477E6B76"/>
    <w:rsid w:val="47A449C8"/>
    <w:rsid w:val="47CF746B"/>
    <w:rsid w:val="48177289"/>
    <w:rsid w:val="48340D01"/>
    <w:rsid w:val="48DA41F9"/>
    <w:rsid w:val="493B2545"/>
    <w:rsid w:val="4955297A"/>
    <w:rsid w:val="4A3B108F"/>
    <w:rsid w:val="4AF97DB1"/>
    <w:rsid w:val="4B184DE0"/>
    <w:rsid w:val="4B366BDE"/>
    <w:rsid w:val="4BED13DF"/>
    <w:rsid w:val="4C0025D2"/>
    <w:rsid w:val="4D833B17"/>
    <w:rsid w:val="4D9E0A9B"/>
    <w:rsid w:val="4DC371A4"/>
    <w:rsid w:val="4E271B6D"/>
    <w:rsid w:val="4E4618A0"/>
    <w:rsid w:val="4EAB53A4"/>
    <w:rsid w:val="5016337B"/>
    <w:rsid w:val="50990968"/>
    <w:rsid w:val="51026086"/>
    <w:rsid w:val="51FD2DEE"/>
    <w:rsid w:val="522D250F"/>
    <w:rsid w:val="52DB7212"/>
    <w:rsid w:val="543F272C"/>
    <w:rsid w:val="54EE4367"/>
    <w:rsid w:val="552C76FC"/>
    <w:rsid w:val="558A456D"/>
    <w:rsid w:val="56ED5C5E"/>
    <w:rsid w:val="56EE4471"/>
    <w:rsid w:val="576F5778"/>
    <w:rsid w:val="579F2525"/>
    <w:rsid w:val="57A83B38"/>
    <w:rsid w:val="5833755D"/>
    <w:rsid w:val="58CA4088"/>
    <w:rsid w:val="58E824B8"/>
    <w:rsid w:val="591D62AE"/>
    <w:rsid w:val="59215703"/>
    <w:rsid w:val="59DD1B43"/>
    <w:rsid w:val="59F262BA"/>
    <w:rsid w:val="5A126B24"/>
    <w:rsid w:val="5A9F7B0F"/>
    <w:rsid w:val="5AC23215"/>
    <w:rsid w:val="5B0E39F6"/>
    <w:rsid w:val="5B4F06D0"/>
    <w:rsid w:val="5BF5649E"/>
    <w:rsid w:val="5C3201F9"/>
    <w:rsid w:val="5CD9291C"/>
    <w:rsid w:val="5D4D7B39"/>
    <w:rsid w:val="5E6F25AA"/>
    <w:rsid w:val="5E8C6DCA"/>
    <w:rsid w:val="5E9C1B22"/>
    <w:rsid w:val="5EEA08DB"/>
    <w:rsid w:val="60322542"/>
    <w:rsid w:val="608D13C3"/>
    <w:rsid w:val="611F161B"/>
    <w:rsid w:val="612B129C"/>
    <w:rsid w:val="61CC28B2"/>
    <w:rsid w:val="61D13CED"/>
    <w:rsid w:val="620701E9"/>
    <w:rsid w:val="62143797"/>
    <w:rsid w:val="62425D8F"/>
    <w:rsid w:val="624607E8"/>
    <w:rsid w:val="62D813D7"/>
    <w:rsid w:val="632F240F"/>
    <w:rsid w:val="63E97B12"/>
    <w:rsid w:val="64272270"/>
    <w:rsid w:val="64534F79"/>
    <w:rsid w:val="64B501C1"/>
    <w:rsid w:val="664057F7"/>
    <w:rsid w:val="66A74C5E"/>
    <w:rsid w:val="68203465"/>
    <w:rsid w:val="68674FDB"/>
    <w:rsid w:val="68B15543"/>
    <w:rsid w:val="68D86C5C"/>
    <w:rsid w:val="696C7EB7"/>
    <w:rsid w:val="69F57AE5"/>
    <w:rsid w:val="6A312092"/>
    <w:rsid w:val="6C6E49ED"/>
    <w:rsid w:val="6CBA456D"/>
    <w:rsid w:val="6CEA2B82"/>
    <w:rsid w:val="6D7D34F7"/>
    <w:rsid w:val="6D8C6715"/>
    <w:rsid w:val="6EB3726C"/>
    <w:rsid w:val="6EBE2856"/>
    <w:rsid w:val="70944030"/>
    <w:rsid w:val="70BA28BF"/>
    <w:rsid w:val="70D15401"/>
    <w:rsid w:val="70E923CD"/>
    <w:rsid w:val="72BE63CA"/>
    <w:rsid w:val="72C83871"/>
    <w:rsid w:val="72CB6ADD"/>
    <w:rsid w:val="730037CA"/>
    <w:rsid w:val="73A62BC9"/>
    <w:rsid w:val="73B02E30"/>
    <w:rsid w:val="74043BD6"/>
    <w:rsid w:val="740A50F3"/>
    <w:rsid w:val="74737657"/>
    <w:rsid w:val="74A56FBC"/>
    <w:rsid w:val="75486B03"/>
    <w:rsid w:val="75F23474"/>
    <w:rsid w:val="76407928"/>
    <w:rsid w:val="76662729"/>
    <w:rsid w:val="76F727C7"/>
    <w:rsid w:val="77197455"/>
    <w:rsid w:val="772F3832"/>
    <w:rsid w:val="777A14CA"/>
    <w:rsid w:val="77DB5867"/>
    <w:rsid w:val="781B1913"/>
    <w:rsid w:val="78434D06"/>
    <w:rsid w:val="788F556A"/>
    <w:rsid w:val="790C32BE"/>
    <w:rsid w:val="790F1B6A"/>
    <w:rsid w:val="793B494E"/>
    <w:rsid w:val="79E373A0"/>
    <w:rsid w:val="7ADB3891"/>
    <w:rsid w:val="7B2D334C"/>
    <w:rsid w:val="7BBA0FA3"/>
    <w:rsid w:val="7C970E87"/>
    <w:rsid w:val="7C9E51A1"/>
    <w:rsid w:val="7E41750A"/>
    <w:rsid w:val="7EC974CD"/>
    <w:rsid w:val="7ECB62D4"/>
    <w:rsid w:val="7EF743A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qFormat/>
    <w:uiPriority w:val="0"/>
    <w:pPr>
      <w:spacing w:before="100" w:beforeAutospacing="1" w:after="100" w:afterAutospacing="1"/>
      <w:ind w:left="0" w:right="0"/>
      <w:jc w:val="left"/>
    </w:pPr>
    <w:rPr>
      <w:kern w:val="0"/>
      <w:sz w:val="24"/>
      <w:lang w:val="en-US" w:eastAsia="zh-CN" w:bidi="ar"/>
    </w:rPr>
  </w:style>
  <w:style w:type="character" w:styleId="7">
    <w:name w:val="Emphasis"/>
    <w:basedOn w:val="6"/>
    <w:qFormat/>
    <w:uiPriority w:val="0"/>
    <w:rPr>
      <w:i/>
    </w:rPr>
  </w:style>
  <w:style w:type="character" w:styleId="8">
    <w:name w:val="Hyperlink"/>
    <w:basedOn w:val="6"/>
    <w:qFormat/>
    <w:uiPriority w:val="0"/>
    <w:rPr>
      <w:color w:val="0000FF"/>
      <w:u w:val="single"/>
    </w:rPr>
  </w:style>
  <w:style w:type="character" w:customStyle="1" w:styleId="9">
    <w:name w:val="font41"/>
    <w:basedOn w:val="6"/>
    <w:qFormat/>
    <w:uiPriority w:val="0"/>
    <w:rPr>
      <w:rFonts w:hint="default" w:ascii="Open Sans" w:hAnsi="Open Sans" w:eastAsia="Open Sans" w:cs="Open Sans"/>
      <w:color w:val="000000"/>
      <w:sz w:val="18"/>
      <w:szCs w:val="18"/>
      <w:u w:val="none"/>
    </w:rPr>
  </w:style>
  <w:style w:type="character" w:customStyle="1" w:styleId="10">
    <w:name w:val="font11"/>
    <w:basedOn w:val="6"/>
    <w:qFormat/>
    <w:uiPriority w:val="0"/>
    <w:rPr>
      <w:rFonts w:hint="default" w:ascii="Open Sans" w:hAnsi="Open Sans" w:eastAsia="Open Sans" w:cs="Open Sans"/>
      <w:i/>
      <w:color w:val="000000"/>
      <w:sz w:val="18"/>
      <w:szCs w:val="18"/>
      <w:u w:val="none"/>
    </w:rPr>
  </w:style>
  <w:style w:type="paragraph" w:customStyle="1" w:styleId="11">
    <w:name w:val="WPSOffice手动目录 1"/>
    <w:qFormat/>
    <w:uiPriority w:val="0"/>
    <w:pPr>
      <w:ind w:leftChars="0"/>
    </w:pPr>
    <w:rPr>
      <w:rFonts w:ascii="Times New Roman" w:hAnsi="Times New Roman" w:eastAsia="Times New Roman" w:cs="Times New Roman"/>
      <w:sz w:val="20"/>
      <w:szCs w:val="20"/>
    </w:rPr>
  </w:style>
  <w:style w:type="paragraph" w:customStyle="1" w:styleId="12">
    <w:name w:val="WPSOffice手动目录 2"/>
    <w:qFormat/>
    <w:uiPriority w:val="0"/>
    <w:pPr>
      <w:ind w:leftChars="200"/>
    </w:pPr>
    <w:rPr>
      <w:rFonts w:ascii="Times New Roman" w:hAnsi="Times New Roman" w:eastAsia="Times New Roman" w:cs="Times New Roman"/>
      <w:sz w:val="20"/>
      <w:szCs w:val="20"/>
    </w:rPr>
  </w:style>
  <w:style w:type="paragraph" w:customStyle="1" w:styleId="13">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glossaryDocument" Target="glossary/document.xml"/><Relationship Id="rId10" Type="http://schemas.openxmlformats.org/officeDocument/2006/relationships/fontTable" Target="fontTable.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8f029b22-e171-4ea5-a1c5-5c3848bb15f5}"/>
        <w:style w:val=""/>
        <w:category>
          <w:name w:val="常规"/>
          <w:gallery w:val="placeholder"/>
        </w:category>
        <w:types>
          <w:type w:val="bbPlcHdr"/>
        </w:types>
        <w:behaviors>
          <w:behavior w:val="content"/>
        </w:behaviors>
        <w:description w:val=""/>
        <w:guid w:val="{8f029b22-e171-4ea5-a1c5-5c3848bb15f5}"/>
      </w:docPartPr>
      <w:docPartBody>
        <w:p>
          <w:r>
            <w:rPr>
              <w:color w:val="808080"/>
            </w:rPr>
            <w:t>单击此处输入文字。</w:t>
          </w:r>
        </w:p>
      </w:docPartBody>
    </w:docPart>
    <w:docPart>
      <w:docPartPr>
        <w:name w:val="{c423e5c7-0fb9-4d34-a466-dd4f30fe2e20}"/>
        <w:style w:val=""/>
        <w:category>
          <w:name w:val="常规"/>
          <w:gallery w:val="placeholder"/>
        </w:category>
        <w:types>
          <w:type w:val="bbPlcHdr"/>
        </w:types>
        <w:behaviors>
          <w:behavior w:val="content"/>
        </w:behaviors>
        <w:description w:val=""/>
        <w:guid w:val="{c423e5c7-0fb9-4d34-a466-dd4f30fe2e20}"/>
      </w:docPartPr>
      <w:docPartBody>
        <w:p>
          <w:r>
            <w:rPr>
              <w:color w:val="808080"/>
            </w:rPr>
            <w:t>单击此处输入文字。</w:t>
          </w:r>
        </w:p>
      </w:docPartBody>
    </w:docPart>
    <w:docPart>
      <w:docPartPr>
        <w:name w:val="{b55c8f44-9867-4aac-816c-2ce9bc81c578}"/>
        <w:style w:val=""/>
        <w:category>
          <w:name w:val="常规"/>
          <w:gallery w:val="placeholder"/>
        </w:category>
        <w:types>
          <w:type w:val="bbPlcHdr"/>
        </w:types>
        <w:behaviors>
          <w:behavior w:val="content"/>
        </w:behaviors>
        <w:description w:val=""/>
        <w:guid w:val="{b55c8f44-9867-4aac-816c-2ce9bc81c578}"/>
      </w:docPartPr>
      <w:docPartBody>
        <w:p>
          <w:r>
            <w:rPr>
              <w:color w:val="808080"/>
            </w:rPr>
            <w:t>单击此处输入文字。</w:t>
          </w:r>
        </w:p>
      </w:docPartBody>
    </w:docPart>
    <w:docPart>
      <w:docPartPr>
        <w:name w:val="{9b2d534c-107e-43cf-96f3-594850b204d7}"/>
        <w:style w:val=""/>
        <w:category>
          <w:name w:val="常规"/>
          <w:gallery w:val="placeholder"/>
        </w:category>
        <w:types>
          <w:type w:val="bbPlcHdr"/>
        </w:types>
        <w:behaviors>
          <w:behavior w:val="content"/>
        </w:behaviors>
        <w:description w:val=""/>
        <w:guid w:val="{9b2d534c-107e-43cf-96f3-594850b204d7}"/>
      </w:docPartPr>
      <w:docPartBody>
        <w:p>
          <w:r>
            <w:rPr>
              <w:color w:val="808080"/>
            </w:rPr>
            <w:t>单击此处输入文字。</w:t>
          </w:r>
        </w:p>
      </w:docPartBody>
    </w:docPart>
    <w:docPart>
      <w:docPartPr>
        <w:name w:val="{d182a6d1-3b0c-4466-bfb4-c83b04689f8f}"/>
        <w:style w:val=""/>
        <w:category>
          <w:name w:val="常规"/>
          <w:gallery w:val="placeholder"/>
        </w:category>
        <w:types>
          <w:type w:val="bbPlcHdr"/>
        </w:types>
        <w:behaviors>
          <w:behavior w:val="content"/>
        </w:behaviors>
        <w:description w:val=""/>
        <w:guid w:val="{d182a6d1-3b0c-4466-bfb4-c83b04689f8f}"/>
      </w:docPartPr>
      <w:docPartBody>
        <w:p>
          <w:r>
            <w:rPr>
              <w:color w:val="808080"/>
            </w:rPr>
            <w:t>单击此处输入文字。</w:t>
          </w:r>
        </w:p>
      </w:docPartBody>
    </w:docPart>
    <w:docPart>
      <w:docPartPr>
        <w:name w:val="{3f3cc8bc-4818-4a05-9ed5-b8232d60f430}"/>
        <w:style w:val=""/>
        <w:category>
          <w:name w:val="常规"/>
          <w:gallery w:val="placeholder"/>
        </w:category>
        <w:types>
          <w:type w:val="bbPlcHdr"/>
        </w:types>
        <w:behaviors>
          <w:behavior w:val="content"/>
        </w:behaviors>
        <w:description w:val=""/>
        <w:guid w:val="{3f3cc8bc-4818-4a05-9ed5-b8232d60f430}"/>
      </w:docPartPr>
      <w:docPartBody>
        <w:p>
          <w:r>
            <w:rPr>
              <w:color w:val="808080"/>
            </w:rPr>
            <w:t>单击此处输入文字。</w:t>
          </w:r>
        </w:p>
      </w:docPartBody>
    </w:docPart>
    <w:docPart>
      <w:docPartPr>
        <w:name w:val="{0a0ff3ae-ceed-4848-91dc-97f210ed62d0}"/>
        <w:style w:val=""/>
        <w:category>
          <w:name w:val="常规"/>
          <w:gallery w:val="placeholder"/>
        </w:category>
        <w:types>
          <w:type w:val="bbPlcHdr"/>
        </w:types>
        <w:behaviors>
          <w:behavior w:val="content"/>
        </w:behaviors>
        <w:description w:val=""/>
        <w:guid w:val="{0a0ff3ae-ceed-4848-91dc-97f210ed62d0}"/>
      </w:docPartPr>
      <w:docPartBody>
        <w:p>
          <w:r>
            <w:rPr>
              <w:color w:val="808080"/>
            </w:rPr>
            <w:t>单击此处输入文字。</w:t>
          </w:r>
        </w:p>
      </w:docPartBody>
    </w:docPart>
    <w:docPart>
      <w:docPartPr>
        <w:name w:val="{94070355-ae1e-43ea-864a-af1a7c43fd84}"/>
        <w:style w:val=""/>
        <w:category>
          <w:name w:val="常规"/>
          <w:gallery w:val="placeholder"/>
        </w:category>
        <w:types>
          <w:type w:val="bbPlcHdr"/>
        </w:types>
        <w:behaviors>
          <w:behavior w:val="content"/>
        </w:behaviors>
        <w:description w:val=""/>
        <w:guid w:val="{94070355-ae1e-43ea-864a-af1a7c43fd84}"/>
      </w:docPartPr>
      <w:docPartBody>
        <w:p>
          <w:r>
            <w:rPr>
              <w:color w:val="808080"/>
            </w:rPr>
            <w:t>单击此处输入文字。</w:t>
          </w:r>
        </w:p>
      </w:docPartBody>
    </w:docPart>
    <w:docPart>
      <w:docPartPr>
        <w:name w:val="{cc8e56f8-281e-4969-9e65-a54f26ffb5f0}"/>
        <w:style w:val=""/>
        <w:category>
          <w:name w:val="常规"/>
          <w:gallery w:val="placeholder"/>
        </w:category>
        <w:types>
          <w:type w:val="bbPlcHdr"/>
        </w:types>
        <w:behaviors>
          <w:behavior w:val="content"/>
        </w:behaviors>
        <w:description w:val=""/>
        <w:guid w:val="{cc8e56f8-281e-4969-9e65-a54f26ffb5f0}"/>
      </w:docPartPr>
      <w:docPartBody>
        <w:p>
          <w:r>
            <w:rPr>
              <w:color w:val="808080"/>
            </w:rPr>
            <w:t>单击此处输入文字。</w:t>
          </w:r>
        </w:p>
      </w:docPartBody>
    </w:docPart>
    <w:docPart>
      <w:docPartPr>
        <w:name w:val="{7d965324-6bdc-457e-a7dc-c9b8d2ded11e}"/>
        <w:style w:val=""/>
        <w:category>
          <w:name w:val="常规"/>
          <w:gallery w:val="placeholder"/>
        </w:category>
        <w:types>
          <w:type w:val="bbPlcHdr"/>
        </w:types>
        <w:behaviors>
          <w:behavior w:val="content"/>
        </w:behaviors>
        <w:description w:val=""/>
        <w:guid w:val="{7d965324-6bdc-457e-a7dc-c9b8d2ded11e}"/>
      </w:docPartPr>
      <w:docPartBody>
        <w:p>
          <w:r>
            <w:rPr>
              <w:color w:val="808080"/>
            </w:rPr>
            <w:t>单击此处输入文字。</w:t>
          </w:r>
        </w:p>
      </w:docPartBody>
    </w:docPart>
    <w:docPart>
      <w:docPartPr>
        <w:name w:val="{bb61dc67-7d2e-47db-bd23-f295791e1f65}"/>
        <w:style w:val=""/>
        <w:category>
          <w:name w:val="常规"/>
          <w:gallery w:val="placeholder"/>
        </w:category>
        <w:types>
          <w:type w:val="bbPlcHdr"/>
        </w:types>
        <w:behaviors>
          <w:behavior w:val="content"/>
        </w:behaviors>
        <w:description w:val=""/>
        <w:guid w:val="{bb61dc67-7d2e-47db-bd23-f295791e1f65}"/>
      </w:docPartPr>
      <w:docPartBody>
        <w:p>
          <w:r>
            <w:rPr>
              <w:color w:val="808080"/>
            </w:rPr>
            <w:t>单击此处输入文字。</w:t>
          </w:r>
        </w:p>
      </w:docPartBody>
    </w:docPart>
    <w:docPart>
      <w:docPartPr>
        <w:name w:val="{7dab9f75-77bc-4f2d-8ea2-32de94660e2c}"/>
        <w:style w:val=""/>
        <w:category>
          <w:name w:val="常规"/>
          <w:gallery w:val="placeholder"/>
        </w:category>
        <w:types>
          <w:type w:val="bbPlcHdr"/>
        </w:types>
        <w:behaviors>
          <w:behavior w:val="content"/>
        </w:behaviors>
        <w:description w:val=""/>
        <w:guid w:val="{7dab9f75-77bc-4f2d-8ea2-32de94660e2c}"/>
      </w:docPartPr>
      <w:docPartBody>
        <w:p>
          <w:r>
            <w:rPr>
              <w:color w:val="808080"/>
            </w:rPr>
            <w:t>单击此处输入文字。</w:t>
          </w:r>
        </w:p>
      </w:docPartBody>
    </w:docPart>
    <w:docPart>
      <w:docPartPr>
        <w:name w:val="{69a5380e-7d70-4e3e-96c8-459cd8689731}"/>
        <w:style w:val=""/>
        <w:category>
          <w:name w:val="常规"/>
          <w:gallery w:val="placeholder"/>
        </w:category>
        <w:types>
          <w:type w:val="bbPlcHdr"/>
        </w:types>
        <w:behaviors>
          <w:behavior w:val="content"/>
        </w:behaviors>
        <w:description w:val=""/>
        <w:guid w:val="{69a5380e-7d70-4e3e-96c8-459cd8689731}"/>
      </w:docPartPr>
      <w:docPartBody>
        <w:p>
          <w:r>
            <w:rPr>
              <w:color w:val="808080"/>
            </w:rPr>
            <w:t>单击此处输入文字。</w:t>
          </w:r>
        </w:p>
      </w:docPartBody>
    </w:docPart>
    <w:docPart>
      <w:docPartPr>
        <w:name w:val="{5ef8c966-8548-4edb-a47b-4b2eefe847a8}"/>
        <w:style w:val=""/>
        <w:category>
          <w:name w:val="常规"/>
          <w:gallery w:val="placeholder"/>
        </w:category>
        <w:types>
          <w:type w:val="bbPlcHdr"/>
        </w:types>
        <w:behaviors>
          <w:behavior w:val="content"/>
        </w:behaviors>
        <w:description w:val=""/>
        <w:guid w:val="{5ef8c966-8548-4edb-a47b-4b2eefe847a8}"/>
      </w:docPartPr>
      <w:docPartBody>
        <w:p>
          <w:r>
            <w:rPr>
              <w:color w:val="808080"/>
            </w:rPr>
            <w:t>单击此处输入文字。</w:t>
          </w:r>
        </w:p>
      </w:docPartBody>
    </w:docPart>
    <w:docPart>
      <w:docPartPr>
        <w:name w:val="{0e84eade-69ab-40ed-8c36-6ba478deb903}"/>
        <w:style w:val=""/>
        <w:category>
          <w:name w:val="常规"/>
          <w:gallery w:val="placeholder"/>
        </w:category>
        <w:types>
          <w:type w:val="bbPlcHdr"/>
        </w:types>
        <w:behaviors>
          <w:behavior w:val="content"/>
        </w:behaviors>
        <w:description w:val=""/>
        <w:guid w:val="{0e84eade-69ab-40ed-8c36-6ba478deb903}"/>
      </w:docPartPr>
      <w:docPartBody>
        <w:p>
          <w:r>
            <w:rPr>
              <w:color w:val="808080"/>
            </w:rPr>
            <w:t>单击此处输入文字。</w:t>
          </w:r>
        </w:p>
      </w:docPartBody>
    </w:docPart>
    <w:docPart>
      <w:docPartPr>
        <w:name w:val="{018c40fb-c6aa-4e68-99a2-cb45180c21b7}"/>
        <w:style w:val=""/>
        <w:category>
          <w:name w:val="常规"/>
          <w:gallery w:val="placeholder"/>
        </w:category>
        <w:types>
          <w:type w:val="bbPlcHdr"/>
        </w:types>
        <w:behaviors>
          <w:behavior w:val="content"/>
        </w:behaviors>
        <w:description w:val=""/>
        <w:guid w:val="{018c40fb-c6aa-4e68-99a2-cb45180c21b7}"/>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Office_11.1.0.9141_F1E327BC-269C-435d-A152-05C5408002CA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Shinelon</dc:creator>
  <cp:lastModifiedBy>Shinelon</cp:lastModifiedBy>
  <dcterms:modified xsi:type="dcterms:W3CDTF">2019-11-26T14:22:23Z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2052-11.1.0.9141</vt:lpwstr>
  </property>
</Properties>
</file>