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9AEF3" w14:textId="60A95E56" w:rsidR="005C3420" w:rsidRDefault="005C3420" w:rsidP="005C3420">
      <w:pPr>
        <w:spacing w:before="200"/>
        <w:ind w:firstLine="720"/>
        <w:jc w:val="center"/>
        <w:rPr>
          <w:rFonts w:cs="Arial"/>
          <w:b/>
          <w:sz w:val="22"/>
          <w:szCs w:val="22"/>
        </w:rPr>
      </w:pPr>
      <w:r>
        <w:rPr>
          <w:b/>
          <w:noProof/>
          <w:sz w:val="56"/>
        </w:rPr>
        <w:drawing>
          <wp:inline distT="0" distB="0" distL="0" distR="0" wp14:anchorId="4532F6FB" wp14:editId="48E08276">
            <wp:extent cx="3524324" cy="1404938"/>
            <wp:effectExtent l="0" t="0" r="0" b="5080"/>
            <wp:docPr id="726759203" name="Picture 72675920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9203" name="Picture 726759203"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24324" cy="1404938"/>
                    </a:xfrm>
                    <a:prstGeom prst="rect">
                      <a:avLst/>
                    </a:prstGeom>
                    <a:noFill/>
                  </pic:spPr>
                </pic:pic>
              </a:graphicData>
            </a:graphic>
          </wp:inline>
        </w:drawing>
      </w:r>
    </w:p>
    <w:p w14:paraId="2C595A0C" w14:textId="77777777" w:rsidR="005C3420" w:rsidRDefault="005C3420" w:rsidP="005C3420">
      <w:pPr>
        <w:spacing w:before="200"/>
        <w:ind w:firstLine="720"/>
        <w:jc w:val="center"/>
        <w:rPr>
          <w:rFonts w:cs="Arial"/>
          <w:b/>
          <w:sz w:val="22"/>
          <w:szCs w:val="22"/>
        </w:rPr>
      </w:pPr>
    </w:p>
    <w:p w14:paraId="7AE059EB" w14:textId="716E3B66" w:rsidR="005C3420" w:rsidRDefault="005C3420" w:rsidP="005C3420">
      <w:pPr>
        <w:tabs>
          <w:tab w:val="left" w:pos="7056"/>
        </w:tabs>
        <w:spacing w:before="212"/>
        <w:rPr>
          <w:b/>
          <w:sz w:val="48"/>
          <w:szCs w:val="48"/>
        </w:rPr>
      </w:pPr>
      <w:r w:rsidRPr="00DD5969">
        <w:rPr>
          <w:b/>
          <w:sz w:val="48"/>
          <w:szCs w:val="48"/>
        </w:rPr>
        <w:t>MODULE CODE:</w:t>
      </w:r>
      <w:r>
        <w:rPr>
          <w:b/>
          <w:sz w:val="48"/>
          <w:szCs w:val="48"/>
        </w:rPr>
        <w:t>ECDE7019</w:t>
      </w:r>
      <w:r>
        <w:rPr>
          <w:b/>
          <w:sz w:val="48"/>
          <w:szCs w:val="48"/>
        </w:rPr>
        <w:tab/>
      </w:r>
    </w:p>
    <w:p w14:paraId="0BE68B3A" w14:textId="77777777" w:rsidR="005C3420" w:rsidRDefault="005C3420" w:rsidP="005C3420">
      <w:pPr>
        <w:spacing w:before="212"/>
        <w:rPr>
          <w:b/>
          <w:sz w:val="48"/>
          <w:szCs w:val="48"/>
        </w:rPr>
      </w:pPr>
    </w:p>
    <w:p w14:paraId="2677F77B" w14:textId="0768C342" w:rsidR="005C3420" w:rsidRPr="00DD5969" w:rsidRDefault="005C3420" w:rsidP="005C3420">
      <w:pPr>
        <w:spacing w:before="212"/>
        <w:rPr>
          <w:b/>
          <w:sz w:val="48"/>
          <w:szCs w:val="48"/>
        </w:rPr>
      </w:pPr>
      <w:r>
        <w:rPr>
          <w:b/>
          <w:sz w:val="48"/>
          <w:szCs w:val="48"/>
        </w:rPr>
        <w:t>ASSESSMENT COMPONENT: 1</w:t>
      </w:r>
    </w:p>
    <w:p w14:paraId="635DE121" w14:textId="77777777" w:rsidR="005C3420" w:rsidRDefault="005C3420" w:rsidP="005C3420">
      <w:pPr>
        <w:spacing w:before="7"/>
        <w:jc w:val="center"/>
        <w:rPr>
          <w:b/>
          <w:sz w:val="44"/>
        </w:rPr>
      </w:pPr>
    </w:p>
    <w:p w14:paraId="239298B7" w14:textId="77777777" w:rsidR="005C3420" w:rsidRPr="00DD5969" w:rsidRDefault="005C3420" w:rsidP="005C3420">
      <w:pPr>
        <w:spacing w:before="3"/>
        <w:rPr>
          <w:b/>
          <w:sz w:val="48"/>
          <w:szCs w:val="48"/>
        </w:rPr>
      </w:pPr>
      <w:r w:rsidRPr="00DD5969">
        <w:rPr>
          <w:b/>
          <w:sz w:val="48"/>
          <w:szCs w:val="48"/>
        </w:rPr>
        <w:t>STUDENT NAME:</w:t>
      </w:r>
      <w:r>
        <w:rPr>
          <w:b/>
          <w:sz w:val="48"/>
          <w:szCs w:val="48"/>
        </w:rPr>
        <w:t>Inam Alsalim</w:t>
      </w:r>
    </w:p>
    <w:p w14:paraId="49F96345" w14:textId="77777777" w:rsidR="005C3420" w:rsidRPr="00DD5969" w:rsidRDefault="005C3420" w:rsidP="005C3420">
      <w:pPr>
        <w:spacing w:before="3"/>
        <w:rPr>
          <w:b/>
          <w:sz w:val="48"/>
          <w:szCs w:val="48"/>
        </w:rPr>
      </w:pPr>
    </w:p>
    <w:p w14:paraId="7F623025" w14:textId="77777777" w:rsidR="005C3420" w:rsidRPr="00DD5969" w:rsidRDefault="005C3420" w:rsidP="005C3420">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2502495</w:t>
      </w:r>
    </w:p>
    <w:p w14:paraId="27A4A592" w14:textId="77777777" w:rsidR="005C3420" w:rsidRPr="00C2550A" w:rsidRDefault="005C3420" w:rsidP="005C3420">
      <w:pPr>
        <w:rPr>
          <w:b/>
          <w:bCs/>
        </w:rPr>
      </w:pPr>
      <w:r w:rsidRPr="00C2550A">
        <w:rPr>
          <w:b/>
          <w:bCs/>
        </w:rPr>
        <w:t>OR:</w:t>
      </w:r>
    </w:p>
    <w:p w14:paraId="6206C764" w14:textId="77777777" w:rsidR="005C3420" w:rsidRPr="00DD5969" w:rsidRDefault="005C3420" w:rsidP="005C3420">
      <w:r w:rsidRPr="00DD5969">
        <w:t xml:space="preserve">I acknowledge the use of [AI Tool] [(AI Tool url)] on [Date] to [Purpose my work]. I used the prompt(s): </w:t>
      </w:r>
    </w:p>
    <w:p w14:paraId="391C2CDB" w14:textId="4D6C9F9F" w:rsidR="005C3420" w:rsidRPr="00DD5969" w:rsidRDefault="005C3420" w:rsidP="005C3420">
      <w:r w:rsidRPr="00DD5969">
        <w:t>1. [</w:t>
      </w:r>
      <w:r>
        <w:t>Grammarly for proof reading and punctuation</w:t>
      </w:r>
      <w:r w:rsidRPr="00DD5969">
        <w:t xml:space="preserve">] </w:t>
      </w:r>
      <w:r>
        <w:t>23/1/2026</w:t>
      </w:r>
    </w:p>
    <w:p w14:paraId="08F1AC1F" w14:textId="24F76C11" w:rsidR="005C3420" w:rsidRPr="00DD5969" w:rsidRDefault="005C3420" w:rsidP="005C3420">
      <w:r w:rsidRPr="00DD5969">
        <w:t>2. [</w:t>
      </w:r>
      <w:r>
        <w:t>quillbot to search for resources</w:t>
      </w:r>
      <w:r w:rsidRPr="00DD5969">
        <w:t xml:space="preserve">] </w:t>
      </w:r>
      <w:r>
        <w:t>21/1/2026</w:t>
      </w:r>
    </w:p>
    <w:p w14:paraId="3A64DD94" w14:textId="2EF529CB" w:rsidR="005C3420" w:rsidRPr="00DD5969" w:rsidRDefault="005C3420" w:rsidP="005C3420">
      <w:r w:rsidRPr="00DD5969">
        <w:t>3. [</w:t>
      </w:r>
      <w:r>
        <w:t>CHAT GPT summarise some articles]</w:t>
      </w:r>
      <w:r w:rsidRPr="00DD5969">
        <w:t xml:space="preserve"> </w:t>
      </w:r>
      <w:r>
        <w:t>21/1/2026</w:t>
      </w:r>
    </w:p>
    <w:p w14:paraId="4A955912" w14:textId="77777777" w:rsidR="005C3420" w:rsidRDefault="005C3420" w:rsidP="005C3420">
      <w:r w:rsidRPr="00DD5969">
        <w:t xml:space="preserve">I confirm that I have not presented any AI generated text as my own work. </w:t>
      </w:r>
    </w:p>
    <w:p w14:paraId="5E86ED5D" w14:textId="77777777" w:rsidR="005C3420" w:rsidRDefault="005C3420" w:rsidP="005C3420">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5B50EF14" w14:textId="77777777" w:rsidR="005C3420" w:rsidRDefault="005C3420" w:rsidP="001A60B2">
      <w:pPr>
        <w:spacing w:before="100" w:beforeAutospacing="1" w:after="100" w:afterAutospacing="1" w:line="240" w:lineRule="auto"/>
        <w:outlineLvl w:val="0"/>
      </w:pPr>
    </w:p>
    <w:p w14:paraId="295C66AB" w14:textId="188FAF9E" w:rsidR="001A60B2" w:rsidRPr="001A60B2" w:rsidRDefault="001A60B2" w:rsidP="001A60B2">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lang w:eastAsia="en-GB"/>
          <w14:ligatures w14:val="none"/>
        </w:rPr>
      </w:pPr>
      <w:r w:rsidRPr="001A60B2">
        <w:rPr>
          <w:rFonts w:ascii="Times New Roman" w:eastAsia="Times New Roman" w:hAnsi="Times New Roman" w:cs="Times New Roman"/>
          <w:b/>
          <w:bCs/>
          <w:color w:val="000000"/>
          <w:kern w:val="36"/>
          <w:sz w:val="32"/>
          <w:szCs w:val="32"/>
          <w:lang w:eastAsia="en-GB"/>
          <w14:ligatures w14:val="none"/>
        </w:rPr>
        <w:lastRenderedPageBreak/>
        <w:t>COMPONENT 1: PLAN AND JUSTIFY</w:t>
      </w:r>
    </w:p>
    <w:p w14:paraId="58DB7EAB"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b/>
          <w:bCs/>
          <w:color w:val="000000"/>
          <w:kern w:val="0"/>
          <w:lang w:eastAsia="en-GB"/>
          <w14:ligatures w14:val="none"/>
        </w:rPr>
        <w:t>Topic:</w:t>
      </w:r>
      <w:r w:rsidRPr="001A60B2">
        <w:rPr>
          <w:rFonts w:ascii="Times New Roman" w:eastAsia="Times New Roman" w:hAnsi="Times New Roman" w:cs="Times New Roman"/>
          <w:color w:val="000000"/>
          <w:kern w:val="0"/>
          <w:lang w:eastAsia="en-GB"/>
          <w14:ligatures w14:val="none"/>
        </w:rPr>
        <w:br/>
      </w:r>
      <w:r w:rsidRPr="001A60B2">
        <w:rPr>
          <w:rFonts w:ascii="Times New Roman" w:eastAsia="Times New Roman" w:hAnsi="Times New Roman" w:cs="Times New Roman"/>
          <w:b/>
          <w:bCs/>
          <w:color w:val="000000"/>
          <w:kern w:val="0"/>
          <w:lang w:eastAsia="en-GB"/>
          <w14:ligatures w14:val="none"/>
        </w:rPr>
        <w:t>The role of play-based learning in supporting learners with Additional Learning Needs (ALN) in inclusive educational settings in Wales</w:t>
      </w:r>
    </w:p>
    <w:p w14:paraId="77974A13" w14:textId="77777777" w:rsidR="001A60B2" w:rsidRPr="001A60B2" w:rsidRDefault="00B9618C" w:rsidP="001A60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607EC37">
          <v:rect id="_x0000_i1025" alt="" style="width:451.3pt;height:.05pt;mso-width-percent:0;mso-height-percent:0;mso-width-percent:0;mso-height-percent:0" o:hralign="center" o:hrstd="t" o:hr="t" fillcolor="#a0a0a0" stroked="f"/>
        </w:pict>
      </w:r>
    </w:p>
    <w:p w14:paraId="0201A096" w14:textId="77777777" w:rsidR="001A60B2" w:rsidRPr="001A60B2" w:rsidRDefault="001A60B2"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r w:rsidRPr="001A60B2">
        <w:rPr>
          <w:rFonts w:ascii="Times New Roman" w:eastAsia="Times New Roman" w:hAnsi="Times New Roman" w:cs="Times New Roman"/>
          <w:b/>
          <w:bCs/>
          <w:color w:val="000000"/>
          <w:kern w:val="0"/>
          <w:sz w:val="28"/>
          <w:szCs w:val="28"/>
          <w:lang w:eastAsia="en-GB"/>
          <w14:ligatures w14:val="none"/>
        </w:rPr>
        <w:t>PART 1: PLAN</w:t>
      </w:r>
    </w:p>
    <w:p w14:paraId="137A3A57"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Play-based learning is a central pedagogical approach within early years and primary education in Wales, particularly following the implementation of the Curriculum for Wales. Learners with Additional Learning Needs (ALN) often experience barriers to engagement, communication and participation within formal, teacher-directed instruction. Although play-based learning is frequently promoted as a means of addressing these challenges, research suggests that its effectiveness depends on how play is conceptualised and intentionally facilitated rather than play being inherently inclusive (Pyle and Danniels, 2017). This highlights the need for a systematic and critical review of play-based learning within inclusive educational practice.</w:t>
      </w:r>
    </w:p>
    <w:p w14:paraId="531CD6A7"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aim of this literature review is to explore how play-based learning supports the learning, engagement and inclusion of learners with ALN in Welsh educational settings. The review will examine how play-based learning is conceptualised within educational literature, how it supports learners with ALN, and how it aligns with inclusive pedagogy and policy in Wales. The review is guided by the following research questions: How is play-based learning conceptualised within educational research? What role does play-based learning play in supporting learners with ALN? How does play-based learning promote inclusive practice within Welsh classrooms? What gaps exist in current research relating to play-based learning and ALN in Wales?</w:t>
      </w:r>
    </w:p>
    <w:p w14:paraId="1463943F"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scope of the literature review will include seminal theoretical perspectives on play, contemporary peer-reviewed research on play-based pedagogy, literature focusing on ALN and inclusive education, and relevant Welsh policy documentation. The review will focus on early years and primary education, where play-based approaches are most commonly implemented. Literature will be selected using explicit inclusion criteria: peer-reviewed journal articles or academic books; direct relevance to play-based learning, ALN or inclusive education; focus on educational contexts; and publications from 2010 onwards, with priority given to recent research published between 2024 and 2025. Exclusion criteria will include non-peer-reviewed sources, research grounded solely in medical or deficit-based models of disability, studies unrelated to education, research focusing exclusively on secondary or higher education, and sources lacking methodological transparency.</w:t>
      </w:r>
    </w:p>
    <w:p w14:paraId="4B3AE49E"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To ensure academic rigour, sources will be critically appraised using an edited CRAAP framework, considering currency, relevance, authority, accuracy and purpose. Forward citation searching (“cited by”) will be used to identify recent studies building on key theoretical and empirical work. The literature review will follow a structured three-step process: analysing individual sources to identify key arguments and limitations; synthesising findings into thematic categories rather than descriptive summaries; and evaluating the literature to identify strengths, weaknesses and gaps.</w:t>
      </w:r>
    </w:p>
    <w:p w14:paraId="2D614FED" w14:textId="77777777" w:rsid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lastRenderedPageBreak/>
        <w:t>Preliminary reading has identified several interrelated themes that will structure the review. These include competing definitions of play-based learning and the practitioner’s role in shaping learning through play (Pyle and Danniels, 2017; Roussou and Papadopoulou, 2025), the use of structured and supported play to promote learning for children with additional needs (Barton and Wolery, 2010), and the contribution of play to social, emotional and communicative development (Gibson, Cornell and Gill, 2017; Mwinsa, 2025). Further themes include inclusive pedagogy and differentiation (Florian and Black-Hawkins, 2011) and learner engagement and motivation through play (Howard and McInnes, 2013; Gray and Crittenden, 2024).</w:t>
      </w:r>
    </w:p>
    <w:p w14:paraId="241E8C12" w14:textId="77777777" w:rsidR="00383824" w:rsidRDefault="00383824"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A1B02D9" w14:textId="77777777" w:rsidR="00383824" w:rsidRDefault="00383824"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C627EFF" w14:textId="20EA92FB" w:rsid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fldChar w:fldCharType="begin"/>
      </w:r>
      <w:r>
        <w:instrText xml:space="preserve"> INCLUDEPICTURE "/Users/inamalsalim/Library/Group Containers/UBF8T346G9.ms/WebArchiveCopyPasteTempFiles/com.microsoft.Word/content?id=file_0000000079b8722faa99d36b8cdbe945&amp;ts=491536&amp;p=fs&amp;cid=1&amp;sig=ac5f4f109f244970e87e1ed6984655a9c64d59ee8a18ea09a4485148eedd75f2&amp;v=0" \* MERGEFORMATINET </w:instrText>
      </w:r>
      <w:r>
        <w:fldChar w:fldCharType="separate"/>
      </w:r>
      <w:r>
        <w:rPr>
          <w:noProof/>
        </w:rPr>
        <w:drawing>
          <wp:inline distT="0" distB="0" distL="0" distR="0" wp14:anchorId="484F2504" wp14:editId="62156107">
            <wp:extent cx="5731510" cy="3822065"/>
            <wp:effectExtent l="0" t="0" r="0" b="635"/>
            <wp:docPr id="576351009" name="Picture 1" descr="A list of task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51009" name="Picture 1" descr="A list of tasks with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r>
        <w:fldChar w:fldCharType="end"/>
      </w:r>
    </w:p>
    <w:p w14:paraId="0EF5EEC0"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0354B0F6"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4B10CF3D"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7ED22988"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3D02DFA5"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6FCCC7C0"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1CD64C3D"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3E02E9E5"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1A55AF98" w14:textId="64377150" w:rsidR="001A60B2" w:rsidRPr="001A60B2" w:rsidRDefault="001A60B2"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r w:rsidRPr="001A60B2">
        <w:rPr>
          <w:rFonts w:ascii="Times New Roman" w:eastAsia="Times New Roman" w:hAnsi="Times New Roman" w:cs="Times New Roman"/>
          <w:b/>
          <w:bCs/>
          <w:color w:val="000000"/>
          <w:kern w:val="0"/>
          <w:sz w:val="28"/>
          <w:szCs w:val="28"/>
          <w:lang w:eastAsia="en-GB"/>
          <w14:ligatures w14:val="none"/>
        </w:rPr>
        <w:t>PART 2: JUSTIFY</w:t>
      </w:r>
    </w:p>
    <w:p w14:paraId="643E1D6D"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focus of this literature review is justified by national policy priorities in Wales. Inclusive education is a statutory requirement under the Additional Learning Needs and Education Tribunal (Wales) Act 2018, which promotes a rights-based approach to meeting learners’ needs. The Curriculum for Wales further emphasises learner-centred pedagogy, wellbeing and progression at an individual pace (Welsh Government, 2022). While these frameworks strongly endorse inclusive practice, they provide limited guidance on how play-based learning should be adapted to support diverse ALN profiles, reinforcing the relevance of this review.</w:t>
      </w:r>
    </w:p>
    <w:p w14:paraId="3DFBDC2E"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review is underpinned by socio-cultural theory, particularly Vygotsky’s view of learning as a socially mediated process. Vygotsky (1978) argues that play enables children to operate within their Zone of Proximal Development through interaction and scaffolding. This theoretical perspective supports the use of play-based learning for learners with ALN, who may benefit from flexible yet structured learning experiences. However, researchers caution that play-based approaches can lack academic rigour if learning intentions are unclear, highlighting the importance of intentional adult involvement rather than unstructured play.</w:t>
      </w:r>
    </w:p>
    <w:p w14:paraId="023A94AD"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Peer-reviewed research further strengthens the rationale for this review. While Vygotsky (1978) emphasises the developmental potential of play, Barton and Wolery (2010) and Pyle and Danniels (2017) demonstrate that this potential is realised only when play is purposefully supported by practitioners. Gibson, Cornell and Gill (2017) provide robust evidence that play supports social and emotional development; however, their findings focus largely on general developmental outcomes rather than inclusive classroom practice. Recent studies further highlight how educators adapt play-based approaches to support inclusion and engagement for learners with additional needs (Roussou and Papadopoulou, 2025; Mwinsa, 2025). Florian and Black-Hawkins (2011) contribute a conceptual framework for inclusive pedagogy, positioning play-based learning as an inclusive strategy when designed to support all learners. Howard and McInnes (2013) and Gray and Crittenden (2024) further justify the focus on play by demonstrating its impact on learner motivation and participation.</w:t>
      </w:r>
    </w:p>
    <w:p w14:paraId="1C665AA9"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Despite this growing body of literature, there remains a clear gap in practitioner-focused research examining how play-based learning is adapted to support learners with ALN within Welsh mainstream classrooms under the Curriculum for Wales. Much of the existing research is international, intervention-based or theoretical, offering limited insight into everyday inclusive practice. Estyn (2020) highlights variability in inclusive provision across settings, reinforcing the need for research that bridges policy, theory and classroom practice. This review therefore aims to synthesise existing research and identify implications for inclusive pedagogy in Wales.</w:t>
      </w:r>
    </w:p>
    <w:p w14:paraId="2AB51F80"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15059CCF"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04C611AB"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4EB64EBF"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7865C6C1" w14:textId="3DA06E5A" w:rsidR="001A60B2" w:rsidRPr="001A60B2" w:rsidRDefault="001A60B2" w:rsidP="001A60B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1A60B2">
        <w:rPr>
          <w:rFonts w:ascii="Times New Roman" w:eastAsia="Times New Roman" w:hAnsi="Times New Roman" w:cs="Times New Roman"/>
          <w:b/>
          <w:bCs/>
          <w:color w:val="000000"/>
          <w:kern w:val="0"/>
          <w:sz w:val="28"/>
          <w:szCs w:val="28"/>
          <w:lang w:eastAsia="en-GB"/>
          <w14:ligatures w14:val="none"/>
        </w:rPr>
        <w:t>Reference</w:t>
      </w:r>
      <w:r w:rsidRPr="001A60B2">
        <w:rPr>
          <w:rFonts w:ascii="Times New Roman" w:eastAsia="Times New Roman" w:hAnsi="Times New Roman" w:cs="Times New Roman"/>
          <w:b/>
          <w:bCs/>
          <w:color w:val="000000"/>
          <w:kern w:val="0"/>
          <w:sz w:val="36"/>
          <w:szCs w:val="36"/>
          <w:lang w:eastAsia="en-GB"/>
          <w14:ligatures w14:val="none"/>
        </w:rPr>
        <w:t xml:space="preserve"> </w:t>
      </w:r>
      <w:r w:rsidRPr="001A60B2">
        <w:rPr>
          <w:rFonts w:ascii="Times New Roman" w:eastAsia="Times New Roman" w:hAnsi="Times New Roman" w:cs="Times New Roman"/>
          <w:b/>
          <w:bCs/>
          <w:color w:val="000000"/>
          <w:kern w:val="0"/>
          <w:sz w:val="28"/>
          <w:szCs w:val="28"/>
          <w:lang w:eastAsia="en-GB"/>
          <w14:ligatures w14:val="none"/>
        </w:rPr>
        <w:t>List</w:t>
      </w:r>
    </w:p>
    <w:p w14:paraId="1381347E"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Barton, E.E. and Wolery, M. (2010) ‘Training teachers to promote pretend play in young children with disabilities’, </w:t>
      </w:r>
      <w:r w:rsidRPr="001A60B2">
        <w:rPr>
          <w:rFonts w:ascii="Times New Roman" w:eastAsia="Times New Roman" w:hAnsi="Times New Roman" w:cs="Times New Roman"/>
          <w:i/>
          <w:iCs/>
          <w:color w:val="000000"/>
          <w:kern w:val="0"/>
          <w:lang w:eastAsia="en-GB"/>
          <w14:ligatures w14:val="none"/>
        </w:rPr>
        <w:t>Journal of Early Intervention</w:t>
      </w:r>
      <w:r w:rsidRPr="001A60B2">
        <w:rPr>
          <w:rFonts w:ascii="Times New Roman" w:eastAsia="Times New Roman" w:hAnsi="Times New Roman" w:cs="Times New Roman"/>
          <w:color w:val="000000"/>
          <w:kern w:val="0"/>
          <w:lang w:eastAsia="en-GB"/>
          <w14:ligatures w14:val="none"/>
        </w:rPr>
        <w:t>, 32(3), pp. 172–189. </w:t>
      </w:r>
      <w:hyperlink r:id="rId6" w:tgtFrame="_new" w:history="1">
        <w:r w:rsidRPr="001A60B2">
          <w:rPr>
            <w:rFonts w:ascii="Times New Roman" w:eastAsia="Times New Roman" w:hAnsi="Times New Roman" w:cs="Times New Roman"/>
            <w:color w:val="0000FF"/>
            <w:kern w:val="0"/>
            <w:u w:val="single"/>
            <w:lang w:eastAsia="en-GB"/>
            <w14:ligatures w14:val="none"/>
          </w:rPr>
          <w:t>https://doi.org/10.1177/1053815110377336</w:t>
        </w:r>
      </w:hyperlink>
    </w:p>
    <w:p w14:paraId="5EC793EC"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Estyn (2020) </w:t>
      </w:r>
      <w:r w:rsidRPr="001A60B2">
        <w:rPr>
          <w:rFonts w:ascii="Times New Roman" w:eastAsia="Times New Roman" w:hAnsi="Times New Roman" w:cs="Times New Roman"/>
          <w:i/>
          <w:iCs/>
          <w:color w:val="000000"/>
          <w:kern w:val="0"/>
          <w:lang w:eastAsia="en-GB"/>
          <w14:ligatures w14:val="none"/>
        </w:rPr>
        <w:t>Effective practice in supporting learners with additional learning needs</w:t>
      </w:r>
      <w:r w:rsidRPr="001A60B2">
        <w:rPr>
          <w:rFonts w:ascii="Times New Roman" w:eastAsia="Times New Roman" w:hAnsi="Times New Roman" w:cs="Times New Roman"/>
          <w:color w:val="000000"/>
          <w:kern w:val="0"/>
          <w:lang w:eastAsia="en-GB"/>
          <w14:ligatures w14:val="none"/>
        </w:rPr>
        <w:t>. Cardiff: Estyn.</w:t>
      </w:r>
    </w:p>
    <w:p w14:paraId="2982AFE2"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Florian, L. and Black-Hawkins, K. (2011) ‘Exploring inclusive pedagogy’, </w:t>
      </w:r>
      <w:r w:rsidRPr="001A60B2">
        <w:rPr>
          <w:rFonts w:ascii="Times New Roman" w:eastAsia="Times New Roman" w:hAnsi="Times New Roman" w:cs="Times New Roman"/>
          <w:i/>
          <w:iCs/>
          <w:color w:val="000000"/>
          <w:kern w:val="0"/>
          <w:lang w:eastAsia="en-GB"/>
          <w14:ligatures w14:val="none"/>
        </w:rPr>
        <w:t>Cambridge Journal of Education</w:t>
      </w:r>
      <w:r w:rsidRPr="001A60B2">
        <w:rPr>
          <w:rFonts w:ascii="Times New Roman" w:eastAsia="Times New Roman" w:hAnsi="Times New Roman" w:cs="Times New Roman"/>
          <w:color w:val="000000"/>
          <w:kern w:val="0"/>
          <w:lang w:eastAsia="en-GB"/>
          <w14:ligatures w14:val="none"/>
        </w:rPr>
        <w:t>, 41(4), pp. 813–828. </w:t>
      </w:r>
      <w:hyperlink r:id="rId7" w:tgtFrame="_new" w:history="1">
        <w:r w:rsidRPr="001A60B2">
          <w:rPr>
            <w:rFonts w:ascii="Times New Roman" w:eastAsia="Times New Roman" w:hAnsi="Times New Roman" w:cs="Times New Roman"/>
            <w:color w:val="0000FF"/>
            <w:kern w:val="0"/>
            <w:u w:val="single"/>
            <w:lang w:eastAsia="en-GB"/>
            <w14:ligatures w14:val="none"/>
          </w:rPr>
          <w:t>https://doi.org/10.1080/0305764X.2011.644825</w:t>
        </w:r>
      </w:hyperlink>
    </w:p>
    <w:p w14:paraId="15A24134"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Gibson, J.L., Cornell, M. and Gill, T. (2017) ‘A systematic review of research into the impact of loose parts play on children’s cognitive, social and emotional development’, </w:t>
      </w:r>
      <w:r w:rsidRPr="001A60B2">
        <w:rPr>
          <w:rFonts w:ascii="Times New Roman" w:eastAsia="Times New Roman" w:hAnsi="Times New Roman" w:cs="Times New Roman"/>
          <w:i/>
          <w:iCs/>
          <w:color w:val="000000"/>
          <w:kern w:val="0"/>
          <w:lang w:eastAsia="en-GB"/>
          <w14:ligatures w14:val="none"/>
        </w:rPr>
        <w:t>School Mental Health</w:t>
      </w:r>
      <w:r w:rsidRPr="001A60B2">
        <w:rPr>
          <w:rFonts w:ascii="Times New Roman" w:eastAsia="Times New Roman" w:hAnsi="Times New Roman" w:cs="Times New Roman"/>
          <w:color w:val="000000"/>
          <w:kern w:val="0"/>
          <w:lang w:eastAsia="en-GB"/>
          <w14:ligatures w14:val="none"/>
        </w:rPr>
        <w:t>, 9(4), pp. 295–309. </w:t>
      </w:r>
      <w:hyperlink r:id="rId8" w:tgtFrame="_new" w:history="1">
        <w:r w:rsidRPr="001A60B2">
          <w:rPr>
            <w:rFonts w:ascii="Times New Roman" w:eastAsia="Times New Roman" w:hAnsi="Times New Roman" w:cs="Times New Roman"/>
            <w:color w:val="0000FF"/>
            <w:kern w:val="0"/>
            <w:u w:val="single"/>
            <w:lang w:eastAsia="en-GB"/>
            <w14:ligatures w14:val="none"/>
          </w:rPr>
          <w:t>https://doi.org/10.1007/s12310-017-9220-9</w:t>
        </w:r>
      </w:hyperlink>
    </w:p>
    <w:p w14:paraId="0CAC220A"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Gray, J. and Crittenden, J. (2024) ‘The importance of play-based learning beyond the early years’, </w:t>
      </w:r>
      <w:r w:rsidRPr="001A60B2">
        <w:rPr>
          <w:rFonts w:ascii="Times New Roman" w:eastAsia="Times New Roman" w:hAnsi="Times New Roman" w:cs="Times New Roman"/>
          <w:i/>
          <w:iCs/>
          <w:color w:val="000000"/>
          <w:kern w:val="0"/>
          <w:lang w:eastAsia="en-GB"/>
          <w14:ligatures w14:val="none"/>
        </w:rPr>
        <w:t>Impact</w:t>
      </w:r>
      <w:r w:rsidRPr="001A60B2">
        <w:rPr>
          <w:rFonts w:ascii="Times New Roman" w:eastAsia="Times New Roman" w:hAnsi="Times New Roman" w:cs="Times New Roman"/>
          <w:color w:val="000000"/>
          <w:kern w:val="0"/>
          <w:lang w:eastAsia="en-GB"/>
          <w14:ligatures w14:val="none"/>
        </w:rPr>
        <w:t>, 20, pp. 34–39.</w:t>
      </w:r>
    </w:p>
    <w:p w14:paraId="42A28B4F"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Howard, J. and McInnes, K. (2013) ‘The impact of children’s perception of an activity as play rather than work on their motivation’, </w:t>
      </w:r>
      <w:r w:rsidRPr="001A60B2">
        <w:rPr>
          <w:rFonts w:ascii="Times New Roman" w:eastAsia="Times New Roman" w:hAnsi="Times New Roman" w:cs="Times New Roman"/>
          <w:i/>
          <w:iCs/>
          <w:color w:val="000000"/>
          <w:kern w:val="0"/>
          <w:lang w:eastAsia="en-GB"/>
          <w14:ligatures w14:val="none"/>
        </w:rPr>
        <w:t>Early Childhood Development and Care</w:t>
      </w:r>
      <w:r w:rsidRPr="001A60B2">
        <w:rPr>
          <w:rFonts w:ascii="Times New Roman" w:eastAsia="Times New Roman" w:hAnsi="Times New Roman" w:cs="Times New Roman"/>
          <w:color w:val="000000"/>
          <w:kern w:val="0"/>
          <w:lang w:eastAsia="en-GB"/>
          <w14:ligatures w14:val="none"/>
        </w:rPr>
        <w:t>, 183(7), pp. 976–991. </w:t>
      </w:r>
      <w:hyperlink r:id="rId9" w:tgtFrame="_new" w:history="1">
        <w:r w:rsidRPr="001A60B2">
          <w:rPr>
            <w:rFonts w:ascii="Times New Roman" w:eastAsia="Times New Roman" w:hAnsi="Times New Roman" w:cs="Times New Roman"/>
            <w:color w:val="0000FF"/>
            <w:kern w:val="0"/>
            <w:u w:val="single"/>
            <w:lang w:eastAsia="en-GB"/>
            <w14:ligatures w14:val="none"/>
          </w:rPr>
          <w:t>https://doi.org/10.1080/03004430.2012.715511</w:t>
        </w:r>
      </w:hyperlink>
    </w:p>
    <w:p w14:paraId="70C73FF2"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Mwinsa, G.M. (2025) ‘Play-based learning as a pedagogical approach for enhancing skills development in early childhood education’, </w:t>
      </w:r>
      <w:r w:rsidRPr="001A60B2">
        <w:rPr>
          <w:rFonts w:ascii="Times New Roman" w:eastAsia="Times New Roman" w:hAnsi="Times New Roman" w:cs="Times New Roman"/>
          <w:i/>
          <w:iCs/>
          <w:color w:val="000000"/>
          <w:kern w:val="0"/>
          <w:lang w:eastAsia="en-GB"/>
          <w14:ligatures w14:val="none"/>
        </w:rPr>
        <w:t>Learning and Motivation</w:t>
      </w:r>
      <w:r w:rsidRPr="001A60B2">
        <w:rPr>
          <w:rFonts w:ascii="Times New Roman" w:eastAsia="Times New Roman" w:hAnsi="Times New Roman" w:cs="Times New Roman"/>
          <w:color w:val="000000"/>
          <w:kern w:val="0"/>
          <w:lang w:eastAsia="en-GB"/>
          <w14:ligatures w14:val="none"/>
        </w:rPr>
        <w:t>, 82, 101928. https://doi.org/10.1016/j.lmot.2025.101928</w:t>
      </w:r>
    </w:p>
    <w:p w14:paraId="26ED167C"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Pyle, A. and Danniels, E. (2017) ‘A continuum of play-based learning: The role of the teacher in play-based pedagogy and the fear of hijacking play’, </w:t>
      </w:r>
      <w:r w:rsidRPr="001A60B2">
        <w:rPr>
          <w:rFonts w:ascii="Times New Roman" w:eastAsia="Times New Roman" w:hAnsi="Times New Roman" w:cs="Times New Roman"/>
          <w:i/>
          <w:iCs/>
          <w:color w:val="000000"/>
          <w:kern w:val="0"/>
          <w:lang w:eastAsia="en-GB"/>
          <w14:ligatures w14:val="none"/>
        </w:rPr>
        <w:t>Early Education and Development</w:t>
      </w:r>
      <w:r w:rsidRPr="001A60B2">
        <w:rPr>
          <w:rFonts w:ascii="Times New Roman" w:eastAsia="Times New Roman" w:hAnsi="Times New Roman" w:cs="Times New Roman"/>
          <w:color w:val="000000"/>
          <w:kern w:val="0"/>
          <w:lang w:eastAsia="en-GB"/>
          <w14:ligatures w14:val="none"/>
        </w:rPr>
        <w:t>, 28(3), pp. 274–289. </w:t>
      </w:r>
      <w:hyperlink r:id="rId10" w:tgtFrame="_new" w:history="1">
        <w:r w:rsidRPr="001A60B2">
          <w:rPr>
            <w:rFonts w:ascii="Times New Roman" w:eastAsia="Times New Roman" w:hAnsi="Times New Roman" w:cs="Times New Roman"/>
            <w:color w:val="0000FF"/>
            <w:kern w:val="0"/>
            <w:u w:val="single"/>
            <w:lang w:eastAsia="en-GB"/>
            <w14:ligatures w14:val="none"/>
          </w:rPr>
          <w:t>https://doi.org/10.1080/10409289.2016.1220771</w:t>
        </w:r>
      </w:hyperlink>
    </w:p>
    <w:p w14:paraId="7084585A"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Roussou, M. and Papadopoulou, D. (2025) ‘Play as an inclusive pedagogical tool: Early childhood educators’ perspectives on supporting children with special educational needs’, </w:t>
      </w:r>
      <w:r w:rsidRPr="001A60B2">
        <w:rPr>
          <w:rFonts w:ascii="Times New Roman" w:eastAsia="Times New Roman" w:hAnsi="Times New Roman" w:cs="Times New Roman"/>
          <w:i/>
          <w:iCs/>
          <w:color w:val="000000"/>
          <w:kern w:val="0"/>
          <w:lang w:eastAsia="en-GB"/>
          <w14:ligatures w14:val="none"/>
        </w:rPr>
        <w:t>International Research in Education</w:t>
      </w:r>
      <w:r w:rsidRPr="001A60B2">
        <w:rPr>
          <w:rFonts w:ascii="Times New Roman" w:eastAsia="Times New Roman" w:hAnsi="Times New Roman" w:cs="Times New Roman"/>
          <w:color w:val="000000"/>
          <w:kern w:val="0"/>
          <w:lang w:eastAsia="en-GB"/>
          <w14:ligatures w14:val="none"/>
        </w:rPr>
        <w:t>, 13(2), pp. 45–62. https://doi.org/10.5296/ire.v13i2.23055</w:t>
      </w:r>
    </w:p>
    <w:p w14:paraId="203E7593"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Vygotsky, L.S. (1978) </w:t>
      </w:r>
      <w:r w:rsidRPr="001A60B2">
        <w:rPr>
          <w:rFonts w:ascii="Times New Roman" w:eastAsia="Times New Roman" w:hAnsi="Times New Roman" w:cs="Times New Roman"/>
          <w:i/>
          <w:iCs/>
          <w:color w:val="000000"/>
          <w:kern w:val="0"/>
          <w:lang w:eastAsia="en-GB"/>
          <w14:ligatures w14:val="none"/>
        </w:rPr>
        <w:t>Mind in society: the development of higher psychological processes</w:t>
      </w:r>
      <w:r w:rsidRPr="001A60B2">
        <w:rPr>
          <w:rFonts w:ascii="Times New Roman" w:eastAsia="Times New Roman" w:hAnsi="Times New Roman" w:cs="Times New Roman"/>
          <w:color w:val="000000"/>
          <w:kern w:val="0"/>
          <w:lang w:eastAsia="en-GB"/>
          <w14:ligatures w14:val="none"/>
        </w:rPr>
        <w:t>. Cambridge, MA: Harvard University Press.</w:t>
      </w:r>
    </w:p>
    <w:p w14:paraId="17314C11"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Welsh Government (2018) </w:t>
      </w:r>
      <w:r w:rsidRPr="001A60B2">
        <w:rPr>
          <w:rFonts w:ascii="Times New Roman" w:eastAsia="Times New Roman" w:hAnsi="Times New Roman" w:cs="Times New Roman"/>
          <w:i/>
          <w:iCs/>
          <w:color w:val="000000"/>
          <w:kern w:val="0"/>
          <w:lang w:eastAsia="en-GB"/>
          <w14:ligatures w14:val="none"/>
        </w:rPr>
        <w:t>Additional Learning Needs and Education Tribunal (Wales) Act 2018</w:t>
      </w:r>
      <w:r w:rsidRPr="001A60B2">
        <w:rPr>
          <w:rFonts w:ascii="Times New Roman" w:eastAsia="Times New Roman" w:hAnsi="Times New Roman" w:cs="Times New Roman"/>
          <w:color w:val="000000"/>
          <w:kern w:val="0"/>
          <w:lang w:eastAsia="en-GB"/>
          <w14:ligatures w14:val="none"/>
        </w:rPr>
        <w:t>. Cardiff: Welsh Government.</w:t>
      </w:r>
    </w:p>
    <w:p w14:paraId="593FDC79"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Welsh Government (2022) </w:t>
      </w:r>
      <w:r w:rsidRPr="001A60B2">
        <w:rPr>
          <w:rFonts w:ascii="Times New Roman" w:eastAsia="Times New Roman" w:hAnsi="Times New Roman" w:cs="Times New Roman"/>
          <w:i/>
          <w:iCs/>
          <w:color w:val="000000"/>
          <w:kern w:val="0"/>
          <w:lang w:eastAsia="en-GB"/>
          <w14:ligatures w14:val="none"/>
        </w:rPr>
        <w:t>Curriculum for Wales: guidance</w:t>
      </w:r>
      <w:r w:rsidRPr="001A60B2">
        <w:rPr>
          <w:rFonts w:ascii="Times New Roman" w:eastAsia="Times New Roman" w:hAnsi="Times New Roman" w:cs="Times New Roman"/>
          <w:color w:val="000000"/>
          <w:kern w:val="0"/>
          <w:lang w:eastAsia="en-GB"/>
          <w14:ligatures w14:val="none"/>
        </w:rPr>
        <w:t>. Cardiff: Welsh Government.</w:t>
      </w:r>
    </w:p>
    <w:p w14:paraId="142E6C69" w14:textId="77777777" w:rsid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6AB2349"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D18B648"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78A59C1"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7FE5A1F"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6A75D9D"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5D3B4CB"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21BA6D1"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61FCBC1"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55B0564"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2E06A8F"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3E318F3"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C70816A"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7BD62C4"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2F24735"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D34619C" w14:textId="77777777" w:rsidR="005C3420" w:rsidRPr="001A60B2"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68E33CF" w14:textId="77777777" w:rsidR="00321061" w:rsidRDefault="00321061"/>
    <w:sectPr w:rsidR="003210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B2"/>
    <w:rsid w:val="001A60B2"/>
    <w:rsid w:val="00321061"/>
    <w:rsid w:val="00383824"/>
    <w:rsid w:val="00386AC7"/>
    <w:rsid w:val="003E2E65"/>
    <w:rsid w:val="004655C2"/>
    <w:rsid w:val="005C3420"/>
    <w:rsid w:val="00725A0A"/>
    <w:rsid w:val="007A24F2"/>
    <w:rsid w:val="00A4073F"/>
    <w:rsid w:val="00B9618C"/>
    <w:rsid w:val="00C82CEA"/>
    <w:rsid w:val="00D603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508F8"/>
  <w15:chartTrackingRefBased/>
  <w15:docId w15:val="{3AD98DE6-9E71-374E-946A-20B1B1393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0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60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60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0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0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0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0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0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0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0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60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60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0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0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0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0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0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0B2"/>
    <w:rPr>
      <w:rFonts w:eastAsiaTheme="majorEastAsia" w:cstheme="majorBidi"/>
      <w:color w:val="272727" w:themeColor="text1" w:themeTint="D8"/>
    </w:rPr>
  </w:style>
  <w:style w:type="paragraph" w:styleId="Title">
    <w:name w:val="Title"/>
    <w:basedOn w:val="Normal"/>
    <w:next w:val="Normal"/>
    <w:link w:val="TitleChar"/>
    <w:uiPriority w:val="10"/>
    <w:qFormat/>
    <w:rsid w:val="001A60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0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0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0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0B2"/>
    <w:pPr>
      <w:spacing w:before="160"/>
      <w:jc w:val="center"/>
    </w:pPr>
    <w:rPr>
      <w:i/>
      <w:iCs/>
      <w:color w:val="404040" w:themeColor="text1" w:themeTint="BF"/>
    </w:rPr>
  </w:style>
  <w:style w:type="character" w:customStyle="1" w:styleId="QuoteChar">
    <w:name w:val="Quote Char"/>
    <w:basedOn w:val="DefaultParagraphFont"/>
    <w:link w:val="Quote"/>
    <w:uiPriority w:val="29"/>
    <w:rsid w:val="001A60B2"/>
    <w:rPr>
      <w:i/>
      <w:iCs/>
      <w:color w:val="404040" w:themeColor="text1" w:themeTint="BF"/>
    </w:rPr>
  </w:style>
  <w:style w:type="paragraph" w:styleId="ListParagraph">
    <w:name w:val="List Paragraph"/>
    <w:basedOn w:val="Normal"/>
    <w:uiPriority w:val="34"/>
    <w:qFormat/>
    <w:rsid w:val="001A60B2"/>
    <w:pPr>
      <w:ind w:left="720"/>
      <w:contextualSpacing/>
    </w:pPr>
  </w:style>
  <w:style w:type="character" w:styleId="IntenseEmphasis">
    <w:name w:val="Intense Emphasis"/>
    <w:basedOn w:val="DefaultParagraphFont"/>
    <w:uiPriority w:val="21"/>
    <w:qFormat/>
    <w:rsid w:val="001A60B2"/>
    <w:rPr>
      <w:i/>
      <w:iCs/>
      <w:color w:val="0F4761" w:themeColor="accent1" w:themeShade="BF"/>
    </w:rPr>
  </w:style>
  <w:style w:type="paragraph" w:styleId="IntenseQuote">
    <w:name w:val="Intense Quote"/>
    <w:basedOn w:val="Normal"/>
    <w:next w:val="Normal"/>
    <w:link w:val="IntenseQuoteChar"/>
    <w:uiPriority w:val="30"/>
    <w:qFormat/>
    <w:rsid w:val="001A60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0B2"/>
    <w:rPr>
      <w:i/>
      <w:iCs/>
      <w:color w:val="0F4761" w:themeColor="accent1" w:themeShade="BF"/>
    </w:rPr>
  </w:style>
  <w:style w:type="character" w:styleId="IntenseReference">
    <w:name w:val="Intense Reference"/>
    <w:basedOn w:val="DefaultParagraphFont"/>
    <w:uiPriority w:val="32"/>
    <w:qFormat/>
    <w:rsid w:val="001A60B2"/>
    <w:rPr>
      <w:b/>
      <w:bCs/>
      <w:smallCaps/>
      <w:color w:val="0F4761" w:themeColor="accent1" w:themeShade="BF"/>
      <w:spacing w:val="5"/>
    </w:rPr>
  </w:style>
  <w:style w:type="paragraph" w:styleId="NormalWeb">
    <w:name w:val="Normal (Web)"/>
    <w:basedOn w:val="Normal"/>
    <w:uiPriority w:val="99"/>
    <w:semiHidden/>
    <w:unhideWhenUsed/>
    <w:rsid w:val="001A60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A60B2"/>
    <w:rPr>
      <w:b/>
      <w:bCs/>
    </w:rPr>
  </w:style>
  <w:style w:type="character" w:styleId="Emphasis">
    <w:name w:val="Emphasis"/>
    <w:basedOn w:val="DefaultParagraphFont"/>
    <w:uiPriority w:val="20"/>
    <w:qFormat/>
    <w:rsid w:val="001A60B2"/>
    <w:rPr>
      <w:i/>
      <w:iCs/>
    </w:rPr>
  </w:style>
  <w:style w:type="character" w:customStyle="1" w:styleId="apple-converted-space">
    <w:name w:val="apple-converted-space"/>
    <w:basedOn w:val="DefaultParagraphFont"/>
    <w:rsid w:val="001A60B2"/>
  </w:style>
  <w:style w:type="character" w:styleId="Hyperlink">
    <w:name w:val="Hyperlink"/>
    <w:basedOn w:val="DefaultParagraphFont"/>
    <w:uiPriority w:val="99"/>
    <w:semiHidden/>
    <w:unhideWhenUsed/>
    <w:rsid w:val="001A60B2"/>
    <w:rPr>
      <w:color w:val="0000FF"/>
      <w:u w:val="single"/>
    </w:rPr>
  </w:style>
  <w:style w:type="table" w:styleId="TableGrid">
    <w:name w:val="Table Grid"/>
    <w:basedOn w:val="TableNormal"/>
    <w:rsid w:val="005C342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310-017-9220-9" TargetMode="External"/><Relationship Id="rId3" Type="http://schemas.openxmlformats.org/officeDocument/2006/relationships/webSettings" Target="webSettings.xml"/><Relationship Id="rId7" Type="http://schemas.openxmlformats.org/officeDocument/2006/relationships/hyperlink" Target="https://doi.org/10.1080/0305764X.2011.64482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53815110377336"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doi.org/10.1080/10409289.2016.1220771" TargetMode="External"/><Relationship Id="rId4" Type="http://schemas.openxmlformats.org/officeDocument/2006/relationships/image" Target="media/image1.png"/><Relationship Id="rId9" Type="http://schemas.openxmlformats.org/officeDocument/2006/relationships/hyperlink" Target="https://doi.org/10.1080/03004430.2012.715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1404</Words>
  <Characters>8988</Characters>
  <Application>Microsoft Office Word</Application>
  <DocSecurity>0</DocSecurity>
  <Lines>179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Inam Alsalim (2502495)</dc:creator>
  <cp:keywords/>
  <dc:description/>
  <cp:lastModifiedBy>Inam Alsalim (2502495)</cp:lastModifiedBy>
  <cp:revision>5</cp:revision>
  <dcterms:created xsi:type="dcterms:W3CDTF">2026-01-27T16:59:00Z</dcterms:created>
  <dcterms:modified xsi:type="dcterms:W3CDTF">2026-01-28T16:29:00Z</dcterms:modified>
</cp:coreProperties>
</file>