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9C02A48" w14:textId="77777777" w:rsidR="002C4CA7" w:rsidRPr="002C4CA7" w:rsidRDefault="002C4CA7" w:rsidP="002C4CA7">
      <w:pPr>
        <w:spacing w:line="480" w:lineRule="auto"/>
        <w:jc w:val="both"/>
        <w:rPr>
          <w:rFonts w:ascii="Garamond" w:hAnsi="Garamond"/>
          <w:sz w:val="26"/>
          <w:szCs w:val="26"/>
        </w:rPr>
      </w:pPr>
      <w:r w:rsidRPr="002C4CA7">
        <w:rPr>
          <w:rFonts w:ascii="Garamond" w:hAnsi="Garamond"/>
          <w:sz w:val="26"/>
          <w:szCs w:val="26"/>
        </w:rPr>
        <w:t>1.</w:t>
      </w:r>
    </w:p>
    <w:p w14:paraId="1D5DAF2E" w14:textId="2EC2944D" w:rsidR="00DE0ECC" w:rsidRPr="002C4CA7" w:rsidRDefault="00DE0ECC" w:rsidP="002C4CA7">
      <w:pPr>
        <w:spacing w:line="480" w:lineRule="auto"/>
        <w:jc w:val="both"/>
        <w:rPr>
          <w:rFonts w:ascii="Garamond" w:eastAsia="Calibri" w:hAnsi="Garamond" w:cs="Calibri"/>
          <w:sz w:val="26"/>
          <w:szCs w:val="26"/>
          <w:u w:val="single"/>
        </w:rPr>
      </w:pPr>
      <w:r w:rsidRPr="002C4CA7">
        <w:rPr>
          <w:rFonts w:ascii="Garamond" w:eastAsia="Calibri" w:hAnsi="Garamond" w:cs="Calibri"/>
          <w:sz w:val="26"/>
          <w:szCs w:val="26"/>
          <w:u w:val="single"/>
        </w:rPr>
        <w:t>Critically evaluate the concept of ‘the professionalisation of the police service’ considering how ‘Maintaining Professional Standards’ ‘ethical and inclusive’ and ‘Coaching and Mentoring’ approaches contribute to this.</w:t>
      </w:r>
    </w:p>
    <w:p w14:paraId="250CC217" w14:textId="66485DC9" w:rsidR="00961FE2" w:rsidRPr="00DE0ECC" w:rsidRDefault="00961FE2" w:rsidP="002C4CA7">
      <w:pPr>
        <w:spacing w:line="480" w:lineRule="auto"/>
        <w:rPr>
          <w:rFonts w:ascii="Garamond" w:hAnsi="Garamond" w:cs="Calibri"/>
          <w:sz w:val="28"/>
          <w:szCs w:val="28"/>
          <w:u w:val="single"/>
        </w:rPr>
      </w:pPr>
    </w:p>
    <w:p w14:paraId="4DAB0E99" w14:textId="0C1F49AF" w:rsidR="000C12E6" w:rsidRPr="00961FE2" w:rsidRDefault="000C12E6" w:rsidP="002C4CA7">
      <w:pPr>
        <w:spacing w:line="480" w:lineRule="auto"/>
        <w:rPr>
          <w:rFonts w:ascii="Garamond" w:hAnsi="Garamond" w:cs="Calibri"/>
          <w:sz w:val="24"/>
          <w:szCs w:val="24"/>
        </w:rPr>
      </w:pPr>
      <w:r w:rsidRPr="00961FE2">
        <w:rPr>
          <w:rFonts w:ascii="Garamond" w:hAnsi="Garamond" w:cs="Calibri"/>
          <w:sz w:val="24"/>
          <w:szCs w:val="24"/>
        </w:rPr>
        <w:t>The Police Service as we know it today has not always existed as such. It has adapted and evolved over time, changing with the times to be as effective as it can be within the context it exists in.</w:t>
      </w:r>
      <w:r w:rsidR="003703CC">
        <w:rPr>
          <w:rFonts w:ascii="Garamond" w:hAnsi="Garamond" w:cs="Calibri"/>
          <w:sz w:val="24"/>
          <w:szCs w:val="24"/>
        </w:rPr>
        <w:t xml:space="preserve"> </w:t>
      </w:r>
      <w:r w:rsidRPr="00961FE2">
        <w:rPr>
          <w:rFonts w:ascii="Garamond" w:hAnsi="Garamond" w:cs="Calibri"/>
          <w:sz w:val="24"/>
          <w:szCs w:val="24"/>
        </w:rPr>
        <w:t>This short essay will discuss how the Police service has changed in terms of professionalisation and the different approaches that impact on this.</w:t>
      </w:r>
    </w:p>
    <w:p w14:paraId="365BEF68" w14:textId="77777777" w:rsidR="000C12E6" w:rsidRPr="00961FE2" w:rsidRDefault="000C12E6" w:rsidP="002C4CA7">
      <w:pPr>
        <w:spacing w:line="480" w:lineRule="auto"/>
        <w:rPr>
          <w:rFonts w:ascii="Garamond" w:hAnsi="Garamond" w:cs="Calibri"/>
          <w:sz w:val="24"/>
          <w:szCs w:val="24"/>
        </w:rPr>
      </w:pPr>
    </w:p>
    <w:p w14:paraId="7FFC2ADD" w14:textId="41DAFAB8" w:rsidR="000C12E6" w:rsidRPr="00961FE2" w:rsidRDefault="000C12E6" w:rsidP="002C4CA7">
      <w:pPr>
        <w:spacing w:line="480" w:lineRule="auto"/>
        <w:rPr>
          <w:rFonts w:ascii="Garamond" w:hAnsi="Garamond" w:cs="Calibri"/>
          <w:sz w:val="24"/>
          <w:szCs w:val="24"/>
        </w:rPr>
      </w:pPr>
      <w:r w:rsidRPr="00961FE2">
        <w:rPr>
          <w:rFonts w:ascii="Garamond" w:hAnsi="Garamond" w:cs="Calibri"/>
          <w:sz w:val="24"/>
          <w:szCs w:val="24"/>
        </w:rPr>
        <w:t xml:space="preserve">When considering the ethical standards of </w:t>
      </w:r>
      <w:r w:rsidR="003703CC">
        <w:rPr>
          <w:rFonts w:ascii="Garamond" w:hAnsi="Garamond" w:cs="Calibri"/>
          <w:sz w:val="24"/>
          <w:szCs w:val="24"/>
        </w:rPr>
        <w:t>p</w:t>
      </w:r>
      <w:r w:rsidRPr="00961FE2">
        <w:rPr>
          <w:rFonts w:ascii="Garamond" w:hAnsi="Garamond" w:cs="Calibri"/>
          <w:sz w:val="24"/>
          <w:szCs w:val="24"/>
        </w:rPr>
        <w:t>olice officers, many people would think of Robert Peel and his principles of Policing</w:t>
      </w:r>
      <w:r w:rsidR="003703CC">
        <w:rPr>
          <w:rFonts w:ascii="Garamond" w:hAnsi="Garamond" w:cs="Calibri"/>
          <w:sz w:val="24"/>
          <w:szCs w:val="24"/>
        </w:rPr>
        <w:t xml:space="preserve"> </w:t>
      </w:r>
      <w:r w:rsidRPr="00961FE2">
        <w:rPr>
          <w:rFonts w:ascii="Garamond" w:hAnsi="Garamond" w:cs="Calibri"/>
          <w:sz w:val="24"/>
          <w:szCs w:val="24"/>
        </w:rPr>
        <w:t>(Sir Robert Peel’s Nine Principles of Policing, 2014)</w:t>
      </w:r>
      <w:r w:rsidR="003703CC">
        <w:rPr>
          <w:rFonts w:ascii="Garamond" w:hAnsi="Garamond" w:cs="Calibri"/>
          <w:sz w:val="24"/>
          <w:szCs w:val="24"/>
        </w:rPr>
        <w:t>.</w:t>
      </w:r>
      <w:r w:rsidRPr="00961FE2">
        <w:rPr>
          <w:rFonts w:ascii="Garamond" w:hAnsi="Garamond" w:cs="Calibri"/>
          <w:sz w:val="24"/>
          <w:szCs w:val="24"/>
        </w:rPr>
        <w:t xml:space="preserve"> Peel is known throughout the world in the context of policing and is thought of as a forerunner of modern policing. Peel had </w:t>
      </w:r>
      <w:r w:rsidR="003703CC">
        <w:rPr>
          <w:rFonts w:ascii="Garamond" w:hAnsi="Garamond" w:cs="Calibri"/>
          <w:sz w:val="24"/>
          <w:szCs w:val="24"/>
        </w:rPr>
        <w:t>nine</w:t>
      </w:r>
      <w:r w:rsidRPr="00961FE2">
        <w:rPr>
          <w:rFonts w:ascii="Garamond" w:hAnsi="Garamond" w:cs="Calibri"/>
          <w:sz w:val="24"/>
          <w:szCs w:val="24"/>
        </w:rPr>
        <w:t xml:space="preserve"> principles which guided his thinking around how police officers should conduct themselves individually and collectively within society. They largely discuss the interaction of </w:t>
      </w:r>
      <w:r w:rsidR="003703CC">
        <w:rPr>
          <w:rFonts w:ascii="Garamond" w:hAnsi="Garamond" w:cs="Calibri"/>
          <w:sz w:val="24"/>
          <w:szCs w:val="24"/>
        </w:rPr>
        <w:t>p</w:t>
      </w:r>
      <w:r w:rsidRPr="00961FE2">
        <w:rPr>
          <w:rFonts w:ascii="Garamond" w:hAnsi="Garamond" w:cs="Calibri"/>
          <w:sz w:val="24"/>
          <w:szCs w:val="24"/>
        </w:rPr>
        <w:t>olice officers and the public, particularly the seeking of public approval and cooperation, impartiality and a sense of shared identity. These principles are still acknowledged and applied today (Lentz and Chaires, 2007)</w:t>
      </w:r>
      <w:r w:rsidR="003703CC">
        <w:rPr>
          <w:rFonts w:ascii="Garamond" w:hAnsi="Garamond" w:cs="Calibri"/>
          <w:sz w:val="24"/>
          <w:szCs w:val="24"/>
        </w:rPr>
        <w:t>.</w:t>
      </w:r>
      <w:r w:rsidRPr="00961FE2">
        <w:rPr>
          <w:rFonts w:ascii="Garamond" w:hAnsi="Garamond" w:cs="Calibri"/>
          <w:sz w:val="24"/>
          <w:szCs w:val="24"/>
        </w:rPr>
        <w:t xml:space="preserve"> They can be seen in the formation of the College of Policing </w:t>
      </w:r>
      <w:r w:rsidR="003703CC">
        <w:rPr>
          <w:rFonts w:ascii="Garamond" w:hAnsi="Garamond" w:cs="Calibri"/>
          <w:sz w:val="24"/>
          <w:szCs w:val="24"/>
        </w:rPr>
        <w:t>C</w:t>
      </w:r>
      <w:r w:rsidRPr="00961FE2">
        <w:rPr>
          <w:rFonts w:ascii="Garamond" w:hAnsi="Garamond" w:cs="Calibri"/>
          <w:sz w:val="24"/>
          <w:szCs w:val="24"/>
        </w:rPr>
        <w:t xml:space="preserve">ode of </w:t>
      </w:r>
      <w:r w:rsidR="003703CC">
        <w:rPr>
          <w:rFonts w:ascii="Garamond" w:hAnsi="Garamond" w:cs="Calibri"/>
          <w:sz w:val="24"/>
          <w:szCs w:val="24"/>
        </w:rPr>
        <w:t>E</w:t>
      </w:r>
      <w:r w:rsidRPr="00961FE2">
        <w:rPr>
          <w:rFonts w:ascii="Garamond" w:hAnsi="Garamond" w:cs="Calibri"/>
          <w:sz w:val="24"/>
          <w:szCs w:val="24"/>
        </w:rPr>
        <w:t xml:space="preserve">thics </w:t>
      </w:r>
      <w:r w:rsidR="003703CC">
        <w:rPr>
          <w:rFonts w:ascii="Garamond" w:hAnsi="Garamond" w:cs="Calibri"/>
          <w:sz w:val="24"/>
          <w:szCs w:val="24"/>
        </w:rPr>
        <w:t xml:space="preserve">to </w:t>
      </w:r>
      <w:r w:rsidRPr="00961FE2">
        <w:rPr>
          <w:rFonts w:ascii="Garamond" w:hAnsi="Garamond" w:cs="Calibri"/>
          <w:sz w:val="24"/>
          <w:szCs w:val="24"/>
        </w:rPr>
        <w:t>which modern day officers adhere (Code of Ethics | College of Policing, 2014)</w:t>
      </w:r>
      <w:r w:rsidR="003703CC">
        <w:rPr>
          <w:rFonts w:ascii="Garamond" w:hAnsi="Garamond" w:cs="Calibri"/>
          <w:sz w:val="24"/>
          <w:szCs w:val="24"/>
        </w:rPr>
        <w:t>.</w:t>
      </w:r>
      <w:r w:rsidRPr="00961FE2">
        <w:rPr>
          <w:rFonts w:ascii="Garamond" w:hAnsi="Garamond" w:cs="Calibri"/>
          <w:sz w:val="24"/>
          <w:szCs w:val="24"/>
        </w:rPr>
        <w:t xml:space="preserve"> These are the professional standards expected of officers today.</w:t>
      </w:r>
    </w:p>
    <w:p w14:paraId="0805686F" w14:textId="77777777" w:rsidR="000C12E6" w:rsidRPr="00961FE2" w:rsidRDefault="000C12E6" w:rsidP="002C4CA7">
      <w:pPr>
        <w:spacing w:line="480" w:lineRule="auto"/>
        <w:rPr>
          <w:rFonts w:ascii="Garamond" w:hAnsi="Garamond" w:cs="Calibri"/>
          <w:sz w:val="24"/>
          <w:szCs w:val="24"/>
        </w:rPr>
      </w:pPr>
    </w:p>
    <w:p w14:paraId="31B7504D" w14:textId="0D24FABD" w:rsidR="000C12E6" w:rsidRPr="00961FE2" w:rsidRDefault="000C12E6" w:rsidP="002C4CA7">
      <w:pPr>
        <w:spacing w:line="480" w:lineRule="auto"/>
        <w:rPr>
          <w:rFonts w:ascii="Garamond" w:hAnsi="Garamond" w:cs="Calibri"/>
          <w:sz w:val="24"/>
          <w:szCs w:val="24"/>
        </w:rPr>
      </w:pPr>
      <w:r w:rsidRPr="00961FE2">
        <w:rPr>
          <w:rFonts w:ascii="Garamond" w:hAnsi="Garamond" w:cs="Calibri"/>
          <w:sz w:val="24"/>
          <w:szCs w:val="24"/>
        </w:rPr>
        <w:t>It is important for officers to hold themselves to the professional standards expected in today’s society as now more than ever, officers are open to scrutiny through the use of the internet and new media. In Nigeria, the procedures for raising issues and complaints about the police force were traditionally “unproductive” (Odeyemi and Obiyan, 2018)</w:t>
      </w:r>
      <w:r w:rsidR="003703CC">
        <w:rPr>
          <w:rFonts w:ascii="Garamond" w:hAnsi="Garamond" w:cs="Calibri"/>
          <w:sz w:val="24"/>
          <w:szCs w:val="24"/>
        </w:rPr>
        <w:t>.</w:t>
      </w:r>
      <w:r w:rsidRPr="00961FE2">
        <w:rPr>
          <w:rFonts w:ascii="Garamond" w:hAnsi="Garamond" w:cs="Calibri"/>
          <w:sz w:val="24"/>
          <w:szCs w:val="24"/>
        </w:rPr>
        <w:t xml:space="preserve"> To allow the public the </w:t>
      </w:r>
      <w:r w:rsidRPr="00961FE2">
        <w:rPr>
          <w:rFonts w:ascii="Garamond" w:hAnsi="Garamond" w:cs="Calibri"/>
          <w:sz w:val="24"/>
          <w:szCs w:val="24"/>
        </w:rPr>
        <w:lastRenderedPageBreak/>
        <w:t xml:space="preserve">opportunity to criticise actions of officers more easily, technology was utilised for easier communication of complaints and ways to provide evidence of misconduct. Similarly, in the UK, the opportunity to scrutinise the </w:t>
      </w:r>
      <w:r w:rsidR="003703CC">
        <w:rPr>
          <w:rFonts w:ascii="Garamond" w:hAnsi="Garamond" w:cs="Calibri"/>
          <w:sz w:val="24"/>
          <w:szCs w:val="24"/>
        </w:rPr>
        <w:t>p</w:t>
      </w:r>
      <w:r w:rsidRPr="00961FE2">
        <w:rPr>
          <w:rFonts w:ascii="Garamond" w:hAnsi="Garamond" w:cs="Calibri"/>
          <w:sz w:val="24"/>
          <w:szCs w:val="24"/>
        </w:rPr>
        <w:t>olice is much simpler and more accessible than it has been previously. With many more people having access to smart phones, the internet</w:t>
      </w:r>
      <w:r w:rsidR="003703CC">
        <w:rPr>
          <w:rFonts w:ascii="Garamond" w:hAnsi="Garamond" w:cs="Calibri"/>
          <w:sz w:val="24"/>
          <w:szCs w:val="24"/>
        </w:rPr>
        <w:t>,</w:t>
      </w:r>
      <w:r w:rsidRPr="00961FE2">
        <w:rPr>
          <w:rFonts w:ascii="Garamond" w:hAnsi="Garamond" w:cs="Calibri"/>
          <w:sz w:val="24"/>
          <w:szCs w:val="24"/>
        </w:rPr>
        <w:t xml:space="preserve"> and social media, there is less opportunity for officers who do</w:t>
      </w:r>
      <w:r w:rsidR="003703CC">
        <w:rPr>
          <w:rFonts w:ascii="Garamond" w:hAnsi="Garamond" w:cs="Calibri"/>
          <w:sz w:val="24"/>
          <w:szCs w:val="24"/>
        </w:rPr>
        <w:t xml:space="preserve"> not</w:t>
      </w:r>
      <w:r w:rsidRPr="00961FE2">
        <w:rPr>
          <w:rFonts w:ascii="Garamond" w:hAnsi="Garamond" w:cs="Calibri"/>
          <w:sz w:val="24"/>
          <w:szCs w:val="24"/>
        </w:rPr>
        <w:t xml:space="preserve"> comply with standards to get away with such behaviour. This can be seen in many of the high-profile </w:t>
      </w:r>
      <w:r w:rsidR="003703CC">
        <w:rPr>
          <w:rFonts w:ascii="Garamond" w:hAnsi="Garamond" w:cs="Calibri"/>
          <w:sz w:val="24"/>
          <w:szCs w:val="24"/>
        </w:rPr>
        <w:t>p</w:t>
      </w:r>
      <w:r w:rsidRPr="00961FE2">
        <w:rPr>
          <w:rFonts w:ascii="Garamond" w:hAnsi="Garamond" w:cs="Calibri"/>
          <w:sz w:val="24"/>
          <w:szCs w:val="24"/>
        </w:rPr>
        <w:t>olice controversies seen across the world in recent years. Most notably of late is the murder of George Floyd, whereby police brutality resulted in the death of an unarmed black man. In this case, bystanders had recorded the actions of officers on video which was then distributed online and resulted in the sacking of those present (Robinson, 2020)</w:t>
      </w:r>
      <w:r w:rsidR="003703CC">
        <w:rPr>
          <w:rFonts w:ascii="Garamond" w:hAnsi="Garamond" w:cs="Calibri"/>
          <w:sz w:val="24"/>
          <w:szCs w:val="24"/>
        </w:rPr>
        <w:t>.</w:t>
      </w:r>
      <w:r w:rsidRPr="00961FE2">
        <w:rPr>
          <w:rFonts w:ascii="Garamond" w:hAnsi="Garamond" w:cs="Calibri"/>
          <w:sz w:val="24"/>
          <w:szCs w:val="24"/>
        </w:rPr>
        <w:t xml:space="preserve"> The officer responsible has since been charged with murder. It should be noticed from this example that the public are watching the police and prepared to record the actions of police when they do</w:t>
      </w:r>
      <w:r w:rsidR="003703CC">
        <w:rPr>
          <w:rFonts w:ascii="Garamond" w:hAnsi="Garamond" w:cs="Calibri"/>
          <w:sz w:val="24"/>
          <w:szCs w:val="24"/>
        </w:rPr>
        <w:t xml:space="preserve"> not</w:t>
      </w:r>
      <w:r w:rsidRPr="00961FE2">
        <w:rPr>
          <w:rFonts w:ascii="Garamond" w:hAnsi="Garamond" w:cs="Calibri"/>
          <w:sz w:val="24"/>
          <w:szCs w:val="24"/>
        </w:rPr>
        <w:t xml:space="preserve"> agree with them. Technology allows for exposure and removes the control over a complaint from the </w:t>
      </w:r>
      <w:r w:rsidR="003703CC">
        <w:rPr>
          <w:rFonts w:ascii="Garamond" w:hAnsi="Garamond" w:cs="Calibri"/>
          <w:sz w:val="24"/>
          <w:szCs w:val="24"/>
        </w:rPr>
        <w:t>p</w:t>
      </w:r>
      <w:r w:rsidRPr="00961FE2">
        <w:rPr>
          <w:rFonts w:ascii="Garamond" w:hAnsi="Garamond" w:cs="Calibri"/>
          <w:sz w:val="24"/>
          <w:szCs w:val="24"/>
        </w:rPr>
        <w:t xml:space="preserve">olice, giving it to the faultfinder. Maintaining the standards expected is crucial to public confidence in a </w:t>
      </w:r>
      <w:r w:rsidR="003703CC">
        <w:rPr>
          <w:rFonts w:ascii="Garamond" w:hAnsi="Garamond" w:cs="Calibri"/>
          <w:sz w:val="24"/>
          <w:szCs w:val="24"/>
        </w:rPr>
        <w:t>p</w:t>
      </w:r>
      <w:r w:rsidRPr="00961FE2">
        <w:rPr>
          <w:rFonts w:ascii="Garamond" w:hAnsi="Garamond" w:cs="Calibri"/>
          <w:sz w:val="24"/>
          <w:szCs w:val="24"/>
        </w:rPr>
        <w:t>olice service and this is accentuated in a connected digital society where repercussions are almost instant for neglecting them.</w:t>
      </w:r>
    </w:p>
    <w:p w14:paraId="6090656C" w14:textId="77777777" w:rsidR="000C12E6" w:rsidRPr="00961FE2" w:rsidRDefault="000C12E6" w:rsidP="002C4CA7">
      <w:pPr>
        <w:spacing w:line="480" w:lineRule="auto"/>
        <w:rPr>
          <w:rFonts w:ascii="Garamond" w:hAnsi="Garamond" w:cs="Calibri"/>
          <w:sz w:val="24"/>
          <w:szCs w:val="24"/>
        </w:rPr>
      </w:pPr>
    </w:p>
    <w:p w14:paraId="4EADD7BB" w14:textId="07CBC290" w:rsidR="000C12E6" w:rsidRPr="00961FE2" w:rsidRDefault="000C12E6" w:rsidP="002C4CA7">
      <w:pPr>
        <w:spacing w:line="480" w:lineRule="auto"/>
        <w:rPr>
          <w:rFonts w:ascii="Garamond" w:hAnsi="Garamond" w:cs="Calibri"/>
          <w:sz w:val="24"/>
          <w:szCs w:val="24"/>
        </w:rPr>
      </w:pPr>
      <w:r w:rsidRPr="00961FE2">
        <w:rPr>
          <w:rFonts w:ascii="Garamond" w:hAnsi="Garamond" w:cs="Calibri"/>
          <w:sz w:val="24"/>
          <w:szCs w:val="24"/>
        </w:rPr>
        <w:t>Within society today, professions are viewed more favourably than traditional types of work such as trades or crafts (Green and Gates, 2014)</w:t>
      </w:r>
      <w:r w:rsidR="003703CC">
        <w:rPr>
          <w:rFonts w:ascii="Garamond" w:hAnsi="Garamond" w:cs="Calibri"/>
          <w:sz w:val="24"/>
          <w:szCs w:val="24"/>
        </w:rPr>
        <w:t>.</w:t>
      </w:r>
      <w:r w:rsidRPr="00961FE2">
        <w:rPr>
          <w:rFonts w:ascii="Garamond" w:hAnsi="Garamond" w:cs="Calibri"/>
          <w:sz w:val="24"/>
          <w:szCs w:val="24"/>
        </w:rPr>
        <w:t xml:space="preserve"> It is considered that professionals of all kinds adhere to a code of ethics (Pg. 77) and that these codes are how </w:t>
      </w:r>
      <w:r w:rsidR="003703CC">
        <w:rPr>
          <w:rFonts w:ascii="Garamond" w:hAnsi="Garamond" w:cs="Calibri"/>
          <w:sz w:val="24"/>
          <w:szCs w:val="24"/>
        </w:rPr>
        <w:t>professions</w:t>
      </w:r>
      <w:r w:rsidRPr="00961FE2">
        <w:rPr>
          <w:rFonts w:ascii="Garamond" w:hAnsi="Garamond" w:cs="Calibri"/>
          <w:sz w:val="24"/>
          <w:szCs w:val="24"/>
        </w:rPr>
        <w:t xml:space="preserve"> are held to account for their actions. Green and Gates go on to explore the impact of </w:t>
      </w:r>
      <w:r w:rsidR="003703CC">
        <w:rPr>
          <w:rFonts w:ascii="Garamond" w:hAnsi="Garamond" w:cs="Calibri"/>
          <w:sz w:val="24"/>
          <w:szCs w:val="24"/>
        </w:rPr>
        <w:t>“</w:t>
      </w:r>
      <w:r w:rsidRPr="00961FE2">
        <w:rPr>
          <w:rFonts w:ascii="Garamond" w:hAnsi="Garamond" w:cs="Calibri"/>
          <w:sz w:val="24"/>
          <w:szCs w:val="24"/>
        </w:rPr>
        <w:t>autonomy</w:t>
      </w:r>
      <w:r w:rsidR="003703CC">
        <w:rPr>
          <w:rFonts w:ascii="Garamond" w:hAnsi="Garamond" w:cs="Calibri"/>
          <w:sz w:val="24"/>
          <w:szCs w:val="24"/>
        </w:rPr>
        <w:t>”</w:t>
      </w:r>
      <w:r w:rsidRPr="00961FE2">
        <w:rPr>
          <w:rFonts w:ascii="Garamond" w:hAnsi="Garamond" w:cs="Calibri"/>
          <w:sz w:val="24"/>
          <w:szCs w:val="24"/>
        </w:rPr>
        <w:t xml:space="preserve"> on the professionalism of an organisation. It is well known that police officers work in a particularly autonomous fashion and this could allow for a lapse in professionalism. When left alone, having a common focus to inform decisions and actions can provide assistance to officers and enable them to continue in a suitable manner. Green and Gates go on to give seven objectives they consider key to </w:t>
      </w:r>
      <w:r w:rsidR="003703CC">
        <w:rPr>
          <w:rFonts w:ascii="Garamond" w:hAnsi="Garamond" w:cs="Calibri"/>
          <w:sz w:val="24"/>
          <w:szCs w:val="24"/>
        </w:rPr>
        <w:t>p</w:t>
      </w:r>
      <w:r w:rsidRPr="00961FE2">
        <w:rPr>
          <w:rFonts w:ascii="Garamond" w:hAnsi="Garamond" w:cs="Calibri"/>
          <w:sz w:val="24"/>
          <w:szCs w:val="24"/>
        </w:rPr>
        <w:t>olicing being professionalised (2014, P.81)</w:t>
      </w:r>
      <w:r w:rsidR="003703CC">
        <w:rPr>
          <w:rFonts w:ascii="Garamond" w:hAnsi="Garamond" w:cs="Calibri"/>
          <w:sz w:val="24"/>
          <w:szCs w:val="24"/>
        </w:rPr>
        <w:t>.</w:t>
      </w:r>
      <w:r w:rsidRPr="00961FE2">
        <w:rPr>
          <w:rFonts w:ascii="Garamond" w:hAnsi="Garamond" w:cs="Calibri"/>
          <w:sz w:val="24"/>
          <w:szCs w:val="24"/>
        </w:rPr>
        <w:t xml:space="preserve"> For instance, the introduction of </w:t>
      </w:r>
      <w:r w:rsidRPr="00961FE2">
        <w:rPr>
          <w:rFonts w:ascii="Garamond" w:hAnsi="Garamond" w:cs="Calibri"/>
          <w:sz w:val="24"/>
          <w:szCs w:val="24"/>
        </w:rPr>
        <w:lastRenderedPageBreak/>
        <w:t xml:space="preserve">university-based education for policing, which is a new aspect of the professionalisation of </w:t>
      </w:r>
      <w:r w:rsidR="003703CC">
        <w:rPr>
          <w:rFonts w:ascii="Garamond" w:hAnsi="Garamond" w:cs="Calibri"/>
          <w:sz w:val="24"/>
          <w:szCs w:val="24"/>
        </w:rPr>
        <w:t>p</w:t>
      </w:r>
      <w:r w:rsidRPr="00961FE2">
        <w:rPr>
          <w:rFonts w:ascii="Garamond" w:hAnsi="Garamond" w:cs="Calibri"/>
          <w:sz w:val="24"/>
          <w:szCs w:val="24"/>
        </w:rPr>
        <w:t>olicing in the United Kingdom (BBC News, 2016)</w:t>
      </w:r>
      <w:r w:rsidR="003703CC">
        <w:rPr>
          <w:rFonts w:ascii="Garamond" w:hAnsi="Garamond" w:cs="Calibri"/>
          <w:sz w:val="24"/>
          <w:szCs w:val="24"/>
        </w:rPr>
        <w:t>.</w:t>
      </w:r>
      <w:r w:rsidRPr="00961FE2">
        <w:rPr>
          <w:rFonts w:ascii="Garamond" w:hAnsi="Garamond" w:cs="Calibri"/>
          <w:sz w:val="24"/>
          <w:szCs w:val="24"/>
        </w:rPr>
        <w:t xml:space="preserve"> Since 2020, new recruits to the </w:t>
      </w:r>
      <w:r w:rsidR="003703CC">
        <w:rPr>
          <w:rFonts w:ascii="Garamond" w:hAnsi="Garamond" w:cs="Calibri"/>
          <w:sz w:val="24"/>
          <w:szCs w:val="24"/>
        </w:rPr>
        <w:t>p</w:t>
      </w:r>
      <w:r w:rsidRPr="00961FE2">
        <w:rPr>
          <w:rFonts w:ascii="Garamond" w:hAnsi="Garamond" w:cs="Calibri"/>
          <w:sz w:val="24"/>
          <w:szCs w:val="24"/>
        </w:rPr>
        <w:t xml:space="preserve">olice have had to undergo university-led teaching as part of their training, which means new police officers have official qualifications and undergo training to a standard that is more uniform between forces. </w:t>
      </w:r>
    </w:p>
    <w:p w14:paraId="7E3A04A9" w14:textId="77777777" w:rsidR="000C12E6" w:rsidRPr="00961FE2" w:rsidRDefault="000C12E6" w:rsidP="002C4CA7">
      <w:pPr>
        <w:spacing w:line="480" w:lineRule="auto"/>
        <w:rPr>
          <w:rFonts w:ascii="Garamond" w:hAnsi="Garamond" w:cs="Calibri"/>
          <w:sz w:val="24"/>
          <w:szCs w:val="24"/>
        </w:rPr>
      </w:pPr>
    </w:p>
    <w:p w14:paraId="12D1BE89" w14:textId="4D76BB75" w:rsidR="000C12E6" w:rsidRPr="00961FE2" w:rsidRDefault="000C12E6" w:rsidP="002C4CA7">
      <w:pPr>
        <w:spacing w:line="480" w:lineRule="auto"/>
        <w:rPr>
          <w:rFonts w:ascii="Garamond" w:hAnsi="Garamond" w:cs="Calibri"/>
          <w:sz w:val="24"/>
          <w:szCs w:val="24"/>
        </w:rPr>
      </w:pPr>
      <w:r w:rsidRPr="00961FE2">
        <w:rPr>
          <w:rFonts w:ascii="Garamond" w:hAnsi="Garamond" w:cs="Calibri"/>
          <w:sz w:val="24"/>
          <w:szCs w:val="24"/>
        </w:rPr>
        <w:t>Within the training and development of new officers, there is an opportunity to influence and shape the standards expected of new recruits. A well</w:t>
      </w:r>
      <w:r w:rsidR="003703CC">
        <w:rPr>
          <w:rFonts w:ascii="Garamond" w:hAnsi="Garamond" w:cs="Calibri"/>
          <w:sz w:val="24"/>
          <w:szCs w:val="24"/>
        </w:rPr>
        <w:t>-</w:t>
      </w:r>
      <w:r w:rsidRPr="00961FE2">
        <w:rPr>
          <w:rFonts w:ascii="Garamond" w:hAnsi="Garamond" w:cs="Calibri"/>
          <w:sz w:val="24"/>
          <w:szCs w:val="24"/>
        </w:rPr>
        <w:t xml:space="preserve">discussed topic relating to </w:t>
      </w:r>
      <w:r w:rsidR="003703CC">
        <w:rPr>
          <w:rFonts w:ascii="Garamond" w:hAnsi="Garamond" w:cs="Calibri"/>
          <w:sz w:val="24"/>
          <w:szCs w:val="24"/>
        </w:rPr>
        <w:t>p</w:t>
      </w:r>
      <w:r w:rsidRPr="00961FE2">
        <w:rPr>
          <w:rFonts w:ascii="Garamond" w:hAnsi="Garamond" w:cs="Calibri"/>
          <w:sz w:val="24"/>
          <w:szCs w:val="24"/>
        </w:rPr>
        <w:t xml:space="preserve">olice conduct is that of culture within forces. </w:t>
      </w:r>
      <w:r w:rsidR="003703CC">
        <w:rPr>
          <w:rFonts w:ascii="Garamond" w:hAnsi="Garamond" w:cs="Calibri"/>
          <w:sz w:val="24"/>
          <w:szCs w:val="24"/>
        </w:rPr>
        <w:t>This</w:t>
      </w:r>
      <w:r w:rsidRPr="00961FE2">
        <w:rPr>
          <w:rFonts w:ascii="Garamond" w:hAnsi="Garamond" w:cs="Calibri"/>
          <w:sz w:val="24"/>
          <w:szCs w:val="24"/>
        </w:rPr>
        <w:t xml:space="preserve"> is</w:t>
      </w:r>
      <w:r w:rsidR="003703CC">
        <w:rPr>
          <w:rFonts w:ascii="Garamond" w:hAnsi="Garamond" w:cs="Calibri"/>
          <w:sz w:val="24"/>
          <w:szCs w:val="24"/>
        </w:rPr>
        <w:t xml:space="preserve"> often</w:t>
      </w:r>
      <w:r w:rsidRPr="00961FE2">
        <w:rPr>
          <w:rFonts w:ascii="Garamond" w:hAnsi="Garamond" w:cs="Calibri"/>
          <w:sz w:val="24"/>
          <w:szCs w:val="24"/>
        </w:rPr>
        <w:t xml:space="preserve"> seen in a negative way for being a factor in </w:t>
      </w:r>
      <w:r w:rsidR="003703CC">
        <w:rPr>
          <w:rFonts w:ascii="Garamond" w:hAnsi="Garamond" w:cs="Calibri"/>
          <w:sz w:val="24"/>
          <w:szCs w:val="24"/>
        </w:rPr>
        <w:t>p</w:t>
      </w:r>
      <w:r w:rsidRPr="00961FE2">
        <w:rPr>
          <w:rFonts w:ascii="Garamond" w:hAnsi="Garamond" w:cs="Calibri"/>
          <w:sz w:val="24"/>
          <w:szCs w:val="24"/>
        </w:rPr>
        <w:t>olice misconduct or as a barrier to reform (Paoline, 2003)</w:t>
      </w:r>
      <w:r w:rsidR="003703CC">
        <w:rPr>
          <w:rFonts w:ascii="Garamond" w:hAnsi="Garamond" w:cs="Calibri"/>
          <w:sz w:val="24"/>
          <w:szCs w:val="24"/>
        </w:rPr>
        <w:t>.</w:t>
      </w:r>
      <w:r w:rsidRPr="00961FE2">
        <w:rPr>
          <w:rFonts w:ascii="Garamond" w:hAnsi="Garamond" w:cs="Calibri"/>
          <w:sz w:val="24"/>
          <w:szCs w:val="24"/>
        </w:rPr>
        <w:t xml:space="preserve"> Conversely, it can be used to effect change within the organisation by creating a culture, in training new officers, that promotes the values of the policing standards and code of ethics. Training has seen a shift from a focus on practical responses to one that looks at understanding people, communication and discretion (Chan, 2004)</w:t>
      </w:r>
      <w:r w:rsidR="003703CC">
        <w:rPr>
          <w:rFonts w:ascii="Garamond" w:hAnsi="Garamond" w:cs="Calibri"/>
          <w:sz w:val="24"/>
          <w:szCs w:val="24"/>
        </w:rPr>
        <w:t>.</w:t>
      </w:r>
      <w:r w:rsidRPr="00961FE2">
        <w:rPr>
          <w:rFonts w:ascii="Garamond" w:hAnsi="Garamond" w:cs="Calibri"/>
          <w:sz w:val="24"/>
          <w:szCs w:val="24"/>
        </w:rPr>
        <w:t xml:space="preserve"> However, in their study into </w:t>
      </w:r>
      <w:r w:rsidR="003703CC">
        <w:rPr>
          <w:rFonts w:ascii="Garamond" w:hAnsi="Garamond" w:cs="Calibri"/>
          <w:sz w:val="24"/>
          <w:szCs w:val="24"/>
        </w:rPr>
        <w:t>p</w:t>
      </w:r>
      <w:r w:rsidRPr="00961FE2">
        <w:rPr>
          <w:rFonts w:ascii="Garamond" w:hAnsi="Garamond" w:cs="Calibri"/>
          <w:sz w:val="24"/>
          <w:szCs w:val="24"/>
        </w:rPr>
        <w:t>olice training in the context of Australia, Chan does highlight the care needed in training to avoid confirming prejudices that may be held by recruits instead of challenging them.</w:t>
      </w:r>
    </w:p>
    <w:p w14:paraId="13873A0E" w14:textId="77777777" w:rsidR="000C12E6" w:rsidRPr="00961FE2" w:rsidRDefault="000C12E6" w:rsidP="002C4CA7">
      <w:pPr>
        <w:spacing w:line="480" w:lineRule="auto"/>
        <w:rPr>
          <w:rFonts w:ascii="Garamond" w:hAnsi="Garamond" w:cs="Calibri"/>
          <w:sz w:val="24"/>
          <w:szCs w:val="24"/>
        </w:rPr>
      </w:pPr>
    </w:p>
    <w:p w14:paraId="14CB94D7" w14:textId="7F892AD6" w:rsidR="000C12E6" w:rsidRPr="00961FE2" w:rsidRDefault="000C12E6" w:rsidP="002C4CA7">
      <w:pPr>
        <w:spacing w:line="480" w:lineRule="auto"/>
        <w:rPr>
          <w:rFonts w:ascii="Garamond" w:hAnsi="Garamond" w:cs="Calibri"/>
          <w:sz w:val="24"/>
          <w:szCs w:val="24"/>
        </w:rPr>
      </w:pPr>
      <w:r w:rsidRPr="00961FE2">
        <w:rPr>
          <w:rFonts w:ascii="Garamond" w:hAnsi="Garamond" w:cs="Calibri"/>
          <w:sz w:val="24"/>
          <w:szCs w:val="24"/>
        </w:rPr>
        <w:t xml:space="preserve">This however does not affect the culture into which new recruits will be placed. Following their initial training, recruits join a shift to be mentored and tutored by a more experienced officer alongside a team of other officers and this can undermine the training provided at the initial stage. (Chan, 2004) A mentor has a big opportunity to influence the views and opinions of a new recruit as they provide an example of the day-to-day role of a </w:t>
      </w:r>
      <w:r w:rsidR="000F2EAB">
        <w:rPr>
          <w:rFonts w:ascii="Garamond" w:hAnsi="Garamond" w:cs="Calibri"/>
          <w:sz w:val="24"/>
          <w:szCs w:val="24"/>
        </w:rPr>
        <w:t>p</w:t>
      </w:r>
      <w:r w:rsidRPr="00961FE2">
        <w:rPr>
          <w:rFonts w:ascii="Garamond" w:hAnsi="Garamond" w:cs="Calibri"/>
          <w:sz w:val="24"/>
          <w:szCs w:val="24"/>
        </w:rPr>
        <w:t xml:space="preserve">olice officer. When recruits join a team, undoubtedly, they will seek to gain favour and build rapport with that team to fit in. </w:t>
      </w:r>
    </w:p>
    <w:p w14:paraId="6119A65D" w14:textId="77777777" w:rsidR="000C12E6" w:rsidRPr="00961FE2" w:rsidRDefault="000C12E6" w:rsidP="002C4CA7">
      <w:pPr>
        <w:spacing w:line="480" w:lineRule="auto"/>
        <w:rPr>
          <w:rFonts w:ascii="Garamond" w:hAnsi="Garamond" w:cs="Calibri"/>
          <w:sz w:val="24"/>
          <w:szCs w:val="24"/>
        </w:rPr>
      </w:pPr>
    </w:p>
    <w:p w14:paraId="301028B6" w14:textId="2A813290" w:rsidR="000C12E6" w:rsidRPr="00961FE2" w:rsidRDefault="000C12E6" w:rsidP="002C4CA7">
      <w:pPr>
        <w:spacing w:line="480" w:lineRule="auto"/>
        <w:rPr>
          <w:rFonts w:ascii="Garamond" w:hAnsi="Garamond" w:cs="Calibri"/>
          <w:sz w:val="24"/>
          <w:szCs w:val="24"/>
        </w:rPr>
      </w:pPr>
      <w:r w:rsidRPr="00961FE2">
        <w:rPr>
          <w:rFonts w:ascii="Garamond" w:hAnsi="Garamond" w:cs="Calibri"/>
          <w:sz w:val="24"/>
          <w:szCs w:val="24"/>
        </w:rPr>
        <w:lastRenderedPageBreak/>
        <w:t xml:space="preserve">In conclusion, it is clear that </w:t>
      </w:r>
      <w:r w:rsidRPr="00961FE2">
        <w:rPr>
          <w:rFonts w:ascii="Garamond" w:hAnsi="Garamond" w:cs="Calibri"/>
          <w:sz w:val="24"/>
          <w:szCs w:val="24"/>
        </w:rPr>
        <w:t xml:space="preserve">public </w:t>
      </w:r>
      <w:r w:rsidRPr="00961FE2">
        <w:rPr>
          <w:rFonts w:ascii="Garamond" w:hAnsi="Garamond" w:cs="Calibri"/>
          <w:sz w:val="24"/>
          <w:szCs w:val="24"/>
        </w:rPr>
        <w:t xml:space="preserve">confidence in the </w:t>
      </w:r>
      <w:r w:rsidR="000F2EAB">
        <w:rPr>
          <w:rFonts w:ascii="Garamond" w:hAnsi="Garamond" w:cs="Calibri"/>
          <w:sz w:val="24"/>
          <w:szCs w:val="24"/>
        </w:rPr>
        <w:t>p</w:t>
      </w:r>
      <w:r w:rsidRPr="00961FE2">
        <w:rPr>
          <w:rFonts w:ascii="Garamond" w:hAnsi="Garamond" w:cs="Calibri"/>
          <w:sz w:val="24"/>
          <w:szCs w:val="24"/>
        </w:rPr>
        <w:t xml:space="preserve">olice is linked to </w:t>
      </w:r>
      <w:r w:rsidRPr="00961FE2">
        <w:rPr>
          <w:rFonts w:ascii="Garamond" w:hAnsi="Garamond" w:cs="Calibri"/>
          <w:sz w:val="24"/>
          <w:szCs w:val="24"/>
        </w:rPr>
        <w:t>officer</w:t>
      </w:r>
      <w:r w:rsidR="000F2EAB">
        <w:rPr>
          <w:rFonts w:ascii="Garamond" w:hAnsi="Garamond" w:cs="Calibri"/>
          <w:sz w:val="24"/>
          <w:szCs w:val="24"/>
        </w:rPr>
        <w:t>s’</w:t>
      </w:r>
      <w:r w:rsidRPr="00961FE2">
        <w:rPr>
          <w:rFonts w:ascii="Garamond" w:hAnsi="Garamond" w:cs="Calibri"/>
          <w:sz w:val="24"/>
          <w:szCs w:val="24"/>
        </w:rPr>
        <w:t xml:space="preserve"> maintenance of ethical standards. As policing is professionalised, a greater consideration is given to ensuring new recruits are prepared to maintain the ethical standards when held to a high level of scrutiny.</w:t>
      </w:r>
    </w:p>
    <w:p w14:paraId="76F6894F" w14:textId="77777777" w:rsidR="000C12E6" w:rsidRPr="00961FE2" w:rsidRDefault="000C12E6" w:rsidP="002C4CA7">
      <w:pPr>
        <w:spacing w:line="480" w:lineRule="auto"/>
        <w:rPr>
          <w:rFonts w:ascii="Garamond" w:hAnsi="Garamond" w:cs="Calibri"/>
          <w:sz w:val="24"/>
          <w:szCs w:val="24"/>
        </w:rPr>
      </w:pPr>
    </w:p>
    <w:p w14:paraId="6AFE8891" w14:textId="77777777" w:rsidR="000C12E6" w:rsidRPr="00961FE2" w:rsidRDefault="000C12E6" w:rsidP="002C4CA7">
      <w:pPr>
        <w:spacing w:line="480" w:lineRule="auto"/>
        <w:rPr>
          <w:rFonts w:ascii="Garamond" w:hAnsi="Garamond" w:cs="Calibri"/>
          <w:sz w:val="24"/>
          <w:szCs w:val="24"/>
        </w:rPr>
      </w:pPr>
    </w:p>
    <w:p w14:paraId="7B6E262C" w14:textId="35D586C5" w:rsidR="000C12E6" w:rsidRDefault="000C12E6" w:rsidP="002C4CA7">
      <w:pPr>
        <w:spacing w:line="480" w:lineRule="auto"/>
        <w:rPr>
          <w:rFonts w:ascii="Garamond" w:hAnsi="Garamond" w:cs="Calibri"/>
          <w:sz w:val="24"/>
          <w:szCs w:val="24"/>
          <w:u w:val="single"/>
        </w:rPr>
      </w:pPr>
    </w:p>
    <w:p w14:paraId="5B9FFA13" w14:textId="234981D2" w:rsidR="00C8065A" w:rsidRDefault="00C8065A" w:rsidP="002C4CA7">
      <w:pPr>
        <w:spacing w:line="480" w:lineRule="auto"/>
        <w:rPr>
          <w:rFonts w:ascii="Garamond" w:hAnsi="Garamond" w:cs="Calibri"/>
          <w:sz w:val="24"/>
          <w:szCs w:val="24"/>
          <w:u w:val="single"/>
        </w:rPr>
      </w:pPr>
    </w:p>
    <w:p w14:paraId="560623BD" w14:textId="4495EA51" w:rsidR="00C8065A" w:rsidRDefault="00C8065A" w:rsidP="002C4CA7">
      <w:pPr>
        <w:spacing w:line="480" w:lineRule="auto"/>
        <w:rPr>
          <w:rFonts w:ascii="Garamond" w:hAnsi="Garamond" w:cs="Calibri"/>
          <w:sz w:val="24"/>
          <w:szCs w:val="24"/>
          <w:u w:val="single"/>
        </w:rPr>
      </w:pPr>
    </w:p>
    <w:p w14:paraId="464B0B67" w14:textId="4801506D" w:rsidR="00C8065A" w:rsidRDefault="00C8065A" w:rsidP="002C4CA7">
      <w:pPr>
        <w:spacing w:line="480" w:lineRule="auto"/>
        <w:rPr>
          <w:rFonts w:ascii="Garamond" w:hAnsi="Garamond" w:cs="Calibri"/>
          <w:sz w:val="24"/>
          <w:szCs w:val="24"/>
          <w:u w:val="single"/>
        </w:rPr>
      </w:pPr>
    </w:p>
    <w:p w14:paraId="75772F8D" w14:textId="786818C6" w:rsidR="00C8065A" w:rsidRDefault="00C8065A" w:rsidP="002C4CA7">
      <w:pPr>
        <w:spacing w:line="480" w:lineRule="auto"/>
        <w:rPr>
          <w:rFonts w:ascii="Garamond" w:hAnsi="Garamond" w:cs="Calibri"/>
          <w:sz w:val="24"/>
          <w:szCs w:val="24"/>
          <w:u w:val="single"/>
        </w:rPr>
      </w:pPr>
    </w:p>
    <w:p w14:paraId="4C8B5B24" w14:textId="19344D9F" w:rsidR="00C8065A" w:rsidRDefault="00C8065A" w:rsidP="002C4CA7">
      <w:pPr>
        <w:spacing w:line="480" w:lineRule="auto"/>
        <w:rPr>
          <w:rFonts w:ascii="Garamond" w:hAnsi="Garamond" w:cs="Calibri"/>
          <w:sz w:val="24"/>
          <w:szCs w:val="24"/>
          <w:u w:val="single"/>
        </w:rPr>
      </w:pPr>
    </w:p>
    <w:p w14:paraId="06928290" w14:textId="3DA791D3" w:rsidR="00C8065A" w:rsidRDefault="00C8065A" w:rsidP="002C4CA7">
      <w:pPr>
        <w:spacing w:line="480" w:lineRule="auto"/>
        <w:rPr>
          <w:rFonts w:ascii="Garamond" w:hAnsi="Garamond" w:cs="Calibri"/>
          <w:sz w:val="24"/>
          <w:szCs w:val="24"/>
          <w:u w:val="single"/>
        </w:rPr>
      </w:pPr>
    </w:p>
    <w:p w14:paraId="60921861" w14:textId="5FBE1B13" w:rsidR="00C8065A" w:rsidRDefault="00C8065A" w:rsidP="002C4CA7">
      <w:pPr>
        <w:spacing w:line="480" w:lineRule="auto"/>
        <w:rPr>
          <w:rFonts w:ascii="Garamond" w:hAnsi="Garamond" w:cs="Calibri"/>
          <w:sz w:val="24"/>
          <w:szCs w:val="24"/>
          <w:u w:val="single"/>
        </w:rPr>
      </w:pPr>
    </w:p>
    <w:p w14:paraId="1B219FF1" w14:textId="74019393" w:rsidR="00C8065A" w:rsidRDefault="00C8065A" w:rsidP="002C4CA7">
      <w:pPr>
        <w:spacing w:line="480" w:lineRule="auto"/>
        <w:rPr>
          <w:rFonts w:ascii="Garamond" w:hAnsi="Garamond" w:cs="Calibri"/>
          <w:sz w:val="24"/>
          <w:szCs w:val="24"/>
          <w:u w:val="single"/>
        </w:rPr>
      </w:pPr>
    </w:p>
    <w:p w14:paraId="7B8762FD" w14:textId="13ED7607" w:rsidR="00C8065A" w:rsidRDefault="00C8065A" w:rsidP="002C4CA7">
      <w:pPr>
        <w:spacing w:line="480" w:lineRule="auto"/>
        <w:rPr>
          <w:rFonts w:ascii="Garamond" w:hAnsi="Garamond" w:cs="Calibri"/>
          <w:sz w:val="24"/>
          <w:szCs w:val="24"/>
          <w:u w:val="single"/>
        </w:rPr>
      </w:pPr>
    </w:p>
    <w:p w14:paraId="17D5B699" w14:textId="7CCACD11" w:rsidR="00C8065A" w:rsidRDefault="00C8065A" w:rsidP="002C4CA7">
      <w:pPr>
        <w:spacing w:line="480" w:lineRule="auto"/>
        <w:rPr>
          <w:rFonts w:ascii="Garamond" w:hAnsi="Garamond" w:cs="Calibri"/>
          <w:sz w:val="24"/>
          <w:szCs w:val="24"/>
          <w:u w:val="single"/>
        </w:rPr>
      </w:pPr>
    </w:p>
    <w:p w14:paraId="0B29FBF1" w14:textId="64B2FC47" w:rsidR="00C8065A" w:rsidRDefault="00C8065A" w:rsidP="002C4CA7">
      <w:pPr>
        <w:spacing w:line="480" w:lineRule="auto"/>
        <w:rPr>
          <w:rFonts w:ascii="Garamond" w:hAnsi="Garamond" w:cs="Calibri"/>
          <w:sz w:val="24"/>
          <w:szCs w:val="24"/>
          <w:u w:val="single"/>
        </w:rPr>
      </w:pPr>
    </w:p>
    <w:p w14:paraId="418524AE" w14:textId="2BDD0ED7" w:rsidR="00C8065A" w:rsidRDefault="00C8065A" w:rsidP="002C4CA7">
      <w:pPr>
        <w:spacing w:line="480" w:lineRule="auto"/>
        <w:rPr>
          <w:rFonts w:ascii="Garamond" w:hAnsi="Garamond" w:cs="Calibri"/>
          <w:sz w:val="24"/>
          <w:szCs w:val="24"/>
          <w:u w:val="single"/>
        </w:rPr>
      </w:pPr>
    </w:p>
    <w:p w14:paraId="5A8F0999" w14:textId="3C7014F7" w:rsidR="00C8065A" w:rsidRDefault="00C8065A" w:rsidP="002C4CA7">
      <w:pPr>
        <w:spacing w:line="480" w:lineRule="auto"/>
        <w:rPr>
          <w:rFonts w:ascii="Garamond" w:hAnsi="Garamond" w:cs="Calibri"/>
          <w:sz w:val="24"/>
          <w:szCs w:val="24"/>
          <w:u w:val="single"/>
        </w:rPr>
      </w:pPr>
    </w:p>
    <w:p w14:paraId="32E10E2A" w14:textId="7EE93134" w:rsidR="00C8065A" w:rsidRDefault="00C8065A" w:rsidP="002C4CA7">
      <w:pPr>
        <w:spacing w:line="480" w:lineRule="auto"/>
        <w:rPr>
          <w:rFonts w:ascii="Garamond" w:hAnsi="Garamond" w:cs="Calibri"/>
          <w:sz w:val="24"/>
          <w:szCs w:val="24"/>
          <w:u w:val="single"/>
        </w:rPr>
      </w:pPr>
    </w:p>
    <w:p w14:paraId="58D630E8" w14:textId="77777777" w:rsidR="002C4CA7" w:rsidRDefault="002C4CA7" w:rsidP="002C4CA7">
      <w:pPr>
        <w:spacing w:line="480" w:lineRule="auto"/>
        <w:rPr>
          <w:rFonts w:ascii="Garamond" w:hAnsi="Garamond" w:cs="Calibri"/>
          <w:sz w:val="28"/>
          <w:szCs w:val="28"/>
        </w:rPr>
      </w:pPr>
    </w:p>
    <w:p w14:paraId="3FA11F19" w14:textId="77777777" w:rsidR="002C4CA7" w:rsidRDefault="002C4CA7" w:rsidP="002C4CA7">
      <w:pPr>
        <w:spacing w:line="480" w:lineRule="auto"/>
        <w:rPr>
          <w:rFonts w:ascii="Garamond" w:hAnsi="Garamond" w:cs="Calibri"/>
          <w:sz w:val="28"/>
          <w:szCs w:val="28"/>
        </w:rPr>
      </w:pPr>
    </w:p>
    <w:p w14:paraId="6E433FE6" w14:textId="77777777" w:rsidR="002C4CA7" w:rsidRDefault="002C4CA7" w:rsidP="002C4CA7">
      <w:pPr>
        <w:spacing w:line="480" w:lineRule="auto"/>
        <w:rPr>
          <w:rFonts w:ascii="Garamond" w:hAnsi="Garamond" w:cs="Calibri"/>
          <w:sz w:val="28"/>
          <w:szCs w:val="28"/>
        </w:rPr>
      </w:pPr>
    </w:p>
    <w:p w14:paraId="3F4AC2D8" w14:textId="77777777" w:rsidR="002C4CA7" w:rsidRDefault="002C4CA7" w:rsidP="002C4CA7">
      <w:pPr>
        <w:spacing w:line="480" w:lineRule="auto"/>
        <w:rPr>
          <w:rFonts w:ascii="Garamond" w:hAnsi="Garamond" w:cs="Calibri"/>
          <w:sz w:val="28"/>
          <w:szCs w:val="28"/>
        </w:rPr>
      </w:pPr>
    </w:p>
    <w:p w14:paraId="50720180" w14:textId="77777777" w:rsidR="002C4CA7" w:rsidRDefault="002C4CA7" w:rsidP="002C4CA7">
      <w:pPr>
        <w:spacing w:line="480" w:lineRule="auto"/>
        <w:rPr>
          <w:rFonts w:ascii="Garamond" w:hAnsi="Garamond" w:cs="Calibri"/>
          <w:sz w:val="28"/>
          <w:szCs w:val="28"/>
        </w:rPr>
      </w:pPr>
    </w:p>
    <w:p w14:paraId="47FAF9C3" w14:textId="3221A98B" w:rsidR="002C4CA7" w:rsidRPr="002C4CA7" w:rsidRDefault="002C4CA7" w:rsidP="002C4CA7">
      <w:pPr>
        <w:spacing w:line="480" w:lineRule="auto"/>
        <w:rPr>
          <w:rFonts w:ascii="Garamond" w:hAnsi="Garamond" w:cs="Calibri"/>
          <w:sz w:val="28"/>
          <w:szCs w:val="28"/>
        </w:rPr>
      </w:pPr>
      <w:r w:rsidRPr="002C4CA7">
        <w:rPr>
          <w:rFonts w:ascii="Garamond" w:hAnsi="Garamond" w:cs="Calibri"/>
          <w:sz w:val="28"/>
          <w:szCs w:val="28"/>
        </w:rPr>
        <w:lastRenderedPageBreak/>
        <w:t xml:space="preserve">2. </w:t>
      </w:r>
    </w:p>
    <w:p w14:paraId="4BBB72C6" w14:textId="12B1BF0C" w:rsidR="000C12E6" w:rsidRPr="00DF1EF9" w:rsidRDefault="00DE0ECC" w:rsidP="002C4CA7">
      <w:pPr>
        <w:spacing w:line="480" w:lineRule="auto"/>
        <w:rPr>
          <w:rFonts w:ascii="Garamond" w:hAnsi="Garamond" w:cs="Calibri"/>
          <w:sz w:val="26"/>
          <w:szCs w:val="26"/>
          <w:u w:val="single"/>
        </w:rPr>
      </w:pPr>
      <w:r w:rsidRPr="00DF1EF9">
        <w:rPr>
          <w:rFonts w:ascii="Garamond" w:eastAsia="Calibri" w:hAnsi="Garamond" w:cs="Calibri"/>
          <w:sz w:val="26"/>
          <w:szCs w:val="26"/>
          <w:u w:val="single"/>
        </w:rPr>
        <w:t>Critically evaluate the role of the police in:</w:t>
      </w:r>
      <w:r w:rsidRPr="00DF1EF9">
        <w:rPr>
          <w:rFonts w:ascii="Garamond" w:hAnsi="Garamond" w:cs="Calibri"/>
          <w:sz w:val="26"/>
          <w:szCs w:val="26"/>
          <w:u w:val="single"/>
        </w:rPr>
        <w:t xml:space="preserve"> </w:t>
      </w:r>
      <w:r w:rsidRPr="00DF1EF9">
        <w:rPr>
          <w:rFonts w:ascii="Garamond" w:eastAsia="Arial" w:hAnsi="Garamond" w:cs="Calibri"/>
          <w:sz w:val="26"/>
          <w:szCs w:val="26"/>
          <w:u w:val="single"/>
        </w:rPr>
        <w:t>Conducting Investigations (Volume, serious and complex)</w:t>
      </w:r>
    </w:p>
    <w:p w14:paraId="641AADDC" w14:textId="77777777" w:rsidR="00DE0ECC" w:rsidRPr="00DE0ECC" w:rsidRDefault="00DE0ECC" w:rsidP="002C4CA7">
      <w:pPr>
        <w:pStyle w:val="ListParagraph"/>
        <w:spacing w:line="480" w:lineRule="auto"/>
        <w:ind w:left="284"/>
        <w:rPr>
          <w:rFonts w:ascii="Garamond" w:hAnsi="Garamond" w:cs="Calibri"/>
          <w:sz w:val="26"/>
          <w:szCs w:val="26"/>
        </w:rPr>
      </w:pPr>
    </w:p>
    <w:p w14:paraId="2E0465AB" w14:textId="718DCBFA" w:rsidR="000C12E6" w:rsidRPr="00961FE2" w:rsidRDefault="000F2EAB" w:rsidP="002C4CA7">
      <w:pPr>
        <w:spacing w:line="480" w:lineRule="auto"/>
        <w:jc w:val="both"/>
        <w:rPr>
          <w:rFonts w:ascii="Garamond" w:hAnsi="Garamond" w:cs="Calibri"/>
          <w:sz w:val="24"/>
          <w:szCs w:val="24"/>
        </w:rPr>
      </w:pPr>
      <w:r>
        <w:rPr>
          <w:rFonts w:ascii="Garamond" w:hAnsi="Garamond" w:cs="Calibri"/>
          <w:sz w:val="24"/>
          <w:szCs w:val="24"/>
        </w:rPr>
        <w:t>A key role of police forces is investigating crime. Crime is varied in nature and therefore different crime types result in differing demands.</w:t>
      </w:r>
      <w:r w:rsidR="000C12E6" w:rsidRPr="00961FE2">
        <w:rPr>
          <w:rFonts w:ascii="Garamond" w:hAnsi="Garamond" w:cs="Calibri"/>
          <w:sz w:val="24"/>
          <w:szCs w:val="24"/>
        </w:rPr>
        <w:t xml:space="preserve"> This essay evaluate</w:t>
      </w:r>
      <w:r w:rsidR="00B67F0E">
        <w:rPr>
          <w:rFonts w:ascii="Garamond" w:hAnsi="Garamond" w:cs="Calibri"/>
          <w:sz w:val="24"/>
          <w:szCs w:val="24"/>
        </w:rPr>
        <w:t>s</w:t>
      </w:r>
      <w:r w:rsidR="000C12E6" w:rsidRPr="00961FE2">
        <w:rPr>
          <w:rFonts w:ascii="Garamond" w:hAnsi="Garamond" w:cs="Calibri"/>
          <w:sz w:val="24"/>
          <w:szCs w:val="24"/>
        </w:rPr>
        <w:t xml:space="preserve"> the role of police in conducting investigations that may be surrounding serious crime, involving volume crimes</w:t>
      </w:r>
      <w:r>
        <w:rPr>
          <w:rFonts w:ascii="Garamond" w:hAnsi="Garamond" w:cs="Calibri"/>
          <w:sz w:val="24"/>
          <w:szCs w:val="24"/>
        </w:rPr>
        <w:t>,</w:t>
      </w:r>
      <w:r w:rsidR="000C12E6" w:rsidRPr="00961FE2">
        <w:rPr>
          <w:rFonts w:ascii="Garamond" w:hAnsi="Garamond" w:cs="Calibri"/>
          <w:sz w:val="24"/>
          <w:szCs w:val="24"/>
        </w:rPr>
        <w:t xml:space="preserve"> or</w:t>
      </w:r>
      <w:r>
        <w:rPr>
          <w:rFonts w:ascii="Garamond" w:hAnsi="Garamond" w:cs="Calibri"/>
          <w:sz w:val="24"/>
          <w:szCs w:val="24"/>
        </w:rPr>
        <w:t xml:space="preserve"> more complex</w:t>
      </w:r>
      <w:r w:rsidR="000C12E6" w:rsidRPr="00961FE2">
        <w:rPr>
          <w:rFonts w:ascii="Garamond" w:hAnsi="Garamond" w:cs="Calibri"/>
          <w:sz w:val="24"/>
          <w:szCs w:val="24"/>
        </w:rPr>
        <w:t xml:space="preserve"> investigations. Investigation is one of the reactive approaches towards dealing with crime, as it typically follows an offence being carried out</w:t>
      </w:r>
      <w:r>
        <w:rPr>
          <w:rFonts w:ascii="Garamond" w:hAnsi="Garamond" w:cs="Calibri"/>
          <w:sz w:val="24"/>
          <w:szCs w:val="24"/>
        </w:rPr>
        <w:t xml:space="preserve"> </w:t>
      </w:r>
      <w:r w:rsidR="000C12E6" w:rsidRPr="00961FE2">
        <w:rPr>
          <w:rFonts w:ascii="Garamond" w:hAnsi="Garamond" w:cs="Calibri"/>
          <w:sz w:val="24"/>
          <w:szCs w:val="24"/>
        </w:rPr>
        <w:t>to identify lines of enquiry to establish an offender and prove their involvement. “A sound and thorough investigation is the foundation on which all later stages of the criminal justice process are built.”</w:t>
      </w:r>
      <w:r>
        <w:rPr>
          <w:rFonts w:ascii="Garamond" w:hAnsi="Garamond" w:cs="Calibri"/>
          <w:sz w:val="24"/>
          <w:szCs w:val="24"/>
        </w:rPr>
        <w:t xml:space="preserve"> - </w:t>
      </w:r>
      <w:r w:rsidR="000C12E6" w:rsidRPr="00961FE2">
        <w:rPr>
          <w:rFonts w:ascii="Garamond" w:hAnsi="Garamond" w:cs="Calibri"/>
          <w:sz w:val="24"/>
          <w:szCs w:val="24"/>
        </w:rPr>
        <w:t>without this, no offender is brought to justice (Adler and Gray, 2010)</w:t>
      </w:r>
      <w:r>
        <w:rPr>
          <w:rFonts w:ascii="Garamond" w:hAnsi="Garamond" w:cs="Calibri"/>
          <w:sz w:val="24"/>
          <w:szCs w:val="24"/>
        </w:rPr>
        <w:t>.</w:t>
      </w:r>
      <w:r w:rsidR="000C12E6" w:rsidRPr="00961FE2">
        <w:rPr>
          <w:rFonts w:ascii="Garamond" w:hAnsi="Garamond" w:cs="Calibri"/>
          <w:sz w:val="24"/>
          <w:szCs w:val="24"/>
        </w:rPr>
        <w:t xml:space="preserve"> Therefore, this area of policing is crucial.</w:t>
      </w:r>
    </w:p>
    <w:p w14:paraId="668DEEE9" w14:textId="77777777" w:rsidR="000C12E6" w:rsidRPr="00961FE2" w:rsidRDefault="000C12E6" w:rsidP="002C4CA7">
      <w:pPr>
        <w:spacing w:line="480" w:lineRule="auto"/>
        <w:jc w:val="both"/>
        <w:rPr>
          <w:rFonts w:ascii="Garamond" w:hAnsi="Garamond" w:cs="Calibri"/>
          <w:sz w:val="24"/>
          <w:szCs w:val="24"/>
        </w:rPr>
      </w:pPr>
    </w:p>
    <w:p w14:paraId="7757C36F" w14:textId="148D1AAC" w:rsidR="000C12E6" w:rsidRPr="00961FE2" w:rsidRDefault="000C12E6" w:rsidP="002C4CA7">
      <w:pPr>
        <w:spacing w:line="480" w:lineRule="auto"/>
        <w:jc w:val="both"/>
        <w:rPr>
          <w:rFonts w:ascii="Garamond" w:hAnsi="Garamond" w:cs="Calibri"/>
          <w:sz w:val="24"/>
          <w:szCs w:val="24"/>
        </w:rPr>
      </w:pPr>
      <w:r w:rsidRPr="00961FE2">
        <w:rPr>
          <w:rFonts w:ascii="Garamond" w:hAnsi="Garamond" w:cs="Calibri"/>
          <w:sz w:val="24"/>
          <w:szCs w:val="24"/>
        </w:rPr>
        <w:t>Volume crime is described as burglary and thefts from or of motor vehicles (Newburn et al., 2012)</w:t>
      </w:r>
      <w:r w:rsidR="000F2EAB">
        <w:rPr>
          <w:rFonts w:ascii="Garamond" w:hAnsi="Garamond" w:cs="Calibri"/>
          <w:sz w:val="24"/>
          <w:szCs w:val="24"/>
        </w:rPr>
        <w:t>.</w:t>
      </w:r>
      <w:r w:rsidRPr="00961FE2">
        <w:rPr>
          <w:rFonts w:ascii="Garamond" w:hAnsi="Garamond" w:cs="Calibri"/>
          <w:sz w:val="24"/>
          <w:szCs w:val="24"/>
        </w:rPr>
        <w:t xml:space="preserve"> </w:t>
      </w:r>
      <w:r w:rsidR="000F2EAB">
        <w:rPr>
          <w:rFonts w:ascii="Garamond" w:hAnsi="Garamond" w:cs="Calibri"/>
          <w:sz w:val="24"/>
          <w:szCs w:val="24"/>
        </w:rPr>
        <w:t>These crimes take up a large proportion of police time</w:t>
      </w:r>
      <w:r w:rsidRPr="00961FE2">
        <w:rPr>
          <w:rFonts w:ascii="Garamond" w:hAnsi="Garamond" w:cs="Calibri"/>
          <w:sz w:val="24"/>
          <w:szCs w:val="24"/>
        </w:rPr>
        <w:t xml:space="preserve">. They are high in volume, so considered a major focus of time for </w:t>
      </w:r>
      <w:r w:rsidR="000F2EAB">
        <w:rPr>
          <w:rFonts w:ascii="Garamond" w:hAnsi="Garamond" w:cs="Calibri"/>
          <w:sz w:val="24"/>
          <w:szCs w:val="24"/>
        </w:rPr>
        <w:t>p</w:t>
      </w:r>
      <w:r w:rsidRPr="00961FE2">
        <w:rPr>
          <w:rFonts w:ascii="Garamond" w:hAnsi="Garamond" w:cs="Calibri"/>
          <w:sz w:val="24"/>
          <w:szCs w:val="24"/>
        </w:rPr>
        <w:t xml:space="preserve">olice but provide challenges </w:t>
      </w:r>
      <w:r w:rsidR="000F2EAB">
        <w:rPr>
          <w:rFonts w:ascii="Garamond" w:hAnsi="Garamond" w:cs="Calibri"/>
          <w:sz w:val="24"/>
          <w:szCs w:val="24"/>
        </w:rPr>
        <w:t>relating to their</w:t>
      </w:r>
      <w:r w:rsidRPr="00961FE2">
        <w:rPr>
          <w:rFonts w:ascii="Garamond" w:hAnsi="Garamond" w:cs="Calibri"/>
          <w:sz w:val="24"/>
          <w:szCs w:val="24"/>
        </w:rPr>
        <w:t xml:space="preserve"> frequency. The types under this term will no doubt vary over time as crime trends change. Elsewhere it is described as “crime which, through its sheer volume, has a significant impact on the community and the ability of the local police to tackle it.” (National Policing Improvement Agency, 2009)</w:t>
      </w:r>
      <w:r w:rsidR="000F2EAB">
        <w:rPr>
          <w:rFonts w:ascii="Garamond" w:hAnsi="Garamond" w:cs="Calibri"/>
          <w:sz w:val="24"/>
          <w:szCs w:val="24"/>
        </w:rPr>
        <w:t>.</w:t>
      </w:r>
    </w:p>
    <w:p w14:paraId="55491361" w14:textId="406AAE64" w:rsidR="000C12E6" w:rsidRPr="00961FE2" w:rsidRDefault="000C12E6" w:rsidP="002C4CA7">
      <w:pPr>
        <w:spacing w:line="480" w:lineRule="auto"/>
        <w:jc w:val="both"/>
        <w:rPr>
          <w:rFonts w:ascii="Garamond" w:hAnsi="Garamond" w:cs="Calibri"/>
          <w:sz w:val="24"/>
          <w:szCs w:val="24"/>
        </w:rPr>
      </w:pPr>
      <w:r w:rsidRPr="00961FE2">
        <w:rPr>
          <w:rFonts w:ascii="Garamond" w:hAnsi="Garamond" w:cs="Calibri"/>
          <w:sz w:val="24"/>
          <w:szCs w:val="24"/>
        </w:rPr>
        <w:t xml:space="preserve">In 2015, </w:t>
      </w:r>
      <w:r w:rsidR="000F2EAB">
        <w:rPr>
          <w:rFonts w:ascii="Garamond" w:hAnsi="Garamond" w:cs="Calibri"/>
          <w:sz w:val="24"/>
          <w:szCs w:val="24"/>
        </w:rPr>
        <w:t>P</w:t>
      </w:r>
      <w:r w:rsidRPr="00961FE2">
        <w:rPr>
          <w:rFonts w:ascii="Garamond" w:hAnsi="Garamond" w:cs="Calibri"/>
          <w:sz w:val="24"/>
          <w:szCs w:val="24"/>
        </w:rPr>
        <w:t>arliament passed the Serious Crime Act in the United Kingdom which outlines powers that can be used in dealing with serious crime (Serious Crime Act 2015)</w:t>
      </w:r>
      <w:r w:rsidR="000F2EAB">
        <w:rPr>
          <w:rFonts w:ascii="Garamond" w:hAnsi="Garamond" w:cs="Calibri"/>
          <w:sz w:val="24"/>
          <w:szCs w:val="24"/>
        </w:rPr>
        <w:t>.</w:t>
      </w:r>
      <w:r w:rsidRPr="00961FE2">
        <w:rPr>
          <w:rFonts w:ascii="Garamond" w:hAnsi="Garamond" w:cs="Calibri"/>
          <w:sz w:val="24"/>
          <w:szCs w:val="24"/>
        </w:rPr>
        <w:t xml:space="preserve"> </w:t>
      </w:r>
      <w:r w:rsidR="000F2EAB">
        <w:rPr>
          <w:rFonts w:ascii="Garamond" w:hAnsi="Garamond" w:cs="Calibri"/>
          <w:sz w:val="24"/>
          <w:szCs w:val="24"/>
        </w:rPr>
        <w:t>Within this Act</w:t>
      </w:r>
      <w:r w:rsidRPr="00961FE2">
        <w:rPr>
          <w:rFonts w:ascii="Garamond" w:hAnsi="Garamond" w:cs="Calibri"/>
          <w:sz w:val="24"/>
          <w:szCs w:val="24"/>
        </w:rPr>
        <w:t xml:space="preserve">, serious crime </w:t>
      </w:r>
      <w:r w:rsidR="000F2EAB">
        <w:rPr>
          <w:rFonts w:ascii="Garamond" w:hAnsi="Garamond" w:cs="Calibri"/>
          <w:sz w:val="24"/>
          <w:szCs w:val="24"/>
        </w:rPr>
        <w:t>includes</w:t>
      </w:r>
      <w:r w:rsidRPr="00961FE2">
        <w:rPr>
          <w:rFonts w:ascii="Garamond" w:hAnsi="Garamond" w:cs="Calibri"/>
          <w:sz w:val="24"/>
          <w:szCs w:val="24"/>
        </w:rPr>
        <w:t xml:space="preserve"> drug trafficking, human trafficking, child sexual exploitation, high value fraud</w:t>
      </w:r>
      <w:r w:rsidR="000F2EAB">
        <w:rPr>
          <w:rFonts w:ascii="Garamond" w:hAnsi="Garamond" w:cs="Calibri"/>
          <w:sz w:val="24"/>
          <w:szCs w:val="24"/>
        </w:rPr>
        <w:t xml:space="preserve">, </w:t>
      </w:r>
      <w:r w:rsidRPr="00961FE2">
        <w:rPr>
          <w:rFonts w:ascii="Garamond" w:hAnsi="Garamond" w:cs="Calibri"/>
          <w:sz w:val="24"/>
          <w:szCs w:val="24"/>
        </w:rPr>
        <w:t>organise acquisitive crime</w:t>
      </w:r>
      <w:r w:rsidR="000F2EAB">
        <w:rPr>
          <w:rFonts w:ascii="Garamond" w:hAnsi="Garamond" w:cs="Calibri"/>
          <w:sz w:val="24"/>
          <w:szCs w:val="24"/>
        </w:rPr>
        <w:t>, and</w:t>
      </w:r>
      <w:r w:rsidRPr="00961FE2">
        <w:rPr>
          <w:rFonts w:ascii="Garamond" w:hAnsi="Garamond" w:cs="Calibri"/>
          <w:sz w:val="24"/>
          <w:szCs w:val="24"/>
        </w:rPr>
        <w:t xml:space="preserve"> more (Serious Crime Act 2015 - Explanatory Notes, 2015)</w:t>
      </w:r>
      <w:r w:rsidR="000F2EAB">
        <w:rPr>
          <w:rFonts w:ascii="Garamond" w:hAnsi="Garamond" w:cs="Calibri"/>
          <w:sz w:val="24"/>
          <w:szCs w:val="24"/>
        </w:rPr>
        <w:t>.</w:t>
      </w:r>
      <w:r w:rsidRPr="00961FE2">
        <w:rPr>
          <w:rFonts w:ascii="Garamond" w:hAnsi="Garamond" w:cs="Calibri"/>
          <w:sz w:val="24"/>
          <w:szCs w:val="24"/>
        </w:rPr>
        <w:t xml:space="preserve"> Essentially, these are the crime types which carry larger sentences and are deemed as more severe by the government.</w:t>
      </w:r>
      <w:r w:rsidR="000F2EAB">
        <w:rPr>
          <w:rFonts w:ascii="Garamond" w:hAnsi="Garamond" w:cs="Calibri"/>
          <w:sz w:val="24"/>
          <w:szCs w:val="24"/>
        </w:rPr>
        <w:t xml:space="preserve"> </w:t>
      </w:r>
      <w:r w:rsidRPr="00961FE2">
        <w:rPr>
          <w:rFonts w:ascii="Garamond" w:hAnsi="Garamond" w:cs="Calibri"/>
          <w:sz w:val="24"/>
          <w:szCs w:val="24"/>
        </w:rPr>
        <w:t xml:space="preserve"> In its guidance for referring cases, the C</w:t>
      </w:r>
      <w:r w:rsidR="000F2EAB">
        <w:rPr>
          <w:rFonts w:ascii="Garamond" w:hAnsi="Garamond" w:cs="Calibri"/>
          <w:sz w:val="24"/>
          <w:szCs w:val="24"/>
        </w:rPr>
        <w:t xml:space="preserve">rown </w:t>
      </w:r>
      <w:r w:rsidRPr="00961FE2">
        <w:rPr>
          <w:rFonts w:ascii="Garamond" w:hAnsi="Garamond" w:cs="Calibri"/>
          <w:sz w:val="24"/>
          <w:szCs w:val="24"/>
        </w:rPr>
        <w:t>P</w:t>
      </w:r>
      <w:r w:rsidR="000F2EAB">
        <w:rPr>
          <w:rFonts w:ascii="Garamond" w:hAnsi="Garamond" w:cs="Calibri"/>
          <w:sz w:val="24"/>
          <w:szCs w:val="24"/>
        </w:rPr>
        <w:t xml:space="preserve">rosecution </w:t>
      </w:r>
      <w:r w:rsidRPr="00961FE2">
        <w:rPr>
          <w:rFonts w:ascii="Garamond" w:hAnsi="Garamond" w:cs="Calibri"/>
          <w:sz w:val="24"/>
          <w:szCs w:val="24"/>
        </w:rPr>
        <w:t>S</w:t>
      </w:r>
      <w:r w:rsidR="000F2EAB">
        <w:rPr>
          <w:rFonts w:ascii="Garamond" w:hAnsi="Garamond" w:cs="Calibri"/>
          <w:sz w:val="24"/>
          <w:szCs w:val="24"/>
        </w:rPr>
        <w:t>ervice</w:t>
      </w:r>
      <w:r w:rsidRPr="00961FE2">
        <w:rPr>
          <w:rFonts w:ascii="Garamond" w:hAnsi="Garamond" w:cs="Calibri"/>
          <w:sz w:val="24"/>
          <w:szCs w:val="24"/>
        </w:rPr>
        <w:t xml:space="preserve"> s</w:t>
      </w:r>
      <w:r w:rsidR="000F2EAB">
        <w:rPr>
          <w:rFonts w:ascii="Garamond" w:hAnsi="Garamond" w:cs="Calibri"/>
          <w:sz w:val="24"/>
          <w:szCs w:val="24"/>
        </w:rPr>
        <w:t>tate</w:t>
      </w:r>
      <w:r w:rsidRPr="00961FE2">
        <w:rPr>
          <w:rFonts w:ascii="Garamond" w:hAnsi="Garamond" w:cs="Calibri"/>
          <w:sz w:val="24"/>
          <w:szCs w:val="24"/>
        </w:rPr>
        <w:t xml:space="preserve"> that </w:t>
      </w:r>
      <w:r w:rsidRPr="00961FE2">
        <w:rPr>
          <w:rFonts w:ascii="Garamond" w:hAnsi="Garamond" w:cs="Calibri"/>
          <w:sz w:val="24"/>
          <w:szCs w:val="24"/>
        </w:rPr>
        <w:lastRenderedPageBreak/>
        <w:t>complex crime can be distinguished from non-complex crime due to characteristics surrounding the nature of those offences (Referral of Cases | The Crown Prosecution Service, 2019)</w:t>
      </w:r>
      <w:r w:rsidR="000F2EAB">
        <w:rPr>
          <w:rFonts w:ascii="Garamond" w:hAnsi="Garamond" w:cs="Calibri"/>
          <w:sz w:val="24"/>
          <w:szCs w:val="24"/>
        </w:rPr>
        <w:t>.</w:t>
      </w:r>
      <w:r w:rsidRPr="00961FE2">
        <w:rPr>
          <w:rFonts w:ascii="Garamond" w:hAnsi="Garamond" w:cs="Calibri"/>
          <w:sz w:val="24"/>
          <w:szCs w:val="24"/>
        </w:rPr>
        <w:t xml:space="preserve"> </w:t>
      </w:r>
    </w:p>
    <w:p w14:paraId="6F7941AF" w14:textId="77777777" w:rsidR="000C12E6" w:rsidRPr="00961FE2" w:rsidRDefault="000C12E6" w:rsidP="002C4CA7">
      <w:pPr>
        <w:spacing w:line="480" w:lineRule="auto"/>
        <w:jc w:val="both"/>
        <w:rPr>
          <w:rFonts w:ascii="Garamond" w:hAnsi="Garamond" w:cs="Calibri"/>
          <w:sz w:val="24"/>
          <w:szCs w:val="24"/>
        </w:rPr>
      </w:pPr>
    </w:p>
    <w:p w14:paraId="19D9C16D" w14:textId="2C2B0757" w:rsidR="000C12E6" w:rsidRDefault="000C12E6" w:rsidP="002C4CA7">
      <w:pPr>
        <w:spacing w:line="480" w:lineRule="auto"/>
        <w:jc w:val="both"/>
        <w:rPr>
          <w:rFonts w:ascii="Garamond" w:hAnsi="Garamond" w:cs="Calibri"/>
          <w:sz w:val="24"/>
          <w:szCs w:val="24"/>
        </w:rPr>
      </w:pPr>
      <w:r w:rsidRPr="00961FE2">
        <w:rPr>
          <w:rFonts w:ascii="Garamond" w:hAnsi="Garamond" w:cs="Calibri"/>
          <w:sz w:val="24"/>
          <w:szCs w:val="24"/>
        </w:rPr>
        <w:t>Within the police structure different departments have different functions</w:t>
      </w:r>
      <w:r w:rsidR="000F2EAB">
        <w:rPr>
          <w:rFonts w:ascii="Garamond" w:hAnsi="Garamond" w:cs="Calibri"/>
          <w:sz w:val="24"/>
          <w:szCs w:val="24"/>
        </w:rPr>
        <w:t>. A</w:t>
      </w:r>
      <w:r w:rsidRPr="00961FE2">
        <w:rPr>
          <w:rFonts w:ascii="Garamond" w:hAnsi="Garamond" w:cs="Calibri"/>
          <w:sz w:val="24"/>
          <w:szCs w:val="24"/>
        </w:rPr>
        <w:t>lthough most roles have some amount of investigation involved, the Criminal Investigation Department</w:t>
      </w:r>
      <w:r w:rsidR="00B643DA">
        <w:rPr>
          <w:rFonts w:ascii="Garamond" w:hAnsi="Garamond" w:cs="Calibri"/>
          <w:sz w:val="24"/>
          <w:szCs w:val="24"/>
        </w:rPr>
        <w:t xml:space="preserve"> (CID)</w:t>
      </w:r>
      <w:r w:rsidRPr="00961FE2">
        <w:rPr>
          <w:rFonts w:ascii="Garamond" w:hAnsi="Garamond" w:cs="Calibri"/>
          <w:sz w:val="24"/>
          <w:szCs w:val="24"/>
        </w:rPr>
        <w:t xml:space="preserve"> is primarily focused with investigation of serious and complex crime. However, response officers will often make the initial contact with a victim</w:t>
      </w:r>
      <w:r w:rsidR="00B643DA">
        <w:rPr>
          <w:rFonts w:ascii="Garamond" w:hAnsi="Garamond" w:cs="Calibri"/>
          <w:sz w:val="24"/>
          <w:szCs w:val="24"/>
        </w:rPr>
        <w:t>,</w:t>
      </w:r>
      <w:r w:rsidRPr="00961FE2">
        <w:rPr>
          <w:rFonts w:ascii="Garamond" w:hAnsi="Garamond" w:cs="Calibri"/>
          <w:sz w:val="24"/>
          <w:szCs w:val="24"/>
        </w:rPr>
        <w:t xml:space="preserve"> provide the first response to an incident</w:t>
      </w:r>
      <w:r w:rsidR="00B643DA">
        <w:rPr>
          <w:rFonts w:ascii="Garamond" w:hAnsi="Garamond" w:cs="Calibri"/>
          <w:sz w:val="24"/>
          <w:szCs w:val="24"/>
        </w:rPr>
        <w:t>,</w:t>
      </w:r>
      <w:r w:rsidRPr="00961FE2">
        <w:rPr>
          <w:rFonts w:ascii="Garamond" w:hAnsi="Garamond" w:cs="Calibri"/>
          <w:sz w:val="24"/>
          <w:szCs w:val="24"/>
        </w:rPr>
        <w:t xml:space="preserve"> and deal with volume crime. </w:t>
      </w:r>
      <w:r w:rsidR="00B643DA">
        <w:rPr>
          <w:rFonts w:ascii="Garamond" w:hAnsi="Garamond" w:cs="Calibri"/>
          <w:sz w:val="24"/>
          <w:szCs w:val="24"/>
        </w:rPr>
        <w:t>Therefore</w:t>
      </w:r>
      <w:r w:rsidRPr="00961FE2">
        <w:rPr>
          <w:rFonts w:ascii="Garamond" w:hAnsi="Garamond" w:cs="Calibri"/>
          <w:sz w:val="24"/>
          <w:szCs w:val="24"/>
        </w:rPr>
        <w:t xml:space="preserve">, communication between response and investigative officers is key and shared principles and priorities will result in more successful investigations. </w:t>
      </w:r>
    </w:p>
    <w:p w14:paraId="09C56A41" w14:textId="77777777" w:rsidR="00B643DA" w:rsidRPr="00961FE2" w:rsidRDefault="00B643DA" w:rsidP="002C4CA7">
      <w:pPr>
        <w:spacing w:line="480" w:lineRule="auto"/>
        <w:jc w:val="both"/>
        <w:rPr>
          <w:rFonts w:ascii="Garamond" w:hAnsi="Garamond" w:cs="Calibri"/>
          <w:sz w:val="24"/>
          <w:szCs w:val="24"/>
        </w:rPr>
      </w:pPr>
    </w:p>
    <w:p w14:paraId="5289F705" w14:textId="5266F447" w:rsidR="000C12E6" w:rsidRPr="00961FE2" w:rsidRDefault="000C12E6" w:rsidP="002C4CA7">
      <w:pPr>
        <w:spacing w:line="480" w:lineRule="auto"/>
        <w:jc w:val="both"/>
        <w:rPr>
          <w:rFonts w:ascii="Garamond" w:hAnsi="Garamond" w:cs="Calibri"/>
          <w:sz w:val="24"/>
          <w:szCs w:val="24"/>
        </w:rPr>
      </w:pPr>
      <w:r w:rsidRPr="00961FE2">
        <w:rPr>
          <w:rFonts w:ascii="Garamond" w:hAnsi="Garamond" w:cs="Calibri"/>
          <w:sz w:val="24"/>
          <w:szCs w:val="24"/>
        </w:rPr>
        <w:t xml:space="preserve">As Peel said, the </w:t>
      </w:r>
      <w:r w:rsidR="00B643DA">
        <w:rPr>
          <w:rFonts w:ascii="Garamond" w:hAnsi="Garamond" w:cs="Calibri"/>
          <w:sz w:val="24"/>
          <w:szCs w:val="24"/>
        </w:rPr>
        <w:t>p</w:t>
      </w:r>
      <w:r w:rsidRPr="00961FE2">
        <w:rPr>
          <w:rFonts w:ascii="Garamond" w:hAnsi="Garamond" w:cs="Calibri"/>
          <w:sz w:val="24"/>
          <w:szCs w:val="24"/>
        </w:rPr>
        <w:t>olice are impartial</w:t>
      </w:r>
      <w:r w:rsidR="00B643DA">
        <w:rPr>
          <w:rFonts w:ascii="Garamond" w:hAnsi="Garamond" w:cs="Calibri"/>
          <w:sz w:val="24"/>
          <w:szCs w:val="24"/>
        </w:rPr>
        <w:t xml:space="preserve"> and</w:t>
      </w:r>
      <w:r w:rsidRPr="00961FE2">
        <w:rPr>
          <w:rFonts w:ascii="Garamond" w:hAnsi="Garamond" w:cs="Calibri"/>
          <w:sz w:val="24"/>
          <w:szCs w:val="24"/>
        </w:rPr>
        <w:t xml:space="preserve"> behav</w:t>
      </w:r>
      <w:r w:rsidR="00B643DA">
        <w:rPr>
          <w:rFonts w:ascii="Garamond" w:hAnsi="Garamond" w:cs="Calibri"/>
          <w:sz w:val="24"/>
          <w:szCs w:val="24"/>
        </w:rPr>
        <w:t>e</w:t>
      </w:r>
      <w:r w:rsidRPr="00961FE2">
        <w:rPr>
          <w:rFonts w:ascii="Garamond" w:hAnsi="Garamond" w:cs="Calibri"/>
          <w:sz w:val="24"/>
          <w:szCs w:val="24"/>
        </w:rPr>
        <w:t xml:space="preserve"> in a way that maintains the respect of the public</w:t>
      </w:r>
      <w:r w:rsidR="00B643DA">
        <w:rPr>
          <w:rFonts w:ascii="Garamond" w:hAnsi="Garamond" w:cs="Calibri"/>
          <w:sz w:val="24"/>
          <w:szCs w:val="24"/>
        </w:rPr>
        <w:t>. This also</w:t>
      </w:r>
      <w:r w:rsidRPr="00961FE2">
        <w:rPr>
          <w:rFonts w:ascii="Garamond" w:hAnsi="Garamond" w:cs="Calibri"/>
          <w:sz w:val="24"/>
          <w:szCs w:val="24"/>
        </w:rPr>
        <w:t xml:space="preserve"> applies to the handling of investigations (Sir Robert Peel’s Nine Principles of Policing, 2014)</w:t>
      </w:r>
      <w:r w:rsidR="00B643DA">
        <w:rPr>
          <w:rFonts w:ascii="Garamond" w:hAnsi="Garamond" w:cs="Calibri"/>
          <w:sz w:val="24"/>
          <w:szCs w:val="24"/>
        </w:rPr>
        <w:t xml:space="preserve">. </w:t>
      </w:r>
      <w:r w:rsidRPr="00961FE2">
        <w:rPr>
          <w:rFonts w:ascii="Garamond" w:hAnsi="Garamond" w:cs="Calibri"/>
          <w:sz w:val="24"/>
          <w:szCs w:val="24"/>
        </w:rPr>
        <w:t xml:space="preserve"> One way that investigations can fail their victims is when the </w:t>
      </w:r>
      <w:r w:rsidR="00B643DA">
        <w:rPr>
          <w:rFonts w:ascii="Garamond" w:hAnsi="Garamond" w:cs="Calibri"/>
          <w:sz w:val="24"/>
          <w:szCs w:val="24"/>
        </w:rPr>
        <w:t xml:space="preserve">investigating </w:t>
      </w:r>
      <w:r w:rsidRPr="00961FE2">
        <w:rPr>
          <w:rFonts w:ascii="Garamond" w:hAnsi="Garamond" w:cs="Calibri"/>
          <w:sz w:val="24"/>
          <w:szCs w:val="24"/>
        </w:rPr>
        <w:t xml:space="preserve">officers neglect these principles, instead giving in to their prejudices and unconscious biases. There are examples of when this has happened </w:t>
      </w:r>
      <w:r w:rsidR="00B643DA">
        <w:rPr>
          <w:rFonts w:ascii="Garamond" w:hAnsi="Garamond" w:cs="Calibri"/>
          <w:sz w:val="24"/>
          <w:szCs w:val="24"/>
        </w:rPr>
        <w:t>in</w:t>
      </w:r>
      <w:r w:rsidRPr="00961FE2">
        <w:rPr>
          <w:rFonts w:ascii="Garamond" w:hAnsi="Garamond" w:cs="Calibri"/>
          <w:sz w:val="24"/>
          <w:szCs w:val="24"/>
        </w:rPr>
        <w:t xml:space="preserve"> high-profile cases of miscarriages of justice.</w:t>
      </w:r>
      <w:r w:rsidR="00B643DA">
        <w:rPr>
          <w:rFonts w:ascii="Garamond" w:hAnsi="Garamond" w:cs="Calibri"/>
          <w:sz w:val="24"/>
          <w:szCs w:val="24"/>
        </w:rPr>
        <w:t xml:space="preserve"> </w:t>
      </w:r>
    </w:p>
    <w:p w14:paraId="11D66F7C" w14:textId="77777777" w:rsidR="000C12E6" w:rsidRPr="00961FE2" w:rsidRDefault="000C12E6" w:rsidP="002C4CA7">
      <w:pPr>
        <w:spacing w:line="480" w:lineRule="auto"/>
        <w:jc w:val="both"/>
        <w:rPr>
          <w:rFonts w:ascii="Garamond" w:hAnsi="Garamond" w:cs="Calibri"/>
          <w:sz w:val="24"/>
          <w:szCs w:val="24"/>
        </w:rPr>
      </w:pPr>
    </w:p>
    <w:p w14:paraId="3B6D21A3" w14:textId="26067243" w:rsidR="000C12E6" w:rsidRPr="00961FE2" w:rsidRDefault="000C12E6" w:rsidP="002C4CA7">
      <w:pPr>
        <w:spacing w:line="480" w:lineRule="auto"/>
        <w:jc w:val="both"/>
        <w:rPr>
          <w:rFonts w:ascii="Garamond" w:hAnsi="Garamond" w:cs="Calibri"/>
          <w:sz w:val="24"/>
          <w:szCs w:val="24"/>
        </w:rPr>
      </w:pPr>
      <w:r w:rsidRPr="00961FE2">
        <w:rPr>
          <w:rFonts w:ascii="Garamond" w:hAnsi="Garamond" w:cs="Calibri"/>
          <w:sz w:val="24"/>
          <w:szCs w:val="24"/>
        </w:rPr>
        <w:t xml:space="preserve">A prominent serious crime investigation that has since become a major controversy is the </w:t>
      </w:r>
      <w:r w:rsidR="00B643DA">
        <w:rPr>
          <w:rFonts w:ascii="Garamond" w:hAnsi="Garamond" w:cs="Calibri"/>
          <w:sz w:val="24"/>
          <w:szCs w:val="24"/>
        </w:rPr>
        <w:t xml:space="preserve">1988 </w:t>
      </w:r>
      <w:r w:rsidRPr="00961FE2">
        <w:rPr>
          <w:rFonts w:ascii="Garamond" w:hAnsi="Garamond" w:cs="Calibri"/>
          <w:sz w:val="24"/>
          <w:szCs w:val="24"/>
        </w:rPr>
        <w:t>murder of Lynette White in Cardiff (Campbell and Sekar, 1991)</w:t>
      </w:r>
      <w:r w:rsidR="00B643DA">
        <w:rPr>
          <w:rFonts w:ascii="Garamond" w:hAnsi="Garamond" w:cs="Calibri"/>
          <w:sz w:val="24"/>
          <w:szCs w:val="24"/>
        </w:rPr>
        <w:t>.</w:t>
      </w:r>
      <w:r w:rsidRPr="00961FE2">
        <w:rPr>
          <w:rFonts w:ascii="Garamond" w:hAnsi="Garamond" w:cs="Calibri"/>
          <w:sz w:val="24"/>
          <w:szCs w:val="24"/>
        </w:rPr>
        <w:t xml:space="preserve"> White was found stabbed to death on </w:t>
      </w:r>
      <w:r w:rsidR="00B643DA">
        <w:rPr>
          <w:rFonts w:ascii="Garamond" w:hAnsi="Garamond" w:cs="Calibri"/>
          <w:sz w:val="24"/>
          <w:szCs w:val="24"/>
        </w:rPr>
        <w:t>V</w:t>
      </w:r>
      <w:r w:rsidRPr="00961FE2">
        <w:rPr>
          <w:rFonts w:ascii="Garamond" w:hAnsi="Garamond" w:cs="Calibri"/>
          <w:sz w:val="24"/>
          <w:szCs w:val="24"/>
        </w:rPr>
        <w:t xml:space="preserve">alentine’s </w:t>
      </w:r>
      <w:r w:rsidR="00B643DA">
        <w:rPr>
          <w:rFonts w:ascii="Garamond" w:hAnsi="Garamond" w:cs="Calibri"/>
          <w:sz w:val="24"/>
          <w:szCs w:val="24"/>
        </w:rPr>
        <w:t>D</w:t>
      </w:r>
      <w:r w:rsidRPr="00961FE2">
        <w:rPr>
          <w:rFonts w:ascii="Garamond" w:hAnsi="Garamond" w:cs="Calibri"/>
          <w:sz w:val="24"/>
          <w:szCs w:val="24"/>
        </w:rPr>
        <w:t xml:space="preserve">ay and in November 1990 three men were convicted of her murder. From early on, there were concerns surrounding the convictions based upon the limited evidence available initially. A white man had been seen in the area of White’s flat acting in a distressed manner and with blood on him. Despite this sighting, five black and mixed-race men were charged with the murder of Lynette White. Two were later acquitted but the </w:t>
      </w:r>
      <w:r w:rsidR="00B643DA">
        <w:rPr>
          <w:rFonts w:ascii="Garamond" w:hAnsi="Garamond" w:cs="Calibri"/>
          <w:sz w:val="24"/>
          <w:szCs w:val="24"/>
        </w:rPr>
        <w:t>“</w:t>
      </w:r>
      <w:r w:rsidRPr="00961FE2">
        <w:rPr>
          <w:rFonts w:ascii="Garamond" w:hAnsi="Garamond" w:cs="Calibri"/>
          <w:sz w:val="24"/>
          <w:szCs w:val="24"/>
        </w:rPr>
        <w:t>Cardiff Three</w:t>
      </w:r>
      <w:r w:rsidR="00B643DA">
        <w:rPr>
          <w:rFonts w:ascii="Garamond" w:hAnsi="Garamond" w:cs="Calibri"/>
          <w:sz w:val="24"/>
          <w:szCs w:val="24"/>
        </w:rPr>
        <w:t>”</w:t>
      </w:r>
      <w:r w:rsidRPr="00961FE2">
        <w:rPr>
          <w:rFonts w:ascii="Garamond" w:hAnsi="Garamond" w:cs="Calibri"/>
          <w:sz w:val="24"/>
          <w:szCs w:val="24"/>
        </w:rPr>
        <w:t xml:space="preserve"> were convicted until their convictions were quashed in 1992. </w:t>
      </w:r>
      <w:r w:rsidR="00B643DA">
        <w:rPr>
          <w:rFonts w:ascii="Garamond" w:hAnsi="Garamond" w:cs="Calibri"/>
          <w:sz w:val="24"/>
          <w:szCs w:val="24"/>
        </w:rPr>
        <w:t xml:space="preserve"> </w:t>
      </w:r>
      <w:r w:rsidRPr="00961FE2">
        <w:rPr>
          <w:rFonts w:ascii="Garamond" w:hAnsi="Garamond" w:cs="Calibri"/>
          <w:sz w:val="24"/>
          <w:szCs w:val="24"/>
        </w:rPr>
        <w:t xml:space="preserve">During their appeal, a number of factors were brought to light which shone a negative light on the </w:t>
      </w:r>
      <w:r w:rsidR="00B643DA">
        <w:rPr>
          <w:rFonts w:ascii="Garamond" w:hAnsi="Garamond" w:cs="Calibri"/>
          <w:sz w:val="24"/>
          <w:szCs w:val="24"/>
        </w:rPr>
        <w:t xml:space="preserve">police’s </w:t>
      </w:r>
      <w:r w:rsidRPr="00961FE2">
        <w:rPr>
          <w:rFonts w:ascii="Garamond" w:hAnsi="Garamond" w:cs="Calibri"/>
          <w:sz w:val="24"/>
          <w:szCs w:val="24"/>
        </w:rPr>
        <w:t xml:space="preserve">investigation. For instance, the appeal judge </w:t>
      </w:r>
      <w:r w:rsidR="00B643DA">
        <w:rPr>
          <w:rFonts w:ascii="Garamond" w:hAnsi="Garamond" w:cs="Calibri"/>
          <w:sz w:val="24"/>
          <w:szCs w:val="24"/>
        </w:rPr>
        <w:lastRenderedPageBreak/>
        <w:t>described police’s interviews of suspects as</w:t>
      </w:r>
      <w:r w:rsidRPr="00961FE2">
        <w:rPr>
          <w:rFonts w:ascii="Garamond" w:hAnsi="Garamond" w:cs="Calibri"/>
          <w:sz w:val="24"/>
          <w:szCs w:val="24"/>
        </w:rPr>
        <w:t xml:space="preserve"> “oppressive” and expressed concerns over the method and tone of interrogation (The Guardian, 1992)</w:t>
      </w:r>
      <w:r w:rsidR="00B643DA">
        <w:rPr>
          <w:rFonts w:ascii="Garamond" w:hAnsi="Garamond" w:cs="Calibri"/>
          <w:sz w:val="24"/>
          <w:szCs w:val="24"/>
        </w:rPr>
        <w:t>.</w:t>
      </w:r>
      <w:r w:rsidRPr="00961FE2">
        <w:rPr>
          <w:rFonts w:ascii="Garamond" w:hAnsi="Garamond" w:cs="Calibri"/>
          <w:sz w:val="24"/>
          <w:szCs w:val="24"/>
        </w:rPr>
        <w:t xml:space="preserve"> </w:t>
      </w:r>
    </w:p>
    <w:p w14:paraId="64B04B78" w14:textId="77777777" w:rsidR="000C12E6" w:rsidRPr="00961FE2" w:rsidRDefault="000C12E6" w:rsidP="002C4CA7">
      <w:pPr>
        <w:spacing w:line="480" w:lineRule="auto"/>
        <w:jc w:val="both"/>
        <w:rPr>
          <w:rFonts w:ascii="Garamond" w:hAnsi="Garamond" w:cs="Calibri"/>
          <w:sz w:val="24"/>
          <w:szCs w:val="24"/>
        </w:rPr>
      </w:pPr>
    </w:p>
    <w:p w14:paraId="08D683F3" w14:textId="79D487E2" w:rsidR="000C12E6" w:rsidRPr="00961FE2" w:rsidRDefault="000C12E6" w:rsidP="002C4CA7">
      <w:pPr>
        <w:spacing w:line="480" w:lineRule="auto"/>
        <w:jc w:val="both"/>
        <w:rPr>
          <w:rFonts w:ascii="Garamond" w:hAnsi="Garamond" w:cs="Calibri"/>
          <w:sz w:val="24"/>
          <w:szCs w:val="24"/>
        </w:rPr>
      </w:pPr>
      <w:r w:rsidRPr="00961FE2">
        <w:rPr>
          <w:rFonts w:ascii="Garamond" w:hAnsi="Garamond" w:cs="Calibri"/>
          <w:sz w:val="24"/>
          <w:szCs w:val="24"/>
        </w:rPr>
        <w:t xml:space="preserve">Interviewing suspects is a regular </w:t>
      </w:r>
      <w:r w:rsidR="00B643DA">
        <w:rPr>
          <w:rFonts w:ascii="Garamond" w:hAnsi="Garamond" w:cs="Calibri"/>
          <w:sz w:val="24"/>
          <w:szCs w:val="24"/>
        </w:rPr>
        <w:t>procedure</w:t>
      </w:r>
      <w:r w:rsidRPr="00961FE2">
        <w:rPr>
          <w:rFonts w:ascii="Garamond" w:hAnsi="Garamond" w:cs="Calibri"/>
          <w:sz w:val="24"/>
          <w:szCs w:val="24"/>
        </w:rPr>
        <w:t xml:space="preserve"> of </w:t>
      </w:r>
      <w:r w:rsidR="00B643DA">
        <w:rPr>
          <w:rFonts w:ascii="Garamond" w:hAnsi="Garamond" w:cs="Calibri"/>
          <w:sz w:val="24"/>
          <w:szCs w:val="24"/>
        </w:rPr>
        <w:t>p</w:t>
      </w:r>
      <w:r w:rsidRPr="00961FE2">
        <w:rPr>
          <w:rFonts w:ascii="Garamond" w:hAnsi="Garamond" w:cs="Calibri"/>
          <w:sz w:val="24"/>
          <w:szCs w:val="24"/>
        </w:rPr>
        <w:t xml:space="preserve">olice officers and in serious or complex crime cases, such as the murder of Lynette White, investigating officers who interview have typically acquired a higher level of training in conducting interviews. Investigators are governed by the Police and Criminal Evidence (PACE) Act 1984 Code C when dealing with detained persons, which includes being interviewed. PACE Code C was provided to ensure the fair treatment of those detained and to ensure that the </w:t>
      </w:r>
      <w:r w:rsidR="00B643DA">
        <w:rPr>
          <w:rFonts w:ascii="Garamond" w:hAnsi="Garamond" w:cs="Calibri"/>
          <w:sz w:val="24"/>
          <w:szCs w:val="24"/>
        </w:rPr>
        <w:t>p</w:t>
      </w:r>
      <w:r w:rsidRPr="00961FE2">
        <w:rPr>
          <w:rFonts w:ascii="Garamond" w:hAnsi="Garamond" w:cs="Calibri"/>
          <w:sz w:val="24"/>
          <w:szCs w:val="24"/>
        </w:rPr>
        <w:t>olice do not abuse their powers. Elements for particular focus are those surrounding interviewing guidance, entitlement to legal advice</w:t>
      </w:r>
      <w:r w:rsidR="00B643DA">
        <w:rPr>
          <w:rFonts w:ascii="Garamond" w:hAnsi="Garamond" w:cs="Calibri"/>
          <w:sz w:val="24"/>
          <w:szCs w:val="24"/>
        </w:rPr>
        <w:t>,</w:t>
      </w:r>
      <w:r w:rsidRPr="00961FE2">
        <w:rPr>
          <w:rFonts w:ascii="Garamond" w:hAnsi="Garamond" w:cs="Calibri"/>
          <w:sz w:val="24"/>
          <w:szCs w:val="24"/>
        </w:rPr>
        <w:t xml:space="preserve"> and interviews of vulnerable persons. PACE code C states that, “No interviewer may try to obtain answers or elicit a statement by the use of oppression.” (Home Office, 2019. Pg. 43)</w:t>
      </w:r>
      <w:r w:rsidR="00B643DA">
        <w:rPr>
          <w:rFonts w:ascii="Garamond" w:hAnsi="Garamond" w:cs="Calibri"/>
          <w:sz w:val="24"/>
          <w:szCs w:val="24"/>
        </w:rPr>
        <w:t>.</w:t>
      </w:r>
      <w:r w:rsidRPr="00961FE2">
        <w:rPr>
          <w:rFonts w:ascii="Garamond" w:hAnsi="Garamond" w:cs="Calibri"/>
          <w:sz w:val="24"/>
          <w:szCs w:val="24"/>
        </w:rPr>
        <w:t xml:space="preserve"> Clearly, as described by the judge presiding over the appeal, investigators neglected this instruction for interviews. Interviewers also neglected to follow guidance from the College of Policing which outlines that interviewers should remain calm, avoiding a raised voice or inflammatory language. (College of Policing, 2013)</w:t>
      </w:r>
      <w:r w:rsidR="00B643DA">
        <w:rPr>
          <w:rFonts w:ascii="Garamond" w:hAnsi="Garamond" w:cs="Calibri"/>
          <w:sz w:val="24"/>
          <w:szCs w:val="24"/>
        </w:rPr>
        <w:t xml:space="preserve">. </w:t>
      </w:r>
      <w:r w:rsidRPr="00961FE2">
        <w:rPr>
          <w:rFonts w:ascii="Garamond" w:hAnsi="Garamond" w:cs="Calibri"/>
          <w:sz w:val="24"/>
          <w:szCs w:val="24"/>
        </w:rPr>
        <w:t>Furthermore, PACE also dictates that vulnerable persons should be interviewed in the presence of an appropriate adult unless under special circumstances (Pg. 44)</w:t>
      </w:r>
      <w:r w:rsidR="00B643DA">
        <w:rPr>
          <w:rFonts w:ascii="Garamond" w:hAnsi="Garamond" w:cs="Calibri"/>
          <w:sz w:val="24"/>
          <w:szCs w:val="24"/>
        </w:rPr>
        <w:t>.</w:t>
      </w:r>
      <w:r w:rsidRPr="00961FE2">
        <w:rPr>
          <w:rFonts w:ascii="Garamond" w:hAnsi="Garamond" w:cs="Calibri"/>
          <w:sz w:val="24"/>
          <w:szCs w:val="24"/>
        </w:rPr>
        <w:t xml:space="preserve"> There has been some suggestion that one of those accused of White’s murder, Steven Miller, may in fact have been vulnerable due to having </w:t>
      </w:r>
      <w:r w:rsidR="00B643DA">
        <w:rPr>
          <w:rFonts w:ascii="Garamond" w:hAnsi="Garamond" w:cs="Calibri"/>
          <w:sz w:val="24"/>
          <w:szCs w:val="24"/>
        </w:rPr>
        <w:t>the</w:t>
      </w:r>
      <w:r w:rsidRPr="00961FE2">
        <w:rPr>
          <w:rFonts w:ascii="Garamond" w:hAnsi="Garamond" w:cs="Calibri"/>
          <w:sz w:val="24"/>
          <w:szCs w:val="24"/>
        </w:rPr>
        <w:t xml:space="preserve"> mental age of a child. </w:t>
      </w:r>
      <w:r w:rsidR="00B643DA">
        <w:rPr>
          <w:rFonts w:ascii="Garamond" w:hAnsi="Garamond" w:cs="Calibri"/>
          <w:sz w:val="24"/>
          <w:szCs w:val="24"/>
        </w:rPr>
        <w:t>Therefore,</w:t>
      </w:r>
      <w:r w:rsidRPr="00961FE2">
        <w:rPr>
          <w:rFonts w:ascii="Garamond" w:hAnsi="Garamond" w:cs="Calibri"/>
          <w:sz w:val="24"/>
          <w:szCs w:val="24"/>
        </w:rPr>
        <w:t xml:space="preserve"> an appropriate adult </w:t>
      </w:r>
      <w:r w:rsidR="00B643DA">
        <w:rPr>
          <w:rFonts w:ascii="Garamond" w:hAnsi="Garamond" w:cs="Calibri"/>
          <w:sz w:val="24"/>
          <w:szCs w:val="24"/>
        </w:rPr>
        <w:t>would</w:t>
      </w:r>
      <w:r w:rsidRPr="00961FE2">
        <w:rPr>
          <w:rFonts w:ascii="Garamond" w:hAnsi="Garamond" w:cs="Calibri"/>
          <w:sz w:val="24"/>
          <w:szCs w:val="24"/>
        </w:rPr>
        <w:t xml:space="preserve"> have been appropriate for interview.</w:t>
      </w:r>
    </w:p>
    <w:p w14:paraId="55951DB4" w14:textId="262367A4" w:rsidR="000C12E6" w:rsidRPr="00961FE2" w:rsidRDefault="000C12E6" w:rsidP="002C4CA7">
      <w:pPr>
        <w:spacing w:line="480" w:lineRule="auto"/>
        <w:jc w:val="both"/>
        <w:rPr>
          <w:rFonts w:ascii="Garamond" w:hAnsi="Garamond" w:cs="Calibri"/>
          <w:sz w:val="24"/>
          <w:szCs w:val="24"/>
        </w:rPr>
      </w:pPr>
      <w:r w:rsidRPr="00961FE2">
        <w:rPr>
          <w:rFonts w:ascii="Garamond" w:hAnsi="Garamond" w:cs="Calibri"/>
          <w:sz w:val="24"/>
          <w:szCs w:val="24"/>
        </w:rPr>
        <w:t>Thirdly, PACE directs investigators to allow legal advice to persons detained and prior to and/or during interview (Pg. 27)</w:t>
      </w:r>
      <w:r w:rsidR="00B643DA">
        <w:rPr>
          <w:rFonts w:ascii="Garamond" w:hAnsi="Garamond" w:cs="Calibri"/>
          <w:sz w:val="24"/>
          <w:szCs w:val="24"/>
        </w:rPr>
        <w:t>. Again, Miller was the subject of multiple interviews without the presence of a solicitor.</w:t>
      </w:r>
      <w:r w:rsidRPr="00961FE2">
        <w:rPr>
          <w:rFonts w:ascii="Garamond" w:hAnsi="Garamond" w:cs="Calibri"/>
          <w:sz w:val="24"/>
          <w:szCs w:val="24"/>
        </w:rPr>
        <w:t xml:space="preserve"> In summary, due to these elements, the judge in the appeal case decided records of Miller’s interviews should not have been admitted as evidence (The Guardian, 1992)</w:t>
      </w:r>
      <w:r w:rsidR="00B643DA">
        <w:rPr>
          <w:rFonts w:ascii="Garamond" w:hAnsi="Garamond" w:cs="Calibri"/>
          <w:sz w:val="24"/>
          <w:szCs w:val="24"/>
        </w:rPr>
        <w:t>.</w:t>
      </w:r>
      <w:r w:rsidRPr="00961FE2">
        <w:rPr>
          <w:rFonts w:ascii="Garamond" w:hAnsi="Garamond" w:cs="Calibri"/>
          <w:sz w:val="24"/>
          <w:szCs w:val="24"/>
        </w:rPr>
        <w:t xml:space="preserve"> This then displays an example of when police have failed in their role as investigators by neglecting the guidance and procedures for correct investigations. </w:t>
      </w:r>
    </w:p>
    <w:p w14:paraId="54A15CE7" w14:textId="77777777" w:rsidR="000C12E6" w:rsidRPr="00961FE2" w:rsidRDefault="000C12E6" w:rsidP="002C4CA7">
      <w:pPr>
        <w:spacing w:line="480" w:lineRule="auto"/>
        <w:jc w:val="both"/>
        <w:rPr>
          <w:rFonts w:ascii="Garamond" w:hAnsi="Garamond" w:cs="Calibri"/>
          <w:sz w:val="24"/>
          <w:szCs w:val="24"/>
        </w:rPr>
      </w:pPr>
    </w:p>
    <w:p w14:paraId="4D75F3F1" w14:textId="77777777" w:rsidR="000C12E6" w:rsidRPr="00961FE2" w:rsidRDefault="000C12E6" w:rsidP="002C4CA7">
      <w:pPr>
        <w:spacing w:line="480" w:lineRule="auto"/>
        <w:jc w:val="both"/>
        <w:rPr>
          <w:rFonts w:ascii="Garamond" w:hAnsi="Garamond" w:cs="Calibri"/>
          <w:sz w:val="24"/>
          <w:szCs w:val="24"/>
        </w:rPr>
      </w:pPr>
      <w:r w:rsidRPr="00961FE2">
        <w:rPr>
          <w:rFonts w:ascii="Garamond" w:hAnsi="Garamond" w:cs="Calibri"/>
          <w:sz w:val="24"/>
          <w:szCs w:val="24"/>
        </w:rPr>
        <w:t>Officers involved in this investigation made errors, surely for a number of reasons. When investigating serious crime, there are additional pressures which are likely to affect some officers. There are pressures to get results for superiors and for the public, especially when cases are high profile. This can lead to lapses in judgement or failure to restrain prejudices, which may have been to blame for the Cardiff Three.</w:t>
      </w:r>
    </w:p>
    <w:p w14:paraId="411C3F37" w14:textId="77777777" w:rsidR="000C12E6" w:rsidRPr="00961FE2" w:rsidRDefault="000C12E6" w:rsidP="002C4CA7">
      <w:pPr>
        <w:spacing w:line="480" w:lineRule="auto"/>
        <w:jc w:val="both"/>
        <w:rPr>
          <w:rFonts w:ascii="Garamond" w:hAnsi="Garamond" w:cs="Calibri"/>
          <w:sz w:val="24"/>
          <w:szCs w:val="24"/>
        </w:rPr>
      </w:pPr>
    </w:p>
    <w:p w14:paraId="73B1F293" w14:textId="67D7210A" w:rsidR="000C12E6" w:rsidRPr="00961FE2" w:rsidRDefault="000C12E6" w:rsidP="002C4CA7">
      <w:pPr>
        <w:spacing w:line="480" w:lineRule="auto"/>
        <w:jc w:val="both"/>
        <w:rPr>
          <w:rFonts w:ascii="Garamond" w:hAnsi="Garamond" w:cs="Calibri"/>
          <w:sz w:val="24"/>
          <w:szCs w:val="24"/>
        </w:rPr>
      </w:pPr>
      <w:r w:rsidRPr="00961FE2">
        <w:rPr>
          <w:rFonts w:ascii="Garamond" w:hAnsi="Garamond" w:cs="Calibri"/>
          <w:sz w:val="24"/>
          <w:szCs w:val="24"/>
        </w:rPr>
        <w:t>In conclusion, investigations are a commonplace feature of the police role. They vary in severity and complexity but nevertheless should be conducted in accordance with guidelines and within the police standards of ethics. This has</w:t>
      </w:r>
      <w:r w:rsidR="00B67F0E">
        <w:rPr>
          <w:rFonts w:ascii="Garamond" w:hAnsi="Garamond" w:cs="Calibri"/>
          <w:sz w:val="24"/>
          <w:szCs w:val="24"/>
        </w:rPr>
        <w:t xml:space="preserve"> not </w:t>
      </w:r>
      <w:r w:rsidRPr="00961FE2">
        <w:rPr>
          <w:rFonts w:ascii="Garamond" w:hAnsi="Garamond" w:cs="Calibri"/>
          <w:sz w:val="24"/>
          <w:szCs w:val="24"/>
        </w:rPr>
        <w:t>always been the case</w:t>
      </w:r>
      <w:r w:rsidR="00B67F0E">
        <w:rPr>
          <w:rFonts w:ascii="Garamond" w:hAnsi="Garamond" w:cs="Calibri"/>
          <w:sz w:val="24"/>
          <w:szCs w:val="24"/>
        </w:rPr>
        <w:t>, as seen in the example of the murder investigation of Lynette White.</w:t>
      </w:r>
      <w:r w:rsidRPr="00961FE2">
        <w:rPr>
          <w:rFonts w:ascii="Garamond" w:hAnsi="Garamond" w:cs="Calibri"/>
          <w:sz w:val="24"/>
          <w:szCs w:val="24"/>
        </w:rPr>
        <w:t xml:space="preserve"> </w:t>
      </w:r>
      <w:r w:rsidR="00B67F0E">
        <w:rPr>
          <w:rFonts w:ascii="Garamond" w:hAnsi="Garamond" w:cs="Calibri"/>
          <w:sz w:val="24"/>
          <w:szCs w:val="24"/>
        </w:rPr>
        <w:t>This</w:t>
      </w:r>
      <w:r w:rsidRPr="00961FE2">
        <w:rPr>
          <w:rFonts w:ascii="Garamond" w:hAnsi="Garamond" w:cs="Calibri"/>
          <w:sz w:val="24"/>
          <w:szCs w:val="24"/>
        </w:rPr>
        <w:t xml:space="preserve"> is not an isolated </w:t>
      </w:r>
      <w:proofErr w:type="gramStart"/>
      <w:r w:rsidRPr="00961FE2">
        <w:rPr>
          <w:rFonts w:ascii="Garamond" w:hAnsi="Garamond" w:cs="Calibri"/>
          <w:sz w:val="24"/>
          <w:szCs w:val="24"/>
        </w:rPr>
        <w:t>example</w:t>
      </w:r>
      <w:r w:rsidR="00B67F0E">
        <w:rPr>
          <w:rFonts w:ascii="Garamond" w:hAnsi="Garamond" w:cs="Calibri"/>
          <w:sz w:val="24"/>
          <w:szCs w:val="24"/>
        </w:rPr>
        <w:t>,</w:t>
      </w:r>
      <w:proofErr w:type="gramEnd"/>
      <w:r w:rsidRPr="00961FE2">
        <w:rPr>
          <w:rFonts w:ascii="Garamond" w:hAnsi="Garamond" w:cs="Calibri"/>
          <w:sz w:val="24"/>
          <w:szCs w:val="24"/>
        </w:rPr>
        <w:t xml:space="preserve"> however direction is in place to avoid it happening again.</w:t>
      </w:r>
    </w:p>
    <w:p w14:paraId="0CB3EA31" w14:textId="77777777" w:rsidR="000C12E6" w:rsidRPr="00961FE2" w:rsidRDefault="000C12E6" w:rsidP="002C4CA7">
      <w:pPr>
        <w:spacing w:line="480" w:lineRule="auto"/>
        <w:jc w:val="both"/>
        <w:rPr>
          <w:rFonts w:ascii="Garamond" w:hAnsi="Garamond" w:cs="Calibri"/>
          <w:sz w:val="24"/>
          <w:szCs w:val="24"/>
        </w:rPr>
      </w:pPr>
    </w:p>
    <w:p w14:paraId="6D2C05C8" w14:textId="77777777" w:rsidR="000C12E6" w:rsidRPr="00961FE2" w:rsidRDefault="000C12E6" w:rsidP="002C4CA7">
      <w:pPr>
        <w:spacing w:line="480" w:lineRule="auto"/>
        <w:rPr>
          <w:rFonts w:ascii="Garamond" w:eastAsia="Calibri" w:hAnsi="Garamond" w:cs="Calibri"/>
          <w:sz w:val="24"/>
          <w:szCs w:val="24"/>
        </w:rPr>
      </w:pPr>
    </w:p>
    <w:p w14:paraId="4CE6BB66" w14:textId="77777777" w:rsidR="000C12E6" w:rsidRPr="00961FE2" w:rsidRDefault="000C12E6" w:rsidP="002C4CA7">
      <w:pPr>
        <w:spacing w:line="480" w:lineRule="auto"/>
        <w:rPr>
          <w:rFonts w:ascii="Garamond" w:eastAsia="Calibri" w:hAnsi="Garamond" w:cs="Calibri"/>
          <w:sz w:val="24"/>
          <w:szCs w:val="24"/>
        </w:rPr>
      </w:pPr>
    </w:p>
    <w:p w14:paraId="4AB007B4" w14:textId="77777777" w:rsidR="000C12E6" w:rsidRPr="00961FE2" w:rsidRDefault="000C12E6" w:rsidP="002C4CA7">
      <w:pPr>
        <w:spacing w:line="480" w:lineRule="auto"/>
        <w:rPr>
          <w:rFonts w:ascii="Garamond" w:eastAsia="Calibri" w:hAnsi="Garamond" w:cs="Calibri"/>
          <w:sz w:val="24"/>
          <w:szCs w:val="24"/>
        </w:rPr>
      </w:pPr>
    </w:p>
    <w:p w14:paraId="5E246173" w14:textId="77777777" w:rsidR="000C12E6" w:rsidRPr="00961FE2" w:rsidRDefault="000C12E6" w:rsidP="002C4CA7">
      <w:pPr>
        <w:spacing w:line="480" w:lineRule="auto"/>
        <w:rPr>
          <w:rFonts w:ascii="Garamond" w:eastAsia="Calibri" w:hAnsi="Garamond" w:cs="Calibri"/>
          <w:sz w:val="24"/>
          <w:szCs w:val="24"/>
        </w:rPr>
      </w:pPr>
    </w:p>
    <w:p w14:paraId="34BB698C" w14:textId="77777777" w:rsidR="000C12E6" w:rsidRPr="00961FE2" w:rsidRDefault="000C12E6" w:rsidP="002C4CA7">
      <w:pPr>
        <w:spacing w:line="480" w:lineRule="auto"/>
        <w:rPr>
          <w:rFonts w:ascii="Garamond" w:eastAsia="Calibri" w:hAnsi="Garamond" w:cs="Calibri"/>
          <w:sz w:val="24"/>
          <w:szCs w:val="24"/>
        </w:rPr>
      </w:pPr>
    </w:p>
    <w:p w14:paraId="14CCE180" w14:textId="77777777" w:rsidR="000C12E6" w:rsidRPr="00961FE2" w:rsidRDefault="000C12E6" w:rsidP="002C4CA7">
      <w:pPr>
        <w:spacing w:line="480" w:lineRule="auto"/>
        <w:rPr>
          <w:rFonts w:ascii="Garamond" w:eastAsia="Calibri" w:hAnsi="Garamond" w:cs="Calibri"/>
          <w:sz w:val="24"/>
          <w:szCs w:val="24"/>
        </w:rPr>
      </w:pPr>
    </w:p>
    <w:p w14:paraId="148202D5" w14:textId="77777777" w:rsidR="000C12E6" w:rsidRPr="00961FE2" w:rsidRDefault="000C12E6" w:rsidP="002C4CA7">
      <w:pPr>
        <w:spacing w:line="480" w:lineRule="auto"/>
        <w:rPr>
          <w:rFonts w:ascii="Garamond" w:eastAsia="Calibri" w:hAnsi="Garamond" w:cs="Calibri"/>
          <w:sz w:val="24"/>
          <w:szCs w:val="24"/>
        </w:rPr>
      </w:pPr>
    </w:p>
    <w:p w14:paraId="3010BC74" w14:textId="77777777" w:rsidR="000C12E6" w:rsidRPr="00961FE2" w:rsidRDefault="000C12E6" w:rsidP="002C4CA7">
      <w:pPr>
        <w:spacing w:line="480" w:lineRule="auto"/>
        <w:rPr>
          <w:rFonts w:ascii="Garamond" w:eastAsia="Calibri" w:hAnsi="Garamond" w:cs="Calibri"/>
          <w:sz w:val="24"/>
          <w:szCs w:val="24"/>
        </w:rPr>
      </w:pPr>
    </w:p>
    <w:p w14:paraId="4A8CA023" w14:textId="77777777" w:rsidR="000C12E6" w:rsidRPr="00961FE2" w:rsidRDefault="000C12E6" w:rsidP="002C4CA7">
      <w:pPr>
        <w:spacing w:line="480" w:lineRule="auto"/>
        <w:rPr>
          <w:rFonts w:ascii="Garamond" w:eastAsia="Calibri" w:hAnsi="Garamond" w:cs="Calibri"/>
          <w:sz w:val="24"/>
          <w:szCs w:val="24"/>
        </w:rPr>
      </w:pPr>
    </w:p>
    <w:p w14:paraId="59923F7B" w14:textId="77777777" w:rsidR="000C12E6" w:rsidRPr="00961FE2" w:rsidRDefault="000C12E6" w:rsidP="002C4CA7">
      <w:pPr>
        <w:spacing w:line="480" w:lineRule="auto"/>
        <w:rPr>
          <w:rFonts w:ascii="Garamond" w:eastAsia="Calibri" w:hAnsi="Garamond" w:cs="Calibri"/>
          <w:sz w:val="24"/>
          <w:szCs w:val="24"/>
        </w:rPr>
      </w:pPr>
    </w:p>
    <w:p w14:paraId="6C24D011" w14:textId="77777777" w:rsidR="000C12E6" w:rsidRPr="00961FE2" w:rsidRDefault="000C12E6" w:rsidP="002C4CA7">
      <w:pPr>
        <w:spacing w:line="480" w:lineRule="auto"/>
        <w:rPr>
          <w:rFonts w:ascii="Garamond" w:eastAsia="Calibri" w:hAnsi="Garamond" w:cs="Calibri"/>
          <w:sz w:val="24"/>
          <w:szCs w:val="24"/>
        </w:rPr>
      </w:pPr>
    </w:p>
    <w:p w14:paraId="4D5FC76B" w14:textId="77777777" w:rsidR="002C4CA7" w:rsidRDefault="002C4CA7" w:rsidP="002C4CA7">
      <w:pPr>
        <w:spacing w:line="480" w:lineRule="auto"/>
        <w:rPr>
          <w:rFonts w:ascii="Garamond" w:eastAsia="Calibri" w:hAnsi="Garamond" w:cs="Calibri"/>
          <w:sz w:val="26"/>
          <w:szCs w:val="26"/>
        </w:rPr>
      </w:pPr>
    </w:p>
    <w:p w14:paraId="2F757817" w14:textId="77777777" w:rsidR="002C4CA7" w:rsidRDefault="002C4CA7" w:rsidP="002C4CA7">
      <w:pPr>
        <w:spacing w:line="480" w:lineRule="auto"/>
        <w:rPr>
          <w:rFonts w:ascii="Garamond" w:eastAsia="Calibri" w:hAnsi="Garamond" w:cs="Calibri"/>
          <w:sz w:val="26"/>
          <w:szCs w:val="26"/>
        </w:rPr>
      </w:pPr>
    </w:p>
    <w:p w14:paraId="50578ECA" w14:textId="6E723C05" w:rsidR="002C4CA7" w:rsidRPr="002C4CA7" w:rsidRDefault="002C4CA7" w:rsidP="002C4CA7">
      <w:pPr>
        <w:spacing w:line="480" w:lineRule="auto"/>
        <w:rPr>
          <w:rFonts w:ascii="Garamond" w:eastAsia="Calibri" w:hAnsi="Garamond" w:cs="Calibri"/>
          <w:sz w:val="26"/>
          <w:szCs w:val="26"/>
        </w:rPr>
      </w:pPr>
      <w:r w:rsidRPr="002C4CA7">
        <w:rPr>
          <w:rFonts w:ascii="Garamond" w:eastAsia="Calibri" w:hAnsi="Garamond" w:cs="Calibri"/>
          <w:sz w:val="26"/>
          <w:szCs w:val="26"/>
        </w:rPr>
        <w:lastRenderedPageBreak/>
        <w:t xml:space="preserve">3. </w:t>
      </w:r>
    </w:p>
    <w:p w14:paraId="7E71BAA7" w14:textId="176D1F54" w:rsidR="00DE0ECC" w:rsidRPr="00DF1EF9" w:rsidRDefault="00DE0ECC" w:rsidP="002C4CA7">
      <w:pPr>
        <w:spacing w:line="480" w:lineRule="auto"/>
        <w:rPr>
          <w:rFonts w:ascii="Garamond" w:eastAsia="Calibri" w:hAnsi="Garamond" w:cs="Calibri"/>
          <w:sz w:val="26"/>
          <w:szCs w:val="26"/>
          <w:u w:val="single"/>
        </w:rPr>
      </w:pPr>
      <w:r w:rsidRPr="00DF1EF9">
        <w:rPr>
          <w:rFonts w:ascii="Garamond" w:eastAsia="Calibri" w:hAnsi="Garamond" w:cs="Calibri"/>
          <w:sz w:val="26"/>
          <w:szCs w:val="26"/>
          <w:u w:val="single"/>
        </w:rPr>
        <w:t xml:space="preserve">Critically evaluate the methods used by police in gathering information and intelligence, how information contributes to the ‘tasking and coordinating’ process and how information and intelligence is communicated. </w:t>
      </w:r>
    </w:p>
    <w:p w14:paraId="0D2D0E72" w14:textId="5340E2E8" w:rsidR="000C12E6" w:rsidRPr="00705EC9" w:rsidRDefault="000C12E6" w:rsidP="002C4CA7">
      <w:pPr>
        <w:spacing w:line="480" w:lineRule="auto"/>
        <w:rPr>
          <w:rFonts w:ascii="Garamond" w:eastAsia="Calibri" w:hAnsi="Garamond" w:cs="Calibri"/>
          <w:sz w:val="28"/>
          <w:szCs w:val="28"/>
          <w:u w:val="single"/>
        </w:rPr>
      </w:pPr>
    </w:p>
    <w:p w14:paraId="6D11535C" w14:textId="50541888" w:rsidR="000C12E6" w:rsidRPr="00961FE2" w:rsidRDefault="000C12E6" w:rsidP="002C4CA7">
      <w:pPr>
        <w:spacing w:line="480" w:lineRule="auto"/>
        <w:rPr>
          <w:rFonts w:ascii="Garamond" w:hAnsi="Garamond" w:cs="Calibri"/>
          <w:sz w:val="24"/>
          <w:szCs w:val="24"/>
        </w:rPr>
      </w:pPr>
      <w:r w:rsidRPr="00961FE2">
        <w:rPr>
          <w:rFonts w:ascii="Garamond" w:hAnsi="Garamond" w:cs="Calibri"/>
          <w:sz w:val="24"/>
          <w:szCs w:val="24"/>
        </w:rPr>
        <w:t>The police are informed by the gathering of information and intelligence to assist in determining priorities, the deployment of officers</w:t>
      </w:r>
      <w:r w:rsidR="00B67F0E">
        <w:rPr>
          <w:rFonts w:ascii="Garamond" w:hAnsi="Garamond" w:cs="Calibri"/>
          <w:sz w:val="24"/>
          <w:szCs w:val="24"/>
        </w:rPr>
        <w:t>,</w:t>
      </w:r>
      <w:r w:rsidRPr="00961FE2">
        <w:rPr>
          <w:rFonts w:ascii="Garamond" w:hAnsi="Garamond" w:cs="Calibri"/>
          <w:sz w:val="24"/>
          <w:szCs w:val="24"/>
        </w:rPr>
        <w:t xml:space="preserve"> and focus of different policing areas. This essay</w:t>
      </w:r>
      <w:r w:rsidR="00B67F0E">
        <w:rPr>
          <w:rFonts w:ascii="Garamond" w:hAnsi="Garamond" w:cs="Calibri"/>
          <w:sz w:val="24"/>
          <w:szCs w:val="24"/>
        </w:rPr>
        <w:t xml:space="preserve"> </w:t>
      </w:r>
      <w:r w:rsidRPr="00961FE2">
        <w:rPr>
          <w:rFonts w:ascii="Garamond" w:hAnsi="Garamond" w:cs="Calibri"/>
          <w:sz w:val="24"/>
          <w:szCs w:val="24"/>
        </w:rPr>
        <w:t>evaluate</w:t>
      </w:r>
      <w:r w:rsidR="00B67F0E">
        <w:rPr>
          <w:rFonts w:ascii="Garamond" w:hAnsi="Garamond" w:cs="Calibri"/>
          <w:sz w:val="24"/>
          <w:szCs w:val="24"/>
        </w:rPr>
        <w:t>s</w:t>
      </w:r>
      <w:r w:rsidRPr="00961FE2">
        <w:rPr>
          <w:rFonts w:ascii="Garamond" w:hAnsi="Garamond" w:cs="Calibri"/>
          <w:sz w:val="24"/>
          <w:szCs w:val="24"/>
        </w:rPr>
        <w:t xml:space="preserve"> the methods that such information and intelligence are gathered and examine how that is then dispersed and acted </w:t>
      </w:r>
      <w:r w:rsidR="00B67F0E">
        <w:rPr>
          <w:rFonts w:ascii="Garamond" w:hAnsi="Garamond" w:cs="Calibri"/>
          <w:sz w:val="24"/>
          <w:szCs w:val="24"/>
        </w:rPr>
        <w:t>up</w:t>
      </w:r>
      <w:r w:rsidRPr="00961FE2">
        <w:rPr>
          <w:rFonts w:ascii="Garamond" w:hAnsi="Garamond" w:cs="Calibri"/>
          <w:sz w:val="24"/>
          <w:szCs w:val="24"/>
        </w:rPr>
        <w:t>on.</w:t>
      </w:r>
    </w:p>
    <w:p w14:paraId="4CB7F425" w14:textId="77777777" w:rsidR="000C12E6" w:rsidRPr="00961FE2" w:rsidRDefault="000C12E6" w:rsidP="002C4CA7">
      <w:pPr>
        <w:spacing w:line="480" w:lineRule="auto"/>
        <w:rPr>
          <w:rFonts w:ascii="Garamond" w:hAnsi="Garamond" w:cs="Calibri"/>
          <w:sz w:val="24"/>
          <w:szCs w:val="24"/>
        </w:rPr>
      </w:pPr>
    </w:p>
    <w:p w14:paraId="4539CB1A" w14:textId="0B79637A" w:rsidR="000C12E6" w:rsidRPr="00961FE2" w:rsidRDefault="001A486E" w:rsidP="002C4CA7">
      <w:pPr>
        <w:spacing w:line="480" w:lineRule="auto"/>
        <w:rPr>
          <w:rFonts w:ascii="Garamond" w:hAnsi="Garamond" w:cs="Calibri"/>
          <w:sz w:val="24"/>
          <w:szCs w:val="24"/>
        </w:rPr>
      </w:pPr>
      <w:r>
        <w:rPr>
          <w:rFonts w:ascii="Garamond" w:hAnsi="Garamond" w:cs="Calibri"/>
          <w:sz w:val="24"/>
          <w:szCs w:val="24"/>
        </w:rPr>
        <w:t xml:space="preserve">Information and intelligence are linked concepts, </w:t>
      </w:r>
      <w:r w:rsidR="000C12E6" w:rsidRPr="00961FE2">
        <w:rPr>
          <w:rFonts w:ascii="Garamond" w:hAnsi="Garamond" w:cs="Calibri"/>
          <w:sz w:val="24"/>
          <w:szCs w:val="24"/>
        </w:rPr>
        <w:t>with intelligence being born</w:t>
      </w:r>
      <w:r w:rsidR="00B67F0E">
        <w:rPr>
          <w:rFonts w:ascii="Garamond" w:hAnsi="Garamond" w:cs="Calibri"/>
          <w:sz w:val="24"/>
          <w:szCs w:val="24"/>
        </w:rPr>
        <w:t>e</w:t>
      </w:r>
      <w:r w:rsidR="000C12E6" w:rsidRPr="00961FE2">
        <w:rPr>
          <w:rFonts w:ascii="Garamond" w:hAnsi="Garamond" w:cs="Calibri"/>
          <w:sz w:val="24"/>
          <w:szCs w:val="24"/>
        </w:rPr>
        <w:t xml:space="preserve"> out of information (Innes and Sheptycki, 2004)</w:t>
      </w:r>
      <w:r w:rsidR="00B67F0E">
        <w:rPr>
          <w:rFonts w:ascii="Garamond" w:hAnsi="Garamond" w:cs="Calibri"/>
          <w:sz w:val="24"/>
          <w:szCs w:val="24"/>
        </w:rPr>
        <w:t>.</w:t>
      </w:r>
      <w:r w:rsidR="000C12E6" w:rsidRPr="00961FE2">
        <w:rPr>
          <w:rFonts w:ascii="Garamond" w:hAnsi="Garamond" w:cs="Calibri"/>
          <w:sz w:val="24"/>
          <w:szCs w:val="24"/>
        </w:rPr>
        <w:t xml:space="preserve"> Information is described as pieces of data that when put together produce intelligence (Pg. 6)</w:t>
      </w:r>
      <w:r w:rsidR="00B67F0E">
        <w:rPr>
          <w:rFonts w:ascii="Garamond" w:hAnsi="Garamond" w:cs="Calibri"/>
          <w:sz w:val="24"/>
          <w:szCs w:val="24"/>
        </w:rPr>
        <w:t>.</w:t>
      </w:r>
      <w:r w:rsidR="000C12E6" w:rsidRPr="00961FE2">
        <w:rPr>
          <w:rFonts w:ascii="Garamond" w:hAnsi="Garamond" w:cs="Calibri"/>
          <w:sz w:val="24"/>
          <w:szCs w:val="24"/>
        </w:rPr>
        <w:t xml:space="preserve"> Intelligence is explained as information which has been converted for use within the police in future for the purpose of control (Pg. 5)</w:t>
      </w:r>
      <w:r w:rsidR="00B67F0E">
        <w:rPr>
          <w:rFonts w:ascii="Garamond" w:hAnsi="Garamond" w:cs="Calibri"/>
          <w:sz w:val="24"/>
          <w:szCs w:val="24"/>
        </w:rPr>
        <w:t>.</w:t>
      </w:r>
      <w:r w:rsidR="000C12E6" w:rsidRPr="00961FE2">
        <w:rPr>
          <w:rFonts w:ascii="Garamond" w:hAnsi="Garamond" w:cs="Calibri"/>
          <w:sz w:val="24"/>
          <w:szCs w:val="24"/>
        </w:rPr>
        <w:t xml:space="preserve"> Information has many sources, internally and externally to the police. Intelligence gathering and handling is governed by legislation in the UK. Notably, the Regulation of Investigatory Powers Act 2000 which outlines the handling of intelligence sources and the powers available for use by </w:t>
      </w:r>
      <w:r w:rsidR="00B67F0E">
        <w:rPr>
          <w:rFonts w:ascii="Garamond" w:hAnsi="Garamond" w:cs="Calibri"/>
          <w:sz w:val="24"/>
          <w:szCs w:val="24"/>
        </w:rPr>
        <w:t>p</w:t>
      </w:r>
      <w:r w:rsidR="000C12E6" w:rsidRPr="00961FE2">
        <w:rPr>
          <w:rFonts w:ascii="Garamond" w:hAnsi="Garamond" w:cs="Calibri"/>
          <w:sz w:val="24"/>
          <w:szCs w:val="24"/>
        </w:rPr>
        <w:t>olice forces (RIPA, 2000)</w:t>
      </w:r>
      <w:r w:rsidR="00B67F0E">
        <w:rPr>
          <w:rFonts w:ascii="Garamond" w:hAnsi="Garamond" w:cs="Calibri"/>
          <w:sz w:val="24"/>
          <w:szCs w:val="24"/>
        </w:rPr>
        <w:t>.</w:t>
      </w:r>
    </w:p>
    <w:p w14:paraId="55317C09" w14:textId="77777777" w:rsidR="000C12E6" w:rsidRPr="00961FE2" w:rsidRDefault="000C12E6" w:rsidP="002C4CA7">
      <w:pPr>
        <w:spacing w:line="480" w:lineRule="auto"/>
        <w:rPr>
          <w:rFonts w:ascii="Garamond" w:hAnsi="Garamond" w:cs="Calibri"/>
          <w:sz w:val="24"/>
          <w:szCs w:val="24"/>
        </w:rPr>
      </w:pPr>
    </w:p>
    <w:p w14:paraId="66704C12" w14:textId="4D4AB7B8" w:rsidR="000C12E6" w:rsidRPr="00961FE2" w:rsidRDefault="000C12E6" w:rsidP="002C4CA7">
      <w:pPr>
        <w:spacing w:line="480" w:lineRule="auto"/>
        <w:rPr>
          <w:rFonts w:ascii="Garamond" w:hAnsi="Garamond" w:cs="Calibri"/>
          <w:sz w:val="24"/>
          <w:szCs w:val="24"/>
        </w:rPr>
      </w:pPr>
      <w:r w:rsidRPr="00961FE2">
        <w:rPr>
          <w:rFonts w:ascii="Garamond" w:hAnsi="Garamond" w:cs="Calibri"/>
          <w:sz w:val="24"/>
          <w:szCs w:val="24"/>
        </w:rPr>
        <w:t>The gathering of information and intelligence is a debated topic, with many people feeling uncomfortable with the extent to which surveillance has been used. As James (2016) says, intelligence is “emotive” and divides people into two groups</w:t>
      </w:r>
      <w:r w:rsidR="001A486E">
        <w:rPr>
          <w:rFonts w:ascii="Garamond" w:hAnsi="Garamond" w:cs="Calibri"/>
          <w:sz w:val="24"/>
          <w:szCs w:val="24"/>
        </w:rPr>
        <w:t xml:space="preserve">: </w:t>
      </w:r>
      <w:r w:rsidRPr="00961FE2">
        <w:rPr>
          <w:rFonts w:ascii="Garamond" w:hAnsi="Garamond" w:cs="Calibri"/>
          <w:sz w:val="24"/>
          <w:szCs w:val="24"/>
        </w:rPr>
        <w:t xml:space="preserve">those who see the value in gathering intelligence to minimise risk and those who see the gathering as intrusive. This is one of the major responsibilities of the </w:t>
      </w:r>
      <w:r w:rsidR="00B67F0E">
        <w:rPr>
          <w:rFonts w:ascii="Garamond" w:hAnsi="Garamond" w:cs="Calibri"/>
          <w:sz w:val="24"/>
          <w:szCs w:val="24"/>
        </w:rPr>
        <w:t>p</w:t>
      </w:r>
      <w:r w:rsidRPr="00961FE2">
        <w:rPr>
          <w:rFonts w:ascii="Garamond" w:hAnsi="Garamond" w:cs="Calibri"/>
          <w:sz w:val="24"/>
          <w:szCs w:val="24"/>
        </w:rPr>
        <w:t xml:space="preserve">olice in handling information and intelligence, to use it in minimising risk while not stepping over boundaries into being intrusive for no policing purpose. </w:t>
      </w:r>
    </w:p>
    <w:p w14:paraId="7D233078" w14:textId="77777777" w:rsidR="000C12E6" w:rsidRPr="00961FE2" w:rsidRDefault="000C12E6" w:rsidP="002C4CA7">
      <w:pPr>
        <w:spacing w:line="480" w:lineRule="auto"/>
        <w:rPr>
          <w:rFonts w:ascii="Garamond" w:hAnsi="Garamond" w:cs="Calibri"/>
          <w:sz w:val="24"/>
          <w:szCs w:val="24"/>
        </w:rPr>
      </w:pPr>
    </w:p>
    <w:p w14:paraId="16528A61" w14:textId="134D41F2" w:rsidR="000C12E6" w:rsidRPr="00961FE2" w:rsidRDefault="000C12E6" w:rsidP="002C4CA7">
      <w:pPr>
        <w:spacing w:line="480" w:lineRule="auto"/>
        <w:rPr>
          <w:rFonts w:ascii="Garamond" w:hAnsi="Garamond" w:cs="Calibri"/>
          <w:sz w:val="24"/>
          <w:szCs w:val="24"/>
        </w:rPr>
      </w:pPr>
      <w:r w:rsidRPr="00961FE2">
        <w:rPr>
          <w:rFonts w:ascii="Garamond" w:hAnsi="Garamond" w:cs="Calibri"/>
          <w:sz w:val="24"/>
          <w:szCs w:val="24"/>
        </w:rPr>
        <w:t xml:space="preserve">Intelligence used by </w:t>
      </w:r>
      <w:r w:rsidR="00B67F0E">
        <w:rPr>
          <w:rFonts w:ascii="Garamond" w:hAnsi="Garamond" w:cs="Calibri"/>
          <w:sz w:val="24"/>
          <w:szCs w:val="24"/>
        </w:rPr>
        <w:t>p</w:t>
      </w:r>
      <w:r w:rsidRPr="00961FE2">
        <w:rPr>
          <w:rFonts w:ascii="Garamond" w:hAnsi="Garamond" w:cs="Calibri"/>
          <w:sz w:val="24"/>
          <w:szCs w:val="24"/>
        </w:rPr>
        <w:t xml:space="preserve">olice can be broken down into different types based on its content and use. Sheptycki does this in their article about </w:t>
      </w:r>
      <w:r w:rsidR="00B67F0E">
        <w:rPr>
          <w:rFonts w:ascii="Garamond" w:hAnsi="Garamond" w:cs="Calibri"/>
          <w:sz w:val="24"/>
          <w:szCs w:val="24"/>
        </w:rPr>
        <w:t>p</w:t>
      </w:r>
      <w:r w:rsidRPr="00961FE2">
        <w:rPr>
          <w:rFonts w:ascii="Garamond" w:hAnsi="Garamond" w:cs="Calibri"/>
          <w:sz w:val="24"/>
          <w:szCs w:val="24"/>
        </w:rPr>
        <w:t xml:space="preserve">olice intelligence, describing seven foci of </w:t>
      </w:r>
      <w:r w:rsidR="00B67F0E">
        <w:rPr>
          <w:rFonts w:ascii="Garamond" w:hAnsi="Garamond" w:cs="Calibri"/>
          <w:sz w:val="24"/>
          <w:szCs w:val="24"/>
        </w:rPr>
        <w:t>p</w:t>
      </w:r>
      <w:r w:rsidRPr="00961FE2">
        <w:rPr>
          <w:rFonts w:ascii="Garamond" w:hAnsi="Garamond" w:cs="Calibri"/>
          <w:sz w:val="24"/>
          <w:szCs w:val="24"/>
        </w:rPr>
        <w:t xml:space="preserve">olice intelligence, </w:t>
      </w:r>
      <w:r w:rsidR="00B67F0E">
        <w:rPr>
          <w:rFonts w:ascii="Garamond" w:hAnsi="Garamond" w:cs="Calibri"/>
          <w:sz w:val="24"/>
          <w:szCs w:val="24"/>
        </w:rPr>
        <w:t>and</w:t>
      </w:r>
      <w:r w:rsidRPr="00961FE2">
        <w:rPr>
          <w:rFonts w:ascii="Garamond" w:hAnsi="Garamond" w:cs="Calibri"/>
          <w:sz w:val="24"/>
          <w:szCs w:val="24"/>
        </w:rPr>
        <w:t xml:space="preserve"> explaining the distinctive theories of policing which interact with them (2016, pp. 624-626)</w:t>
      </w:r>
      <w:r w:rsidR="00B67F0E">
        <w:rPr>
          <w:rFonts w:ascii="Garamond" w:hAnsi="Garamond" w:cs="Calibri"/>
          <w:sz w:val="24"/>
          <w:szCs w:val="24"/>
        </w:rPr>
        <w:t xml:space="preserve">. </w:t>
      </w:r>
      <w:r w:rsidRPr="00961FE2">
        <w:rPr>
          <w:rFonts w:ascii="Garamond" w:hAnsi="Garamond" w:cs="Calibri"/>
          <w:sz w:val="24"/>
          <w:szCs w:val="24"/>
        </w:rPr>
        <w:t>These seven foci are criminal intelligence, public order intelligence, serious organised crime intelligence, counter</w:t>
      </w:r>
      <w:r w:rsidR="00B67F0E">
        <w:rPr>
          <w:rFonts w:ascii="Garamond" w:hAnsi="Garamond" w:cs="Calibri"/>
          <w:sz w:val="24"/>
          <w:szCs w:val="24"/>
        </w:rPr>
        <w:t>-</w:t>
      </w:r>
      <w:r w:rsidRPr="00961FE2">
        <w:rPr>
          <w:rFonts w:ascii="Garamond" w:hAnsi="Garamond" w:cs="Calibri"/>
          <w:sz w:val="24"/>
          <w:szCs w:val="24"/>
        </w:rPr>
        <w:t>terrorism intelligence, community intelligence, multi-agency co-ordination intelligence</w:t>
      </w:r>
      <w:r w:rsidR="00B67F0E">
        <w:rPr>
          <w:rFonts w:ascii="Garamond" w:hAnsi="Garamond" w:cs="Calibri"/>
          <w:sz w:val="24"/>
          <w:szCs w:val="24"/>
        </w:rPr>
        <w:t>,</w:t>
      </w:r>
      <w:r w:rsidRPr="00961FE2">
        <w:rPr>
          <w:rFonts w:ascii="Garamond" w:hAnsi="Garamond" w:cs="Calibri"/>
          <w:sz w:val="24"/>
          <w:szCs w:val="24"/>
        </w:rPr>
        <w:t xml:space="preserve"> and managerial/business intelligence. Sheptycki describes each of these in turn but interestingly draws a distinction between the first four and latter three foci. The first are described as being closely linked to the police métier, with their application being associated with the detection and disruption of crime. The latter three are varied in how they operate in relation to the </w:t>
      </w:r>
      <w:r w:rsidR="00B67F0E">
        <w:rPr>
          <w:rFonts w:ascii="Garamond" w:hAnsi="Garamond" w:cs="Calibri"/>
          <w:sz w:val="24"/>
          <w:szCs w:val="24"/>
        </w:rPr>
        <w:t>p</w:t>
      </w:r>
      <w:r w:rsidRPr="00961FE2">
        <w:rPr>
          <w:rFonts w:ascii="Garamond" w:hAnsi="Garamond" w:cs="Calibri"/>
          <w:sz w:val="24"/>
          <w:szCs w:val="24"/>
        </w:rPr>
        <w:t>olice métier, with different degrees of orientation to it and no inevitability that it will relate to criminality (Sheptycki, 2016. Pp. 624-625)</w:t>
      </w:r>
      <w:r w:rsidR="00B67F0E">
        <w:rPr>
          <w:rFonts w:ascii="Garamond" w:hAnsi="Garamond" w:cs="Calibri"/>
          <w:sz w:val="24"/>
          <w:szCs w:val="24"/>
        </w:rPr>
        <w:t>.</w:t>
      </w:r>
      <w:r w:rsidRPr="00961FE2">
        <w:rPr>
          <w:rFonts w:ascii="Garamond" w:hAnsi="Garamond" w:cs="Calibri"/>
          <w:sz w:val="24"/>
          <w:szCs w:val="24"/>
        </w:rPr>
        <w:t xml:space="preserve"> </w:t>
      </w:r>
    </w:p>
    <w:p w14:paraId="77936322" w14:textId="77777777" w:rsidR="000C12E6" w:rsidRPr="00961FE2" w:rsidRDefault="000C12E6" w:rsidP="002C4CA7">
      <w:pPr>
        <w:spacing w:line="480" w:lineRule="auto"/>
        <w:rPr>
          <w:rFonts w:ascii="Garamond" w:hAnsi="Garamond" w:cs="Calibri"/>
          <w:sz w:val="24"/>
          <w:szCs w:val="24"/>
        </w:rPr>
      </w:pPr>
    </w:p>
    <w:p w14:paraId="6C4EFC85" w14:textId="78DAF510" w:rsidR="000C12E6" w:rsidRPr="00961FE2" w:rsidRDefault="000C12E6" w:rsidP="002C4CA7">
      <w:pPr>
        <w:spacing w:line="480" w:lineRule="auto"/>
        <w:rPr>
          <w:rFonts w:ascii="Garamond" w:hAnsi="Garamond" w:cs="Calibri"/>
          <w:sz w:val="24"/>
          <w:szCs w:val="24"/>
        </w:rPr>
      </w:pPr>
      <w:r w:rsidRPr="00961FE2">
        <w:rPr>
          <w:rFonts w:ascii="Garamond" w:hAnsi="Garamond" w:cs="Calibri"/>
          <w:sz w:val="24"/>
          <w:szCs w:val="24"/>
        </w:rPr>
        <w:t>The process with intelligence, such as criminal intelligence, progresses by analysing it, creating incidents</w:t>
      </w:r>
      <w:r w:rsidR="001A486E">
        <w:rPr>
          <w:rFonts w:ascii="Garamond" w:hAnsi="Garamond" w:cs="Calibri"/>
          <w:sz w:val="24"/>
          <w:szCs w:val="24"/>
        </w:rPr>
        <w:t>,</w:t>
      </w:r>
      <w:r w:rsidRPr="00961FE2">
        <w:rPr>
          <w:rFonts w:ascii="Garamond" w:hAnsi="Garamond" w:cs="Calibri"/>
          <w:sz w:val="24"/>
          <w:szCs w:val="24"/>
        </w:rPr>
        <w:t xml:space="preserve"> and initiating a response. In the case of criminal intelligence this </w:t>
      </w:r>
      <w:r w:rsidR="001A486E">
        <w:rPr>
          <w:rFonts w:ascii="Garamond" w:hAnsi="Garamond" w:cs="Calibri"/>
          <w:sz w:val="24"/>
          <w:szCs w:val="24"/>
        </w:rPr>
        <w:t>response is often reactive</w:t>
      </w:r>
      <w:r w:rsidRPr="00961FE2">
        <w:rPr>
          <w:rFonts w:ascii="Garamond" w:hAnsi="Garamond" w:cs="Calibri"/>
          <w:sz w:val="24"/>
          <w:szCs w:val="24"/>
        </w:rPr>
        <w:t xml:space="preserve"> (Sheptycki, 2016)</w:t>
      </w:r>
      <w:r w:rsidR="001A486E">
        <w:rPr>
          <w:rFonts w:ascii="Garamond" w:hAnsi="Garamond" w:cs="Calibri"/>
          <w:sz w:val="24"/>
          <w:szCs w:val="24"/>
        </w:rPr>
        <w:t>.</w:t>
      </w:r>
      <w:r w:rsidRPr="00961FE2">
        <w:rPr>
          <w:rFonts w:ascii="Garamond" w:hAnsi="Garamond" w:cs="Calibri"/>
          <w:sz w:val="24"/>
          <w:szCs w:val="24"/>
        </w:rPr>
        <w:t xml:space="preserve"> Intelligence </w:t>
      </w:r>
      <w:r w:rsidR="001A486E">
        <w:rPr>
          <w:rFonts w:ascii="Garamond" w:hAnsi="Garamond" w:cs="Calibri"/>
          <w:sz w:val="24"/>
          <w:szCs w:val="24"/>
        </w:rPr>
        <w:t>also a</w:t>
      </w:r>
      <w:r w:rsidRPr="00961FE2">
        <w:rPr>
          <w:rFonts w:ascii="Garamond" w:hAnsi="Garamond" w:cs="Calibri"/>
          <w:sz w:val="24"/>
          <w:szCs w:val="24"/>
        </w:rPr>
        <w:t>llows for pro-active policing, or intelligence-led policing. This is particularly likely for intelligence that is categorised as relating to serious organised crime or counter terrorism as in those instances, the hope is to disrupt and prevent their presence. This is proactive as it is not responding to an incident, instead trying to thwart it from occurring at all.</w:t>
      </w:r>
    </w:p>
    <w:p w14:paraId="2D3A6D2F" w14:textId="77777777" w:rsidR="000C12E6" w:rsidRPr="00961FE2" w:rsidRDefault="000C12E6" w:rsidP="002C4CA7">
      <w:pPr>
        <w:spacing w:line="480" w:lineRule="auto"/>
        <w:rPr>
          <w:rFonts w:ascii="Garamond" w:hAnsi="Garamond" w:cs="Calibri"/>
          <w:sz w:val="24"/>
          <w:szCs w:val="24"/>
        </w:rPr>
      </w:pPr>
    </w:p>
    <w:p w14:paraId="357B6916" w14:textId="2B58091E" w:rsidR="000C12E6" w:rsidRPr="00961FE2" w:rsidRDefault="000C12E6" w:rsidP="002C4CA7">
      <w:pPr>
        <w:spacing w:line="480" w:lineRule="auto"/>
        <w:rPr>
          <w:rFonts w:ascii="Garamond" w:hAnsi="Garamond" w:cs="Calibri"/>
          <w:sz w:val="24"/>
          <w:szCs w:val="24"/>
        </w:rPr>
      </w:pPr>
      <w:r w:rsidRPr="00961FE2">
        <w:rPr>
          <w:rFonts w:ascii="Garamond" w:hAnsi="Garamond" w:cs="Calibri"/>
          <w:sz w:val="24"/>
          <w:szCs w:val="24"/>
        </w:rPr>
        <w:t xml:space="preserve">Sheptycki goes on to explain four </w:t>
      </w:r>
      <w:r w:rsidR="001A486E">
        <w:rPr>
          <w:rFonts w:ascii="Garamond" w:hAnsi="Garamond" w:cs="Calibri"/>
          <w:sz w:val="24"/>
          <w:szCs w:val="24"/>
        </w:rPr>
        <w:t>“</w:t>
      </w:r>
      <w:r w:rsidRPr="00961FE2">
        <w:rPr>
          <w:rFonts w:ascii="Garamond" w:hAnsi="Garamond" w:cs="Calibri"/>
          <w:sz w:val="24"/>
          <w:szCs w:val="24"/>
        </w:rPr>
        <w:t>activities</w:t>
      </w:r>
      <w:r w:rsidR="001A486E">
        <w:rPr>
          <w:rFonts w:ascii="Garamond" w:hAnsi="Garamond" w:cs="Calibri"/>
          <w:sz w:val="24"/>
          <w:szCs w:val="24"/>
        </w:rPr>
        <w:t>”</w:t>
      </w:r>
      <w:r w:rsidRPr="00961FE2">
        <w:rPr>
          <w:rFonts w:ascii="Garamond" w:hAnsi="Garamond" w:cs="Calibri"/>
          <w:sz w:val="24"/>
          <w:szCs w:val="24"/>
        </w:rPr>
        <w:t xml:space="preserve"> relating to intelligence: acquisition, analysis, tasking</w:t>
      </w:r>
      <w:r w:rsidR="001A486E">
        <w:rPr>
          <w:rFonts w:ascii="Garamond" w:hAnsi="Garamond" w:cs="Calibri"/>
          <w:sz w:val="24"/>
          <w:szCs w:val="24"/>
        </w:rPr>
        <w:t>,</w:t>
      </w:r>
      <w:r w:rsidRPr="00961FE2">
        <w:rPr>
          <w:rFonts w:ascii="Garamond" w:hAnsi="Garamond" w:cs="Calibri"/>
          <w:sz w:val="24"/>
          <w:szCs w:val="24"/>
        </w:rPr>
        <w:t xml:space="preserve"> and co-ordination and operational tasking (pg. 626)</w:t>
      </w:r>
      <w:r w:rsidR="001A486E">
        <w:rPr>
          <w:rFonts w:ascii="Garamond" w:hAnsi="Garamond" w:cs="Calibri"/>
          <w:sz w:val="24"/>
          <w:szCs w:val="24"/>
        </w:rPr>
        <w:t>.</w:t>
      </w:r>
      <w:r w:rsidRPr="00961FE2">
        <w:rPr>
          <w:rFonts w:ascii="Garamond" w:hAnsi="Garamond" w:cs="Calibri"/>
          <w:sz w:val="24"/>
          <w:szCs w:val="24"/>
        </w:rPr>
        <w:t xml:space="preserve"> Some of these activities are only conducted by certain departments within the </w:t>
      </w:r>
      <w:r w:rsidR="001A486E">
        <w:rPr>
          <w:rFonts w:ascii="Garamond" w:hAnsi="Garamond" w:cs="Calibri"/>
          <w:sz w:val="24"/>
          <w:szCs w:val="24"/>
        </w:rPr>
        <w:t>p</w:t>
      </w:r>
      <w:r w:rsidRPr="00961FE2">
        <w:rPr>
          <w:rFonts w:ascii="Garamond" w:hAnsi="Garamond" w:cs="Calibri"/>
          <w:sz w:val="24"/>
          <w:szCs w:val="24"/>
        </w:rPr>
        <w:t xml:space="preserve">olice, with some being involved across multiple areas. For example, with criminal intelligence, a response officer may be involved in the acquisition of intelligence and be tasked operationally whereas the intelligence bureau is focused </w:t>
      </w:r>
      <w:r w:rsidRPr="00961FE2">
        <w:rPr>
          <w:rFonts w:ascii="Garamond" w:hAnsi="Garamond" w:cs="Calibri"/>
          <w:sz w:val="24"/>
          <w:szCs w:val="24"/>
        </w:rPr>
        <w:lastRenderedPageBreak/>
        <w:t xml:space="preserve">primarily on the analysis and tasking/co-ordination of the intelligence. This varies with the different foci of intelligence. Response officers are not involved in the acquisition of intelligence for multi-agency co-ordination but may be tasked, however community or neighbourhood officers may be involved in all four activities. </w:t>
      </w:r>
    </w:p>
    <w:p w14:paraId="5A7B2FA2" w14:textId="77777777" w:rsidR="000C12E6" w:rsidRPr="00961FE2" w:rsidRDefault="000C12E6" w:rsidP="002C4CA7">
      <w:pPr>
        <w:spacing w:line="480" w:lineRule="auto"/>
        <w:rPr>
          <w:rFonts w:ascii="Garamond" w:hAnsi="Garamond" w:cs="Calibri"/>
          <w:sz w:val="24"/>
          <w:szCs w:val="24"/>
        </w:rPr>
      </w:pPr>
    </w:p>
    <w:p w14:paraId="42DF2DFF" w14:textId="34E1224A" w:rsidR="000C12E6" w:rsidRPr="00961FE2" w:rsidRDefault="000C12E6" w:rsidP="002C4CA7">
      <w:pPr>
        <w:spacing w:line="480" w:lineRule="auto"/>
        <w:rPr>
          <w:rFonts w:ascii="Garamond" w:hAnsi="Garamond" w:cs="Calibri"/>
          <w:sz w:val="24"/>
          <w:szCs w:val="24"/>
        </w:rPr>
      </w:pPr>
      <w:r w:rsidRPr="00961FE2">
        <w:rPr>
          <w:rFonts w:ascii="Garamond" w:hAnsi="Garamond" w:cs="Calibri"/>
          <w:sz w:val="24"/>
          <w:szCs w:val="24"/>
        </w:rPr>
        <w:t xml:space="preserve">Police forces use the </w:t>
      </w:r>
      <w:r w:rsidR="001A486E">
        <w:rPr>
          <w:rFonts w:ascii="Garamond" w:hAnsi="Garamond" w:cs="Calibri"/>
          <w:sz w:val="24"/>
          <w:szCs w:val="24"/>
        </w:rPr>
        <w:t>N</w:t>
      </w:r>
      <w:r w:rsidRPr="00961FE2">
        <w:rPr>
          <w:rFonts w:ascii="Garamond" w:hAnsi="Garamond" w:cs="Calibri"/>
          <w:sz w:val="24"/>
          <w:szCs w:val="24"/>
        </w:rPr>
        <w:t xml:space="preserve">ational </w:t>
      </w:r>
      <w:r w:rsidR="001A486E">
        <w:rPr>
          <w:rFonts w:ascii="Garamond" w:hAnsi="Garamond" w:cs="Calibri"/>
          <w:sz w:val="24"/>
          <w:szCs w:val="24"/>
        </w:rPr>
        <w:t>I</w:t>
      </w:r>
      <w:r w:rsidRPr="00961FE2">
        <w:rPr>
          <w:rFonts w:ascii="Garamond" w:hAnsi="Garamond" w:cs="Calibri"/>
          <w:sz w:val="24"/>
          <w:szCs w:val="24"/>
        </w:rPr>
        <w:t xml:space="preserve">ntelligence </w:t>
      </w:r>
      <w:r w:rsidR="001A486E">
        <w:rPr>
          <w:rFonts w:ascii="Garamond" w:hAnsi="Garamond" w:cs="Calibri"/>
          <w:sz w:val="24"/>
          <w:szCs w:val="24"/>
        </w:rPr>
        <w:t>M</w:t>
      </w:r>
      <w:r w:rsidRPr="00961FE2">
        <w:rPr>
          <w:rFonts w:ascii="Garamond" w:hAnsi="Garamond" w:cs="Calibri"/>
          <w:sz w:val="24"/>
          <w:szCs w:val="24"/>
        </w:rPr>
        <w:t xml:space="preserve">odel, created by the </w:t>
      </w:r>
      <w:r w:rsidR="001A486E">
        <w:rPr>
          <w:rFonts w:ascii="Garamond" w:hAnsi="Garamond" w:cs="Calibri"/>
          <w:sz w:val="24"/>
          <w:szCs w:val="24"/>
        </w:rPr>
        <w:t>N</w:t>
      </w:r>
      <w:r w:rsidRPr="00961FE2">
        <w:rPr>
          <w:rFonts w:ascii="Garamond" w:hAnsi="Garamond" w:cs="Calibri"/>
          <w:sz w:val="24"/>
          <w:szCs w:val="24"/>
        </w:rPr>
        <w:t xml:space="preserve">ational </w:t>
      </w:r>
      <w:r w:rsidR="001A486E">
        <w:rPr>
          <w:rFonts w:ascii="Garamond" w:hAnsi="Garamond" w:cs="Calibri"/>
          <w:sz w:val="24"/>
          <w:szCs w:val="24"/>
        </w:rPr>
        <w:t>C</w:t>
      </w:r>
      <w:r w:rsidRPr="00961FE2">
        <w:rPr>
          <w:rFonts w:ascii="Garamond" w:hAnsi="Garamond" w:cs="Calibri"/>
          <w:sz w:val="24"/>
          <w:szCs w:val="24"/>
        </w:rPr>
        <w:t xml:space="preserve">riminal </w:t>
      </w:r>
      <w:r w:rsidR="001A486E">
        <w:rPr>
          <w:rFonts w:ascii="Garamond" w:hAnsi="Garamond" w:cs="Calibri"/>
          <w:sz w:val="24"/>
          <w:szCs w:val="24"/>
        </w:rPr>
        <w:t>I</w:t>
      </w:r>
      <w:r w:rsidRPr="00961FE2">
        <w:rPr>
          <w:rFonts w:ascii="Garamond" w:hAnsi="Garamond" w:cs="Calibri"/>
          <w:sz w:val="24"/>
          <w:szCs w:val="24"/>
        </w:rPr>
        <w:t xml:space="preserve">ntelligence </w:t>
      </w:r>
      <w:r w:rsidR="001A486E">
        <w:rPr>
          <w:rFonts w:ascii="Garamond" w:hAnsi="Garamond" w:cs="Calibri"/>
          <w:sz w:val="24"/>
          <w:szCs w:val="24"/>
        </w:rPr>
        <w:t>S</w:t>
      </w:r>
      <w:r w:rsidRPr="00961FE2">
        <w:rPr>
          <w:rFonts w:ascii="Garamond" w:hAnsi="Garamond" w:cs="Calibri"/>
          <w:sz w:val="24"/>
          <w:szCs w:val="24"/>
        </w:rPr>
        <w:t>ervice, which “provides important opportunities for law enforcement managers” (The National Intelligence Model, 2000)</w:t>
      </w:r>
      <w:r w:rsidR="001A486E">
        <w:rPr>
          <w:rFonts w:ascii="Garamond" w:hAnsi="Garamond" w:cs="Calibri"/>
          <w:sz w:val="24"/>
          <w:szCs w:val="24"/>
        </w:rPr>
        <w:t>.</w:t>
      </w:r>
      <w:r w:rsidRPr="00961FE2">
        <w:rPr>
          <w:rFonts w:ascii="Garamond" w:hAnsi="Garamond" w:cs="Calibri"/>
          <w:sz w:val="24"/>
          <w:szCs w:val="24"/>
        </w:rPr>
        <w:t xml:space="preserve"> The model is there to provide effective strategy in relation to all outlets of police forces and law enforcement and was designed to bring intelligence up to the standards of investigation within the police (The National Intelligence Model, 2000)</w:t>
      </w:r>
      <w:r w:rsidR="001A486E">
        <w:rPr>
          <w:rFonts w:ascii="Garamond" w:hAnsi="Garamond" w:cs="Calibri"/>
          <w:sz w:val="24"/>
          <w:szCs w:val="24"/>
        </w:rPr>
        <w:t>.</w:t>
      </w:r>
      <w:r w:rsidRPr="00961FE2">
        <w:rPr>
          <w:rFonts w:ascii="Garamond" w:hAnsi="Garamond" w:cs="Calibri"/>
          <w:sz w:val="24"/>
          <w:szCs w:val="24"/>
        </w:rPr>
        <w:t xml:space="preserve"> The model works on three levels of </w:t>
      </w:r>
      <w:r w:rsidR="001A486E">
        <w:rPr>
          <w:rFonts w:ascii="Garamond" w:hAnsi="Garamond" w:cs="Calibri"/>
          <w:sz w:val="24"/>
          <w:szCs w:val="24"/>
        </w:rPr>
        <w:t>“</w:t>
      </w:r>
      <w:r w:rsidR="00961FE2" w:rsidRPr="00961FE2">
        <w:rPr>
          <w:rFonts w:ascii="Garamond" w:hAnsi="Garamond" w:cs="Calibri"/>
          <w:sz w:val="24"/>
          <w:szCs w:val="24"/>
        </w:rPr>
        <w:t>business</w:t>
      </w:r>
      <w:r w:rsidR="001A486E">
        <w:rPr>
          <w:rFonts w:ascii="Garamond" w:hAnsi="Garamond" w:cs="Calibri"/>
          <w:sz w:val="24"/>
          <w:szCs w:val="24"/>
        </w:rPr>
        <w:t>”</w:t>
      </w:r>
      <w:r w:rsidR="00961FE2" w:rsidRPr="00961FE2">
        <w:rPr>
          <w:rFonts w:ascii="Garamond" w:hAnsi="Garamond" w:cs="Calibri"/>
          <w:sz w:val="24"/>
          <w:szCs w:val="24"/>
        </w:rPr>
        <w:t>:</w:t>
      </w:r>
      <w:r w:rsidRPr="00961FE2">
        <w:rPr>
          <w:rFonts w:ascii="Garamond" w:hAnsi="Garamond" w:cs="Calibri"/>
          <w:sz w:val="24"/>
          <w:szCs w:val="24"/>
        </w:rPr>
        <w:t xml:space="preserve"> Local issues, Cross Border Issues and Serious and Organised Crime. These areas lead into outcomes via four main sections: Tasking and Co-ordinating, Four key-intelligence products, knowledge products and system products. </w:t>
      </w:r>
    </w:p>
    <w:p w14:paraId="06F468CE" w14:textId="77777777" w:rsidR="000C12E6" w:rsidRPr="00961FE2" w:rsidRDefault="000C12E6" w:rsidP="002C4CA7">
      <w:pPr>
        <w:spacing w:line="480" w:lineRule="auto"/>
        <w:rPr>
          <w:rFonts w:ascii="Garamond" w:hAnsi="Garamond" w:cs="Calibri"/>
          <w:sz w:val="24"/>
          <w:szCs w:val="24"/>
        </w:rPr>
      </w:pPr>
    </w:p>
    <w:p w14:paraId="44E6EF0E" w14:textId="4CD190A2" w:rsidR="000C12E6" w:rsidRPr="00961FE2" w:rsidRDefault="000C12E6" w:rsidP="002C4CA7">
      <w:pPr>
        <w:spacing w:line="480" w:lineRule="auto"/>
        <w:rPr>
          <w:rFonts w:ascii="Garamond" w:hAnsi="Garamond" w:cs="Calibri"/>
          <w:sz w:val="24"/>
          <w:szCs w:val="24"/>
        </w:rPr>
      </w:pPr>
      <w:r w:rsidRPr="00961FE2">
        <w:rPr>
          <w:rFonts w:ascii="Garamond" w:hAnsi="Garamond" w:cs="Calibri"/>
          <w:sz w:val="24"/>
          <w:szCs w:val="24"/>
        </w:rPr>
        <w:t>Tasking and Co-ordinating involves the review of intelligence and decision making about how resources within a force are used.</w:t>
      </w:r>
      <w:r w:rsidR="001A486E">
        <w:rPr>
          <w:rFonts w:ascii="Garamond" w:hAnsi="Garamond" w:cs="Calibri"/>
          <w:sz w:val="24"/>
          <w:szCs w:val="24"/>
        </w:rPr>
        <w:t xml:space="preserve"> </w:t>
      </w:r>
      <w:r w:rsidRPr="00961FE2">
        <w:rPr>
          <w:rFonts w:ascii="Garamond" w:hAnsi="Garamond" w:cs="Calibri"/>
          <w:sz w:val="24"/>
          <w:szCs w:val="24"/>
        </w:rPr>
        <w:t>The four key intelligence products are strategic assessments, tactical assessments, target profiles and problem profiles. Knowledge products outline strategies or procedures about how business is conducted. These can be set locally or nationally. System products are the tools which enable information to be collected, received, recorded, stored, analysed</w:t>
      </w:r>
      <w:r w:rsidR="001A486E">
        <w:rPr>
          <w:rFonts w:ascii="Garamond" w:hAnsi="Garamond" w:cs="Calibri"/>
          <w:sz w:val="24"/>
          <w:szCs w:val="24"/>
        </w:rPr>
        <w:t>,</w:t>
      </w:r>
      <w:r w:rsidRPr="00961FE2">
        <w:rPr>
          <w:rFonts w:ascii="Garamond" w:hAnsi="Garamond" w:cs="Calibri"/>
          <w:sz w:val="24"/>
          <w:szCs w:val="24"/>
        </w:rPr>
        <w:t xml:space="preserve"> and used within a force. </w:t>
      </w:r>
    </w:p>
    <w:p w14:paraId="6A6DB8BC" w14:textId="77777777" w:rsidR="000C12E6" w:rsidRPr="00961FE2" w:rsidRDefault="000C12E6" w:rsidP="002C4CA7">
      <w:pPr>
        <w:spacing w:line="480" w:lineRule="auto"/>
        <w:rPr>
          <w:rFonts w:ascii="Garamond" w:hAnsi="Garamond" w:cs="Calibri"/>
          <w:sz w:val="24"/>
          <w:szCs w:val="24"/>
        </w:rPr>
      </w:pPr>
    </w:p>
    <w:p w14:paraId="0C212F3F" w14:textId="6522D205" w:rsidR="000C12E6" w:rsidRPr="00961FE2" w:rsidRDefault="000C12E6" w:rsidP="002C4CA7">
      <w:pPr>
        <w:spacing w:line="480" w:lineRule="auto"/>
        <w:rPr>
          <w:rFonts w:ascii="Garamond" w:hAnsi="Garamond" w:cs="Calibri"/>
          <w:sz w:val="24"/>
          <w:szCs w:val="24"/>
        </w:rPr>
      </w:pPr>
      <w:r w:rsidRPr="00961FE2">
        <w:rPr>
          <w:rFonts w:ascii="Garamond" w:hAnsi="Garamond" w:cs="Calibri"/>
          <w:sz w:val="24"/>
          <w:szCs w:val="24"/>
        </w:rPr>
        <w:t xml:space="preserve">Tasking and coordination </w:t>
      </w:r>
      <w:r w:rsidR="00961FE2" w:rsidRPr="00961FE2">
        <w:rPr>
          <w:rFonts w:ascii="Garamond" w:hAnsi="Garamond" w:cs="Calibri"/>
          <w:sz w:val="24"/>
          <w:szCs w:val="24"/>
        </w:rPr>
        <w:t>are</w:t>
      </w:r>
      <w:r w:rsidRPr="00961FE2">
        <w:rPr>
          <w:rFonts w:ascii="Garamond" w:hAnsi="Garamond" w:cs="Calibri"/>
          <w:sz w:val="24"/>
          <w:szCs w:val="24"/>
        </w:rPr>
        <w:t xml:space="preserve"> a large part of </w:t>
      </w:r>
      <w:r w:rsidR="001A486E">
        <w:rPr>
          <w:rFonts w:ascii="Garamond" w:hAnsi="Garamond" w:cs="Calibri"/>
          <w:sz w:val="24"/>
          <w:szCs w:val="24"/>
        </w:rPr>
        <w:t xml:space="preserve">intelligence </w:t>
      </w:r>
      <w:proofErr w:type="spellStart"/>
      <w:r w:rsidR="001A486E">
        <w:rPr>
          <w:rFonts w:ascii="Garamond" w:hAnsi="Garamond" w:cs="Calibri"/>
          <w:sz w:val="24"/>
          <w:szCs w:val="24"/>
        </w:rPr>
        <w:t>handling</w:t>
      </w:r>
      <w:r w:rsidRPr="00961FE2">
        <w:rPr>
          <w:rFonts w:ascii="Garamond" w:hAnsi="Garamond" w:cs="Calibri"/>
          <w:sz w:val="24"/>
          <w:szCs w:val="24"/>
        </w:rPr>
        <w:t>. T</w:t>
      </w:r>
      <w:proofErr w:type="spellEnd"/>
      <w:r w:rsidRPr="00961FE2">
        <w:rPr>
          <w:rFonts w:ascii="Garamond" w:hAnsi="Garamond" w:cs="Calibri"/>
          <w:sz w:val="24"/>
          <w:szCs w:val="24"/>
        </w:rPr>
        <w:t>asking and coordination groups work from a control strategy which outlines an itinerary for intelligence and prevention and enforcement priorities</w:t>
      </w:r>
      <w:r w:rsidR="001A486E">
        <w:rPr>
          <w:rFonts w:ascii="Garamond" w:hAnsi="Garamond" w:cs="Calibri"/>
          <w:sz w:val="24"/>
          <w:szCs w:val="24"/>
        </w:rPr>
        <w:t xml:space="preserve"> </w:t>
      </w:r>
      <w:r w:rsidRPr="00961FE2">
        <w:rPr>
          <w:rFonts w:ascii="Garamond" w:hAnsi="Garamond" w:cs="Calibri"/>
          <w:sz w:val="24"/>
          <w:szCs w:val="24"/>
        </w:rPr>
        <w:t>(Home Office, 2005)</w:t>
      </w:r>
      <w:r w:rsidR="001A486E">
        <w:rPr>
          <w:rFonts w:ascii="Garamond" w:hAnsi="Garamond" w:cs="Calibri"/>
          <w:sz w:val="24"/>
          <w:szCs w:val="24"/>
        </w:rPr>
        <w:t>.</w:t>
      </w:r>
      <w:r w:rsidRPr="00961FE2">
        <w:rPr>
          <w:rFonts w:ascii="Garamond" w:hAnsi="Garamond" w:cs="Calibri"/>
          <w:sz w:val="24"/>
          <w:szCs w:val="24"/>
        </w:rPr>
        <w:t xml:space="preserve"> They take account of the planning needs of a force, on local issues and national incentives, examining performance issues (The National Intelligence Model, 2000)</w:t>
      </w:r>
      <w:r w:rsidR="001A486E">
        <w:rPr>
          <w:rFonts w:ascii="Garamond" w:hAnsi="Garamond" w:cs="Calibri"/>
          <w:sz w:val="24"/>
          <w:szCs w:val="24"/>
        </w:rPr>
        <w:t xml:space="preserve">. </w:t>
      </w:r>
      <w:r w:rsidRPr="00961FE2">
        <w:rPr>
          <w:rFonts w:ascii="Garamond" w:hAnsi="Garamond" w:cs="Calibri"/>
          <w:sz w:val="24"/>
          <w:szCs w:val="24"/>
        </w:rPr>
        <w:t xml:space="preserve">The control strategy is periodically reviewed to make sure it is suitable </w:t>
      </w:r>
      <w:r w:rsidRPr="00961FE2">
        <w:rPr>
          <w:rFonts w:ascii="Garamond" w:hAnsi="Garamond" w:cs="Calibri"/>
          <w:sz w:val="24"/>
          <w:szCs w:val="24"/>
        </w:rPr>
        <w:lastRenderedPageBreak/>
        <w:t>and monitor its progress. Chief officers are required to ensure the correct procedures are followed in relation to intelligence and have the authority in making decisions about resource deployment.</w:t>
      </w:r>
      <w:r w:rsidR="001A486E">
        <w:rPr>
          <w:rFonts w:ascii="Garamond" w:hAnsi="Garamond" w:cs="Calibri"/>
          <w:sz w:val="24"/>
          <w:szCs w:val="24"/>
        </w:rPr>
        <w:t xml:space="preserve"> </w:t>
      </w:r>
      <w:r w:rsidRPr="00961FE2">
        <w:rPr>
          <w:rFonts w:ascii="Garamond" w:hAnsi="Garamond" w:cs="Calibri"/>
          <w:sz w:val="24"/>
          <w:szCs w:val="24"/>
        </w:rPr>
        <w:t xml:space="preserve">Periodic reviews at all stages allow for the maintaining of high standards of intelligence being available to the police to allow effective disruption of crime. Section 8 of the </w:t>
      </w:r>
      <w:r w:rsidR="001A486E">
        <w:rPr>
          <w:rFonts w:ascii="Garamond" w:hAnsi="Garamond" w:cs="Calibri"/>
          <w:sz w:val="24"/>
          <w:szCs w:val="24"/>
        </w:rPr>
        <w:t>C</w:t>
      </w:r>
      <w:r w:rsidRPr="00961FE2">
        <w:rPr>
          <w:rFonts w:ascii="Garamond" w:hAnsi="Garamond" w:cs="Calibri"/>
          <w:sz w:val="24"/>
          <w:szCs w:val="24"/>
        </w:rPr>
        <w:t xml:space="preserve">ode of </w:t>
      </w:r>
      <w:r w:rsidR="001A486E">
        <w:rPr>
          <w:rFonts w:ascii="Garamond" w:hAnsi="Garamond" w:cs="Calibri"/>
          <w:sz w:val="24"/>
          <w:szCs w:val="24"/>
        </w:rPr>
        <w:t>P</w:t>
      </w:r>
      <w:r w:rsidRPr="00961FE2">
        <w:rPr>
          <w:rFonts w:ascii="Garamond" w:hAnsi="Garamond" w:cs="Calibri"/>
          <w:sz w:val="24"/>
          <w:szCs w:val="24"/>
        </w:rPr>
        <w:t>ractice instructs on the communication of intelligence (Home Office, 2005)</w:t>
      </w:r>
      <w:r w:rsidR="001A486E">
        <w:rPr>
          <w:rFonts w:ascii="Garamond" w:hAnsi="Garamond" w:cs="Calibri"/>
          <w:sz w:val="24"/>
          <w:szCs w:val="24"/>
        </w:rPr>
        <w:t>.</w:t>
      </w:r>
      <w:r w:rsidRPr="00961FE2">
        <w:rPr>
          <w:rFonts w:ascii="Garamond" w:hAnsi="Garamond" w:cs="Calibri"/>
          <w:sz w:val="24"/>
          <w:szCs w:val="24"/>
        </w:rPr>
        <w:t xml:space="preserve"> It outlines that a communication and information strategy should be in place, managed by chief officers, so that “all members of a police force, practitioners and specialists, and other agencies with whom there is a partnership agreement are informed of relevant developments” (Pg. 13)</w:t>
      </w:r>
      <w:r w:rsidR="001A486E">
        <w:rPr>
          <w:rFonts w:ascii="Garamond" w:hAnsi="Garamond" w:cs="Calibri"/>
          <w:sz w:val="24"/>
          <w:szCs w:val="24"/>
        </w:rPr>
        <w:t xml:space="preserve">. </w:t>
      </w:r>
      <w:r w:rsidRPr="00961FE2">
        <w:rPr>
          <w:rFonts w:ascii="Garamond" w:hAnsi="Garamond" w:cs="Calibri"/>
          <w:sz w:val="24"/>
          <w:szCs w:val="24"/>
        </w:rPr>
        <w:t xml:space="preserve"> By setting a strategy, reviewing intelligence and deploying resources based on intelligence, chief officers can make informed decisions and ensure resources are best allocated to meet demands while supressing threats and being prepared for all certainties.</w:t>
      </w:r>
    </w:p>
    <w:p w14:paraId="701E3DE1" w14:textId="33CE54C7" w:rsidR="000C12E6" w:rsidRDefault="000C12E6" w:rsidP="002C4CA7">
      <w:pPr>
        <w:spacing w:line="480" w:lineRule="auto"/>
        <w:rPr>
          <w:rFonts w:ascii="Garamond" w:hAnsi="Garamond" w:cs="Calibri"/>
          <w:sz w:val="24"/>
          <w:szCs w:val="24"/>
        </w:rPr>
      </w:pPr>
    </w:p>
    <w:p w14:paraId="0D973694" w14:textId="4423FC8B" w:rsidR="00930386" w:rsidRPr="00961FE2" w:rsidRDefault="00930386" w:rsidP="002C4CA7">
      <w:pPr>
        <w:spacing w:line="480" w:lineRule="auto"/>
        <w:rPr>
          <w:rFonts w:ascii="Garamond" w:hAnsi="Garamond" w:cs="Calibri"/>
          <w:sz w:val="24"/>
          <w:szCs w:val="24"/>
        </w:rPr>
      </w:pPr>
      <w:r>
        <w:rPr>
          <w:rFonts w:ascii="Garamond" w:hAnsi="Garamond" w:cs="Calibri"/>
          <w:sz w:val="24"/>
          <w:szCs w:val="24"/>
        </w:rPr>
        <w:t>In conclusion, it has been seen that information and intelligence play a crucial role for any police force. Each term has been expounded and the ways they are developed and used has been explored. It has been seen that these subjects are divisive amongst society with some being concerned about the extent of government involvement in the private lives of citizens. There has been discussion of how intelligence is used by police forces to inform the tasking and coordination process. Intelligence will no doubt continue to be a valuable asset to police in detecting crime but more than that, in functioning to serve the public in every extent of their duty.</w:t>
      </w:r>
      <w:r w:rsidR="00A26EA6">
        <w:rPr>
          <w:rFonts w:ascii="Garamond" w:hAnsi="Garamond" w:cs="Calibri"/>
          <w:sz w:val="24"/>
          <w:szCs w:val="24"/>
        </w:rPr>
        <w:t xml:space="preserve"> </w:t>
      </w:r>
    </w:p>
    <w:p w14:paraId="5338D134" w14:textId="3BF9F493" w:rsidR="000C12E6" w:rsidRPr="00961FE2" w:rsidRDefault="000C12E6" w:rsidP="002C4CA7">
      <w:pPr>
        <w:spacing w:line="480" w:lineRule="auto"/>
        <w:rPr>
          <w:rFonts w:ascii="Garamond" w:hAnsi="Garamond" w:cs="Calibri"/>
          <w:sz w:val="24"/>
          <w:szCs w:val="24"/>
        </w:rPr>
      </w:pPr>
    </w:p>
    <w:p w14:paraId="7F2871AE" w14:textId="4D9E2EF3" w:rsidR="000C12E6" w:rsidRPr="00961FE2" w:rsidRDefault="000C12E6" w:rsidP="002C4CA7">
      <w:pPr>
        <w:spacing w:line="480" w:lineRule="auto"/>
        <w:rPr>
          <w:rFonts w:ascii="Garamond" w:hAnsi="Garamond" w:cs="Calibri"/>
          <w:sz w:val="24"/>
          <w:szCs w:val="24"/>
        </w:rPr>
      </w:pPr>
    </w:p>
    <w:p w14:paraId="487BFB2A" w14:textId="575F60C2" w:rsidR="000C12E6" w:rsidRPr="00961FE2" w:rsidRDefault="000C12E6" w:rsidP="002C4CA7">
      <w:pPr>
        <w:spacing w:line="480" w:lineRule="auto"/>
        <w:rPr>
          <w:rFonts w:ascii="Garamond" w:hAnsi="Garamond" w:cs="Calibri"/>
          <w:sz w:val="24"/>
          <w:szCs w:val="24"/>
        </w:rPr>
      </w:pPr>
    </w:p>
    <w:p w14:paraId="5D1306C1" w14:textId="77777777" w:rsidR="002C4CA7" w:rsidRDefault="002C4CA7" w:rsidP="002C4CA7">
      <w:pPr>
        <w:spacing w:line="480" w:lineRule="auto"/>
        <w:rPr>
          <w:rFonts w:ascii="Garamond" w:hAnsi="Garamond" w:cs="Calibri"/>
          <w:sz w:val="24"/>
          <w:szCs w:val="24"/>
        </w:rPr>
      </w:pPr>
    </w:p>
    <w:p w14:paraId="45EE29D4" w14:textId="77777777" w:rsidR="002C4CA7" w:rsidRDefault="002C4CA7" w:rsidP="002C4CA7">
      <w:pPr>
        <w:spacing w:line="480" w:lineRule="auto"/>
        <w:rPr>
          <w:rFonts w:ascii="Garamond" w:hAnsi="Garamond" w:cs="Calibri"/>
          <w:sz w:val="24"/>
          <w:szCs w:val="24"/>
        </w:rPr>
      </w:pPr>
    </w:p>
    <w:p w14:paraId="6F815E8D" w14:textId="77777777" w:rsidR="002C4CA7" w:rsidRDefault="002C4CA7" w:rsidP="002C4CA7">
      <w:pPr>
        <w:spacing w:line="480" w:lineRule="auto"/>
        <w:rPr>
          <w:rFonts w:ascii="Garamond" w:hAnsi="Garamond" w:cs="Calibri"/>
          <w:sz w:val="24"/>
          <w:szCs w:val="24"/>
        </w:rPr>
      </w:pPr>
    </w:p>
    <w:p w14:paraId="010FDEE7" w14:textId="5CC793E3" w:rsidR="000C12E6" w:rsidRPr="00961FE2" w:rsidRDefault="002C4CA7" w:rsidP="002C4CA7">
      <w:pPr>
        <w:spacing w:line="480" w:lineRule="auto"/>
        <w:rPr>
          <w:rFonts w:ascii="Garamond" w:hAnsi="Garamond" w:cs="Calibri"/>
          <w:sz w:val="24"/>
          <w:szCs w:val="24"/>
        </w:rPr>
      </w:pPr>
      <w:r>
        <w:rPr>
          <w:rFonts w:ascii="Garamond" w:hAnsi="Garamond" w:cs="Calibri"/>
          <w:sz w:val="24"/>
          <w:szCs w:val="24"/>
        </w:rPr>
        <w:lastRenderedPageBreak/>
        <w:t>4.</w:t>
      </w:r>
    </w:p>
    <w:p w14:paraId="5348D917" w14:textId="32FE5B67" w:rsidR="00DF1EF9" w:rsidRPr="00DF1EF9" w:rsidRDefault="00DF1EF9" w:rsidP="002C4CA7">
      <w:pPr>
        <w:spacing w:line="480" w:lineRule="auto"/>
        <w:rPr>
          <w:rFonts w:ascii="Garamond" w:hAnsi="Garamond" w:cs="Calibri"/>
          <w:sz w:val="26"/>
          <w:szCs w:val="26"/>
          <w:u w:val="single"/>
        </w:rPr>
      </w:pPr>
      <w:r w:rsidRPr="00DF1EF9">
        <w:rPr>
          <w:rFonts w:ascii="Garamond" w:hAnsi="Garamond" w:cs="Calibri"/>
          <w:sz w:val="26"/>
          <w:szCs w:val="26"/>
          <w:u w:val="single"/>
        </w:rPr>
        <w:t xml:space="preserve">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 </w:t>
      </w:r>
    </w:p>
    <w:p w14:paraId="0F1BBAAF" w14:textId="5F75E540" w:rsidR="00C8065A" w:rsidRPr="00705EC9" w:rsidRDefault="00C8065A" w:rsidP="002C4CA7">
      <w:pPr>
        <w:spacing w:line="480" w:lineRule="auto"/>
        <w:rPr>
          <w:rFonts w:ascii="Garamond" w:hAnsi="Garamond" w:cs="Calibri"/>
          <w:sz w:val="28"/>
          <w:szCs w:val="28"/>
          <w:u w:val="single"/>
        </w:rPr>
      </w:pPr>
    </w:p>
    <w:p w14:paraId="31952822" w14:textId="03454771" w:rsidR="000C12E6" w:rsidRPr="009F710D" w:rsidRDefault="009F710D" w:rsidP="002C4CA7">
      <w:pPr>
        <w:spacing w:line="480" w:lineRule="auto"/>
        <w:rPr>
          <w:rFonts w:ascii="Garamond" w:eastAsia="Calibri" w:hAnsi="Garamond" w:cs="Calibri"/>
          <w:sz w:val="24"/>
          <w:szCs w:val="24"/>
        </w:rPr>
      </w:pPr>
      <w:r>
        <w:rPr>
          <w:rFonts w:ascii="Garamond" w:eastAsia="Calibri" w:hAnsi="Garamond" w:cs="Calibri"/>
          <w:sz w:val="24"/>
          <w:szCs w:val="24"/>
        </w:rPr>
        <w:t>As long as crime is inevitable, so will be victims.</w:t>
      </w:r>
      <w:r w:rsidR="000C12E6" w:rsidRPr="00961FE2">
        <w:rPr>
          <w:rFonts w:ascii="Garamond" w:eastAsia="Calibri" w:hAnsi="Garamond" w:cs="Calibri"/>
          <w:sz w:val="24"/>
          <w:szCs w:val="24"/>
        </w:rPr>
        <w:t xml:space="preserve"> Victims are varied for many reasons and can present challenges to </w:t>
      </w:r>
      <w:r>
        <w:rPr>
          <w:rFonts w:ascii="Garamond" w:eastAsia="Calibri" w:hAnsi="Garamond" w:cs="Calibri"/>
          <w:sz w:val="24"/>
          <w:szCs w:val="24"/>
        </w:rPr>
        <w:t>p</w:t>
      </w:r>
      <w:r w:rsidR="000C12E6" w:rsidRPr="00961FE2">
        <w:rPr>
          <w:rFonts w:ascii="Garamond" w:eastAsia="Calibri" w:hAnsi="Garamond" w:cs="Calibri"/>
          <w:sz w:val="24"/>
          <w:szCs w:val="24"/>
        </w:rPr>
        <w:t xml:space="preserve">olice in </w:t>
      </w:r>
      <w:r w:rsidR="00456A25">
        <w:rPr>
          <w:rFonts w:ascii="Garamond" w:eastAsia="Calibri" w:hAnsi="Garamond" w:cs="Calibri"/>
          <w:sz w:val="24"/>
          <w:szCs w:val="24"/>
        </w:rPr>
        <w:t>terms of management</w:t>
      </w:r>
      <w:r w:rsidR="000C12E6" w:rsidRPr="00961FE2">
        <w:rPr>
          <w:rFonts w:ascii="Garamond" w:eastAsia="Calibri" w:hAnsi="Garamond" w:cs="Calibri"/>
          <w:sz w:val="24"/>
          <w:szCs w:val="24"/>
        </w:rPr>
        <w:t>. Victims of incidents that are handled by public protection units can be acutely vulnerable, it is therefore important to understand the impact of abuse upon them and to consider how that may infect their involvement in investigation. Due to vulnerabilities, these victims may be more likely to fall prey to serious organised crime groups.</w:t>
      </w:r>
      <w:r>
        <w:rPr>
          <w:rFonts w:ascii="Garamond" w:eastAsia="Calibri" w:hAnsi="Garamond" w:cs="Calibri"/>
          <w:sz w:val="24"/>
          <w:szCs w:val="24"/>
        </w:rPr>
        <w:t xml:space="preserve"> </w:t>
      </w:r>
      <w:r w:rsidR="000C12E6" w:rsidRPr="00961FE2">
        <w:rPr>
          <w:rFonts w:ascii="Garamond" w:eastAsia="Calibri" w:hAnsi="Garamond" w:cs="Calibri"/>
          <w:sz w:val="24"/>
          <w:szCs w:val="24"/>
        </w:rPr>
        <w:t xml:space="preserve">This essay </w:t>
      </w:r>
      <w:r>
        <w:rPr>
          <w:rFonts w:ascii="Garamond" w:eastAsia="Calibri" w:hAnsi="Garamond" w:cs="Calibri"/>
          <w:sz w:val="24"/>
          <w:szCs w:val="24"/>
        </w:rPr>
        <w:t>will provide an analysis of these issues.</w:t>
      </w:r>
    </w:p>
    <w:p w14:paraId="42317060" w14:textId="77777777" w:rsidR="000C12E6" w:rsidRPr="00961FE2" w:rsidRDefault="000C12E6" w:rsidP="002C4CA7">
      <w:pPr>
        <w:spacing w:line="480" w:lineRule="auto"/>
        <w:rPr>
          <w:rFonts w:ascii="Garamond" w:eastAsia="Calibri" w:hAnsi="Garamond" w:cs="Calibri"/>
          <w:sz w:val="24"/>
          <w:szCs w:val="24"/>
        </w:rPr>
      </w:pPr>
    </w:p>
    <w:p w14:paraId="076A7AAC" w14:textId="14791FBF" w:rsidR="000C12E6" w:rsidRPr="00961FE2" w:rsidRDefault="000C12E6" w:rsidP="002C4CA7">
      <w:pPr>
        <w:spacing w:line="480" w:lineRule="auto"/>
        <w:rPr>
          <w:rFonts w:ascii="Garamond" w:eastAsia="Calibri" w:hAnsi="Garamond" w:cs="Calibri"/>
          <w:sz w:val="24"/>
          <w:szCs w:val="24"/>
        </w:rPr>
      </w:pPr>
      <w:r w:rsidRPr="00961FE2">
        <w:rPr>
          <w:rFonts w:ascii="Garamond" w:eastAsia="Calibri" w:hAnsi="Garamond" w:cs="Calibri"/>
          <w:sz w:val="24"/>
          <w:szCs w:val="24"/>
        </w:rPr>
        <w:t xml:space="preserve">Hall explains that the notion of the victim has developed over time as academics have considered </w:t>
      </w:r>
      <w:r w:rsidR="009F710D">
        <w:rPr>
          <w:rFonts w:ascii="Garamond" w:eastAsia="Calibri" w:hAnsi="Garamond" w:cs="Calibri"/>
          <w:sz w:val="24"/>
          <w:szCs w:val="24"/>
        </w:rPr>
        <w:t>“</w:t>
      </w:r>
      <w:r w:rsidRPr="00961FE2">
        <w:rPr>
          <w:rFonts w:ascii="Garamond" w:eastAsia="Calibri" w:hAnsi="Garamond" w:cs="Calibri"/>
          <w:sz w:val="24"/>
          <w:szCs w:val="24"/>
        </w:rPr>
        <w:t>victimology</w:t>
      </w:r>
      <w:r w:rsidR="009F710D">
        <w:rPr>
          <w:rFonts w:ascii="Garamond" w:eastAsia="Calibri" w:hAnsi="Garamond" w:cs="Calibri"/>
          <w:sz w:val="24"/>
          <w:szCs w:val="24"/>
        </w:rPr>
        <w:t>”</w:t>
      </w:r>
      <w:r w:rsidR="00961FE2" w:rsidRPr="00961FE2">
        <w:rPr>
          <w:rFonts w:ascii="Garamond" w:eastAsia="Calibri" w:hAnsi="Garamond" w:cs="Calibri"/>
          <w:sz w:val="24"/>
          <w:szCs w:val="24"/>
        </w:rPr>
        <w:t xml:space="preserve"> and</w:t>
      </w:r>
      <w:r w:rsidRPr="00961FE2">
        <w:rPr>
          <w:rFonts w:ascii="Garamond" w:eastAsia="Calibri" w:hAnsi="Garamond" w:cs="Calibri"/>
          <w:sz w:val="24"/>
          <w:szCs w:val="24"/>
        </w:rPr>
        <w:t xml:space="preserve"> describes victims as “those affected by crime.” Hall goes on to discuss the problem of some victims going unrecorded as they may not report crime, so often dialogue about victims can be tainted by only discussing those who </w:t>
      </w:r>
      <w:r w:rsidR="00456A25">
        <w:rPr>
          <w:rFonts w:ascii="Garamond" w:eastAsia="Calibri" w:hAnsi="Garamond" w:cs="Calibri"/>
          <w:sz w:val="24"/>
          <w:szCs w:val="24"/>
        </w:rPr>
        <w:t>go to court</w:t>
      </w:r>
      <w:r w:rsidRPr="00961FE2">
        <w:rPr>
          <w:rFonts w:ascii="Garamond" w:eastAsia="Calibri" w:hAnsi="Garamond" w:cs="Calibri"/>
          <w:sz w:val="24"/>
          <w:szCs w:val="24"/>
        </w:rPr>
        <w:t xml:space="preserve"> (2012, Pg. 5)</w:t>
      </w:r>
      <w:r w:rsidR="009F710D">
        <w:rPr>
          <w:rFonts w:ascii="Garamond" w:eastAsia="Calibri" w:hAnsi="Garamond" w:cs="Calibri"/>
          <w:sz w:val="24"/>
          <w:szCs w:val="24"/>
        </w:rPr>
        <w:t xml:space="preserve">. </w:t>
      </w:r>
      <w:r w:rsidRPr="00961FE2">
        <w:rPr>
          <w:rFonts w:ascii="Garamond" w:eastAsia="Calibri" w:hAnsi="Garamond" w:cs="Calibri"/>
          <w:sz w:val="24"/>
          <w:szCs w:val="24"/>
        </w:rPr>
        <w:t>The United Nations define victims as “persons who, individually or collectively, have suffered harm, including physical or mental injury, emotional suffering, economic loss or substantial impairment of their fundamental rights, through acts or omissions that are in violation of criminal laws operative within Member States, including those laws proscribing criminal abuse of power.” (OHCHR | Basic Principles of Justice for Victims of Crime and Abuse of Power, 2021)</w:t>
      </w:r>
      <w:r w:rsidR="009F710D">
        <w:rPr>
          <w:rFonts w:ascii="Garamond" w:eastAsia="Calibri" w:hAnsi="Garamond" w:cs="Calibri"/>
          <w:sz w:val="24"/>
          <w:szCs w:val="24"/>
        </w:rPr>
        <w:t>.</w:t>
      </w:r>
      <w:r w:rsidRPr="00961FE2">
        <w:rPr>
          <w:rFonts w:ascii="Garamond" w:eastAsia="Calibri" w:hAnsi="Garamond" w:cs="Calibri"/>
          <w:sz w:val="24"/>
          <w:szCs w:val="24"/>
        </w:rPr>
        <w:t xml:space="preserve"> They go on to broaden this by stating a victim’s status does not depend on a perpetrator being known or brought to justice and that those close to the person</w:t>
      </w:r>
      <w:r w:rsidR="00456A25">
        <w:rPr>
          <w:rFonts w:ascii="Garamond" w:eastAsia="Calibri" w:hAnsi="Garamond" w:cs="Calibri"/>
          <w:sz w:val="24"/>
          <w:szCs w:val="24"/>
        </w:rPr>
        <w:t xml:space="preserve"> </w:t>
      </w:r>
      <w:r w:rsidRPr="00961FE2">
        <w:rPr>
          <w:rFonts w:ascii="Garamond" w:eastAsia="Calibri" w:hAnsi="Garamond" w:cs="Calibri"/>
          <w:sz w:val="24"/>
          <w:szCs w:val="24"/>
        </w:rPr>
        <w:t xml:space="preserve">are encompassed by the term if harm has come to them too. </w:t>
      </w:r>
    </w:p>
    <w:p w14:paraId="253A521B" w14:textId="7E6214BF" w:rsidR="000C12E6" w:rsidRPr="00961FE2" w:rsidRDefault="000C12E6" w:rsidP="002C4CA7">
      <w:pPr>
        <w:spacing w:line="480" w:lineRule="auto"/>
        <w:rPr>
          <w:rFonts w:ascii="Garamond" w:eastAsia="Calibri" w:hAnsi="Garamond" w:cs="Calibri"/>
          <w:sz w:val="24"/>
          <w:szCs w:val="24"/>
        </w:rPr>
      </w:pPr>
    </w:p>
    <w:p w14:paraId="496CA768" w14:textId="5D2D31C1" w:rsidR="000C12E6" w:rsidRPr="00961FE2" w:rsidRDefault="000C12E6" w:rsidP="002C4CA7">
      <w:pPr>
        <w:spacing w:line="480" w:lineRule="auto"/>
        <w:rPr>
          <w:rFonts w:ascii="Garamond" w:eastAsia="Calibri" w:hAnsi="Garamond" w:cs="Calibri"/>
          <w:sz w:val="24"/>
          <w:szCs w:val="24"/>
        </w:rPr>
      </w:pPr>
      <w:r w:rsidRPr="00961FE2">
        <w:rPr>
          <w:rFonts w:ascii="Garamond" w:eastAsia="Calibri" w:hAnsi="Garamond" w:cs="Calibri"/>
          <w:sz w:val="24"/>
          <w:szCs w:val="24"/>
        </w:rPr>
        <w:t xml:space="preserve">The term </w:t>
      </w:r>
      <w:r w:rsidR="009F710D">
        <w:rPr>
          <w:rFonts w:ascii="Garamond" w:eastAsia="Calibri" w:hAnsi="Garamond" w:cs="Calibri"/>
          <w:sz w:val="24"/>
          <w:szCs w:val="24"/>
        </w:rPr>
        <w:t>“v</w:t>
      </w:r>
      <w:r w:rsidRPr="00961FE2">
        <w:rPr>
          <w:rFonts w:ascii="Garamond" w:eastAsia="Calibri" w:hAnsi="Garamond" w:cs="Calibri"/>
          <w:sz w:val="24"/>
          <w:szCs w:val="24"/>
        </w:rPr>
        <w:t>ictim</w:t>
      </w:r>
      <w:r w:rsidR="009F710D">
        <w:rPr>
          <w:rFonts w:ascii="Garamond" w:eastAsia="Calibri" w:hAnsi="Garamond" w:cs="Calibri"/>
          <w:sz w:val="24"/>
          <w:szCs w:val="24"/>
        </w:rPr>
        <w:t>”</w:t>
      </w:r>
      <w:r w:rsidRPr="00961FE2">
        <w:rPr>
          <w:rFonts w:ascii="Garamond" w:eastAsia="Calibri" w:hAnsi="Garamond" w:cs="Calibri"/>
          <w:sz w:val="24"/>
          <w:szCs w:val="24"/>
        </w:rPr>
        <w:t xml:space="preserve"> </w:t>
      </w:r>
      <w:r w:rsidR="009F710D">
        <w:rPr>
          <w:rFonts w:ascii="Garamond" w:eastAsia="Calibri" w:hAnsi="Garamond" w:cs="Calibri"/>
          <w:sz w:val="24"/>
          <w:szCs w:val="24"/>
        </w:rPr>
        <w:t>comes with a</w:t>
      </w:r>
      <w:r w:rsidRPr="00961FE2">
        <w:rPr>
          <w:rFonts w:ascii="Garamond" w:eastAsia="Calibri" w:hAnsi="Garamond" w:cs="Calibri"/>
          <w:sz w:val="24"/>
          <w:szCs w:val="24"/>
        </w:rPr>
        <w:t xml:space="preserve"> variety of connotations, </w:t>
      </w:r>
      <w:r w:rsidR="00456A25">
        <w:rPr>
          <w:rFonts w:ascii="Garamond" w:eastAsia="Calibri" w:hAnsi="Garamond" w:cs="Calibri"/>
          <w:sz w:val="24"/>
          <w:szCs w:val="24"/>
        </w:rPr>
        <w:t>some of which may be negative</w:t>
      </w:r>
      <w:r w:rsidRPr="00961FE2">
        <w:rPr>
          <w:rFonts w:ascii="Garamond" w:eastAsia="Calibri" w:hAnsi="Garamond" w:cs="Calibri"/>
          <w:sz w:val="24"/>
          <w:szCs w:val="24"/>
        </w:rPr>
        <w:t>. Another complication associated with the notion of the victim and associated assumptions is that of the “ideal victim” as presented by Christie (1986, Pg. 18)</w:t>
      </w:r>
      <w:r w:rsidR="009F710D">
        <w:rPr>
          <w:rFonts w:ascii="Garamond" w:eastAsia="Calibri" w:hAnsi="Garamond" w:cs="Calibri"/>
          <w:sz w:val="24"/>
          <w:szCs w:val="24"/>
        </w:rPr>
        <w:t>.</w:t>
      </w:r>
      <w:r w:rsidRPr="00961FE2">
        <w:rPr>
          <w:rFonts w:ascii="Garamond" w:eastAsia="Calibri" w:hAnsi="Garamond" w:cs="Calibri"/>
          <w:sz w:val="24"/>
          <w:szCs w:val="24"/>
        </w:rPr>
        <w:t xml:space="preserve"> This links to the belief </w:t>
      </w:r>
      <w:r w:rsidR="00456A25">
        <w:rPr>
          <w:rFonts w:ascii="Garamond" w:eastAsia="Calibri" w:hAnsi="Garamond" w:cs="Calibri"/>
          <w:sz w:val="24"/>
          <w:szCs w:val="24"/>
        </w:rPr>
        <w:t xml:space="preserve">that </w:t>
      </w:r>
      <w:r w:rsidRPr="00961FE2">
        <w:rPr>
          <w:rFonts w:ascii="Garamond" w:eastAsia="Calibri" w:hAnsi="Garamond" w:cs="Calibri"/>
          <w:sz w:val="24"/>
          <w:szCs w:val="24"/>
        </w:rPr>
        <w:t xml:space="preserve">some victims </w:t>
      </w:r>
      <w:r w:rsidR="00456A25">
        <w:rPr>
          <w:rFonts w:ascii="Garamond" w:eastAsia="Calibri" w:hAnsi="Garamond" w:cs="Calibri"/>
          <w:sz w:val="24"/>
          <w:szCs w:val="24"/>
        </w:rPr>
        <w:t xml:space="preserve">are </w:t>
      </w:r>
      <w:r w:rsidRPr="00961FE2">
        <w:rPr>
          <w:rFonts w:ascii="Garamond" w:eastAsia="Calibri" w:hAnsi="Garamond" w:cs="Calibri"/>
          <w:sz w:val="24"/>
          <w:szCs w:val="24"/>
        </w:rPr>
        <w:t xml:space="preserve">more deserving or legitimate based on stereotypes or common </w:t>
      </w:r>
      <w:r w:rsidR="009F710D">
        <w:rPr>
          <w:rFonts w:ascii="Garamond" w:eastAsia="Calibri" w:hAnsi="Garamond" w:cs="Calibri"/>
          <w:sz w:val="24"/>
          <w:szCs w:val="24"/>
        </w:rPr>
        <w:t>assumptions</w:t>
      </w:r>
      <w:r w:rsidRPr="00961FE2">
        <w:rPr>
          <w:rFonts w:ascii="Garamond" w:eastAsia="Calibri" w:hAnsi="Garamond" w:cs="Calibri"/>
          <w:sz w:val="24"/>
          <w:szCs w:val="24"/>
        </w:rPr>
        <w:t>. On the contrary, some victims are deemed</w:t>
      </w:r>
      <w:r w:rsidR="00456A25">
        <w:rPr>
          <w:rFonts w:ascii="Garamond" w:eastAsia="Calibri" w:hAnsi="Garamond" w:cs="Calibri"/>
          <w:sz w:val="24"/>
          <w:szCs w:val="24"/>
        </w:rPr>
        <w:t xml:space="preserve"> as</w:t>
      </w:r>
      <w:r w:rsidRPr="00961FE2">
        <w:rPr>
          <w:rFonts w:ascii="Garamond" w:eastAsia="Calibri" w:hAnsi="Garamond" w:cs="Calibri"/>
          <w:sz w:val="24"/>
          <w:szCs w:val="24"/>
        </w:rPr>
        <w:t xml:space="preserve"> less deserving or unfavourable. This distinction between victims is of interest to criminologists studying how perception of a victim alters their treatment and experience </w:t>
      </w:r>
      <w:r w:rsidR="000B1468">
        <w:rPr>
          <w:rFonts w:ascii="Garamond" w:eastAsia="Calibri" w:hAnsi="Garamond" w:cs="Calibri"/>
          <w:sz w:val="24"/>
          <w:szCs w:val="24"/>
        </w:rPr>
        <w:t>of</w:t>
      </w:r>
      <w:r w:rsidRPr="00961FE2">
        <w:rPr>
          <w:rFonts w:ascii="Garamond" w:eastAsia="Calibri" w:hAnsi="Garamond" w:cs="Calibri"/>
          <w:sz w:val="24"/>
          <w:szCs w:val="24"/>
        </w:rPr>
        <w:t xml:space="preserve"> the criminal justice system (Davies, Francis and Greer, 2007)</w:t>
      </w:r>
      <w:r w:rsidR="009F710D">
        <w:rPr>
          <w:rFonts w:ascii="Garamond" w:eastAsia="Calibri" w:hAnsi="Garamond" w:cs="Calibri"/>
          <w:sz w:val="24"/>
          <w:szCs w:val="24"/>
        </w:rPr>
        <w:t>.</w:t>
      </w:r>
      <w:r w:rsidRPr="00961FE2">
        <w:rPr>
          <w:rFonts w:ascii="Garamond" w:eastAsia="Calibri" w:hAnsi="Garamond" w:cs="Calibri"/>
          <w:sz w:val="24"/>
          <w:szCs w:val="24"/>
        </w:rPr>
        <w:t xml:space="preserve"> It is important that </w:t>
      </w:r>
      <w:r w:rsidR="009F710D">
        <w:rPr>
          <w:rFonts w:ascii="Garamond" w:eastAsia="Calibri" w:hAnsi="Garamond" w:cs="Calibri"/>
          <w:sz w:val="24"/>
          <w:szCs w:val="24"/>
        </w:rPr>
        <w:t>p</w:t>
      </w:r>
      <w:r w:rsidRPr="00961FE2">
        <w:rPr>
          <w:rFonts w:ascii="Garamond" w:eastAsia="Calibri" w:hAnsi="Garamond" w:cs="Calibri"/>
          <w:sz w:val="24"/>
          <w:szCs w:val="24"/>
        </w:rPr>
        <w:t xml:space="preserve">olice officers dealing with victims adhere to the </w:t>
      </w:r>
      <w:r w:rsidR="009F710D">
        <w:rPr>
          <w:rFonts w:ascii="Garamond" w:eastAsia="Calibri" w:hAnsi="Garamond" w:cs="Calibri"/>
          <w:sz w:val="24"/>
          <w:szCs w:val="24"/>
        </w:rPr>
        <w:t>C</w:t>
      </w:r>
      <w:r w:rsidRPr="00961FE2">
        <w:rPr>
          <w:rFonts w:ascii="Garamond" w:eastAsia="Calibri" w:hAnsi="Garamond" w:cs="Calibri"/>
          <w:sz w:val="24"/>
          <w:szCs w:val="24"/>
        </w:rPr>
        <w:t xml:space="preserve">ode of </w:t>
      </w:r>
      <w:r w:rsidR="009F710D">
        <w:rPr>
          <w:rFonts w:ascii="Garamond" w:eastAsia="Calibri" w:hAnsi="Garamond" w:cs="Calibri"/>
          <w:sz w:val="24"/>
          <w:szCs w:val="24"/>
        </w:rPr>
        <w:t>E</w:t>
      </w:r>
      <w:r w:rsidRPr="00961FE2">
        <w:rPr>
          <w:rFonts w:ascii="Garamond" w:eastAsia="Calibri" w:hAnsi="Garamond" w:cs="Calibri"/>
          <w:sz w:val="24"/>
          <w:szCs w:val="24"/>
        </w:rPr>
        <w:t xml:space="preserve">thics and treat victims equally and impartially </w:t>
      </w:r>
      <w:r w:rsidRPr="00961FE2">
        <w:rPr>
          <w:rFonts w:ascii="Garamond" w:hAnsi="Garamond" w:cs="Calibri"/>
          <w:sz w:val="24"/>
          <w:szCs w:val="24"/>
        </w:rPr>
        <w:t>(Code of Ethics | College of Policing, 2014)</w:t>
      </w:r>
      <w:r w:rsidR="009F710D">
        <w:rPr>
          <w:rFonts w:ascii="Garamond" w:hAnsi="Garamond" w:cs="Calibri"/>
          <w:sz w:val="24"/>
          <w:szCs w:val="24"/>
        </w:rPr>
        <w:t>.</w:t>
      </w:r>
      <w:r w:rsidRPr="00961FE2">
        <w:rPr>
          <w:rFonts w:ascii="Garamond" w:hAnsi="Garamond" w:cs="Calibri"/>
          <w:sz w:val="24"/>
          <w:szCs w:val="24"/>
        </w:rPr>
        <w:t xml:space="preserve"> </w:t>
      </w:r>
      <w:r w:rsidRPr="00961FE2">
        <w:rPr>
          <w:rFonts w:ascii="Garamond" w:eastAsia="Calibri" w:hAnsi="Garamond" w:cs="Calibri"/>
          <w:sz w:val="24"/>
          <w:szCs w:val="24"/>
        </w:rPr>
        <w:t>There will be times when an officer may feel the way Christie describes</w:t>
      </w:r>
      <w:r w:rsidR="000B1468">
        <w:rPr>
          <w:rFonts w:ascii="Garamond" w:eastAsia="Calibri" w:hAnsi="Garamond" w:cs="Calibri"/>
          <w:sz w:val="24"/>
          <w:szCs w:val="24"/>
        </w:rPr>
        <w:t>;</w:t>
      </w:r>
      <w:r w:rsidRPr="00961FE2">
        <w:rPr>
          <w:rFonts w:ascii="Garamond" w:eastAsia="Calibri" w:hAnsi="Garamond" w:cs="Calibri"/>
          <w:sz w:val="24"/>
          <w:szCs w:val="24"/>
        </w:rPr>
        <w:t xml:space="preserve"> they should not let these feelings impact the quality of their response or their duty to the victim </w:t>
      </w:r>
      <w:r w:rsidR="00961FE2" w:rsidRPr="00961FE2">
        <w:rPr>
          <w:rFonts w:ascii="Garamond" w:eastAsia="Calibri" w:hAnsi="Garamond" w:cs="Calibri"/>
          <w:sz w:val="24"/>
          <w:szCs w:val="24"/>
        </w:rPr>
        <w:t>(Christie, 1986)</w:t>
      </w:r>
      <w:r w:rsidR="009F710D">
        <w:rPr>
          <w:rFonts w:ascii="Garamond" w:eastAsia="Calibri" w:hAnsi="Garamond" w:cs="Calibri"/>
          <w:sz w:val="24"/>
          <w:szCs w:val="24"/>
        </w:rPr>
        <w:t>.</w:t>
      </w:r>
      <w:r w:rsidR="00961FE2" w:rsidRPr="00961FE2">
        <w:rPr>
          <w:rFonts w:ascii="Garamond" w:eastAsia="Calibri" w:hAnsi="Garamond" w:cs="Calibri"/>
          <w:sz w:val="24"/>
          <w:szCs w:val="24"/>
        </w:rPr>
        <w:t xml:space="preserve"> If they do, the investigation will be </w:t>
      </w:r>
      <w:r w:rsidR="00961FE2" w:rsidRPr="00961FE2">
        <w:rPr>
          <w:rFonts w:ascii="Garamond" w:eastAsia="Calibri" w:hAnsi="Garamond" w:cs="Calibri"/>
          <w:sz w:val="24"/>
          <w:szCs w:val="24"/>
        </w:rPr>
        <w:t>tainted,</w:t>
      </w:r>
      <w:r w:rsidR="00961FE2" w:rsidRPr="00961FE2">
        <w:rPr>
          <w:rFonts w:ascii="Garamond" w:eastAsia="Calibri" w:hAnsi="Garamond" w:cs="Calibri"/>
          <w:sz w:val="24"/>
          <w:szCs w:val="24"/>
        </w:rPr>
        <w:t xml:space="preserve"> and this could have sever</w:t>
      </w:r>
      <w:r w:rsidR="00961FE2">
        <w:rPr>
          <w:rFonts w:ascii="Garamond" w:eastAsia="Calibri" w:hAnsi="Garamond" w:cs="Calibri"/>
          <w:sz w:val="24"/>
          <w:szCs w:val="24"/>
        </w:rPr>
        <w:t>e</w:t>
      </w:r>
      <w:r w:rsidR="00961FE2" w:rsidRPr="00961FE2">
        <w:rPr>
          <w:rFonts w:ascii="Garamond" w:eastAsia="Calibri" w:hAnsi="Garamond" w:cs="Calibri"/>
          <w:sz w:val="24"/>
          <w:szCs w:val="24"/>
        </w:rPr>
        <w:t xml:space="preserve"> impacts on the attitude of a victim towards the police and criminal justice system. </w:t>
      </w:r>
    </w:p>
    <w:p w14:paraId="685F1333" w14:textId="77777777" w:rsidR="000C12E6" w:rsidRPr="00961FE2" w:rsidRDefault="000C12E6" w:rsidP="002C4CA7">
      <w:pPr>
        <w:spacing w:line="480" w:lineRule="auto"/>
        <w:rPr>
          <w:rFonts w:ascii="Garamond" w:eastAsia="Calibri" w:hAnsi="Garamond" w:cs="Calibri"/>
          <w:sz w:val="24"/>
          <w:szCs w:val="24"/>
        </w:rPr>
      </w:pPr>
    </w:p>
    <w:p w14:paraId="2270843D" w14:textId="50124DB1" w:rsidR="000C12E6" w:rsidRPr="00961FE2" w:rsidRDefault="000C12E6" w:rsidP="002C4CA7">
      <w:pPr>
        <w:spacing w:line="480" w:lineRule="auto"/>
        <w:rPr>
          <w:rFonts w:ascii="Garamond" w:eastAsia="Calibri" w:hAnsi="Garamond" w:cs="Calibri"/>
          <w:sz w:val="24"/>
          <w:szCs w:val="24"/>
        </w:rPr>
      </w:pPr>
      <w:r w:rsidRPr="00961FE2">
        <w:rPr>
          <w:rFonts w:ascii="Garamond" w:eastAsia="Calibri" w:hAnsi="Garamond" w:cs="Calibri"/>
          <w:sz w:val="24"/>
          <w:szCs w:val="24"/>
        </w:rPr>
        <w:t xml:space="preserve">Since 2002, politicians have encouraged the criminal justice system to place victims at the centre with a specific focus on </w:t>
      </w:r>
      <w:r w:rsidR="000B1468">
        <w:rPr>
          <w:rFonts w:ascii="Garamond" w:eastAsia="Calibri" w:hAnsi="Garamond" w:cs="Calibri"/>
          <w:sz w:val="24"/>
          <w:szCs w:val="24"/>
        </w:rPr>
        <w:t>victims of serious crime</w:t>
      </w:r>
      <w:r w:rsidRPr="00961FE2">
        <w:rPr>
          <w:rFonts w:ascii="Garamond" w:eastAsia="Calibri" w:hAnsi="Garamond" w:cs="Calibri"/>
          <w:sz w:val="24"/>
          <w:szCs w:val="24"/>
        </w:rPr>
        <w:t xml:space="preserve"> (Hall, 2012)</w:t>
      </w:r>
      <w:r w:rsidR="009F710D">
        <w:rPr>
          <w:rFonts w:ascii="Garamond" w:eastAsia="Calibri" w:hAnsi="Garamond" w:cs="Calibri"/>
          <w:sz w:val="24"/>
          <w:szCs w:val="24"/>
        </w:rPr>
        <w:t>.</w:t>
      </w:r>
      <w:r w:rsidRPr="00961FE2">
        <w:rPr>
          <w:rFonts w:ascii="Garamond" w:eastAsia="Calibri" w:hAnsi="Garamond" w:cs="Calibri"/>
          <w:sz w:val="24"/>
          <w:szCs w:val="24"/>
        </w:rPr>
        <w:t xml:space="preserve"> The drawback in this is that victims whose suffering is less obvious elude that consideration. Each individual will be affected differently by the type of crime </w:t>
      </w:r>
      <w:r w:rsidR="009F710D">
        <w:rPr>
          <w:rFonts w:ascii="Garamond" w:eastAsia="Calibri" w:hAnsi="Garamond" w:cs="Calibri"/>
          <w:sz w:val="24"/>
          <w:szCs w:val="24"/>
        </w:rPr>
        <w:t>to which they fall victim</w:t>
      </w:r>
      <w:r w:rsidRPr="00961FE2">
        <w:rPr>
          <w:rFonts w:ascii="Garamond" w:eastAsia="Calibri" w:hAnsi="Garamond" w:cs="Calibri"/>
          <w:sz w:val="24"/>
          <w:szCs w:val="24"/>
        </w:rPr>
        <w:t xml:space="preserve">. If victimhood is based on a person’s response it becomes subjective as, for example, criminal damage to a vehicle may be devastating to one and not affect another. It is therefore important to consider the impact of </w:t>
      </w:r>
      <w:r w:rsidR="00456A25">
        <w:rPr>
          <w:rFonts w:ascii="Garamond" w:eastAsia="Calibri" w:hAnsi="Garamond" w:cs="Calibri"/>
          <w:sz w:val="24"/>
          <w:szCs w:val="24"/>
        </w:rPr>
        <w:t>abuse</w:t>
      </w:r>
      <w:r w:rsidRPr="00961FE2">
        <w:rPr>
          <w:rFonts w:ascii="Garamond" w:eastAsia="Calibri" w:hAnsi="Garamond" w:cs="Calibri"/>
          <w:sz w:val="24"/>
          <w:szCs w:val="24"/>
        </w:rPr>
        <w:t xml:space="preserve"> on victims. </w:t>
      </w:r>
    </w:p>
    <w:p w14:paraId="518DE38A" w14:textId="77777777" w:rsidR="000C12E6" w:rsidRPr="00961FE2" w:rsidRDefault="000C12E6" w:rsidP="002C4CA7">
      <w:pPr>
        <w:spacing w:line="480" w:lineRule="auto"/>
        <w:rPr>
          <w:rFonts w:ascii="Garamond" w:eastAsia="Calibri" w:hAnsi="Garamond" w:cs="Calibri"/>
          <w:sz w:val="24"/>
          <w:szCs w:val="24"/>
        </w:rPr>
      </w:pPr>
    </w:p>
    <w:p w14:paraId="14DBB9FB" w14:textId="0A1B2F4E" w:rsidR="000C12E6" w:rsidRPr="00961FE2" w:rsidRDefault="000C12E6" w:rsidP="002C4CA7">
      <w:pPr>
        <w:spacing w:line="480" w:lineRule="auto"/>
        <w:rPr>
          <w:rFonts w:ascii="Garamond" w:eastAsia="Calibri" w:hAnsi="Garamond" w:cs="Calibri"/>
          <w:sz w:val="24"/>
          <w:szCs w:val="24"/>
        </w:rPr>
      </w:pPr>
      <w:r w:rsidRPr="00961FE2">
        <w:rPr>
          <w:rFonts w:ascii="Garamond" w:eastAsia="Calibri" w:hAnsi="Garamond" w:cs="Calibri"/>
          <w:sz w:val="24"/>
          <w:szCs w:val="24"/>
        </w:rPr>
        <w:t xml:space="preserve">Victim and offender </w:t>
      </w:r>
      <w:r w:rsidR="000B1468">
        <w:rPr>
          <w:rFonts w:ascii="Garamond" w:eastAsia="Calibri" w:hAnsi="Garamond" w:cs="Calibri"/>
          <w:sz w:val="24"/>
          <w:szCs w:val="24"/>
        </w:rPr>
        <w:t>can be closely</w:t>
      </w:r>
      <w:r w:rsidRPr="00961FE2">
        <w:rPr>
          <w:rFonts w:ascii="Garamond" w:eastAsia="Calibri" w:hAnsi="Garamond" w:cs="Calibri"/>
          <w:sz w:val="24"/>
          <w:szCs w:val="24"/>
        </w:rPr>
        <w:t xml:space="preserve"> linked. There appears to be a link between victims of abuse in various forms as children and later</w:t>
      </w:r>
      <w:r w:rsidR="000B1468">
        <w:rPr>
          <w:rFonts w:ascii="Garamond" w:eastAsia="Calibri" w:hAnsi="Garamond" w:cs="Calibri"/>
          <w:sz w:val="24"/>
          <w:szCs w:val="24"/>
        </w:rPr>
        <w:t>-</w:t>
      </w:r>
      <w:r w:rsidRPr="00961FE2">
        <w:rPr>
          <w:rFonts w:ascii="Garamond" w:eastAsia="Calibri" w:hAnsi="Garamond" w:cs="Calibri"/>
          <w:sz w:val="24"/>
          <w:szCs w:val="24"/>
        </w:rPr>
        <w:t>life offending (Asscher, Van der Put and Stams, 2015)</w:t>
      </w:r>
      <w:r w:rsidR="00456A25">
        <w:rPr>
          <w:rFonts w:ascii="Garamond" w:eastAsia="Calibri" w:hAnsi="Garamond" w:cs="Calibri"/>
          <w:sz w:val="24"/>
          <w:szCs w:val="24"/>
        </w:rPr>
        <w:t>.</w:t>
      </w:r>
      <w:r w:rsidRPr="00961FE2">
        <w:rPr>
          <w:rFonts w:ascii="Garamond" w:eastAsia="Calibri" w:hAnsi="Garamond" w:cs="Calibri"/>
          <w:sz w:val="24"/>
          <w:szCs w:val="24"/>
        </w:rPr>
        <w:t xml:space="preserve"> One of the effects of abuse can be post-traumatic stress symptoms (Kearney et al. 2010)</w:t>
      </w:r>
      <w:r w:rsidR="00456A25">
        <w:rPr>
          <w:rFonts w:ascii="Garamond" w:eastAsia="Calibri" w:hAnsi="Garamond" w:cs="Calibri"/>
          <w:sz w:val="24"/>
          <w:szCs w:val="24"/>
        </w:rPr>
        <w:t>.</w:t>
      </w:r>
      <w:r w:rsidRPr="00961FE2">
        <w:rPr>
          <w:rFonts w:ascii="Garamond" w:eastAsia="Calibri" w:hAnsi="Garamond" w:cs="Calibri"/>
          <w:sz w:val="24"/>
          <w:szCs w:val="24"/>
        </w:rPr>
        <w:t xml:space="preserve"> Post-</w:t>
      </w:r>
      <w:r w:rsidRPr="00961FE2">
        <w:rPr>
          <w:rFonts w:ascii="Garamond" w:eastAsia="Calibri" w:hAnsi="Garamond" w:cs="Calibri"/>
          <w:sz w:val="24"/>
          <w:szCs w:val="24"/>
        </w:rPr>
        <w:lastRenderedPageBreak/>
        <w:t>traumatic stress disorder in children has been associated with delinquency, rationalised as losing the ability to regulate emotions as usual which is displayed in impulsivity and irritability</w:t>
      </w:r>
      <w:r w:rsidR="00456A25">
        <w:rPr>
          <w:rFonts w:ascii="Garamond" w:eastAsia="Calibri" w:hAnsi="Garamond" w:cs="Calibri"/>
          <w:sz w:val="24"/>
          <w:szCs w:val="24"/>
        </w:rPr>
        <w:t xml:space="preserve"> </w:t>
      </w:r>
      <w:r w:rsidRPr="00961FE2">
        <w:rPr>
          <w:rFonts w:ascii="Garamond" w:eastAsia="Calibri" w:hAnsi="Garamond" w:cs="Calibri"/>
          <w:sz w:val="24"/>
          <w:szCs w:val="24"/>
        </w:rPr>
        <w:t>(Kerig and Becker, 2010)</w:t>
      </w:r>
      <w:r w:rsidR="00456A25">
        <w:rPr>
          <w:rFonts w:ascii="Garamond" w:eastAsia="Calibri" w:hAnsi="Garamond" w:cs="Calibri"/>
          <w:sz w:val="24"/>
          <w:szCs w:val="24"/>
        </w:rPr>
        <w:t xml:space="preserve">. </w:t>
      </w:r>
      <w:r w:rsidRPr="00961FE2">
        <w:rPr>
          <w:rFonts w:ascii="Garamond" w:eastAsia="Calibri" w:hAnsi="Garamond" w:cs="Calibri"/>
          <w:sz w:val="24"/>
          <w:szCs w:val="24"/>
        </w:rPr>
        <w:t>Besides post-traumatic stress, Asscher</w:t>
      </w:r>
      <w:r w:rsidR="00456A25">
        <w:rPr>
          <w:rFonts w:ascii="Garamond" w:eastAsia="Calibri" w:hAnsi="Garamond" w:cs="Calibri"/>
          <w:sz w:val="24"/>
          <w:szCs w:val="24"/>
        </w:rPr>
        <w:t xml:space="preserve"> and colleagues </w:t>
      </w:r>
      <w:r w:rsidRPr="00961FE2">
        <w:rPr>
          <w:rFonts w:ascii="Garamond" w:eastAsia="Calibri" w:hAnsi="Garamond" w:cs="Calibri"/>
          <w:sz w:val="24"/>
          <w:szCs w:val="24"/>
        </w:rPr>
        <w:t>discuss the inability a child who has experienced abuse has in identifying and reacting to risk (2015)</w:t>
      </w:r>
      <w:r w:rsidR="00456A25">
        <w:rPr>
          <w:rFonts w:ascii="Garamond" w:eastAsia="Calibri" w:hAnsi="Garamond" w:cs="Calibri"/>
          <w:sz w:val="24"/>
          <w:szCs w:val="24"/>
        </w:rPr>
        <w:t>.</w:t>
      </w:r>
      <w:r w:rsidRPr="00961FE2">
        <w:rPr>
          <w:rFonts w:ascii="Garamond" w:eastAsia="Calibri" w:hAnsi="Garamond" w:cs="Calibri"/>
          <w:sz w:val="24"/>
          <w:szCs w:val="24"/>
        </w:rPr>
        <w:t xml:space="preserve"> They suggest delinquency as a coping mechanism or learned response in risky situations.</w:t>
      </w:r>
    </w:p>
    <w:p w14:paraId="4C7A7E77" w14:textId="77777777" w:rsidR="000C12E6" w:rsidRPr="00961FE2" w:rsidRDefault="000C12E6" w:rsidP="002C4CA7">
      <w:pPr>
        <w:spacing w:line="480" w:lineRule="auto"/>
        <w:rPr>
          <w:rFonts w:ascii="Garamond" w:eastAsia="Calibri" w:hAnsi="Garamond" w:cs="Calibri"/>
          <w:sz w:val="24"/>
          <w:szCs w:val="24"/>
        </w:rPr>
      </w:pPr>
    </w:p>
    <w:p w14:paraId="1252827C" w14:textId="5A608AE1" w:rsidR="000C12E6" w:rsidRPr="00961FE2" w:rsidRDefault="000C12E6" w:rsidP="002C4CA7">
      <w:pPr>
        <w:spacing w:line="480" w:lineRule="auto"/>
        <w:rPr>
          <w:rFonts w:ascii="Garamond" w:eastAsia="Calibri" w:hAnsi="Garamond" w:cs="Calibri"/>
          <w:sz w:val="24"/>
          <w:szCs w:val="24"/>
        </w:rPr>
      </w:pPr>
      <w:r w:rsidRPr="00961FE2">
        <w:rPr>
          <w:rFonts w:ascii="Garamond" w:eastAsia="Calibri" w:hAnsi="Garamond" w:cs="Calibri"/>
          <w:sz w:val="24"/>
          <w:szCs w:val="24"/>
        </w:rPr>
        <w:t>Victim Support (VS) is the primary charity who support victims of crime in England and Wales. They provide support and help to victims at no cost, including specialist services relating to specific crime/victim types</w:t>
      </w:r>
      <w:r w:rsidR="00456A25">
        <w:rPr>
          <w:rFonts w:ascii="Garamond" w:eastAsia="Calibri" w:hAnsi="Garamond" w:cs="Calibri"/>
          <w:sz w:val="24"/>
          <w:szCs w:val="24"/>
        </w:rPr>
        <w:t xml:space="preserve"> </w:t>
      </w:r>
      <w:r w:rsidRPr="00961FE2">
        <w:rPr>
          <w:rFonts w:ascii="Garamond" w:eastAsia="Calibri" w:hAnsi="Garamond" w:cs="Calibri"/>
          <w:sz w:val="24"/>
          <w:szCs w:val="24"/>
        </w:rPr>
        <w:t>(Dinisman and Moroz, 2017)</w:t>
      </w:r>
      <w:r w:rsidR="00456A25">
        <w:rPr>
          <w:rFonts w:ascii="Garamond" w:eastAsia="Calibri" w:hAnsi="Garamond" w:cs="Calibri"/>
          <w:sz w:val="24"/>
          <w:szCs w:val="24"/>
        </w:rPr>
        <w:t>.</w:t>
      </w:r>
      <w:r w:rsidRPr="00961FE2">
        <w:rPr>
          <w:rFonts w:ascii="Garamond" w:eastAsia="Calibri" w:hAnsi="Garamond" w:cs="Calibri"/>
          <w:sz w:val="24"/>
          <w:szCs w:val="24"/>
        </w:rPr>
        <w:t xml:space="preserve"> From their vast experience and familiarity with research, VS have gained an insight into the effects of crime on victims. They refer to a 2015 study completed by the ONS which recorded 81% of victims of violent crime being affected emotionally (Dinisman and Moroz, 2017)</w:t>
      </w:r>
      <w:r w:rsidR="00456A25">
        <w:rPr>
          <w:rFonts w:ascii="Garamond" w:eastAsia="Calibri" w:hAnsi="Garamond" w:cs="Calibri"/>
          <w:sz w:val="24"/>
          <w:szCs w:val="24"/>
        </w:rPr>
        <w:t>.</w:t>
      </w:r>
      <w:r w:rsidRPr="00961FE2">
        <w:rPr>
          <w:rFonts w:ascii="Garamond" w:eastAsia="Calibri" w:hAnsi="Garamond" w:cs="Calibri"/>
          <w:sz w:val="24"/>
          <w:szCs w:val="24"/>
        </w:rPr>
        <w:t xml:space="preserve"> </w:t>
      </w:r>
      <w:r w:rsidR="00456A25">
        <w:rPr>
          <w:rFonts w:ascii="Garamond" w:eastAsia="Calibri" w:hAnsi="Garamond" w:cs="Calibri"/>
          <w:sz w:val="24"/>
          <w:szCs w:val="24"/>
        </w:rPr>
        <w:t>V</w:t>
      </w:r>
      <w:r w:rsidRPr="00961FE2">
        <w:rPr>
          <w:rFonts w:ascii="Garamond" w:eastAsia="Calibri" w:hAnsi="Garamond" w:cs="Calibri"/>
          <w:sz w:val="24"/>
          <w:szCs w:val="24"/>
        </w:rPr>
        <w:t>ictims</w:t>
      </w:r>
      <w:r w:rsidR="00456A25">
        <w:rPr>
          <w:rFonts w:ascii="Garamond" w:eastAsia="Calibri" w:hAnsi="Garamond" w:cs="Calibri"/>
          <w:sz w:val="24"/>
          <w:szCs w:val="24"/>
        </w:rPr>
        <w:t xml:space="preserve"> may</w:t>
      </w:r>
      <w:r w:rsidRPr="00961FE2">
        <w:rPr>
          <w:rFonts w:ascii="Garamond" w:eastAsia="Calibri" w:hAnsi="Garamond" w:cs="Calibri"/>
          <w:sz w:val="24"/>
          <w:szCs w:val="24"/>
        </w:rPr>
        <w:t xml:space="preserve"> experience self-blame, denial, shock, shame and worry</w:t>
      </w:r>
      <w:r w:rsidR="00456A25">
        <w:rPr>
          <w:rFonts w:ascii="Garamond" w:eastAsia="Calibri" w:hAnsi="Garamond" w:cs="Calibri"/>
          <w:sz w:val="24"/>
          <w:szCs w:val="24"/>
        </w:rPr>
        <w:t xml:space="preserve"> </w:t>
      </w:r>
      <w:r w:rsidRPr="00961FE2">
        <w:rPr>
          <w:rFonts w:ascii="Garamond" w:eastAsia="Calibri" w:hAnsi="Garamond" w:cs="Calibri"/>
          <w:sz w:val="24"/>
          <w:szCs w:val="24"/>
        </w:rPr>
        <w:t>(Pg. 4)</w:t>
      </w:r>
      <w:r w:rsidR="00456A25">
        <w:rPr>
          <w:rFonts w:ascii="Garamond" w:eastAsia="Calibri" w:hAnsi="Garamond" w:cs="Calibri"/>
          <w:sz w:val="24"/>
          <w:szCs w:val="24"/>
        </w:rPr>
        <w:t>.</w:t>
      </w:r>
      <w:r w:rsidRPr="00961FE2">
        <w:rPr>
          <w:rFonts w:ascii="Garamond" w:eastAsia="Calibri" w:hAnsi="Garamond" w:cs="Calibri"/>
          <w:sz w:val="24"/>
          <w:szCs w:val="24"/>
        </w:rPr>
        <w:t xml:space="preserve"> These effects can be long term in some cases. </w:t>
      </w:r>
      <w:r w:rsidR="00456A25">
        <w:rPr>
          <w:rFonts w:ascii="Garamond" w:eastAsia="Calibri" w:hAnsi="Garamond" w:cs="Calibri"/>
          <w:sz w:val="24"/>
          <w:szCs w:val="24"/>
        </w:rPr>
        <w:t>Victimisation can result in effects on an individual’s physical and mental health.</w:t>
      </w:r>
      <w:r w:rsidRPr="00961FE2">
        <w:rPr>
          <w:rFonts w:ascii="Garamond" w:eastAsia="Calibri" w:hAnsi="Garamond" w:cs="Calibri"/>
          <w:sz w:val="24"/>
          <w:szCs w:val="24"/>
        </w:rPr>
        <w:t xml:space="preserve"> </w:t>
      </w:r>
    </w:p>
    <w:p w14:paraId="02648E11" w14:textId="77777777" w:rsidR="000C12E6" w:rsidRPr="00961FE2" w:rsidRDefault="000C12E6" w:rsidP="002C4CA7">
      <w:pPr>
        <w:spacing w:line="480" w:lineRule="auto"/>
        <w:rPr>
          <w:rFonts w:ascii="Garamond" w:eastAsia="Calibri" w:hAnsi="Garamond" w:cs="Calibri"/>
          <w:sz w:val="24"/>
          <w:szCs w:val="24"/>
        </w:rPr>
      </w:pPr>
    </w:p>
    <w:p w14:paraId="66AACC6F" w14:textId="2DCC1A6A" w:rsidR="000C12E6" w:rsidRDefault="000C12E6" w:rsidP="002C4CA7">
      <w:pPr>
        <w:spacing w:line="480" w:lineRule="auto"/>
        <w:rPr>
          <w:rFonts w:ascii="Garamond" w:eastAsia="Calibri" w:hAnsi="Garamond" w:cs="Calibri"/>
          <w:sz w:val="24"/>
          <w:szCs w:val="24"/>
        </w:rPr>
      </w:pPr>
      <w:r w:rsidRPr="00961FE2">
        <w:rPr>
          <w:rFonts w:ascii="Garamond" w:eastAsia="Calibri" w:hAnsi="Garamond" w:cs="Calibri"/>
          <w:sz w:val="24"/>
          <w:szCs w:val="24"/>
        </w:rPr>
        <w:t>There are over 4500 organised crime groups (OCG) in the UK costing the government upwards of £2.9b</w:t>
      </w:r>
      <w:r w:rsidR="00456A25">
        <w:rPr>
          <w:rFonts w:ascii="Garamond" w:eastAsia="Calibri" w:hAnsi="Garamond" w:cs="Calibri"/>
          <w:sz w:val="24"/>
          <w:szCs w:val="24"/>
        </w:rPr>
        <w:t xml:space="preserve">n </w:t>
      </w:r>
      <w:r w:rsidRPr="00961FE2">
        <w:rPr>
          <w:rFonts w:ascii="Garamond" w:eastAsia="Calibri" w:hAnsi="Garamond" w:cs="Calibri"/>
          <w:sz w:val="24"/>
          <w:szCs w:val="24"/>
        </w:rPr>
        <w:t>(Home Office, National Crime Agency, 2019)</w:t>
      </w:r>
      <w:r w:rsidR="00456A25">
        <w:rPr>
          <w:rFonts w:ascii="Garamond" w:eastAsia="Calibri" w:hAnsi="Garamond" w:cs="Calibri"/>
          <w:sz w:val="24"/>
          <w:szCs w:val="24"/>
        </w:rPr>
        <w:t>.</w:t>
      </w:r>
      <w:r w:rsidRPr="00961FE2">
        <w:rPr>
          <w:rFonts w:ascii="Garamond" w:eastAsia="Calibri" w:hAnsi="Garamond" w:cs="Calibri"/>
          <w:sz w:val="24"/>
          <w:szCs w:val="24"/>
        </w:rPr>
        <w:t xml:space="preserve"> Certain crime types are associated with these networks, such as human trafficking and child exploitation. </w:t>
      </w:r>
      <w:r w:rsidR="000B1468">
        <w:rPr>
          <w:rFonts w:ascii="Garamond" w:eastAsia="Calibri" w:hAnsi="Garamond" w:cs="Calibri"/>
          <w:sz w:val="24"/>
          <w:szCs w:val="24"/>
        </w:rPr>
        <w:t>V</w:t>
      </w:r>
      <w:r w:rsidRPr="00961FE2">
        <w:rPr>
          <w:rFonts w:ascii="Garamond" w:eastAsia="Calibri" w:hAnsi="Garamond" w:cs="Calibri"/>
          <w:sz w:val="24"/>
          <w:szCs w:val="24"/>
        </w:rPr>
        <w:t xml:space="preserve">ictims can be children or vulnerable adults requiring particular care and protection. These cases are identified as public protection issues and are handled by the associated departments within a police force or by Regional Organised Crime Units. </w:t>
      </w:r>
    </w:p>
    <w:p w14:paraId="0A1E194C" w14:textId="77777777" w:rsidR="000B1468" w:rsidRPr="00961FE2" w:rsidRDefault="000B1468" w:rsidP="002C4CA7">
      <w:pPr>
        <w:spacing w:line="480" w:lineRule="auto"/>
        <w:rPr>
          <w:rFonts w:ascii="Garamond" w:eastAsia="Calibri" w:hAnsi="Garamond" w:cs="Calibri"/>
          <w:sz w:val="24"/>
          <w:szCs w:val="24"/>
        </w:rPr>
      </w:pPr>
    </w:p>
    <w:p w14:paraId="4171A940" w14:textId="0694C8B1" w:rsidR="000C12E6" w:rsidRPr="00961FE2" w:rsidRDefault="000C12E6" w:rsidP="002C4CA7">
      <w:pPr>
        <w:spacing w:line="480" w:lineRule="auto"/>
        <w:rPr>
          <w:rFonts w:ascii="Garamond" w:eastAsia="Calibri" w:hAnsi="Garamond" w:cs="Calibri"/>
          <w:sz w:val="24"/>
          <w:szCs w:val="24"/>
        </w:rPr>
      </w:pPr>
      <w:r w:rsidRPr="00961FE2">
        <w:rPr>
          <w:rFonts w:ascii="Garamond" w:eastAsia="Calibri" w:hAnsi="Garamond" w:cs="Calibri"/>
          <w:sz w:val="24"/>
          <w:szCs w:val="24"/>
        </w:rPr>
        <w:t xml:space="preserve">Crime statistics record a 9% increase in sexual crimes committed against under 16-year-olds from 2017 to 2018 and a 36% increase in possible </w:t>
      </w:r>
      <w:r w:rsidR="00961FE2" w:rsidRPr="00961FE2">
        <w:rPr>
          <w:rFonts w:ascii="Garamond" w:eastAsia="Calibri" w:hAnsi="Garamond" w:cs="Calibri"/>
          <w:sz w:val="24"/>
          <w:szCs w:val="24"/>
        </w:rPr>
        <w:t>modern-day</w:t>
      </w:r>
      <w:r w:rsidRPr="00961FE2">
        <w:rPr>
          <w:rFonts w:ascii="Garamond" w:eastAsia="Calibri" w:hAnsi="Garamond" w:cs="Calibri"/>
          <w:sz w:val="24"/>
          <w:szCs w:val="24"/>
        </w:rPr>
        <w:t xml:space="preserve"> slavery/trafficking victims (Home Office, National Crime Agency, 2019)</w:t>
      </w:r>
      <w:r w:rsidR="00456A25">
        <w:rPr>
          <w:rFonts w:ascii="Garamond" w:eastAsia="Calibri" w:hAnsi="Garamond" w:cs="Calibri"/>
          <w:sz w:val="24"/>
          <w:szCs w:val="24"/>
        </w:rPr>
        <w:t>.</w:t>
      </w:r>
      <w:r w:rsidRPr="00961FE2">
        <w:rPr>
          <w:rFonts w:ascii="Garamond" w:eastAsia="Calibri" w:hAnsi="Garamond" w:cs="Calibri"/>
          <w:sz w:val="24"/>
          <w:szCs w:val="24"/>
        </w:rPr>
        <w:t xml:space="preserve"> These statistics show the need for police </w:t>
      </w:r>
      <w:r w:rsidRPr="00961FE2">
        <w:rPr>
          <w:rFonts w:ascii="Garamond" w:eastAsia="Calibri" w:hAnsi="Garamond" w:cs="Calibri"/>
          <w:sz w:val="24"/>
          <w:szCs w:val="24"/>
        </w:rPr>
        <w:lastRenderedPageBreak/>
        <w:t>departments with a focus on public protection. Disruption of OCGs would mean the prevention of crime towards those who are vulnerab</w:t>
      </w:r>
      <w:r w:rsidR="000B1468">
        <w:rPr>
          <w:rFonts w:ascii="Garamond" w:eastAsia="Calibri" w:hAnsi="Garamond" w:cs="Calibri"/>
          <w:sz w:val="24"/>
          <w:szCs w:val="24"/>
        </w:rPr>
        <w:t>le.</w:t>
      </w:r>
    </w:p>
    <w:p w14:paraId="4076CE72" w14:textId="77777777" w:rsidR="000C12E6" w:rsidRPr="00961FE2" w:rsidRDefault="000C12E6" w:rsidP="002C4CA7">
      <w:pPr>
        <w:spacing w:line="480" w:lineRule="auto"/>
        <w:rPr>
          <w:rFonts w:ascii="Garamond" w:eastAsia="Calibri" w:hAnsi="Garamond" w:cs="Calibri"/>
          <w:sz w:val="24"/>
          <w:szCs w:val="24"/>
        </w:rPr>
      </w:pPr>
    </w:p>
    <w:p w14:paraId="28DACF38" w14:textId="3EA6145E" w:rsidR="000C12E6" w:rsidRPr="00961FE2" w:rsidRDefault="000C12E6" w:rsidP="002C4CA7">
      <w:pPr>
        <w:spacing w:line="480" w:lineRule="auto"/>
        <w:rPr>
          <w:rFonts w:ascii="Garamond" w:eastAsia="Calibri" w:hAnsi="Garamond" w:cs="Calibri"/>
          <w:sz w:val="24"/>
          <w:szCs w:val="24"/>
        </w:rPr>
      </w:pPr>
      <w:r w:rsidRPr="00961FE2">
        <w:rPr>
          <w:rFonts w:ascii="Garamond" w:eastAsia="Calibri" w:hAnsi="Garamond" w:cs="Calibri"/>
          <w:sz w:val="24"/>
          <w:szCs w:val="24"/>
        </w:rPr>
        <w:t>The Criminal Justice Act 2003 established Multi-Agency Public Protection Arrangements</w:t>
      </w:r>
      <w:r w:rsidR="00456A25">
        <w:rPr>
          <w:rFonts w:ascii="Garamond" w:eastAsia="Calibri" w:hAnsi="Garamond" w:cs="Calibri"/>
          <w:sz w:val="24"/>
          <w:szCs w:val="24"/>
        </w:rPr>
        <w:t xml:space="preserve"> (MAPPA)</w:t>
      </w:r>
      <w:r w:rsidRPr="00961FE2">
        <w:rPr>
          <w:rFonts w:ascii="Garamond" w:eastAsia="Calibri" w:hAnsi="Garamond" w:cs="Calibri"/>
          <w:sz w:val="24"/>
          <w:szCs w:val="24"/>
        </w:rPr>
        <w:t>. These exist to protect the public from sexual and violent offenders via a multi-agency approach (Ministry of Justice, National Offender Management Service, 2012)</w:t>
      </w:r>
      <w:r w:rsidR="00456A25">
        <w:rPr>
          <w:rFonts w:ascii="Garamond" w:eastAsia="Calibri" w:hAnsi="Garamond" w:cs="Calibri"/>
          <w:sz w:val="24"/>
          <w:szCs w:val="24"/>
        </w:rPr>
        <w:t>.</w:t>
      </w:r>
      <w:r w:rsidRPr="00961FE2">
        <w:rPr>
          <w:rFonts w:ascii="Garamond" w:eastAsia="Calibri" w:hAnsi="Garamond" w:cs="Calibri"/>
          <w:sz w:val="24"/>
          <w:szCs w:val="24"/>
        </w:rPr>
        <w:t xml:space="preserve"> When an offender is identified as being suitable for MAPPA, they are risk assessed and managed by regular meetings with a particular agency. There are three levels</w:t>
      </w:r>
      <w:r w:rsidR="00456A25">
        <w:rPr>
          <w:rFonts w:ascii="Garamond" w:eastAsia="Calibri" w:hAnsi="Garamond" w:cs="Calibri"/>
          <w:sz w:val="24"/>
          <w:szCs w:val="24"/>
        </w:rPr>
        <w:t xml:space="preserve">: </w:t>
      </w:r>
      <w:r w:rsidRPr="00961FE2">
        <w:rPr>
          <w:rFonts w:ascii="Garamond" w:eastAsia="Calibri" w:hAnsi="Garamond" w:cs="Calibri"/>
          <w:sz w:val="24"/>
          <w:szCs w:val="24"/>
        </w:rPr>
        <w:t xml:space="preserve">1 - </w:t>
      </w:r>
      <w:r w:rsidR="00456A25">
        <w:rPr>
          <w:rFonts w:ascii="Garamond" w:eastAsia="Calibri" w:hAnsi="Garamond" w:cs="Calibri"/>
          <w:sz w:val="24"/>
          <w:szCs w:val="24"/>
        </w:rPr>
        <w:t>o</w:t>
      </w:r>
      <w:r w:rsidRPr="00961FE2">
        <w:rPr>
          <w:rFonts w:ascii="Garamond" w:eastAsia="Calibri" w:hAnsi="Garamond" w:cs="Calibri"/>
          <w:sz w:val="24"/>
          <w:szCs w:val="24"/>
        </w:rPr>
        <w:t>rdinary management</w:t>
      </w:r>
      <w:r w:rsidR="00456A25">
        <w:rPr>
          <w:rFonts w:ascii="Garamond" w:eastAsia="Calibri" w:hAnsi="Garamond" w:cs="Calibri"/>
          <w:sz w:val="24"/>
          <w:szCs w:val="24"/>
        </w:rPr>
        <w:t>;</w:t>
      </w:r>
      <w:r w:rsidRPr="00961FE2">
        <w:rPr>
          <w:rFonts w:ascii="Garamond" w:eastAsia="Calibri" w:hAnsi="Garamond" w:cs="Calibri"/>
          <w:sz w:val="24"/>
          <w:szCs w:val="24"/>
        </w:rPr>
        <w:t xml:space="preserve"> 2 - active multi-agency management</w:t>
      </w:r>
      <w:r w:rsidR="00456A25">
        <w:rPr>
          <w:rFonts w:ascii="Garamond" w:eastAsia="Calibri" w:hAnsi="Garamond" w:cs="Calibri"/>
          <w:sz w:val="24"/>
          <w:szCs w:val="24"/>
        </w:rPr>
        <w:t>;</w:t>
      </w:r>
      <w:r w:rsidRPr="00961FE2">
        <w:rPr>
          <w:rFonts w:ascii="Garamond" w:eastAsia="Calibri" w:hAnsi="Garamond" w:cs="Calibri"/>
          <w:sz w:val="24"/>
          <w:szCs w:val="24"/>
        </w:rPr>
        <w:t xml:space="preserve"> and 3 – active multi-agency management with senior officers involved. Higher levels are associated with higher risk. As with any multi-agency work, good information sharing is essential to ensure efficiency. With MAPPA, ViSOR is used, a central database with information regarding offenders. This should be used by forces to keep local officers aware of sex offenders in their area so they can accurately manage risk. </w:t>
      </w:r>
    </w:p>
    <w:p w14:paraId="6D4C6F15" w14:textId="77777777" w:rsidR="000C12E6" w:rsidRPr="00961FE2" w:rsidRDefault="000C12E6" w:rsidP="002C4CA7">
      <w:pPr>
        <w:spacing w:line="480" w:lineRule="auto"/>
        <w:rPr>
          <w:rFonts w:ascii="Garamond" w:eastAsia="Calibri" w:hAnsi="Garamond" w:cs="Calibri"/>
          <w:sz w:val="24"/>
          <w:szCs w:val="24"/>
        </w:rPr>
      </w:pPr>
    </w:p>
    <w:p w14:paraId="284E6D5E" w14:textId="046842AD" w:rsidR="000C12E6" w:rsidRPr="00961FE2" w:rsidRDefault="000C12E6" w:rsidP="002C4CA7">
      <w:pPr>
        <w:spacing w:line="480" w:lineRule="auto"/>
        <w:rPr>
          <w:rFonts w:ascii="Garamond" w:eastAsia="Calibri" w:hAnsi="Garamond" w:cs="Calibri"/>
          <w:sz w:val="24"/>
          <w:szCs w:val="24"/>
        </w:rPr>
      </w:pPr>
      <w:r w:rsidRPr="00961FE2">
        <w:rPr>
          <w:rFonts w:ascii="Garamond" w:eastAsia="Calibri" w:hAnsi="Garamond" w:cs="Calibri"/>
          <w:sz w:val="24"/>
          <w:szCs w:val="24"/>
        </w:rPr>
        <w:t xml:space="preserve">In conclusion, the meaning of the term victim has been explored, considering how the connotations that go with the term may cause some agencies and even officers to respond differently. The impact of crime upon victims has been explored briefly along with some discussion around victims of serious organised crime. </w:t>
      </w:r>
    </w:p>
    <w:p w14:paraId="63C688FC" w14:textId="77777777" w:rsidR="000C12E6" w:rsidRPr="00961FE2" w:rsidRDefault="000C12E6" w:rsidP="002C4CA7">
      <w:pPr>
        <w:spacing w:line="480" w:lineRule="auto"/>
        <w:rPr>
          <w:rFonts w:ascii="Garamond" w:eastAsia="Calibri" w:hAnsi="Garamond" w:cs="Calibri"/>
          <w:sz w:val="24"/>
          <w:szCs w:val="24"/>
        </w:rPr>
      </w:pPr>
    </w:p>
    <w:p w14:paraId="52822395" w14:textId="77777777" w:rsidR="000C12E6" w:rsidRPr="00961FE2" w:rsidRDefault="000C12E6" w:rsidP="002C4CA7">
      <w:pPr>
        <w:spacing w:line="480" w:lineRule="auto"/>
        <w:rPr>
          <w:rFonts w:ascii="Garamond" w:eastAsia="Calibri" w:hAnsi="Garamond" w:cs="Calibri"/>
          <w:sz w:val="24"/>
          <w:szCs w:val="24"/>
        </w:rPr>
      </w:pPr>
    </w:p>
    <w:p w14:paraId="659BE484" w14:textId="77777777" w:rsidR="000C12E6" w:rsidRPr="00961FE2" w:rsidRDefault="000C12E6" w:rsidP="002C4CA7">
      <w:pPr>
        <w:spacing w:line="480" w:lineRule="auto"/>
        <w:rPr>
          <w:rFonts w:ascii="Garamond" w:eastAsia="Calibri" w:hAnsi="Garamond" w:cs="Calibri"/>
          <w:sz w:val="24"/>
          <w:szCs w:val="24"/>
        </w:rPr>
      </w:pPr>
    </w:p>
    <w:p w14:paraId="03E6086C" w14:textId="77777777" w:rsidR="000C12E6" w:rsidRPr="00961FE2" w:rsidRDefault="000C12E6" w:rsidP="002C4CA7">
      <w:pPr>
        <w:spacing w:line="480" w:lineRule="auto"/>
        <w:rPr>
          <w:rFonts w:ascii="Garamond" w:eastAsia="Calibri" w:hAnsi="Garamond" w:cs="Calibri"/>
          <w:sz w:val="24"/>
          <w:szCs w:val="24"/>
        </w:rPr>
      </w:pPr>
    </w:p>
    <w:p w14:paraId="17215789" w14:textId="77777777" w:rsidR="000C12E6" w:rsidRPr="00961FE2" w:rsidRDefault="000C12E6" w:rsidP="002C4CA7">
      <w:pPr>
        <w:spacing w:line="480" w:lineRule="auto"/>
        <w:rPr>
          <w:rFonts w:ascii="Garamond" w:eastAsia="Calibri" w:hAnsi="Garamond" w:cs="Calibri"/>
          <w:sz w:val="24"/>
          <w:szCs w:val="24"/>
        </w:rPr>
      </w:pPr>
    </w:p>
    <w:p w14:paraId="18525285" w14:textId="77777777" w:rsidR="000C12E6" w:rsidRPr="00961FE2" w:rsidRDefault="000C12E6" w:rsidP="002C4CA7">
      <w:pPr>
        <w:spacing w:line="480" w:lineRule="auto"/>
        <w:rPr>
          <w:rFonts w:ascii="Garamond" w:eastAsia="Calibri" w:hAnsi="Garamond" w:cs="Calibri"/>
          <w:sz w:val="24"/>
          <w:szCs w:val="24"/>
        </w:rPr>
      </w:pPr>
    </w:p>
    <w:p w14:paraId="5F67EAC1" w14:textId="77777777" w:rsidR="000C12E6" w:rsidRPr="00961FE2" w:rsidRDefault="000C12E6" w:rsidP="002C4CA7">
      <w:pPr>
        <w:spacing w:line="480" w:lineRule="auto"/>
        <w:rPr>
          <w:rFonts w:ascii="Garamond" w:eastAsia="Calibri" w:hAnsi="Garamond" w:cs="Calibri"/>
          <w:sz w:val="24"/>
          <w:szCs w:val="24"/>
        </w:rPr>
      </w:pPr>
    </w:p>
    <w:p w14:paraId="67333C6D" w14:textId="77777777" w:rsidR="000C12E6" w:rsidRPr="00961FE2" w:rsidRDefault="000C12E6" w:rsidP="002C4CA7">
      <w:pPr>
        <w:spacing w:line="480" w:lineRule="auto"/>
        <w:rPr>
          <w:rFonts w:ascii="Garamond" w:eastAsia="Calibri" w:hAnsi="Garamond" w:cs="Calibri"/>
          <w:sz w:val="24"/>
          <w:szCs w:val="24"/>
        </w:rPr>
      </w:pPr>
    </w:p>
    <w:p w14:paraId="68500BFE" w14:textId="7F5CCCEB" w:rsidR="000B1468" w:rsidRDefault="002C4CA7" w:rsidP="002C4CA7">
      <w:pPr>
        <w:spacing w:line="480" w:lineRule="auto"/>
        <w:rPr>
          <w:rFonts w:ascii="Garamond" w:eastAsia="Calibri" w:hAnsi="Garamond" w:cs="Calibri"/>
          <w:sz w:val="24"/>
          <w:szCs w:val="24"/>
        </w:rPr>
      </w:pPr>
      <w:r>
        <w:rPr>
          <w:rFonts w:ascii="Garamond" w:eastAsia="Calibri" w:hAnsi="Garamond" w:cs="Calibri"/>
          <w:sz w:val="24"/>
          <w:szCs w:val="24"/>
        </w:rPr>
        <w:lastRenderedPageBreak/>
        <w:t>5.</w:t>
      </w:r>
    </w:p>
    <w:p w14:paraId="039CA9E4" w14:textId="77777777" w:rsidR="00DF1EF9" w:rsidRPr="00DF1EF9" w:rsidRDefault="00DF1EF9" w:rsidP="002C4CA7">
      <w:pPr>
        <w:spacing w:line="480" w:lineRule="auto"/>
        <w:rPr>
          <w:rFonts w:ascii="Garamond" w:eastAsia="Calibri" w:hAnsi="Garamond" w:cs="Calibri"/>
          <w:sz w:val="26"/>
          <w:szCs w:val="26"/>
          <w:u w:val="single"/>
        </w:rPr>
      </w:pPr>
      <w:r w:rsidRPr="00DF1EF9">
        <w:rPr>
          <w:rFonts w:ascii="Garamond" w:eastAsia="Calibri" w:hAnsi="Garamond" w:cs="Calibri"/>
          <w:sz w:val="26"/>
          <w:szCs w:val="26"/>
          <w:u w:val="single"/>
        </w:rPr>
        <w:t xml:space="preserve">Critically analyse the concept of evidence-based policing and ‘what works’ in policing evaluating crime prevention theories and strategies and considering the options open to reduce re offending. </w:t>
      </w:r>
    </w:p>
    <w:p w14:paraId="1CD8F3B7" w14:textId="0BF73A1E" w:rsidR="00C8065A" w:rsidRPr="00705EC9" w:rsidRDefault="00C8065A" w:rsidP="002C4CA7">
      <w:pPr>
        <w:spacing w:line="480" w:lineRule="auto"/>
        <w:rPr>
          <w:rFonts w:ascii="Garamond" w:eastAsia="Calibri" w:hAnsi="Garamond" w:cs="Calibri"/>
          <w:sz w:val="28"/>
          <w:szCs w:val="28"/>
          <w:u w:val="single"/>
        </w:rPr>
      </w:pPr>
    </w:p>
    <w:p w14:paraId="7F13DC61" w14:textId="5E7763E4" w:rsidR="000C12E6" w:rsidRPr="00961FE2" w:rsidRDefault="000C12E6" w:rsidP="002C4CA7">
      <w:pPr>
        <w:spacing w:line="480" w:lineRule="auto"/>
        <w:rPr>
          <w:rFonts w:ascii="Garamond" w:hAnsi="Garamond"/>
          <w:sz w:val="24"/>
          <w:szCs w:val="24"/>
        </w:rPr>
      </w:pPr>
      <w:r w:rsidRPr="00961FE2">
        <w:rPr>
          <w:rFonts w:ascii="Garamond" w:hAnsi="Garamond"/>
          <w:sz w:val="24"/>
          <w:szCs w:val="24"/>
        </w:rPr>
        <w:t>This report will analyse the concept of evidence-based policing, detailing what it is and how it is designed to function. Crime prevention theories will be discussed as well as options of attempting to reduce reoffending amongst criminals. These discussions will be brief due to the limits present.</w:t>
      </w:r>
    </w:p>
    <w:p w14:paraId="37FA743E" w14:textId="77777777" w:rsidR="000C12E6" w:rsidRPr="00961FE2" w:rsidRDefault="000C12E6" w:rsidP="002C4CA7">
      <w:pPr>
        <w:spacing w:line="480" w:lineRule="auto"/>
        <w:rPr>
          <w:rFonts w:ascii="Garamond" w:hAnsi="Garamond"/>
          <w:sz w:val="24"/>
          <w:szCs w:val="24"/>
        </w:rPr>
      </w:pPr>
    </w:p>
    <w:p w14:paraId="6B763574" w14:textId="71F0D50F" w:rsidR="000C12E6" w:rsidRPr="00961FE2" w:rsidRDefault="000C12E6" w:rsidP="002C4CA7">
      <w:pPr>
        <w:spacing w:line="480" w:lineRule="auto"/>
        <w:rPr>
          <w:rFonts w:ascii="Garamond" w:hAnsi="Garamond"/>
          <w:sz w:val="24"/>
          <w:szCs w:val="24"/>
        </w:rPr>
      </w:pPr>
      <w:r w:rsidRPr="00961FE2">
        <w:rPr>
          <w:rFonts w:ascii="Garamond" w:hAnsi="Garamond"/>
          <w:sz w:val="24"/>
          <w:szCs w:val="24"/>
        </w:rPr>
        <w:t xml:space="preserve">Prior to analysing evidence-based policing, an understanding should be reached about what it is. The </w:t>
      </w:r>
      <w:r w:rsidR="000B1468">
        <w:rPr>
          <w:rFonts w:ascii="Garamond" w:hAnsi="Garamond"/>
          <w:sz w:val="24"/>
          <w:szCs w:val="24"/>
        </w:rPr>
        <w:t>C</w:t>
      </w:r>
      <w:r w:rsidRPr="00961FE2">
        <w:rPr>
          <w:rFonts w:ascii="Garamond" w:hAnsi="Garamond"/>
          <w:sz w:val="24"/>
          <w:szCs w:val="24"/>
        </w:rPr>
        <w:t xml:space="preserve">ollege of </w:t>
      </w:r>
      <w:r w:rsidR="000B1468">
        <w:rPr>
          <w:rFonts w:ascii="Garamond" w:hAnsi="Garamond"/>
          <w:sz w:val="24"/>
          <w:szCs w:val="24"/>
        </w:rPr>
        <w:t>P</w:t>
      </w:r>
      <w:r w:rsidRPr="00961FE2">
        <w:rPr>
          <w:rFonts w:ascii="Garamond" w:hAnsi="Garamond"/>
          <w:sz w:val="24"/>
          <w:szCs w:val="24"/>
        </w:rPr>
        <w:t xml:space="preserve">olicing provides </w:t>
      </w:r>
      <w:r w:rsidR="000B1468">
        <w:rPr>
          <w:rFonts w:ascii="Garamond" w:hAnsi="Garamond"/>
          <w:sz w:val="24"/>
          <w:szCs w:val="24"/>
        </w:rPr>
        <w:t>an</w:t>
      </w:r>
      <w:r w:rsidRPr="00961FE2">
        <w:rPr>
          <w:rFonts w:ascii="Garamond" w:hAnsi="Garamond"/>
          <w:sz w:val="24"/>
          <w:szCs w:val="24"/>
        </w:rPr>
        <w:t xml:space="preserve"> understanding of what evidence-based policing is on their website, describing it as when “police officers and staff create, review and use the best available evidence to inform and challenge policies, practices and decisions.” (College of Policing, 2021)</w:t>
      </w:r>
      <w:r w:rsidR="000B1468">
        <w:rPr>
          <w:rFonts w:ascii="Garamond" w:hAnsi="Garamond"/>
          <w:sz w:val="24"/>
          <w:szCs w:val="24"/>
        </w:rPr>
        <w:t>.</w:t>
      </w:r>
      <w:r w:rsidRPr="00961FE2">
        <w:rPr>
          <w:rFonts w:ascii="Garamond" w:hAnsi="Garamond"/>
          <w:sz w:val="24"/>
          <w:szCs w:val="24"/>
        </w:rPr>
        <w:t xml:space="preserve"> The best available evidence is considered as research of a good quality that has been peer-reviewed and which is forthcoming with its shortcomings. From gathering and reviewing research a topic or issue can be thoroughly understood to know the effects and sources of certain problems. Furthermore, research can provide assistance in realising what methods are effective in tackling problems and in identifying which new initiatives are successful. The College of Policing make it clear that they do not view evidence-based policing as providing definitive answers for methods or procedures to be applied but is a basis for nurturing an attitude of asking questions, challenging existing approaches and looking for innovation (College of Policing, 2021)</w:t>
      </w:r>
      <w:r w:rsidR="000B1468">
        <w:rPr>
          <w:rFonts w:ascii="Garamond" w:hAnsi="Garamond"/>
          <w:sz w:val="24"/>
          <w:szCs w:val="24"/>
        </w:rPr>
        <w:t xml:space="preserve">. </w:t>
      </w:r>
      <w:r w:rsidRPr="00961FE2">
        <w:rPr>
          <w:rFonts w:ascii="Garamond" w:hAnsi="Garamond"/>
          <w:sz w:val="24"/>
          <w:szCs w:val="24"/>
        </w:rPr>
        <w:t xml:space="preserve">Evidence-based </w:t>
      </w:r>
      <w:r w:rsidR="000B1468">
        <w:rPr>
          <w:rFonts w:ascii="Garamond" w:hAnsi="Garamond"/>
          <w:sz w:val="24"/>
          <w:szCs w:val="24"/>
        </w:rPr>
        <w:t>p</w:t>
      </w:r>
      <w:r w:rsidRPr="00961FE2">
        <w:rPr>
          <w:rFonts w:ascii="Garamond" w:hAnsi="Garamond"/>
          <w:sz w:val="24"/>
          <w:szCs w:val="24"/>
        </w:rPr>
        <w:t xml:space="preserve">olicing was the concept of Lawrence Sherman, who describes it as using research in guiding methods and evaluating officers, a method </w:t>
      </w:r>
      <w:r w:rsidR="000B1468">
        <w:rPr>
          <w:rFonts w:ascii="Garamond" w:hAnsi="Garamond"/>
          <w:sz w:val="24"/>
          <w:szCs w:val="24"/>
        </w:rPr>
        <w:t xml:space="preserve">which </w:t>
      </w:r>
      <w:r w:rsidRPr="00961FE2">
        <w:rPr>
          <w:rFonts w:ascii="Garamond" w:hAnsi="Garamond"/>
          <w:sz w:val="24"/>
          <w:szCs w:val="24"/>
        </w:rPr>
        <w:t>has been more prominent within the field of medicine</w:t>
      </w:r>
      <w:r w:rsidR="000B1468">
        <w:rPr>
          <w:rFonts w:ascii="Garamond" w:hAnsi="Garamond"/>
          <w:sz w:val="24"/>
          <w:szCs w:val="24"/>
        </w:rPr>
        <w:t xml:space="preserve"> </w:t>
      </w:r>
      <w:r w:rsidRPr="00961FE2">
        <w:rPr>
          <w:rFonts w:ascii="Garamond" w:hAnsi="Garamond"/>
          <w:sz w:val="24"/>
          <w:szCs w:val="24"/>
        </w:rPr>
        <w:t>(Sherman, 1998)</w:t>
      </w:r>
      <w:r w:rsidR="000B1468">
        <w:rPr>
          <w:rFonts w:ascii="Garamond" w:hAnsi="Garamond"/>
          <w:sz w:val="24"/>
          <w:szCs w:val="24"/>
        </w:rPr>
        <w:t>.</w:t>
      </w:r>
      <w:r w:rsidRPr="00961FE2">
        <w:rPr>
          <w:rFonts w:ascii="Garamond" w:hAnsi="Garamond"/>
          <w:sz w:val="24"/>
          <w:szCs w:val="24"/>
        </w:rPr>
        <w:t xml:space="preserve">  </w:t>
      </w:r>
      <w:r w:rsidR="000B1468">
        <w:rPr>
          <w:rFonts w:ascii="Garamond" w:hAnsi="Garamond"/>
          <w:sz w:val="24"/>
          <w:szCs w:val="24"/>
        </w:rPr>
        <w:t>U</w:t>
      </w:r>
      <w:r w:rsidRPr="00961FE2">
        <w:rPr>
          <w:rFonts w:ascii="Garamond" w:hAnsi="Garamond"/>
          <w:sz w:val="24"/>
          <w:szCs w:val="24"/>
        </w:rPr>
        <w:t xml:space="preserve">sing “best evidence to shape the best </w:t>
      </w:r>
      <w:r w:rsidRPr="00961FE2">
        <w:rPr>
          <w:rFonts w:ascii="Garamond" w:hAnsi="Garamond"/>
          <w:sz w:val="24"/>
          <w:szCs w:val="24"/>
        </w:rPr>
        <w:lastRenderedPageBreak/>
        <w:t xml:space="preserve">practice” (Pg. 4) which is an ongoing process, </w:t>
      </w:r>
      <w:r w:rsidR="000B1468">
        <w:rPr>
          <w:rFonts w:ascii="Garamond" w:hAnsi="Garamond"/>
          <w:sz w:val="24"/>
          <w:szCs w:val="24"/>
        </w:rPr>
        <w:t xml:space="preserve">involves </w:t>
      </w:r>
      <w:r w:rsidRPr="00961FE2">
        <w:rPr>
          <w:rFonts w:ascii="Garamond" w:hAnsi="Garamond"/>
          <w:sz w:val="24"/>
          <w:szCs w:val="24"/>
        </w:rPr>
        <w:t xml:space="preserve">continually reassessing techniques and evaluating what works to determine what is done in the future. Sherman suggests that the method of re-evaluation has been missing from usual police practice but with the emergence of evaluation systems, there is the opportunity for police forces to become institutions of perpetual improvement. Some have referred to the method as a “what works” movement focused solely on tried assessments of crime deterrence interventions. (Lum and Koper, 2015) </w:t>
      </w:r>
    </w:p>
    <w:p w14:paraId="30ED8140" w14:textId="77777777" w:rsidR="000C12E6" w:rsidRPr="00961FE2" w:rsidRDefault="000C12E6" w:rsidP="002C4CA7">
      <w:pPr>
        <w:spacing w:line="480" w:lineRule="auto"/>
        <w:rPr>
          <w:rFonts w:ascii="Garamond" w:hAnsi="Garamond"/>
          <w:sz w:val="24"/>
          <w:szCs w:val="24"/>
        </w:rPr>
      </w:pPr>
    </w:p>
    <w:p w14:paraId="498390B7" w14:textId="6275FC5A" w:rsidR="000C12E6" w:rsidRDefault="000C12E6" w:rsidP="002C4CA7">
      <w:pPr>
        <w:spacing w:line="480" w:lineRule="auto"/>
        <w:rPr>
          <w:rFonts w:ascii="Garamond" w:hAnsi="Garamond"/>
          <w:sz w:val="24"/>
          <w:szCs w:val="24"/>
        </w:rPr>
      </w:pPr>
      <w:r w:rsidRPr="00961FE2">
        <w:rPr>
          <w:rFonts w:ascii="Garamond" w:hAnsi="Garamond"/>
          <w:sz w:val="24"/>
          <w:szCs w:val="24"/>
        </w:rPr>
        <w:t>If evidence-based policing advocates the use of research, is there research that supports this theory or evidence that it is a good approach? One question to ask is in relation to the use of the best available research or that of the highest quality in informing practice. How is such research determined? There are instances when interventions have been evaluated as being successful but from research that was “scientifically weak”</w:t>
      </w:r>
      <w:r w:rsidR="000B1468">
        <w:rPr>
          <w:rFonts w:ascii="Garamond" w:hAnsi="Garamond"/>
          <w:sz w:val="24"/>
          <w:szCs w:val="24"/>
        </w:rPr>
        <w:t xml:space="preserve"> </w:t>
      </w:r>
      <w:r w:rsidRPr="00961FE2">
        <w:rPr>
          <w:rFonts w:ascii="Garamond" w:hAnsi="Garamond"/>
          <w:sz w:val="24"/>
          <w:szCs w:val="24"/>
        </w:rPr>
        <w:t>(Lum and Koper, 2015)</w:t>
      </w:r>
      <w:r w:rsidR="000B1468">
        <w:rPr>
          <w:rFonts w:ascii="Garamond" w:hAnsi="Garamond"/>
          <w:sz w:val="24"/>
          <w:szCs w:val="24"/>
        </w:rPr>
        <w:t>.</w:t>
      </w:r>
      <w:r w:rsidRPr="00961FE2">
        <w:rPr>
          <w:rFonts w:ascii="Garamond" w:hAnsi="Garamond"/>
          <w:sz w:val="24"/>
          <w:szCs w:val="24"/>
        </w:rPr>
        <w:t xml:space="preserve"> This is one of the risks in evidence-based policing, that the justification for trying new methods may come from research of which the legitimacy is contested. When those making decisions about the methods being implemented might not have a good understanding surrounding research, this is a threat. In those cases, however, evidence-based policing can be conducted in-house on whether the research does appear to work or not. </w:t>
      </w:r>
    </w:p>
    <w:p w14:paraId="635F0706" w14:textId="77777777" w:rsidR="000B1468" w:rsidRPr="00961FE2" w:rsidRDefault="000B1468" w:rsidP="002C4CA7">
      <w:pPr>
        <w:spacing w:line="480" w:lineRule="auto"/>
        <w:rPr>
          <w:rFonts w:ascii="Garamond" w:hAnsi="Garamond"/>
          <w:sz w:val="24"/>
          <w:szCs w:val="24"/>
        </w:rPr>
      </w:pPr>
    </w:p>
    <w:p w14:paraId="5753A00F" w14:textId="6805954C" w:rsidR="000C12E6" w:rsidRPr="00961FE2" w:rsidRDefault="000C12E6" w:rsidP="002C4CA7">
      <w:pPr>
        <w:spacing w:line="480" w:lineRule="auto"/>
        <w:rPr>
          <w:rFonts w:ascii="Garamond" w:hAnsi="Garamond"/>
          <w:sz w:val="24"/>
          <w:szCs w:val="24"/>
        </w:rPr>
      </w:pPr>
      <w:r w:rsidRPr="00961FE2">
        <w:rPr>
          <w:rFonts w:ascii="Garamond" w:hAnsi="Garamond"/>
          <w:sz w:val="24"/>
          <w:szCs w:val="24"/>
        </w:rPr>
        <w:t xml:space="preserve">The concept of challenging existing methods and longstanding techniques is surely a beneficial aspect of evidence-based policing. A sceptical attitude towards tradition means testing procedures to ensure they do work. </w:t>
      </w:r>
      <w:r w:rsidR="000B1468">
        <w:rPr>
          <w:rFonts w:ascii="Garamond" w:hAnsi="Garamond"/>
          <w:sz w:val="24"/>
          <w:szCs w:val="24"/>
        </w:rPr>
        <w:t>D</w:t>
      </w:r>
      <w:r w:rsidRPr="00961FE2">
        <w:rPr>
          <w:rFonts w:ascii="Garamond" w:hAnsi="Garamond"/>
          <w:sz w:val="24"/>
          <w:szCs w:val="24"/>
        </w:rPr>
        <w:t xml:space="preserve">oing </w:t>
      </w:r>
      <w:proofErr w:type="gramStart"/>
      <w:r w:rsidRPr="00961FE2">
        <w:rPr>
          <w:rFonts w:ascii="Garamond" w:hAnsi="Garamond"/>
          <w:sz w:val="24"/>
          <w:szCs w:val="24"/>
        </w:rPr>
        <w:t>things</w:t>
      </w:r>
      <w:proofErr w:type="gramEnd"/>
      <w:r w:rsidRPr="00961FE2">
        <w:rPr>
          <w:rFonts w:ascii="Garamond" w:hAnsi="Garamond"/>
          <w:sz w:val="24"/>
          <w:szCs w:val="24"/>
        </w:rPr>
        <w:t xml:space="preserve"> the way they have always been done is not a good enough reason to continue doing so, if innovation can be evidenced as being more productive or achieving better results, then it should be embraced.</w:t>
      </w:r>
    </w:p>
    <w:p w14:paraId="3E3048A6" w14:textId="30B40034" w:rsidR="000C12E6" w:rsidRDefault="000C12E6" w:rsidP="002C4CA7">
      <w:pPr>
        <w:spacing w:line="480" w:lineRule="auto"/>
        <w:rPr>
          <w:rFonts w:ascii="Garamond" w:hAnsi="Garamond"/>
          <w:sz w:val="24"/>
          <w:szCs w:val="24"/>
        </w:rPr>
      </w:pPr>
      <w:r w:rsidRPr="00961FE2">
        <w:rPr>
          <w:rFonts w:ascii="Garamond" w:hAnsi="Garamond"/>
          <w:sz w:val="24"/>
          <w:szCs w:val="24"/>
        </w:rPr>
        <w:t xml:space="preserve">Another concern, raised by Bullock and Tilley (2006) is that some evidence can be tainted in the way it is presented, with the example given being that of government projects. In such cases, government sponsored reviews of programmes can be met with “denial, pretence and the </w:t>
      </w:r>
      <w:r w:rsidRPr="00961FE2">
        <w:rPr>
          <w:rFonts w:ascii="Garamond" w:hAnsi="Garamond"/>
          <w:sz w:val="24"/>
          <w:szCs w:val="24"/>
        </w:rPr>
        <w:lastRenderedPageBreak/>
        <w:t>selective presentation and use of evidence in support of political expediency” (Hope, 2004)</w:t>
      </w:r>
      <w:r w:rsidR="000B1468">
        <w:rPr>
          <w:rFonts w:ascii="Garamond" w:hAnsi="Garamond"/>
          <w:sz w:val="24"/>
          <w:szCs w:val="24"/>
        </w:rPr>
        <w:t>.</w:t>
      </w:r>
      <w:r w:rsidRPr="00961FE2">
        <w:rPr>
          <w:rFonts w:ascii="Garamond" w:hAnsi="Garamond"/>
          <w:sz w:val="24"/>
          <w:szCs w:val="24"/>
        </w:rPr>
        <w:t xml:space="preserve"> Essentially, the portrayal of findings from a study can be tainted by the authors trying to present a certain dialogue which can taint how studies are used in evidence-based policing.</w:t>
      </w:r>
    </w:p>
    <w:p w14:paraId="0478A974" w14:textId="77777777" w:rsidR="000B1468" w:rsidRPr="00961FE2" w:rsidRDefault="000B1468" w:rsidP="002C4CA7">
      <w:pPr>
        <w:spacing w:line="480" w:lineRule="auto"/>
        <w:rPr>
          <w:rFonts w:ascii="Garamond" w:hAnsi="Garamond"/>
          <w:sz w:val="24"/>
          <w:szCs w:val="24"/>
        </w:rPr>
      </w:pPr>
    </w:p>
    <w:p w14:paraId="5D5FE30B" w14:textId="37074893" w:rsidR="000C12E6" w:rsidRPr="00961FE2" w:rsidRDefault="000C12E6" w:rsidP="002C4CA7">
      <w:pPr>
        <w:spacing w:line="480" w:lineRule="auto"/>
        <w:rPr>
          <w:rFonts w:ascii="Garamond" w:hAnsi="Garamond"/>
          <w:sz w:val="24"/>
          <w:szCs w:val="24"/>
        </w:rPr>
      </w:pPr>
      <w:r w:rsidRPr="00961FE2">
        <w:rPr>
          <w:rFonts w:ascii="Garamond" w:hAnsi="Garamond"/>
          <w:sz w:val="24"/>
          <w:szCs w:val="24"/>
        </w:rPr>
        <w:t>Another criticism is the narrow focus that comes from emphasising “what works” as it ignores challenges faced by police organisations, fails to account for the complex demands placed on police decision makers</w:t>
      </w:r>
      <w:r w:rsidR="000B1468">
        <w:rPr>
          <w:rFonts w:ascii="Garamond" w:hAnsi="Garamond"/>
          <w:sz w:val="24"/>
          <w:szCs w:val="24"/>
        </w:rPr>
        <w:t>,</w:t>
      </w:r>
      <w:r w:rsidRPr="00961FE2">
        <w:rPr>
          <w:rFonts w:ascii="Garamond" w:hAnsi="Garamond"/>
          <w:sz w:val="24"/>
          <w:szCs w:val="24"/>
        </w:rPr>
        <w:t xml:space="preserve"> and does not always appreciate exactly what the nature of police work is like</w:t>
      </w:r>
      <w:r w:rsidR="000B1468">
        <w:rPr>
          <w:rFonts w:ascii="Garamond" w:hAnsi="Garamond"/>
          <w:sz w:val="24"/>
          <w:szCs w:val="24"/>
        </w:rPr>
        <w:t xml:space="preserve"> </w:t>
      </w:r>
      <w:r w:rsidRPr="00961FE2">
        <w:rPr>
          <w:rFonts w:ascii="Garamond" w:hAnsi="Garamond"/>
          <w:sz w:val="24"/>
          <w:szCs w:val="24"/>
        </w:rPr>
        <w:t>(van Dijk and Hoogewoning, 2015)</w:t>
      </w:r>
      <w:r w:rsidR="000B1468">
        <w:rPr>
          <w:rFonts w:ascii="Garamond" w:hAnsi="Garamond"/>
          <w:sz w:val="24"/>
          <w:szCs w:val="24"/>
        </w:rPr>
        <w:t>.</w:t>
      </w:r>
      <w:r w:rsidRPr="00961FE2">
        <w:rPr>
          <w:rFonts w:ascii="Garamond" w:hAnsi="Garamond"/>
          <w:sz w:val="24"/>
          <w:szCs w:val="24"/>
        </w:rPr>
        <w:t xml:space="preserve"> These writers go on to suggest a paradigm shift from </w:t>
      </w:r>
      <w:r w:rsidR="000B1468">
        <w:rPr>
          <w:rFonts w:ascii="Garamond" w:hAnsi="Garamond"/>
          <w:sz w:val="24"/>
          <w:szCs w:val="24"/>
        </w:rPr>
        <w:t>“</w:t>
      </w:r>
      <w:r w:rsidRPr="00961FE2">
        <w:rPr>
          <w:rFonts w:ascii="Garamond" w:hAnsi="Garamond"/>
          <w:sz w:val="24"/>
          <w:szCs w:val="24"/>
        </w:rPr>
        <w:t>what works</w:t>
      </w:r>
      <w:r w:rsidR="000B1468">
        <w:rPr>
          <w:rFonts w:ascii="Garamond" w:hAnsi="Garamond"/>
          <w:sz w:val="24"/>
          <w:szCs w:val="24"/>
        </w:rPr>
        <w:t>”</w:t>
      </w:r>
      <w:r w:rsidRPr="00961FE2">
        <w:rPr>
          <w:rFonts w:ascii="Garamond" w:hAnsi="Garamond"/>
          <w:sz w:val="24"/>
          <w:szCs w:val="24"/>
        </w:rPr>
        <w:t xml:space="preserve"> to </w:t>
      </w:r>
      <w:r w:rsidR="000B1468">
        <w:rPr>
          <w:rFonts w:ascii="Garamond" w:hAnsi="Garamond"/>
          <w:sz w:val="24"/>
          <w:szCs w:val="24"/>
        </w:rPr>
        <w:t>“</w:t>
      </w:r>
      <w:r w:rsidRPr="00961FE2">
        <w:rPr>
          <w:rFonts w:ascii="Garamond" w:hAnsi="Garamond"/>
          <w:sz w:val="24"/>
          <w:szCs w:val="24"/>
        </w:rPr>
        <w:t>what matters</w:t>
      </w:r>
      <w:r w:rsidR="000B1468">
        <w:rPr>
          <w:rFonts w:ascii="Garamond" w:hAnsi="Garamond"/>
          <w:sz w:val="24"/>
          <w:szCs w:val="24"/>
        </w:rPr>
        <w:t>”</w:t>
      </w:r>
      <w:r w:rsidRPr="00961FE2">
        <w:rPr>
          <w:rFonts w:ascii="Garamond" w:hAnsi="Garamond"/>
          <w:sz w:val="24"/>
          <w:szCs w:val="24"/>
        </w:rPr>
        <w:t>, broadening the research agenda and gaining a deeper understanding of factors over “prescriptive statements” (Pg. 4)</w:t>
      </w:r>
      <w:r w:rsidR="000B1468">
        <w:rPr>
          <w:rFonts w:ascii="Garamond" w:hAnsi="Garamond"/>
          <w:sz w:val="24"/>
          <w:szCs w:val="24"/>
        </w:rPr>
        <w:t>.</w:t>
      </w:r>
    </w:p>
    <w:p w14:paraId="4295F590" w14:textId="77777777" w:rsidR="000C12E6" w:rsidRPr="00961FE2" w:rsidRDefault="000C12E6" w:rsidP="002C4CA7">
      <w:pPr>
        <w:spacing w:line="480" w:lineRule="auto"/>
        <w:rPr>
          <w:rFonts w:ascii="Garamond" w:hAnsi="Garamond"/>
          <w:sz w:val="24"/>
          <w:szCs w:val="24"/>
        </w:rPr>
      </w:pPr>
    </w:p>
    <w:p w14:paraId="0DFA639E" w14:textId="0870AE99" w:rsidR="000C12E6" w:rsidRPr="00961FE2" w:rsidRDefault="000C12E6" w:rsidP="002C4CA7">
      <w:pPr>
        <w:spacing w:line="480" w:lineRule="auto"/>
        <w:rPr>
          <w:rFonts w:ascii="Garamond" w:hAnsi="Garamond"/>
          <w:sz w:val="24"/>
          <w:szCs w:val="24"/>
        </w:rPr>
      </w:pPr>
      <w:r w:rsidRPr="00961FE2">
        <w:rPr>
          <w:rFonts w:ascii="Garamond" w:hAnsi="Garamond"/>
          <w:sz w:val="24"/>
          <w:szCs w:val="24"/>
        </w:rPr>
        <w:t>Evidence-based policing can be seen in the theory of Problem Oriented Policing (POP), which is the concept of Herman Goldstein</w:t>
      </w:r>
      <w:r w:rsidR="000B1468">
        <w:rPr>
          <w:rFonts w:ascii="Garamond" w:hAnsi="Garamond"/>
          <w:sz w:val="24"/>
          <w:szCs w:val="24"/>
        </w:rPr>
        <w:t xml:space="preserve"> </w:t>
      </w:r>
      <w:r w:rsidRPr="00961FE2">
        <w:rPr>
          <w:rFonts w:ascii="Garamond" w:hAnsi="Garamond"/>
          <w:sz w:val="24"/>
          <w:szCs w:val="24"/>
        </w:rPr>
        <w:t>(1979)</w:t>
      </w:r>
      <w:r w:rsidR="000B1468">
        <w:rPr>
          <w:rFonts w:ascii="Garamond" w:hAnsi="Garamond"/>
          <w:sz w:val="24"/>
          <w:szCs w:val="24"/>
        </w:rPr>
        <w:t>.</w:t>
      </w:r>
      <w:r w:rsidRPr="00961FE2">
        <w:rPr>
          <w:rFonts w:ascii="Garamond" w:hAnsi="Garamond"/>
          <w:sz w:val="24"/>
          <w:szCs w:val="24"/>
        </w:rPr>
        <w:t xml:space="preserve"> He describes it as practice or operations being informed by knowledge, so some have referred to the concept as knowledge-based policing (Bullock and Tilley, 2009)</w:t>
      </w:r>
      <w:r w:rsidR="000B1468">
        <w:rPr>
          <w:rFonts w:ascii="Garamond" w:hAnsi="Garamond"/>
          <w:sz w:val="24"/>
          <w:szCs w:val="24"/>
        </w:rPr>
        <w:t>.</w:t>
      </w:r>
      <w:r w:rsidRPr="00961FE2">
        <w:rPr>
          <w:rFonts w:ascii="Garamond" w:hAnsi="Garamond"/>
          <w:sz w:val="24"/>
          <w:szCs w:val="24"/>
        </w:rPr>
        <w:t xml:space="preserve"> One model of POP is the SARA model: Scanning, Analysis, Response, Assessment. This works on building evidence of problems (scanning), determining what allows the problem to occur that can be practically changed (analysis), targeting the problem to reduce it by interventions (response) and evaluating the process to learn and improve (assessment). This is clearly associated with evidence-based policing</w:t>
      </w:r>
      <w:r w:rsidR="00DE0ECC">
        <w:rPr>
          <w:rFonts w:ascii="Garamond" w:hAnsi="Garamond"/>
          <w:sz w:val="24"/>
          <w:szCs w:val="24"/>
        </w:rPr>
        <w:t>;</w:t>
      </w:r>
      <w:r w:rsidRPr="00961FE2">
        <w:rPr>
          <w:rFonts w:ascii="Garamond" w:hAnsi="Garamond"/>
          <w:sz w:val="24"/>
          <w:szCs w:val="24"/>
        </w:rPr>
        <w:t xml:space="preserve"> learning, doing and reviewing in order to try again and solve problems. Bullock and Tilley list four constraints to police officers (2009)</w:t>
      </w:r>
      <w:r w:rsidR="00DE0ECC">
        <w:rPr>
          <w:rFonts w:ascii="Garamond" w:hAnsi="Garamond"/>
          <w:sz w:val="24"/>
          <w:szCs w:val="24"/>
        </w:rPr>
        <w:t>.</w:t>
      </w:r>
      <w:r w:rsidRPr="00961FE2">
        <w:rPr>
          <w:rFonts w:ascii="Garamond" w:hAnsi="Garamond"/>
          <w:sz w:val="24"/>
          <w:szCs w:val="24"/>
        </w:rPr>
        <w:t xml:space="preserve"> Firstly, the limited evidence of how effective the interventions are, the access police forces have to such resources and ability to recognise the reliable sources, plus variations in expectations of what it will look like and lastly the difficulty in changing long-held beliefs and traditional approaches.</w:t>
      </w:r>
    </w:p>
    <w:p w14:paraId="59CC50C1" w14:textId="77777777" w:rsidR="000C12E6" w:rsidRPr="00961FE2" w:rsidRDefault="000C12E6" w:rsidP="002C4CA7">
      <w:pPr>
        <w:spacing w:line="480" w:lineRule="auto"/>
        <w:rPr>
          <w:rFonts w:ascii="Garamond" w:hAnsi="Garamond"/>
          <w:sz w:val="24"/>
          <w:szCs w:val="24"/>
        </w:rPr>
      </w:pPr>
    </w:p>
    <w:p w14:paraId="0E42EA56" w14:textId="19211AFA" w:rsidR="000C12E6" w:rsidRPr="00961FE2" w:rsidRDefault="000C12E6" w:rsidP="002C4CA7">
      <w:pPr>
        <w:spacing w:line="480" w:lineRule="auto"/>
        <w:rPr>
          <w:rFonts w:ascii="Garamond" w:hAnsi="Garamond"/>
          <w:sz w:val="24"/>
          <w:szCs w:val="24"/>
        </w:rPr>
      </w:pPr>
      <w:r w:rsidRPr="00961FE2">
        <w:rPr>
          <w:rFonts w:ascii="Garamond" w:hAnsi="Garamond"/>
          <w:sz w:val="24"/>
          <w:szCs w:val="24"/>
        </w:rPr>
        <w:lastRenderedPageBreak/>
        <w:t xml:space="preserve">To summarise, this essay has explained what evidence-based policing is and how it can be used by police forces. There has been a brief critique of the method of evidence-based policing and some brief discussion of how it is seen in crime prevention methods. It has been seen that evidence-based policing is a tool that could be of real benefit to the Police, if it is applied diligently and carefully and perhaps with a view towards </w:t>
      </w:r>
      <w:r w:rsidR="00DE0ECC">
        <w:rPr>
          <w:rFonts w:ascii="Garamond" w:hAnsi="Garamond"/>
          <w:sz w:val="24"/>
          <w:szCs w:val="24"/>
        </w:rPr>
        <w:t>“</w:t>
      </w:r>
      <w:r w:rsidRPr="00961FE2">
        <w:rPr>
          <w:rFonts w:ascii="Garamond" w:hAnsi="Garamond"/>
          <w:sz w:val="24"/>
          <w:szCs w:val="24"/>
        </w:rPr>
        <w:t>what matters</w:t>
      </w:r>
      <w:r w:rsidR="00DE0ECC">
        <w:rPr>
          <w:rFonts w:ascii="Garamond" w:hAnsi="Garamond"/>
          <w:sz w:val="24"/>
          <w:szCs w:val="24"/>
        </w:rPr>
        <w:t>”</w:t>
      </w:r>
      <w:r w:rsidRPr="00961FE2">
        <w:rPr>
          <w:rFonts w:ascii="Garamond" w:hAnsi="Garamond"/>
          <w:sz w:val="24"/>
          <w:szCs w:val="24"/>
        </w:rPr>
        <w:t xml:space="preserve"> as opposed to </w:t>
      </w:r>
      <w:r w:rsidR="00DE0ECC">
        <w:rPr>
          <w:rFonts w:ascii="Garamond" w:hAnsi="Garamond"/>
          <w:sz w:val="24"/>
          <w:szCs w:val="24"/>
        </w:rPr>
        <w:t>“</w:t>
      </w:r>
      <w:r w:rsidRPr="00961FE2">
        <w:rPr>
          <w:rFonts w:ascii="Garamond" w:hAnsi="Garamond"/>
          <w:sz w:val="24"/>
          <w:szCs w:val="24"/>
        </w:rPr>
        <w:t>what works</w:t>
      </w:r>
      <w:r w:rsidR="00DE0ECC">
        <w:rPr>
          <w:rFonts w:ascii="Garamond" w:hAnsi="Garamond"/>
          <w:sz w:val="24"/>
          <w:szCs w:val="24"/>
        </w:rPr>
        <w:t>”</w:t>
      </w:r>
      <w:r w:rsidRPr="00961FE2">
        <w:rPr>
          <w:rFonts w:ascii="Garamond" w:hAnsi="Garamond"/>
          <w:sz w:val="24"/>
          <w:szCs w:val="24"/>
        </w:rPr>
        <w:t>.</w:t>
      </w:r>
    </w:p>
    <w:p w14:paraId="3824A023" w14:textId="77777777" w:rsidR="000C12E6" w:rsidRPr="00961FE2" w:rsidRDefault="000C12E6" w:rsidP="000C12E6">
      <w:pPr>
        <w:rPr>
          <w:rFonts w:ascii="Garamond" w:hAnsi="Garamond"/>
          <w:sz w:val="24"/>
          <w:szCs w:val="24"/>
        </w:rPr>
      </w:pPr>
    </w:p>
    <w:p w14:paraId="70202FB6" w14:textId="77777777" w:rsidR="000C12E6" w:rsidRPr="00961FE2" w:rsidRDefault="000C12E6" w:rsidP="000C12E6">
      <w:pPr>
        <w:rPr>
          <w:rFonts w:ascii="Garamond" w:hAnsi="Garamond"/>
          <w:sz w:val="24"/>
          <w:szCs w:val="24"/>
        </w:rPr>
      </w:pPr>
    </w:p>
    <w:p w14:paraId="1DD34085" w14:textId="77777777" w:rsidR="000C12E6" w:rsidRPr="00961FE2" w:rsidRDefault="000C12E6" w:rsidP="000C12E6">
      <w:pPr>
        <w:rPr>
          <w:rFonts w:ascii="Garamond" w:hAnsi="Garamond"/>
          <w:sz w:val="24"/>
          <w:szCs w:val="24"/>
        </w:rPr>
      </w:pPr>
    </w:p>
    <w:p w14:paraId="4C5EFB44" w14:textId="53B97035" w:rsidR="000C12E6" w:rsidRPr="00961FE2" w:rsidRDefault="000C12E6" w:rsidP="000C12E6">
      <w:pPr>
        <w:rPr>
          <w:rFonts w:ascii="Garamond" w:hAnsi="Garamond"/>
          <w:sz w:val="24"/>
          <w:szCs w:val="24"/>
        </w:rPr>
      </w:pPr>
    </w:p>
    <w:p w14:paraId="0C128A3B" w14:textId="3E4DBF44" w:rsidR="00961FE2" w:rsidRPr="00961FE2" w:rsidRDefault="00961FE2" w:rsidP="000C12E6">
      <w:pPr>
        <w:rPr>
          <w:rFonts w:ascii="Garamond" w:hAnsi="Garamond"/>
          <w:sz w:val="24"/>
          <w:szCs w:val="24"/>
        </w:rPr>
      </w:pPr>
    </w:p>
    <w:p w14:paraId="47AF78A2" w14:textId="31B3AC07" w:rsidR="00961FE2" w:rsidRPr="00961FE2" w:rsidRDefault="00961FE2" w:rsidP="000C12E6">
      <w:pPr>
        <w:rPr>
          <w:rFonts w:ascii="Garamond" w:hAnsi="Garamond"/>
          <w:sz w:val="24"/>
          <w:szCs w:val="24"/>
        </w:rPr>
      </w:pPr>
    </w:p>
    <w:p w14:paraId="54DB65D4" w14:textId="7FDE5552" w:rsidR="00961FE2" w:rsidRPr="00961FE2" w:rsidRDefault="00961FE2" w:rsidP="000C12E6">
      <w:pPr>
        <w:rPr>
          <w:rFonts w:ascii="Garamond" w:hAnsi="Garamond"/>
          <w:sz w:val="24"/>
          <w:szCs w:val="24"/>
        </w:rPr>
      </w:pPr>
    </w:p>
    <w:p w14:paraId="0F7C2CCB" w14:textId="29CF20EB" w:rsidR="00961FE2" w:rsidRPr="00961FE2" w:rsidRDefault="00961FE2" w:rsidP="000C12E6">
      <w:pPr>
        <w:rPr>
          <w:rFonts w:ascii="Garamond" w:hAnsi="Garamond"/>
          <w:sz w:val="24"/>
          <w:szCs w:val="24"/>
        </w:rPr>
      </w:pPr>
    </w:p>
    <w:p w14:paraId="0A2EA18E" w14:textId="39F87152" w:rsidR="00961FE2" w:rsidRPr="00961FE2" w:rsidRDefault="00961FE2" w:rsidP="000C12E6">
      <w:pPr>
        <w:rPr>
          <w:rFonts w:ascii="Garamond" w:hAnsi="Garamond"/>
          <w:sz w:val="24"/>
          <w:szCs w:val="24"/>
        </w:rPr>
      </w:pPr>
    </w:p>
    <w:p w14:paraId="0B201B21" w14:textId="69BD6746" w:rsidR="00961FE2" w:rsidRPr="00961FE2" w:rsidRDefault="00961FE2" w:rsidP="000C12E6">
      <w:pPr>
        <w:rPr>
          <w:rFonts w:ascii="Garamond" w:hAnsi="Garamond"/>
          <w:sz w:val="24"/>
          <w:szCs w:val="24"/>
        </w:rPr>
      </w:pPr>
    </w:p>
    <w:p w14:paraId="222FE1AA" w14:textId="21F10C8E" w:rsidR="00961FE2" w:rsidRPr="00961FE2" w:rsidRDefault="00961FE2" w:rsidP="000C12E6">
      <w:pPr>
        <w:rPr>
          <w:rFonts w:ascii="Garamond" w:hAnsi="Garamond"/>
          <w:sz w:val="24"/>
          <w:szCs w:val="24"/>
        </w:rPr>
      </w:pPr>
    </w:p>
    <w:p w14:paraId="377B563D" w14:textId="11A833E9" w:rsidR="00961FE2" w:rsidRPr="00961FE2" w:rsidRDefault="00961FE2" w:rsidP="000C12E6">
      <w:pPr>
        <w:rPr>
          <w:rFonts w:ascii="Garamond" w:hAnsi="Garamond"/>
          <w:sz w:val="24"/>
          <w:szCs w:val="24"/>
        </w:rPr>
      </w:pPr>
    </w:p>
    <w:p w14:paraId="7CDC2BA3" w14:textId="2582FCAF" w:rsidR="00961FE2" w:rsidRPr="00961FE2" w:rsidRDefault="00961FE2" w:rsidP="000C12E6">
      <w:pPr>
        <w:rPr>
          <w:rFonts w:ascii="Garamond" w:hAnsi="Garamond"/>
          <w:sz w:val="24"/>
          <w:szCs w:val="24"/>
        </w:rPr>
      </w:pPr>
    </w:p>
    <w:p w14:paraId="2D2491C7" w14:textId="6EF94EB7" w:rsidR="00961FE2" w:rsidRPr="00961FE2" w:rsidRDefault="00961FE2" w:rsidP="000C12E6">
      <w:pPr>
        <w:rPr>
          <w:rFonts w:ascii="Garamond" w:hAnsi="Garamond"/>
          <w:sz w:val="24"/>
          <w:szCs w:val="24"/>
        </w:rPr>
      </w:pPr>
    </w:p>
    <w:p w14:paraId="6D4DB0FF" w14:textId="588C23D7" w:rsidR="00961FE2" w:rsidRPr="00961FE2" w:rsidRDefault="00961FE2" w:rsidP="000C12E6">
      <w:pPr>
        <w:rPr>
          <w:rFonts w:ascii="Garamond" w:hAnsi="Garamond"/>
          <w:sz w:val="24"/>
          <w:szCs w:val="24"/>
        </w:rPr>
      </w:pPr>
    </w:p>
    <w:p w14:paraId="1347DD07" w14:textId="46F71AED" w:rsidR="00961FE2" w:rsidRPr="00961FE2" w:rsidRDefault="00961FE2" w:rsidP="000C12E6">
      <w:pPr>
        <w:rPr>
          <w:rFonts w:ascii="Garamond" w:hAnsi="Garamond"/>
          <w:sz w:val="24"/>
          <w:szCs w:val="24"/>
        </w:rPr>
      </w:pPr>
    </w:p>
    <w:p w14:paraId="10D0D795" w14:textId="36EB2EAB" w:rsidR="00961FE2" w:rsidRPr="00961FE2" w:rsidRDefault="00961FE2" w:rsidP="000C12E6">
      <w:pPr>
        <w:rPr>
          <w:rFonts w:ascii="Garamond" w:hAnsi="Garamond"/>
          <w:sz w:val="24"/>
          <w:szCs w:val="24"/>
        </w:rPr>
      </w:pPr>
    </w:p>
    <w:p w14:paraId="776A3128" w14:textId="3FECBFF8" w:rsidR="00961FE2" w:rsidRPr="00961FE2" w:rsidRDefault="00961FE2" w:rsidP="000C12E6">
      <w:pPr>
        <w:rPr>
          <w:rFonts w:ascii="Garamond" w:hAnsi="Garamond"/>
          <w:sz w:val="24"/>
          <w:szCs w:val="24"/>
        </w:rPr>
      </w:pPr>
    </w:p>
    <w:p w14:paraId="788D716B" w14:textId="65451E63" w:rsidR="00961FE2" w:rsidRPr="00961FE2" w:rsidRDefault="00961FE2" w:rsidP="000C12E6">
      <w:pPr>
        <w:rPr>
          <w:rFonts w:ascii="Garamond" w:hAnsi="Garamond"/>
          <w:sz w:val="24"/>
          <w:szCs w:val="24"/>
        </w:rPr>
      </w:pPr>
    </w:p>
    <w:p w14:paraId="27ABBA5F" w14:textId="02199267" w:rsidR="00961FE2" w:rsidRPr="00961FE2" w:rsidRDefault="00961FE2" w:rsidP="000C12E6">
      <w:pPr>
        <w:rPr>
          <w:rFonts w:ascii="Garamond" w:hAnsi="Garamond"/>
          <w:sz w:val="24"/>
          <w:szCs w:val="24"/>
        </w:rPr>
      </w:pPr>
    </w:p>
    <w:p w14:paraId="2A121C43" w14:textId="13D2FB94" w:rsidR="00961FE2" w:rsidRPr="00961FE2" w:rsidRDefault="00961FE2" w:rsidP="000C12E6">
      <w:pPr>
        <w:rPr>
          <w:rFonts w:ascii="Garamond" w:hAnsi="Garamond"/>
          <w:sz w:val="24"/>
          <w:szCs w:val="24"/>
        </w:rPr>
      </w:pPr>
    </w:p>
    <w:p w14:paraId="200A20F4" w14:textId="3F9EEF5B" w:rsidR="00961FE2" w:rsidRPr="00961FE2" w:rsidRDefault="00961FE2" w:rsidP="000C12E6">
      <w:pPr>
        <w:rPr>
          <w:rFonts w:ascii="Garamond" w:hAnsi="Garamond"/>
          <w:sz w:val="24"/>
          <w:szCs w:val="24"/>
        </w:rPr>
      </w:pPr>
    </w:p>
    <w:p w14:paraId="4F51512C" w14:textId="7DA3DA06" w:rsidR="00961FE2" w:rsidRPr="00961FE2" w:rsidRDefault="00961FE2" w:rsidP="000C12E6">
      <w:pPr>
        <w:rPr>
          <w:rFonts w:ascii="Garamond" w:hAnsi="Garamond"/>
          <w:sz w:val="24"/>
          <w:szCs w:val="24"/>
        </w:rPr>
      </w:pPr>
    </w:p>
    <w:p w14:paraId="11F01E9B" w14:textId="43D2CEB0" w:rsidR="00961FE2" w:rsidRPr="00961FE2" w:rsidRDefault="00961FE2" w:rsidP="000C12E6">
      <w:pPr>
        <w:rPr>
          <w:rFonts w:ascii="Garamond" w:hAnsi="Garamond"/>
          <w:sz w:val="24"/>
          <w:szCs w:val="24"/>
        </w:rPr>
      </w:pPr>
    </w:p>
    <w:p w14:paraId="0950207D" w14:textId="61FB1A20" w:rsidR="00961FE2" w:rsidRPr="00961FE2" w:rsidRDefault="00961FE2" w:rsidP="000C12E6">
      <w:pPr>
        <w:rPr>
          <w:rFonts w:ascii="Garamond" w:hAnsi="Garamond"/>
          <w:sz w:val="24"/>
          <w:szCs w:val="24"/>
        </w:rPr>
      </w:pPr>
    </w:p>
    <w:p w14:paraId="792618BC" w14:textId="458FDFB4" w:rsidR="00961FE2" w:rsidRPr="00961FE2" w:rsidRDefault="00961FE2" w:rsidP="000C12E6">
      <w:pPr>
        <w:rPr>
          <w:rFonts w:ascii="Garamond" w:hAnsi="Garamond"/>
          <w:sz w:val="24"/>
          <w:szCs w:val="24"/>
        </w:rPr>
      </w:pPr>
    </w:p>
    <w:p w14:paraId="3B85DC86" w14:textId="1969DC3F" w:rsidR="00961FE2" w:rsidRPr="00961FE2" w:rsidRDefault="00961FE2" w:rsidP="000C12E6">
      <w:pPr>
        <w:rPr>
          <w:rFonts w:ascii="Garamond" w:hAnsi="Garamond"/>
          <w:sz w:val="24"/>
          <w:szCs w:val="24"/>
        </w:rPr>
      </w:pPr>
    </w:p>
    <w:p w14:paraId="0D330F04" w14:textId="7AD3D3C8" w:rsidR="00961FE2" w:rsidRPr="00961FE2" w:rsidRDefault="00961FE2" w:rsidP="000C12E6">
      <w:pPr>
        <w:rPr>
          <w:rFonts w:ascii="Garamond" w:hAnsi="Garamond"/>
          <w:sz w:val="24"/>
          <w:szCs w:val="24"/>
        </w:rPr>
      </w:pPr>
    </w:p>
    <w:p w14:paraId="2B709CDD" w14:textId="1A3E91D8" w:rsidR="00961FE2" w:rsidRPr="00961FE2" w:rsidRDefault="00961FE2" w:rsidP="000C12E6">
      <w:pPr>
        <w:rPr>
          <w:rFonts w:ascii="Garamond" w:hAnsi="Garamond"/>
          <w:sz w:val="24"/>
          <w:szCs w:val="24"/>
        </w:rPr>
      </w:pPr>
    </w:p>
    <w:p w14:paraId="6D6DD0DA" w14:textId="28F21CAE" w:rsidR="00961FE2" w:rsidRPr="00961FE2" w:rsidRDefault="00961FE2" w:rsidP="000C12E6">
      <w:pPr>
        <w:rPr>
          <w:rFonts w:ascii="Garamond" w:hAnsi="Garamond"/>
          <w:sz w:val="24"/>
          <w:szCs w:val="24"/>
        </w:rPr>
      </w:pPr>
    </w:p>
    <w:p w14:paraId="6B42FED3" w14:textId="0436C6AA" w:rsidR="00961FE2" w:rsidRPr="00961FE2" w:rsidRDefault="00961FE2" w:rsidP="000C12E6">
      <w:pPr>
        <w:rPr>
          <w:rFonts w:ascii="Garamond" w:hAnsi="Garamond"/>
          <w:sz w:val="24"/>
          <w:szCs w:val="24"/>
        </w:rPr>
      </w:pPr>
    </w:p>
    <w:p w14:paraId="44700B59" w14:textId="197039E3" w:rsidR="00961FE2" w:rsidRPr="00961FE2" w:rsidRDefault="00961FE2" w:rsidP="000C12E6">
      <w:pPr>
        <w:rPr>
          <w:rFonts w:ascii="Garamond" w:hAnsi="Garamond"/>
          <w:sz w:val="24"/>
          <w:szCs w:val="24"/>
        </w:rPr>
      </w:pPr>
    </w:p>
    <w:p w14:paraId="01698A2B" w14:textId="48E638C9" w:rsidR="00961FE2" w:rsidRPr="00961FE2" w:rsidRDefault="00961FE2" w:rsidP="000C12E6">
      <w:pPr>
        <w:rPr>
          <w:rFonts w:ascii="Garamond" w:hAnsi="Garamond"/>
          <w:sz w:val="24"/>
          <w:szCs w:val="24"/>
        </w:rPr>
      </w:pPr>
    </w:p>
    <w:p w14:paraId="431D5475" w14:textId="573DDED9" w:rsidR="00961FE2" w:rsidRPr="00961FE2" w:rsidRDefault="00961FE2" w:rsidP="000C12E6">
      <w:pPr>
        <w:rPr>
          <w:rFonts w:ascii="Garamond" w:hAnsi="Garamond"/>
          <w:sz w:val="24"/>
          <w:szCs w:val="24"/>
        </w:rPr>
      </w:pPr>
    </w:p>
    <w:p w14:paraId="7B9B1C92" w14:textId="08A402E8" w:rsidR="00961FE2" w:rsidRPr="00961FE2" w:rsidRDefault="00961FE2" w:rsidP="000C12E6">
      <w:pPr>
        <w:rPr>
          <w:rFonts w:ascii="Garamond" w:hAnsi="Garamond"/>
          <w:sz w:val="24"/>
          <w:szCs w:val="24"/>
        </w:rPr>
      </w:pPr>
    </w:p>
    <w:p w14:paraId="1710271F" w14:textId="61B98383" w:rsidR="00961FE2" w:rsidRPr="00961FE2" w:rsidRDefault="00961FE2" w:rsidP="000C12E6">
      <w:pPr>
        <w:rPr>
          <w:rFonts w:ascii="Garamond" w:hAnsi="Garamond"/>
          <w:sz w:val="24"/>
          <w:szCs w:val="24"/>
        </w:rPr>
      </w:pPr>
    </w:p>
    <w:p w14:paraId="24F71BB9" w14:textId="36EF4799" w:rsidR="00961FE2" w:rsidRPr="00961FE2" w:rsidRDefault="00961FE2" w:rsidP="000C12E6">
      <w:pPr>
        <w:rPr>
          <w:rFonts w:ascii="Garamond" w:hAnsi="Garamond"/>
          <w:sz w:val="24"/>
          <w:szCs w:val="24"/>
        </w:rPr>
      </w:pPr>
    </w:p>
    <w:p w14:paraId="149A85B0" w14:textId="070760E5" w:rsidR="00961FE2" w:rsidRPr="00961FE2" w:rsidRDefault="00961FE2" w:rsidP="000C12E6">
      <w:pPr>
        <w:rPr>
          <w:rFonts w:ascii="Garamond" w:hAnsi="Garamond"/>
          <w:sz w:val="24"/>
          <w:szCs w:val="24"/>
        </w:rPr>
      </w:pPr>
    </w:p>
    <w:p w14:paraId="3861F258" w14:textId="77777777" w:rsidR="002C4CA7" w:rsidRDefault="002C4CA7">
      <w:pPr>
        <w:pStyle w:val="NormalWeb"/>
        <w:rPr>
          <w:rFonts w:ascii="Garamond" w:hAnsi="Garamond" w:cs="Arial"/>
          <w:color w:val="303B44"/>
          <w:sz w:val="28"/>
          <w:szCs w:val="28"/>
          <w:u w:val="single"/>
        </w:rPr>
      </w:pPr>
    </w:p>
    <w:p w14:paraId="25BD181F" w14:textId="70EA2A78" w:rsidR="00A4707F" w:rsidRPr="00D145F1" w:rsidRDefault="00A4707F" w:rsidP="00D145F1">
      <w:pPr>
        <w:pStyle w:val="NormalWeb"/>
        <w:spacing w:line="480" w:lineRule="auto"/>
        <w:ind w:hanging="720"/>
        <w:rPr>
          <w:rFonts w:ascii="Garamond" w:hAnsi="Garamond" w:cs="Arial"/>
          <w:color w:val="303B44"/>
          <w:sz w:val="28"/>
          <w:szCs w:val="28"/>
          <w:u w:val="single"/>
        </w:rPr>
      </w:pPr>
      <w:r w:rsidRPr="008C1980">
        <w:rPr>
          <w:rFonts w:ascii="Garamond" w:hAnsi="Garamond" w:cs="Arial"/>
          <w:color w:val="303B44"/>
          <w:sz w:val="28"/>
          <w:szCs w:val="28"/>
          <w:u w:val="single"/>
        </w:rPr>
        <w:lastRenderedPageBreak/>
        <w:t>Bibliography</w:t>
      </w:r>
    </w:p>
    <w:p w14:paraId="3EACC503" w14:textId="3D7DFF6F" w:rsidR="00A4707F" w:rsidRDefault="00A4707F" w:rsidP="002C4CA7">
      <w:pPr>
        <w:spacing w:line="480" w:lineRule="auto"/>
        <w:ind w:right="248" w:hanging="720"/>
        <w:rPr>
          <w:rFonts w:ascii="Garamond" w:eastAsia="Calibri" w:hAnsi="Garamond" w:cs="Calibri"/>
          <w:sz w:val="24"/>
          <w:szCs w:val="24"/>
        </w:rPr>
      </w:pPr>
      <w:r w:rsidRPr="00961FE2">
        <w:rPr>
          <w:rFonts w:ascii="Garamond" w:eastAsia="Calibri" w:hAnsi="Garamond" w:cs="Calibri"/>
          <w:sz w:val="24"/>
          <w:szCs w:val="24"/>
        </w:rPr>
        <w:t>Adler, J. and Gray, J., 2010. </w:t>
      </w:r>
      <w:r w:rsidRPr="00961FE2">
        <w:rPr>
          <w:rFonts w:ascii="Garamond" w:eastAsia="Calibri" w:hAnsi="Garamond" w:cs="Calibri"/>
          <w:i/>
          <w:iCs/>
          <w:sz w:val="24"/>
          <w:szCs w:val="24"/>
        </w:rPr>
        <w:t>Forensic psychology</w:t>
      </w:r>
      <w:r w:rsidRPr="00961FE2">
        <w:rPr>
          <w:rFonts w:ascii="Garamond" w:eastAsia="Calibri" w:hAnsi="Garamond" w:cs="Calibri"/>
          <w:sz w:val="24"/>
          <w:szCs w:val="24"/>
        </w:rPr>
        <w:t>. Abingdon: Willan, pp.15-37.</w:t>
      </w:r>
    </w:p>
    <w:p w14:paraId="4FA9F22F" w14:textId="77777777" w:rsidR="00A4707F" w:rsidRPr="00961FE2" w:rsidRDefault="00A4707F" w:rsidP="002C4CA7">
      <w:pPr>
        <w:spacing w:line="480" w:lineRule="auto"/>
        <w:ind w:right="248" w:hanging="720"/>
        <w:rPr>
          <w:rFonts w:ascii="Garamond" w:eastAsia="Calibri" w:hAnsi="Garamond" w:cs="Calibri"/>
          <w:sz w:val="24"/>
          <w:szCs w:val="24"/>
        </w:rPr>
      </w:pPr>
    </w:p>
    <w:p w14:paraId="050EDA73" w14:textId="77777777" w:rsidR="00A4707F" w:rsidRPr="00961FE2" w:rsidRDefault="00A4707F" w:rsidP="002C4CA7">
      <w:pPr>
        <w:spacing w:line="480" w:lineRule="auto"/>
        <w:ind w:right="248" w:hanging="720"/>
        <w:rPr>
          <w:rFonts w:ascii="Garamond" w:eastAsia="Calibri" w:hAnsi="Garamond" w:cs="Calibri"/>
          <w:sz w:val="24"/>
          <w:szCs w:val="24"/>
        </w:rPr>
      </w:pPr>
      <w:r w:rsidRPr="00961FE2">
        <w:rPr>
          <w:rFonts w:ascii="Garamond" w:eastAsia="Calibri" w:hAnsi="Garamond" w:cs="Calibri"/>
          <w:sz w:val="24"/>
          <w:szCs w:val="24"/>
        </w:rPr>
        <w:t>Asscher, J., Van der Put, C. and Stams, G., 2015. Gender Differences in the Impact of Abuse and Neglect Victimization on Adolescent Offending Behavior. </w:t>
      </w:r>
      <w:r w:rsidRPr="00961FE2">
        <w:rPr>
          <w:rFonts w:ascii="Garamond" w:eastAsia="Calibri" w:hAnsi="Garamond" w:cs="Calibri"/>
          <w:i/>
          <w:iCs/>
          <w:sz w:val="24"/>
          <w:szCs w:val="24"/>
        </w:rPr>
        <w:t>Journal of Family Violence</w:t>
      </w:r>
      <w:r w:rsidRPr="00961FE2">
        <w:rPr>
          <w:rFonts w:ascii="Garamond" w:eastAsia="Calibri" w:hAnsi="Garamond" w:cs="Calibri"/>
          <w:sz w:val="24"/>
          <w:szCs w:val="24"/>
        </w:rPr>
        <w:t>, [online] 30(2), pp.215-225. Available at: &lt;https://link.springer.com/content/pdf/10.1007/s10896-014-9668-4.pdf&gt; [Accessed 3 July 2021].</w:t>
      </w:r>
    </w:p>
    <w:p w14:paraId="78DBE759" w14:textId="77777777" w:rsidR="00A4707F" w:rsidRDefault="00A4707F" w:rsidP="002C4CA7">
      <w:pPr>
        <w:shd w:val="clear" w:color="auto" w:fill="FFFFFF"/>
        <w:spacing w:after="180" w:line="480" w:lineRule="auto"/>
        <w:ind w:right="248" w:hanging="720"/>
        <w:rPr>
          <w:rFonts w:ascii="Garamond" w:hAnsi="Garamond"/>
          <w:color w:val="000000"/>
          <w:sz w:val="24"/>
          <w:szCs w:val="24"/>
        </w:rPr>
      </w:pPr>
    </w:p>
    <w:p w14:paraId="25DF1B30" w14:textId="45BCD8F4" w:rsidR="00A4707F" w:rsidRPr="00961FE2" w:rsidRDefault="00A4707F" w:rsidP="002C4CA7">
      <w:pPr>
        <w:shd w:val="clear" w:color="auto" w:fill="FFFFFF"/>
        <w:spacing w:after="180" w:line="480" w:lineRule="auto"/>
        <w:ind w:right="248" w:hanging="720"/>
        <w:rPr>
          <w:rFonts w:ascii="Garamond" w:hAnsi="Garamond"/>
          <w:color w:val="000000"/>
          <w:sz w:val="24"/>
          <w:szCs w:val="24"/>
        </w:rPr>
      </w:pPr>
      <w:r w:rsidRPr="00961FE2">
        <w:rPr>
          <w:rFonts w:ascii="Garamond" w:hAnsi="Garamond"/>
          <w:color w:val="000000"/>
          <w:sz w:val="24"/>
          <w:szCs w:val="24"/>
        </w:rPr>
        <w:t>BBC News. 2016. </w:t>
      </w:r>
      <w:r w:rsidRPr="00961FE2">
        <w:rPr>
          <w:rFonts w:ascii="Garamond" w:hAnsi="Garamond"/>
          <w:i/>
          <w:iCs/>
          <w:color w:val="000000"/>
          <w:sz w:val="24"/>
          <w:szCs w:val="24"/>
        </w:rPr>
        <w:t>All new police officers in England and Wales to have degrees</w:t>
      </w:r>
      <w:r w:rsidRPr="00961FE2">
        <w:rPr>
          <w:rFonts w:ascii="Garamond" w:hAnsi="Garamond"/>
          <w:color w:val="000000"/>
          <w:sz w:val="24"/>
          <w:szCs w:val="24"/>
        </w:rPr>
        <w:t>. [online] Available at: &lt;https://www.bbc.co.uk/news/uk-38319283&gt; [Accessed 24 June 2021].</w:t>
      </w:r>
    </w:p>
    <w:p w14:paraId="7154116A" w14:textId="77777777" w:rsidR="00A4707F" w:rsidRDefault="00A4707F" w:rsidP="002C4CA7">
      <w:pPr>
        <w:spacing w:line="480" w:lineRule="auto"/>
        <w:ind w:right="248" w:hanging="720"/>
        <w:rPr>
          <w:rFonts w:ascii="Garamond" w:hAnsi="Garamond"/>
          <w:sz w:val="24"/>
          <w:szCs w:val="24"/>
        </w:rPr>
      </w:pPr>
    </w:p>
    <w:p w14:paraId="7B22B6C2" w14:textId="274731F3" w:rsidR="00A4707F" w:rsidRPr="00961FE2" w:rsidRDefault="00A4707F" w:rsidP="002C4CA7">
      <w:pPr>
        <w:spacing w:line="480" w:lineRule="auto"/>
        <w:ind w:right="248" w:hanging="720"/>
        <w:rPr>
          <w:rFonts w:ascii="Garamond" w:hAnsi="Garamond"/>
          <w:sz w:val="24"/>
          <w:szCs w:val="24"/>
        </w:rPr>
      </w:pPr>
      <w:r w:rsidRPr="00961FE2">
        <w:rPr>
          <w:rFonts w:ascii="Garamond" w:hAnsi="Garamond"/>
          <w:sz w:val="24"/>
          <w:szCs w:val="24"/>
        </w:rPr>
        <w:t>Bullock, K., &amp; Tilley, N. 2009. Evidence-based policing and crime reduction. </w:t>
      </w:r>
      <w:r w:rsidRPr="00961FE2">
        <w:rPr>
          <w:rFonts w:ascii="Garamond" w:hAnsi="Garamond"/>
          <w:i/>
          <w:iCs/>
          <w:sz w:val="24"/>
          <w:szCs w:val="24"/>
        </w:rPr>
        <w:t>Policing: a journal of policy and practice</w:t>
      </w:r>
      <w:r w:rsidRPr="00961FE2">
        <w:rPr>
          <w:rFonts w:ascii="Garamond" w:hAnsi="Garamond"/>
          <w:sz w:val="24"/>
          <w:szCs w:val="24"/>
        </w:rPr>
        <w:t>, </w:t>
      </w:r>
      <w:r w:rsidRPr="00961FE2">
        <w:rPr>
          <w:rFonts w:ascii="Garamond" w:hAnsi="Garamond"/>
          <w:i/>
          <w:iCs/>
          <w:sz w:val="24"/>
          <w:szCs w:val="24"/>
        </w:rPr>
        <w:t>3</w:t>
      </w:r>
      <w:r w:rsidRPr="00961FE2">
        <w:rPr>
          <w:rFonts w:ascii="Garamond" w:hAnsi="Garamond"/>
          <w:sz w:val="24"/>
          <w:szCs w:val="24"/>
        </w:rPr>
        <w:t>(4), 381-387.</w:t>
      </w:r>
    </w:p>
    <w:p w14:paraId="75F4CB23" w14:textId="77777777" w:rsidR="00A4707F" w:rsidRDefault="00A4707F" w:rsidP="002C4CA7">
      <w:pPr>
        <w:spacing w:line="480" w:lineRule="auto"/>
        <w:ind w:right="248" w:hanging="720"/>
        <w:rPr>
          <w:rFonts w:ascii="Garamond" w:eastAsia="Calibri" w:hAnsi="Garamond" w:cs="Calibri"/>
          <w:sz w:val="24"/>
          <w:szCs w:val="24"/>
        </w:rPr>
      </w:pPr>
    </w:p>
    <w:p w14:paraId="7DCA24C3" w14:textId="412CFD0E" w:rsidR="00A4707F" w:rsidRPr="00961FE2" w:rsidRDefault="00A4707F" w:rsidP="002C4CA7">
      <w:pPr>
        <w:spacing w:line="480" w:lineRule="auto"/>
        <w:ind w:right="248" w:hanging="720"/>
        <w:rPr>
          <w:rFonts w:ascii="Garamond" w:eastAsia="Calibri" w:hAnsi="Garamond" w:cs="Calibri"/>
          <w:sz w:val="24"/>
          <w:szCs w:val="24"/>
        </w:rPr>
      </w:pPr>
      <w:r w:rsidRPr="00961FE2">
        <w:rPr>
          <w:rFonts w:ascii="Garamond" w:eastAsia="Calibri" w:hAnsi="Garamond" w:cs="Calibri"/>
          <w:sz w:val="24"/>
          <w:szCs w:val="24"/>
        </w:rPr>
        <w:t>Campbell, D. and Sekar, S., 1991. New Evidence Grows for Cardiff Three. </w:t>
      </w:r>
      <w:r w:rsidRPr="00961FE2">
        <w:rPr>
          <w:rFonts w:ascii="Garamond" w:eastAsia="Calibri" w:hAnsi="Garamond" w:cs="Calibri"/>
          <w:i/>
          <w:iCs/>
          <w:sz w:val="24"/>
          <w:szCs w:val="24"/>
        </w:rPr>
        <w:t>The Guardian</w:t>
      </w:r>
      <w:r w:rsidRPr="00961FE2">
        <w:rPr>
          <w:rFonts w:ascii="Garamond" w:eastAsia="Calibri" w:hAnsi="Garamond" w:cs="Calibri"/>
          <w:sz w:val="24"/>
          <w:szCs w:val="24"/>
        </w:rPr>
        <w:t>, [online] Available at: &lt;https://www.theguardian.com/uk/1991/mar/20/cardiff-three&gt; [Accessed 30 June 2021].</w:t>
      </w:r>
    </w:p>
    <w:p w14:paraId="72A98B98" w14:textId="77777777" w:rsidR="00A4707F" w:rsidRDefault="00A4707F" w:rsidP="002C4CA7">
      <w:pPr>
        <w:shd w:val="clear" w:color="auto" w:fill="FFFFFF"/>
        <w:spacing w:after="180" w:line="480" w:lineRule="auto"/>
        <w:ind w:right="248" w:hanging="720"/>
        <w:rPr>
          <w:rFonts w:ascii="Garamond" w:hAnsi="Garamond"/>
          <w:color w:val="000000"/>
          <w:sz w:val="24"/>
          <w:szCs w:val="24"/>
        </w:rPr>
      </w:pPr>
    </w:p>
    <w:p w14:paraId="4EF14972" w14:textId="4B2201BD" w:rsidR="00A4707F" w:rsidRPr="00961FE2" w:rsidRDefault="00A4707F" w:rsidP="002C4CA7">
      <w:pPr>
        <w:shd w:val="clear" w:color="auto" w:fill="FFFFFF"/>
        <w:spacing w:after="180" w:line="480" w:lineRule="auto"/>
        <w:ind w:right="248" w:hanging="720"/>
        <w:rPr>
          <w:rFonts w:ascii="Garamond" w:hAnsi="Garamond"/>
          <w:color w:val="000000"/>
          <w:sz w:val="24"/>
          <w:szCs w:val="24"/>
        </w:rPr>
      </w:pPr>
      <w:r w:rsidRPr="00961FE2">
        <w:rPr>
          <w:rFonts w:ascii="Garamond" w:hAnsi="Garamond"/>
          <w:color w:val="000000"/>
          <w:sz w:val="24"/>
          <w:szCs w:val="24"/>
        </w:rPr>
        <w:t>Chan, J., 2004. </w:t>
      </w:r>
      <w:r w:rsidRPr="00961FE2">
        <w:rPr>
          <w:rFonts w:ascii="Garamond" w:hAnsi="Garamond"/>
          <w:i/>
          <w:iCs/>
          <w:color w:val="000000"/>
          <w:sz w:val="24"/>
          <w:szCs w:val="24"/>
        </w:rPr>
        <w:t>Changing police culture</w:t>
      </w:r>
      <w:r w:rsidRPr="00961FE2">
        <w:rPr>
          <w:rFonts w:ascii="Garamond" w:hAnsi="Garamond"/>
          <w:color w:val="000000"/>
          <w:sz w:val="24"/>
          <w:szCs w:val="24"/>
        </w:rPr>
        <w:t>. Cambridge: Cambridge University Press.</w:t>
      </w:r>
    </w:p>
    <w:p w14:paraId="2DA89777" w14:textId="77777777" w:rsidR="00A4707F" w:rsidRDefault="00A4707F" w:rsidP="002C4CA7">
      <w:pPr>
        <w:spacing w:line="480" w:lineRule="auto"/>
        <w:ind w:right="248" w:hanging="720"/>
        <w:rPr>
          <w:rFonts w:ascii="Garamond" w:eastAsia="Calibri" w:hAnsi="Garamond" w:cs="Calibri"/>
          <w:sz w:val="24"/>
          <w:szCs w:val="24"/>
        </w:rPr>
      </w:pPr>
    </w:p>
    <w:p w14:paraId="199B76F4" w14:textId="6D5D418C" w:rsidR="00A4707F" w:rsidRPr="00961FE2" w:rsidRDefault="00A4707F" w:rsidP="002C4CA7">
      <w:pPr>
        <w:spacing w:line="480" w:lineRule="auto"/>
        <w:ind w:right="248" w:hanging="720"/>
        <w:rPr>
          <w:rFonts w:ascii="Garamond" w:eastAsia="Calibri" w:hAnsi="Garamond" w:cs="Calibri"/>
          <w:sz w:val="24"/>
          <w:szCs w:val="24"/>
        </w:rPr>
      </w:pPr>
      <w:r w:rsidRPr="00961FE2">
        <w:rPr>
          <w:rFonts w:ascii="Garamond" w:eastAsia="Calibri" w:hAnsi="Garamond" w:cs="Calibri"/>
          <w:sz w:val="24"/>
          <w:szCs w:val="24"/>
        </w:rPr>
        <w:t>Christie, N., 1986. The Ideal Victim. </w:t>
      </w:r>
      <w:r w:rsidRPr="00961FE2">
        <w:rPr>
          <w:rFonts w:ascii="Garamond" w:eastAsia="Calibri" w:hAnsi="Garamond" w:cs="Calibri"/>
          <w:i/>
          <w:iCs/>
          <w:sz w:val="24"/>
          <w:szCs w:val="24"/>
        </w:rPr>
        <w:t>From Crime Policy to Victim Policy</w:t>
      </w:r>
      <w:r w:rsidRPr="00961FE2">
        <w:rPr>
          <w:rFonts w:ascii="Garamond" w:eastAsia="Calibri" w:hAnsi="Garamond" w:cs="Calibri"/>
          <w:sz w:val="24"/>
          <w:szCs w:val="24"/>
        </w:rPr>
        <w:t>, pp.17-30.</w:t>
      </w:r>
    </w:p>
    <w:p w14:paraId="7937522E" w14:textId="77777777" w:rsidR="00A4707F" w:rsidRDefault="00A4707F" w:rsidP="002C4CA7">
      <w:pPr>
        <w:spacing w:line="480" w:lineRule="auto"/>
        <w:ind w:right="248" w:hanging="720"/>
        <w:rPr>
          <w:rFonts w:ascii="Garamond" w:eastAsia="Calibri" w:hAnsi="Garamond" w:cs="Calibri"/>
          <w:sz w:val="24"/>
          <w:szCs w:val="24"/>
        </w:rPr>
      </w:pPr>
    </w:p>
    <w:p w14:paraId="7C2F2EA0" w14:textId="37C77098" w:rsidR="00A4707F" w:rsidRPr="00961FE2" w:rsidRDefault="00A4707F" w:rsidP="002C4CA7">
      <w:pPr>
        <w:spacing w:line="480" w:lineRule="auto"/>
        <w:ind w:right="248" w:hanging="720"/>
        <w:rPr>
          <w:rFonts w:ascii="Garamond" w:eastAsia="Calibri" w:hAnsi="Garamond" w:cs="Calibri"/>
          <w:sz w:val="24"/>
          <w:szCs w:val="24"/>
        </w:rPr>
      </w:pPr>
      <w:r w:rsidRPr="00961FE2">
        <w:rPr>
          <w:rFonts w:ascii="Garamond" w:eastAsia="Calibri" w:hAnsi="Garamond" w:cs="Calibri"/>
          <w:sz w:val="24"/>
          <w:szCs w:val="24"/>
        </w:rPr>
        <w:lastRenderedPageBreak/>
        <w:t>College of Policing, 2013. </w:t>
      </w:r>
      <w:r w:rsidRPr="00961FE2">
        <w:rPr>
          <w:rFonts w:ascii="Garamond" w:eastAsia="Calibri" w:hAnsi="Garamond" w:cs="Calibri"/>
          <w:i/>
          <w:iCs/>
          <w:sz w:val="24"/>
          <w:szCs w:val="24"/>
        </w:rPr>
        <w:t>Investigative interviewing</w:t>
      </w:r>
      <w:r w:rsidRPr="00961FE2">
        <w:rPr>
          <w:rFonts w:ascii="Garamond" w:eastAsia="Calibri" w:hAnsi="Garamond" w:cs="Calibri"/>
          <w:sz w:val="24"/>
          <w:szCs w:val="24"/>
        </w:rPr>
        <w:t>. [online] App.college.police.uk. Available at: &lt;https://www.app.college.police.uk/app-content/investigations/investigative-interviewing/#challenging-accounts&gt; [Accessed 30 June 2021].</w:t>
      </w:r>
    </w:p>
    <w:p w14:paraId="146C7917" w14:textId="77777777" w:rsidR="00A4707F" w:rsidRDefault="00A4707F" w:rsidP="002C4CA7">
      <w:pPr>
        <w:spacing w:line="480" w:lineRule="auto"/>
        <w:ind w:right="248" w:hanging="720"/>
        <w:rPr>
          <w:rFonts w:ascii="Garamond" w:hAnsi="Garamond" w:cs="Open Sans"/>
          <w:color w:val="000000"/>
          <w:sz w:val="24"/>
          <w:szCs w:val="24"/>
          <w:shd w:val="clear" w:color="auto" w:fill="FFFFFF"/>
        </w:rPr>
      </w:pPr>
    </w:p>
    <w:p w14:paraId="391CB4F9" w14:textId="5A589C2E" w:rsidR="00A4707F" w:rsidRPr="00961FE2" w:rsidRDefault="00A4707F" w:rsidP="002C4CA7">
      <w:pPr>
        <w:spacing w:line="480" w:lineRule="auto"/>
        <w:ind w:right="248" w:hanging="720"/>
        <w:rPr>
          <w:rFonts w:ascii="Garamond" w:hAnsi="Garamond"/>
          <w:sz w:val="24"/>
          <w:szCs w:val="24"/>
        </w:rPr>
      </w:pPr>
      <w:r w:rsidRPr="00961FE2">
        <w:rPr>
          <w:rFonts w:ascii="Garamond" w:hAnsi="Garamond" w:cs="Open Sans"/>
          <w:color w:val="000000"/>
          <w:sz w:val="24"/>
          <w:szCs w:val="24"/>
          <w:shd w:val="clear" w:color="auto" w:fill="FFFFFF"/>
        </w:rPr>
        <w:t>College of Policing, 2021.</w:t>
      </w:r>
      <w:r w:rsidRPr="00961FE2">
        <w:rPr>
          <w:rStyle w:val="apple-converted-space"/>
          <w:rFonts w:ascii="Garamond" w:hAnsi="Garamond" w:cs="Open Sans"/>
          <w:color w:val="000000"/>
          <w:sz w:val="24"/>
          <w:szCs w:val="24"/>
          <w:shd w:val="clear" w:color="auto" w:fill="FFFFFF"/>
        </w:rPr>
        <w:t> </w:t>
      </w:r>
      <w:r w:rsidRPr="00961FE2">
        <w:rPr>
          <w:rFonts w:ascii="Garamond" w:hAnsi="Garamond" w:cs="Open Sans"/>
          <w:i/>
          <w:iCs/>
          <w:color w:val="000000"/>
          <w:sz w:val="24"/>
          <w:szCs w:val="24"/>
        </w:rPr>
        <w:t>What is evidence-based policing? | What Works Centre for Crime Reduction</w:t>
      </w:r>
      <w:r w:rsidRPr="00961FE2">
        <w:rPr>
          <w:rFonts w:ascii="Garamond" w:hAnsi="Garamond" w:cs="Open Sans"/>
          <w:color w:val="000000"/>
          <w:sz w:val="24"/>
          <w:szCs w:val="24"/>
          <w:shd w:val="clear" w:color="auto" w:fill="FFFFFF"/>
        </w:rPr>
        <w:t>. [online] Whatworks.college.police.uk. Available at: &lt;https://whatworks.college.police.uk/About/Pages/What-is-EBP.aspx&gt; [Accessed 4 July 2021].</w:t>
      </w:r>
    </w:p>
    <w:p w14:paraId="3B2D8D5F" w14:textId="77777777" w:rsidR="00A4707F" w:rsidRDefault="00A4707F" w:rsidP="002C4CA7">
      <w:pPr>
        <w:shd w:val="clear" w:color="auto" w:fill="FFFFFF"/>
        <w:spacing w:after="180" w:line="480" w:lineRule="auto"/>
        <w:ind w:right="248" w:hanging="720"/>
        <w:rPr>
          <w:rFonts w:ascii="Garamond" w:hAnsi="Garamond"/>
          <w:color w:val="000000"/>
          <w:sz w:val="24"/>
          <w:szCs w:val="24"/>
        </w:rPr>
      </w:pPr>
    </w:p>
    <w:p w14:paraId="1D57903F" w14:textId="206E1BCF" w:rsidR="00A4707F" w:rsidRPr="00961FE2" w:rsidRDefault="00A4707F" w:rsidP="002C4CA7">
      <w:pPr>
        <w:shd w:val="clear" w:color="auto" w:fill="FFFFFF"/>
        <w:spacing w:after="180" w:line="480" w:lineRule="auto"/>
        <w:ind w:right="248" w:hanging="720"/>
        <w:rPr>
          <w:rFonts w:ascii="Garamond" w:hAnsi="Garamond"/>
          <w:color w:val="000000"/>
          <w:sz w:val="24"/>
          <w:szCs w:val="24"/>
        </w:rPr>
      </w:pPr>
      <w:r w:rsidRPr="00961FE2">
        <w:rPr>
          <w:rFonts w:ascii="Garamond" w:hAnsi="Garamond"/>
          <w:color w:val="000000"/>
          <w:sz w:val="24"/>
          <w:szCs w:val="24"/>
        </w:rPr>
        <w:t>College of Policing. 2014. </w:t>
      </w:r>
      <w:r w:rsidRPr="00961FE2">
        <w:rPr>
          <w:rFonts w:ascii="Garamond" w:hAnsi="Garamond"/>
          <w:i/>
          <w:iCs/>
          <w:color w:val="000000"/>
          <w:sz w:val="24"/>
          <w:szCs w:val="24"/>
        </w:rPr>
        <w:t>Code of Ethics | College of Policing</w:t>
      </w:r>
      <w:r w:rsidRPr="00961FE2">
        <w:rPr>
          <w:rFonts w:ascii="Garamond" w:hAnsi="Garamond"/>
          <w:color w:val="000000"/>
          <w:sz w:val="24"/>
          <w:szCs w:val="24"/>
        </w:rPr>
        <w:t>. [online] Available at: &lt;https://www.college.police.uk/ethics/code-of-ethics&gt; [Accessed 24 June 2021].</w:t>
      </w:r>
    </w:p>
    <w:p w14:paraId="41B93C65" w14:textId="77777777" w:rsidR="00A4707F" w:rsidRDefault="00A4707F" w:rsidP="002C4CA7">
      <w:pPr>
        <w:spacing w:line="480" w:lineRule="auto"/>
        <w:ind w:right="248" w:hanging="720"/>
        <w:rPr>
          <w:rFonts w:ascii="Garamond" w:eastAsia="Calibri" w:hAnsi="Garamond" w:cs="Calibri"/>
          <w:sz w:val="24"/>
          <w:szCs w:val="24"/>
        </w:rPr>
      </w:pPr>
    </w:p>
    <w:p w14:paraId="434587EB" w14:textId="5D953FB0" w:rsidR="00A4707F" w:rsidRPr="00961FE2" w:rsidRDefault="00A4707F" w:rsidP="002C4CA7">
      <w:pPr>
        <w:spacing w:line="480" w:lineRule="auto"/>
        <w:ind w:right="248" w:hanging="720"/>
        <w:rPr>
          <w:rFonts w:ascii="Garamond" w:eastAsia="Calibri" w:hAnsi="Garamond" w:cs="Calibri"/>
          <w:sz w:val="24"/>
          <w:szCs w:val="24"/>
        </w:rPr>
      </w:pPr>
      <w:r w:rsidRPr="00961FE2">
        <w:rPr>
          <w:rFonts w:ascii="Garamond" w:eastAsia="Calibri" w:hAnsi="Garamond" w:cs="Calibri"/>
          <w:sz w:val="24"/>
          <w:szCs w:val="24"/>
        </w:rPr>
        <w:t>Cps.gov.uk. 2019. </w:t>
      </w:r>
      <w:r w:rsidRPr="00961FE2">
        <w:rPr>
          <w:rFonts w:ascii="Garamond" w:eastAsia="Calibri" w:hAnsi="Garamond" w:cs="Calibri"/>
          <w:i/>
          <w:iCs/>
          <w:sz w:val="24"/>
          <w:szCs w:val="24"/>
        </w:rPr>
        <w:t>Referral of Cases | The Crown Prosecution Service</w:t>
      </w:r>
      <w:r w:rsidRPr="00961FE2">
        <w:rPr>
          <w:rFonts w:ascii="Garamond" w:eastAsia="Calibri" w:hAnsi="Garamond" w:cs="Calibri"/>
          <w:sz w:val="24"/>
          <w:szCs w:val="24"/>
        </w:rPr>
        <w:t>. [online] Available at: &lt;https://www.cps.gov.uk/legal-guidance/referral-cases&gt; [Accessed 29 June 2021].</w:t>
      </w:r>
    </w:p>
    <w:p w14:paraId="3DF69DFB" w14:textId="77777777" w:rsidR="00A4707F" w:rsidRDefault="00A4707F" w:rsidP="002C4CA7">
      <w:pPr>
        <w:spacing w:line="480" w:lineRule="auto"/>
        <w:ind w:right="248" w:hanging="720"/>
        <w:rPr>
          <w:rFonts w:ascii="Garamond" w:eastAsia="Calibri" w:hAnsi="Garamond" w:cs="Calibri"/>
          <w:sz w:val="24"/>
          <w:szCs w:val="24"/>
        </w:rPr>
      </w:pPr>
    </w:p>
    <w:p w14:paraId="5D7C23B4" w14:textId="7A4ED963" w:rsidR="00A4707F" w:rsidRPr="00961FE2" w:rsidRDefault="00A4707F" w:rsidP="002C4CA7">
      <w:pPr>
        <w:spacing w:line="480" w:lineRule="auto"/>
        <w:ind w:right="248" w:hanging="720"/>
        <w:rPr>
          <w:rFonts w:ascii="Garamond" w:eastAsia="Calibri" w:hAnsi="Garamond" w:cs="Calibri"/>
          <w:sz w:val="24"/>
          <w:szCs w:val="24"/>
        </w:rPr>
      </w:pPr>
      <w:r w:rsidRPr="00961FE2">
        <w:rPr>
          <w:rFonts w:ascii="Garamond" w:eastAsia="Calibri" w:hAnsi="Garamond" w:cs="Calibri"/>
          <w:sz w:val="24"/>
          <w:szCs w:val="24"/>
        </w:rPr>
        <w:t>Davies, P., Francis, P. and Greer, C., 2007. </w:t>
      </w:r>
      <w:r w:rsidRPr="00961FE2">
        <w:rPr>
          <w:rFonts w:ascii="Garamond" w:eastAsia="Calibri" w:hAnsi="Garamond" w:cs="Calibri"/>
          <w:i/>
          <w:iCs/>
          <w:sz w:val="24"/>
          <w:szCs w:val="24"/>
        </w:rPr>
        <w:t>Victims, crime and society</w:t>
      </w:r>
      <w:r w:rsidRPr="00961FE2">
        <w:rPr>
          <w:rFonts w:ascii="Garamond" w:eastAsia="Calibri" w:hAnsi="Garamond" w:cs="Calibri"/>
          <w:sz w:val="24"/>
          <w:szCs w:val="24"/>
        </w:rPr>
        <w:t>. Los Angeles: SAGE, pp.144-145.</w:t>
      </w:r>
    </w:p>
    <w:p w14:paraId="548EC3C0" w14:textId="77777777" w:rsidR="00A4707F" w:rsidRDefault="00A4707F" w:rsidP="002C4CA7">
      <w:pPr>
        <w:spacing w:line="480" w:lineRule="auto"/>
        <w:ind w:right="248" w:hanging="720"/>
        <w:rPr>
          <w:rFonts w:ascii="Garamond" w:eastAsia="Calibri" w:hAnsi="Garamond" w:cs="Calibri"/>
          <w:sz w:val="24"/>
          <w:szCs w:val="24"/>
        </w:rPr>
      </w:pPr>
    </w:p>
    <w:p w14:paraId="6D2C990F" w14:textId="77777777" w:rsidR="00A4707F" w:rsidRDefault="00A4707F" w:rsidP="002C4CA7">
      <w:pPr>
        <w:spacing w:line="480" w:lineRule="auto"/>
        <w:ind w:right="248" w:hanging="720"/>
        <w:rPr>
          <w:rFonts w:ascii="Garamond" w:eastAsia="Calibri" w:hAnsi="Garamond" w:cs="Calibri"/>
          <w:sz w:val="24"/>
          <w:szCs w:val="24"/>
        </w:rPr>
      </w:pPr>
      <w:r w:rsidRPr="00961FE2">
        <w:rPr>
          <w:rFonts w:ascii="Garamond" w:eastAsia="Calibri" w:hAnsi="Garamond" w:cs="Calibri"/>
          <w:sz w:val="24"/>
          <w:szCs w:val="24"/>
        </w:rPr>
        <w:t>Dinisman, T. and Moroz, A., 2017. </w:t>
      </w:r>
      <w:r w:rsidRPr="00961FE2">
        <w:rPr>
          <w:rFonts w:ascii="Garamond" w:eastAsia="Calibri" w:hAnsi="Garamond" w:cs="Calibri"/>
          <w:i/>
          <w:iCs/>
          <w:sz w:val="24"/>
          <w:szCs w:val="24"/>
        </w:rPr>
        <w:t>Understanding Victims of Crime</w:t>
      </w:r>
      <w:r w:rsidRPr="00961FE2">
        <w:rPr>
          <w:rFonts w:ascii="Garamond" w:eastAsia="Calibri" w:hAnsi="Garamond" w:cs="Calibri"/>
          <w:sz w:val="24"/>
          <w:szCs w:val="24"/>
        </w:rPr>
        <w:t>. [online] Victim Support. Available at: &lt;https://www.researchgate.net/profile/Tamar-</w:t>
      </w:r>
    </w:p>
    <w:p w14:paraId="7D9DE98C" w14:textId="77777777" w:rsidR="002C4CA7" w:rsidRDefault="002C4CA7" w:rsidP="002C4CA7">
      <w:pPr>
        <w:spacing w:line="480" w:lineRule="auto"/>
        <w:ind w:right="248" w:hanging="720"/>
        <w:rPr>
          <w:rFonts w:ascii="Garamond" w:eastAsia="Calibri" w:hAnsi="Garamond" w:cs="Calibri"/>
          <w:sz w:val="24"/>
          <w:szCs w:val="24"/>
        </w:rPr>
      </w:pPr>
    </w:p>
    <w:p w14:paraId="7E72885A" w14:textId="149A46E1" w:rsidR="00A4707F" w:rsidRPr="00961FE2" w:rsidRDefault="00A4707F" w:rsidP="002C4CA7">
      <w:pPr>
        <w:spacing w:line="480" w:lineRule="auto"/>
        <w:ind w:right="248" w:hanging="720"/>
        <w:rPr>
          <w:rFonts w:ascii="Garamond" w:eastAsia="Calibri" w:hAnsi="Garamond" w:cs="Calibri"/>
          <w:sz w:val="24"/>
          <w:szCs w:val="24"/>
        </w:rPr>
      </w:pPr>
      <w:r w:rsidRPr="00961FE2">
        <w:rPr>
          <w:rFonts w:ascii="Garamond" w:eastAsia="Calibri" w:hAnsi="Garamond" w:cs="Calibri"/>
          <w:sz w:val="24"/>
          <w:szCs w:val="24"/>
        </w:rPr>
        <w:t>Dinisman/publication/316787563_Understanding_victims_of_crime_The_impact_of_the_crime_and_support_needs/links/59118a70458515bbcb917314/Understanding-victims-of-crime-The-impact-of-the-crime-and-support-needs.pdf&gt; [Accessed 3 July 2021].</w:t>
      </w:r>
    </w:p>
    <w:p w14:paraId="7F75D73D" w14:textId="77777777" w:rsidR="00A4707F" w:rsidRDefault="00A4707F" w:rsidP="002C4CA7">
      <w:pPr>
        <w:spacing w:line="480" w:lineRule="auto"/>
        <w:ind w:right="248" w:hanging="720"/>
        <w:rPr>
          <w:rFonts w:ascii="Garamond" w:hAnsi="Garamond"/>
          <w:sz w:val="24"/>
          <w:szCs w:val="24"/>
        </w:rPr>
      </w:pPr>
    </w:p>
    <w:p w14:paraId="0AE5EE58" w14:textId="62F8D7A6" w:rsidR="00A4707F" w:rsidRPr="00961FE2" w:rsidRDefault="00A4707F" w:rsidP="002C4CA7">
      <w:pPr>
        <w:spacing w:line="480" w:lineRule="auto"/>
        <w:ind w:right="248" w:hanging="720"/>
        <w:rPr>
          <w:rFonts w:ascii="Garamond" w:hAnsi="Garamond"/>
          <w:sz w:val="24"/>
          <w:szCs w:val="24"/>
        </w:rPr>
      </w:pPr>
      <w:r w:rsidRPr="00961FE2">
        <w:rPr>
          <w:rFonts w:ascii="Garamond" w:hAnsi="Garamond"/>
          <w:sz w:val="24"/>
          <w:szCs w:val="24"/>
        </w:rPr>
        <w:lastRenderedPageBreak/>
        <w:t xml:space="preserve">Goldstein, H. 1979. “Improving Policing: A Problem- Oriented Approach.” </w:t>
      </w:r>
      <w:r w:rsidRPr="00961FE2">
        <w:rPr>
          <w:rFonts w:ascii="Garamond" w:hAnsi="Garamond"/>
          <w:i/>
          <w:iCs/>
          <w:sz w:val="24"/>
          <w:szCs w:val="24"/>
        </w:rPr>
        <w:t xml:space="preserve">Crime and Delinquency </w:t>
      </w:r>
      <w:r w:rsidRPr="00961FE2">
        <w:rPr>
          <w:rFonts w:ascii="Garamond" w:hAnsi="Garamond"/>
          <w:sz w:val="24"/>
          <w:szCs w:val="24"/>
        </w:rPr>
        <w:t xml:space="preserve">25(2), pp. 236– 258 </w:t>
      </w:r>
    </w:p>
    <w:p w14:paraId="3703CD04" w14:textId="77777777" w:rsidR="00A4707F" w:rsidRDefault="00A4707F" w:rsidP="002C4CA7">
      <w:pPr>
        <w:shd w:val="clear" w:color="auto" w:fill="FFFFFF"/>
        <w:spacing w:after="180" w:line="480" w:lineRule="auto"/>
        <w:ind w:right="248" w:hanging="720"/>
        <w:rPr>
          <w:rFonts w:ascii="Garamond" w:hAnsi="Garamond"/>
          <w:color w:val="000000"/>
          <w:sz w:val="24"/>
          <w:szCs w:val="24"/>
        </w:rPr>
      </w:pPr>
    </w:p>
    <w:p w14:paraId="31F54D02" w14:textId="66CF3A7D" w:rsidR="00A4707F" w:rsidRPr="00961FE2" w:rsidRDefault="00A4707F" w:rsidP="002C4CA7">
      <w:pPr>
        <w:shd w:val="clear" w:color="auto" w:fill="FFFFFF"/>
        <w:spacing w:after="180" w:line="480" w:lineRule="auto"/>
        <w:ind w:right="248" w:hanging="720"/>
        <w:rPr>
          <w:rFonts w:ascii="Garamond" w:hAnsi="Garamond"/>
          <w:color w:val="000000"/>
          <w:sz w:val="24"/>
          <w:szCs w:val="24"/>
        </w:rPr>
      </w:pPr>
      <w:r w:rsidRPr="00961FE2">
        <w:rPr>
          <w:rFonts w:ascii="Garamond" w:hAnsi="Garamond"/>
          <w:color w:val="000000"/>
          <w:sz w:val="24"/>
          <w:szCs w:val="24"/>
        </w:rPr>
        <w:t>Green, T. and Gates, A., 2014. Understanding the Process of Professionalisation in the Police Organisation. </w:t>
      </w:r>
      <w:r w:rsidRPr="00961FE2">
        <w:rPr>
          <w:rFonts w:ascii="Garamond" w:hAnsi="Garamond"/>
          <w:i/>
          <w:iCs/>
          <w:color w:val="000000"/>
          <w:sz w:val="24"/>
          <w:szCs w:val="24"/>
        </w:rPr>
        <w:t>The Police Journal: Theory, Practice and Principles</w:t>
      </w:r>
      <w:r w:rsidRPr="00961FE2">
        <w:rPr>
          <w:rFonts w:ascii="Garamond" w:hAnsi="Garamond"/>
          <w:color w:val="000000"/>
          <w:sz w:val="24"/>
          <w:szCs w:val="24"/>
        </w:rPr>
        <w:t>, 87(2), pp.75-91.</w:t>
      </w:r>
    </w:p>
    <w:p w14:paraId="5D8D9704" w14:textId="77777777" w:rsidR="00A4707F" w:rsidRDefault="00A4707F" w:rsidP="002C4CA7">
      <w:pPr>
        <w:spacing w:line="480" w:lineRule="auto"/>
        <w:ind w:right="248" w:hanging="720"/>
        <w:rPr>
          <w:rFonts w:ascii="Garamond" w:eastAsia="Calibri" w:hAnsi="Garamond" w:cs="Calibri"/>
          <w:sz w:val="24"/>
          <w:szCs w:val="24"/>
        </w:rPr>
      </w:pPr>
    </w:p>
    <w:p w14:paraId="2A98118E" w14:textId="27DCD2BE" w:rsidR="00A4707F" w:rsidRPr="00961FE2" w:rsidRDefault="00A4707F" w:rsidP="002C4CA7">
      <w:pPr>
        <w:spacing w:line="480" w:lineRule="auto"/>
        <w:ind w:right="248" w:hanging="720"/>
        <w:rPr>
          <w:rFonts w:ascii="Garamond" w:eastAsia="Calibri" w:hAnsi="Garamond" w:cs="Calibri"/>
          <w:sz w:val="24"/>
          <w:szCs w:val="24"/>
        </w:rPr>
      </w:pPr>
      <w:r w:rsidRPr="00961FE2">
        <w:rPr>
          <w:rFonts w:ascii="Garamond" w:eastAsia="Calibri" w:hAnsi="Garamond" w:cs="Calibri"/>
          <w:sz w:val="24"/>
          <w:szCs w:val="24"/>
        </w:rPr>
        <w:t>Hall, M., 2012. </w:t>
      </w:r>
      <w:r w:rsidRPr="00961FE2">
        <w:rPr>
          <w:rFonts w:ascii="Garamond" w:eastAsia="Calibri" w:hAnsi="Garamond" w:cs="Calibri"/>
          <w:i/>
          <w:iCs/>
          <w:sz w:val="24"/>
          <w:szCs w:val="24"/>
        </w:rPr>
        <w:t>Victims of crime</w:t>
      </w:r>
      <w:r w:rsidRPr="00961FE2">
        <w:rPr>
          <w:rFonts w:ascii="Garamond" w:eastAsia="Calibri" w:hAnsi="Garamond" w:cs="Calibri"/>
          <w:sz w:val="24"/>
          <w:szCs w:val="24"/>
        </w:rPr>
        <w:t>. 2nd ed. Cullompton, Devon: Willan Pub.</w:t>
      </w:r>
    </w:p>
    <w:p w14:paraId="17429BED" w14:textId="77777777" w:rsidR="00A4707F" w:rsidRDefault="00A4707F" w:rsidP="002C4CA7">
      <w:pPr>
        <w:spacing w:line="480" w:lineRule="auto"/>
        <w:ind w:right="248" w:hanging="720"/>
        <w:rPr>
          <w:rFonts w:ascii="Garamond" w:hAnsi="Garamond" w:cs="Calibri"/>
          <w:sz w:val="24"/>
          <w:szCs w:val="24"/>
        </w:rPr>
      </w:pPr>
    </w:p>
    <w:p w14:paraId="26E64789" w14:textId="1BE7660C" w:rsidR="00A4707F" w:rsidRPr="00961FE2" w:rsidRDefault="00A4707F" w:rsidP="002C4CA7">
      <w:pPr>
        <w:spacing w:line="480" w:lineRule="auto"/>
        <w:ind w:right="248" w:hanging="720"/>
        <w:rPr>
          <w:rFonts w:ascii="Garamond" w:hAnsi="Garamond" w:cs="Calibri"/>
          <w:sz w:val="24"/>
          <w:szCs w:val="24"/>
        </w:rPr>
      </w:pPr>
      <w:r w:rsidRPr="00961FE2">
        <w:rPr>
          <w:rFonts w:ascii="Garamond" w:hAnsi="Garamond" w:cs="Calibri"/>
          <w:sz w:val="24"/>
          <w:szCs w:val="24"/>
        </w:rPr>
        <w:t>Home Office, 2005. </w:t>
      </w:r>
      <w:r w:rsidRPr="00961FE2">
        <w:rPr>
          <w:rFonts w:ascii="Garamond" w:hAnsi="Garamond" w:cs="Calibri"/>
          <w:i/>
          <w:iCs/>
          <w:sz w:val="24"/>
          <w:szCs w:val="24"/>
        </w:rPr>
        <w:t>Code of Practice: National Intelligence Model</w:t>
      </w:r>
      <w:r w:rsidRPr="00961FE2">
        <w:rPr>
          <w:rFonts w:ascii="Garamond" w:hAnsi="Garamond" w:cs="Calibri"/>
          <w:sz w:val="24"/>
          <w:szCs w:val="24"/>
        </w:rPr>
        <w:t xml:space="preserve">. [online] Available at: </w:t>
      </w:r>
      <w:hyperlink r:id="rId10" w:history="1">
        <w:r w:rsidRPr="00961FE2">
          <w:rPr>
            <w:rStyle w:val="Hyperlink"/>
            <w:rFonts w:ascii="Garamond" w:hAnsi="Garamond" w:cs="Calibri"/>
            <w:sz w:val="24"/>
            <w:szCs w:val="24"/>
          </w:rPr>
          <w:t>https://library.college.police.uk/docs/npia/NIM-Code-of-Practice.pdf</w:t>
        </w:r>
      </w:hyperlink>
      <w:r w:rsidRPr="00961FE2">
        <w:rPr>
          <w:rFonts w:ascii="Garamond" w:hAnsi="Garamond" w:cs="Calibri"/>
          <w:sz w:val="24"/>
          <w:szCs w:val="24"/>
        </w:rPr>
        <w:t xml:space="preserve"> [Accessed 2 July 2021]</w:t>
      </w:r>
    </w:p>
    <w:p w14:paraId="382CAB58" w14:textId="77777777" w:rsidR="00A4707F" w:rsidRDefault="00A4707F" w:rsidP="002C4CA7">
      <w:pPr>
        <w:spacing w:line="480" w:lineRule="auto"/>
        <w:ind w:right="248" w:hanging="720"/>
        <w:rPr>
          <w:rFonts w:ascii="Garamond" w:eastAsia="Calibri" w:hAnsi="Garamond" w:cs="Calibri"/>
          <w:sz w:val="24"/>
          <w:szCs w:val="24"/>
        </w:rPr>
      </w:pPr>
    </w:p>
    <w:p w14:paraId="6B53092A" w14:textId="71648419" w:rsidR="00A4707F" w:rsidRPr="00961FE2" w:rsidRDefault="00A4707F" w:rsidP="002C4CA7">
      <w:pPr>
        <w:spacing w:line="480" w:lineRule="auto"/>
        <w:ind w:right="248" w:hanging="720"/>
        <w:rPr>
          <w:rFonts w:ascii="Garamond" w:eastAsia="Calibri" w:hAnsi="Garamond" w:cs="Calibri"/>
          <w:sz w:val="24"/>
          <w:szCs w:val="24"/>
        </w:rPr>
      </w:pPr>
      <w:r w:rsidRPr="00961FE2">
        <w:rPr>
          <w:rFonts w:ascii="Garamond" w:eastAsia="Calibri" w:hAnsi="Garamond" w:cs="Calibri"/>
          <w:sz w:val="24"/>
          <w:szCs w:val="24"/>
        </w:rPr>
        <w:t>Home Office, 2019. </w:t>
      </w:r>
      <w:r w:rsidRPr="00961FE2">
        <w:rPr>
          <w:rFonts w:ascii="Garamond" w:eastAsia="Calibri" w:hAnsi="Garamond" w:cs="Calibri"/>
          <w:i/>
          <w:iCs/>
          <w:sz w:val="24"/>
          <w:szCs w:val="24"/>
        </w:rPr>
        <w:t>Police and Criminal Evidence Act 1984 - Code C (Revised)</w:t>
      </w:r>
      <w:r w:rsidRPr="00961FE2">
        <w:rPr>
          <w:rFonts w:ascii="Garamond" w:eastAsia="Calibri" w:hAnsi="Garamond" w:cs="Calibri"/>
          <w:sz w:val="24"/>
          <w:szCs w:val="24"/>
        </w:rPr>
        <w:t>. London: TSO. [online] Available at: &lt;</w:t>
      </w:r>
      <w:r w:rsidRPr="00961FE2">
        <w:rPr>
          <w:rFonts w:ascii="Garamond" w:hAnsi="Garamond"/>
          <w:sz w:val="24"/>
          <w:szCs w:val="24"/>
        </w:rPr>
        <w:t xml:space="preserve"> </w:t>
      </w:r>
      <w:hyperlink r:id="rId11" w:history="1">
        <w:r w:rsidRPr="00961FE2">
          <w:rPr>
            <w:rStyle w:val="Hyperlink"/>
            <w:rFonts w:ascii="Garamond" w:eastAsia="Calibri" w:hAnsi="Garamond" w:cs="Calibri"/>
            <w:sz w:val="24"/>
            <w:szCs w:val="24"/>
          </w:rPr>
          <w:t>https://assets.publishing.service.gov.uk/government/uploads/system/uploads/attachment_data/file/903473/pace-code-c-2019.pdf</w:t>
        </w:r>
      </w:hyperlink>
      <w:r w:rsidRPr="00961FE2">
        <w:rPr>
          <w:rFonts w:ascii="Garamond" w:eastAsia="Calibri" w:hAnsi="Garamond" w:cs="Calibri"/>
          <w:sz w:val="24"/>
          <w:szCs w:val="24"/>
        </w:rPr>
        <w:t>&gt; [Accessed 29 June 2021]</w:t>
      </w:r>
    </w:p>
    <w:p w14:paraId="789C3DA6" w14:textId="77777777" w:rsidR="00A4707F" w:rsidRDefault="00A4707F" w:rsidP="002C4CA7">
      <w:pPr>
        <w:spacing w:line="480" w:lineRule="auto"/>
        <w:ind w:right="248" w:hanging="720"/>
        <w:rPr>
          <w:rFonts w:ascii="Garamond" w:hAnsi="Garamond" w:cstheme="minorHAnsi"/>
          <w:color w:val="000000"/>
          <w:sz w:val="24"/>
          <w:szCs w:val="24"/>
          <w:shd w:val="clear" w:color="auto" w:fill="FFFFFF"/>
        </w:rPr>
      </w:pPr>
    </w:p>
    <w:p w14:paraId="6B938B83" w14:textId="24B616FA" w:rsidR="00A4707F" w:rsidRPr="00961FE2" w:rsidRDefault="00A4707F" w:rsidP="002C4CA7">
      <w:pPr>
        <w:spacing w:line="480" w:lineRule="auto"/>
        <w:ind w:right="248" w:hanging="720"/>
        <w:rPr>
          <w:rFonts w:ascii="Garamond" w:hAnsi="Garamond" w:cstheme="minorHAnsi"/>
          <w:sz w:val="24"/>
          <w:szCs w:val="24"/>
        </w:rPr>
      </w:pPr>
      <w:r w:rsidRPr="00961FE2">
        <w:rPr>
          <w:rFonts w:ascii="Garamond" w:hAnsi="Garamond" w:cstheme="minorHAnsi"/>
          <w:color w:val="000000"/>
          <w:sz w:val="24"/>
          <w:szCs w:val="24"/>
          <w:shd w:val="clear" w:color="auto" w:fill="FFFFFF"/>
        </w:rPr>
        <w:t>Home Office, National Crime Agency, 2019.</w:t>
      </w:r>
      <w:r w:rsidRPr="00961FE2">
        <w:rPr>
          <w:rStyle w:val="apple-converted-space"/>
          <w:rFonts w:ascii="Garamond" w:hAnsi="Garamond" w:cstheme="minorHAnsi"/>
          <w:color w:val="000000"/>
          <w:sz w:val="24"/>
          <w:szCs w:val="24"/>
          <w:shd w:val="clear" w:color="auto" w:fill="FFFFFF"/>
        </w:rPr>
        <w:t> </w:t>
      </w:r>
      <w:r w:rsidRPr="00961FE2">
        <w:rPr>
          <w:rFonts w:ascii="Garamond" w:hAnsi="Garamond" w:cstheme="minorHAnsi"/>
          <w:i/>
          <w:iCs/>
          <w:color w:val="000000"/>
          <w:sz w:val="24"/>
          <w:szCs w:val="24"/>
        </w:rPr>
        <w:t>Tackling Serious and Organised Crime</w:t>
      </w:r>
      <w:r w:rsidRPr="00961FE2">
        <w:rPr>
          <w:rFonts w:ascii="Garamond" w:hAnsi="Garamond" w:cstheme="minorHAnsi"/>
          <w:color w:val="000000"/>
          <w:sz w:val="24"/>
          <w:szCs w:val="24"/>
          <w:shd w:val="clear" w:color="auto" w:fill="FFFFFF"/>
        </w:rPr>
        <w:t>. [online] National Audit Office. Available at: &lt;https://www.nao.org.uk/wp-content/uploads/2019/03/Tackling-serious-and-organised-crime.pdf&gt; [Accessed 3 July 2021].</w:t>
      </w:r>
    </w:p>
    <w:p w14:paraId="23482F76" w14:textId="77777777" w:rsidR="00A4707F" w:rsidRDefault="00A4707F" w:rsidP="002C4CA7">
      <w:pPr>
        <w:spacing w:line="480" w:lineRule="auto"/>
        <w:ind w:right="248" w:hanging="720"/>
        <w:rPr>
          <w:rFonts w:ascii="Garamond" w:hAnsi="Garamond" w:cs="Calibri"/>
          <w:sz w:val="24"/>
          <w:szCs w:val="24"/>
        </w:rPr>
      </w:pPr>
    </w:p>
    <w:p w14:paraId="165C1927" w14:textId="1CF5F86D" w:rsidR="00A4707F" w:rsidRPr="00961FE2" w:rsidRDefault="00A4707F" w:rsidP="002C4CA7">
      <w:pPr>
        <w:spacing w:line="480" w:lineRule="auto"/>
        <w:ind w:right="248" w:hanging="720"/>
        <w:rPr>
          <w:rFonts w:ascii="Garamond" w:hAnsi="Garamond" w:cs="Calibri"/>
          <w:sz w:val="24"/>
          <w:szCs w:val="24"/>
        </w:rPr>
      </w:pPr>
      <w:r w:rsidRPr="00961FE2">
        <w:rPr>
          <w:rFonts w:ascii="Garamond" w:hAnsi="Garamond" w:cs="Calibri"/>
          <w:sz w:val="24"/>
          <w:szCs w:val="24"/>
        </w:rPr>
        <w:t>Innes, M. and Sheptycki, J., 2004. From Detection to Disruption. </w:t>
      </w:r>
      <w:r w:rsidRPr="00961FE2">
        <w:rPr>
          <w:rFonts w:ascii="Garamond" w:hAnsi="Garamond" w:cs="Calibri"/>
          <w:i/>
          <w:iCs/>
          <w:sz w:val="24"/>
          <w:szCs w:val="24"/>
        </w:rPr>
        <w:t>International Criminal Justice Review</w:t>
      </w:r>
      <w:r w:rsidRPr="00961FE2">
        <w:rPr>
          <w:rFonts w:ascii="Garamond" w:hAnsi="Garamond" w:cs="Calibri"/>
          <w:sz w:val="24"/>
          <w:szCs w:val="24"/>
        </w:rPr>
        <w:t>, 14(1), pp.1-24.</w:t>
      </w:r>
    </w:p>
    <w:p w14:paraId="0ADDF6CD" w14:textId="77777777" w:rsidR="00A4707F" w:rsidRDefault="00A4707F" w:rsidP="002C4CA7">
      <w:pPr>
        <w:spacing w:line="480" w:lineRule="auto"/>
        <w:ind w:right="248" w:hanging="720"/>
        <w:rPr>
          <w:rFonts w:ascii="Garamond" w:hAnsi="Garamond" w:cs="Calibri"/>
          <w:sz w:val="24"/>
          <w:szCs w:val="24"/>
        </w:rPr>
      </w:pPr>
    </w:p>
    <w:p w14:paraId="663DAAAF" w14:textId="23518EBF" w:rsidR="00A4707F" w:rsidRPr="00961FE2" w:rsidRDefault="00A4707F" w:rsidP="002C4CA7">
      <w:pPr>
        <w:spacing w:line="480" w:lineRule="auto"/>
        <w:ind w:right="248" w:hanging="720"/>
        <w:rPr>
          <w:rFonts w:ascii="Garamond" w:hAnsi="Garamond" w:cs="Calibri"/>
          <w:sz w:val="24"/>
          <w:szCs w:val="24"/>
        </w:rPr>
      </w:pPr>
      <w:r w:rsidRPr="00961FE2">
        <w:rPr>
          <w:rFonts w:ascii="Garamond" w:hAnsi="Garamond" w:cs="Calibri"/>
          <w:sz w:val="24"/>
          <w:szCs w:val="24"/>
        </w:rPr>
        <w:lastRenderedPageBreak/>
        <w:t>James, A., 2016. </w:t>
      </w:r>
      <w:r w:rsidRPr="00961FE2">
        <w:rPr>
          <w:rFonts w:ascii="Garamond" w:hAnsi="Garamond" w:cs="Calibri"/>
          <w:i/>
          <w:iCs/>
          <w:sz w:val="24"/>
          <w:szCs w:val="24"/>
        </w:rPr>
        <w:t>Understanding police intelligence work</w:t>
      </w:r>
      <w:r w:rsidRPr="00961FE2">
        <w:rPr>
          <w:rFonts w:ascii="Garamond" w:hAnsi="Garamond" w:cs="Calibri"/>
          <w:sz w:val="24"/>
          <w:szCs w:val="24"/>
        </w:rPr>
        <w:t>. Policy Press.</w:t>
      </w:r>
    </w:p>
    <w:p w14:paraId="60077B0E" w14:textId="77777777" w:rsidR="00A4707F" w:rsidRDefault="00A4707F" w:rsidP="002C4CA7">
      <w:pPr>
        <w:spacing w:line="480" w:lineRule="auto"/>
        <w:ind w:right="248" w:hanging="720"/>
        <w:rPr>
          <w:rFonts w:ascii="Garamond" w:eastAsia="Calibri" w:hAnsi="Garamond" w:cs="Calibri"/>
          <w:sz w:val="24"/>
          <w:szCs w:val="24"/>
        </w:rPr>
      </w:pPr>
    </w:p>
    <w:p w14:paraId="66C9DA48" w14:textId="0051DFE8" w:rsidR="00A4707F" w:rsidRPr="00961FE2" w:rsidRDefault="00A4707F" w:rsidP="002C4CA7">
      <w:pPr>
        <w:spacing w:line="480" w:lineRule="auto"/>
        <w:ind w:right="248" w:hanging="720"/>
        <w:rPr>
          <w:rFonts w:ascii="Garamond" w:eastAsia="Calibri" w:hAnsi="Garamond" w:cs="Calibri"/>
          <w:sz w:val="24"/>
          <w:szCs w:val="24"/>
        </w:rPr>
      </w:pPr>
      <w:r w:rsidRPr="00961FE2">
        <w:rPr>
          <w:rFonts w:ascii="Garamond" w:eastAsia="Calibri" w:hAnsi="Garamond" w:cs="Calibri"/>
          <w:sz w:val="24"/>
          <w:szCs w:val="24"/>
        </w:rPr>
        <w:t xml:space="preserve">Kearney, C. A., Wechsler, A., Kaur, H., &amp; Lemos-Miller, A. 2010. Posttraumatic stress disorder in maltreated youth: a review of con- temporary research and thought. </w:t>
      </w:r>
      <w:r w:rsidRPr="00961FE2">
        <w:rPr>
          <w:rFonts w:ascii="Garamond" w:eastAsia="Calibri" w:hAnsi="Garamond" w:cs="Calibri"/>
          <w:i/>
          <w:iCs/>
          <w:sz w:val="24"/>
          <w:szCs w:val="24"/>
        </w:rPr>
        <w:t>Clinical Child and Family Psychology Review</w:t>
      </w:r>
      <w:r w:rsidRPr="00961FE2">
        <w:rPr>
          <w:rFonts w:ascii="Garamond" w:eastAsia="Calibri" w:hAnsi="Garamond" w:cs="Calibri"/>
          <w:sz w:val="24"/>
          <w:szCs w:val="24"/>
        </w:rPr>
        <w:t xml:space="preserve">, 13, pp.46–76. </w:t>
      </w:r>
    </w:p>
    <w:p w14:paraId="5B2CDF24" w14:textId="77777777" w:rsidR="00A4707F" w:rsidRDefault="00A4707F" w:rsidP="002C4CA7">
      <w:pPr>
        <w:spacing w:line="480" w:lineRule="auto"/>
        <w:ind w:right="248" w:hanging="720"/>
        <w:rPr>
          <w:rFonts w:ascii="Garamond" w:eastAsia="Calibri" w:hAnsi="Garamond" w:cs="Calibri"/>
          <w:sz w:val="24"/>
          <w:szCs w:val="24"/>
        </w:rPr>
      </w:pPr>
    </w:p>
    <w:p w14:paraId="68C7ECC5" w14:textId="1A08B5A3" w:rsidR="00A4707F" w:rsidRPr="00961FE2" w:rsidRDefault="00A4707F" w:rsidP="002C4CA7">
      <w:pPr>
        <w:spacing w:line="480" w:lineRule="auto"/>
        <w:ind w:right="248" w:hanging="720"/>
        <w:rPr>
          <w:rFonts w:ascii="Garamond" w:eastAsia="Calibri" w:hAnsi="Garamond" w:cs="Calibri"/>
          <w:sz w:val="24"/>
          <w:szCs w:val="24"/>
        </w:rPr>
      </w:pPr>
      <w:r w:rsidRPr="00961FE2">
        <w:rPr>
          <w:rFonts w:ascii="Garamond" w:eastAsia="Calibri" w:hAnsi="Garamond" w:cs="Calibri"/>
          <w:sz w:val="24"/>
          <w:szCs w:val="24"/>
        </w:rPr>
        <w:t xml:space="preserve">Kerig, P. K., &amp; Becker, S. P. 2010. </w:t>
      </w:r>
      <w:r w:rsidRPr="00961FE2">
        <w:rPr>
          <w:rFonts w:ascii="Garamond" w:eastAsia="Calibri" w:hAnsi="Garamond" w:cs="Calibri"/>
          <w:i/>
          <w:iCs/>
          <w:sz w:val="24"/>
          <w:szCs w:val="24"/>
        </w:rPr>
        <w:t xml:space="preserve">From internalizing to </w:t>
      </w:r>
      <w:proofErr w:type="gramStart"/>
      <w:r w:rsidRPr="00961FE2">
        <w:rPr>
          <w:rFonts w:ascii="Garamond" w:eastAsia="Calibri" w:hAnsi="Garamond" w:cs="Calibri"/>
          <w:i/>
          <w:iCs/>
          <w:sz w:val="24"/>
          <w:szCs w:val="24"/>
        </w:rPr>
        <w:t>externalizing:</w:t>
      </w:r>
      <w:proofErr w:type="gramEnd"/>
      <w:r w:rsidRPr="00961FE2">
        <w:rPr>
          <w:rFonts w:ascii="Garamond" w:eastAsia="Calibri" w:hAnsi="Garamond" w:cs="Calibri"/>
          <w:i/>
          <w:iCs/>
          <w:sz w:val="24"/>
          <w:szCs w:val="24"/>
        </w:rPr>
        <w:t xml:space="preserve"> theoretical models of the processes linking PTSD to juvenile delinquency</w:t>
      </w:r>
      <w:r w:rsidRPr="00961FE2">
        <w:rPr>
          <w:rFonts w:ascii="Garamond" w:eastAsia="Calibri" w:hAnsi="Garamond" w:cs="Calibri"/>
          <w:sz w:val="24"/>
          <w:szCs w:val="24"/>
        </w:rPr>
        <w:t xml:space="preserve">. S. J. Egan. </w:t>
      </w:r>
      <w:r w:rsidRPr="00961FE2">
        <w:rPr>
          <w:rFonts w:ascii="Garamond" w:eastAsia="Calibri" w:hAnsi="Garamond" w:cs="Calibri"/>
          <w:i/>
          <w:iCs/>
          <w:sz w:val="24"/>
          <w:szCs w:val="24"/>
        </w:rPr>
        <w:t>Post-traumatic Stress Disorder</w:t>
      </w:r>
      <w:r w:rsidRPr="00961FE2">
        <w:rPr>
          <w:rFonts w:ascii="Garamond" w:eastAsia="Calibri" w:hAnsi="Garamond" w:cs="Calibri"/>
          <w:sz w:val="24"/>
          <w:szCs w:val="24"/>
        </w:rPr>
        <w:t xml:space="preserve">, Chapter 2. Nova Science Publishers, Inc. </w:t>
      </w:r>
    </w:p>
    <w:p w14:paraId="41665D90" w14:textId="77777777" w:rsidR="00A4707F" w:rsidRDefault="00A4707F" w:rsidP="002C4CA7">
      <w:pPr>
        <w:shd w:val="clear" w:color="auto" w:fill="FFFFFF"/>
        <w:spacing w:after="180" w:line="480" w:lineRule="auto"/>
        <w:ind w:right="248" w:hanging="720"/>
        <w:rPr>
          <w:rFonts w:ascii="Garamond" w:hAnsi="Garamond"/>
          <w:color w:val="000000"/>
          <w:sz w:val="24"/>
          <w:szCs w:val="24"/>
        </w:rPr>
      </w:pPr>
    </w:p>
    <w:p w14:paraId="58D341FE" w14:textId="6379595E" w:rsidR="00A4707F" w:rsidRPr="00961FE2" w:rsidRDefault="00A4707F" w:rsidP="002C4CA7">
      <w:pPr>
        <w:shd w:val="clear" w:color="auto" w:fill="FFFFFF"/>
        <w:spacing w:after="180" w:line="480" w:lineRule="auto"/>
        <w:ind w:right="248" w:hanging="720"/>
        <w:rPr>
          <w:rFonts w:ascii="Garamond" w:hAnsi="Garamond"/>
          <w:color w:val="000000"/>
          <w:sz w:val="24"/>
          <w:szCs w:val="24"/>
        </w:rPr>
      </w:pPr>
      <w:r w:rsidRPr="00961FE2">
        <w:rPr>
          <w:rFonts w:ascii="Garamond" w:hAnsi="Garamond"/>
          <w:color w:val="000000"/>
          <w:sz w:val="24"/>
          <w:szCs w:val="24"/>
        </w:rPr>
        <w:t>Lentz, S. and Chaires, R., 2007. The invention of Peel's principles: A study of policing ‘textbook’ history. </w:t>
      </w:r>
      <w:r w:rsidRPr="00961FE2">
        <w:rPr>
          <w:rFonts w:ascii="Garamond" w:hAnsi="Garamond"/>
          <w:i/>
          <w:iCs/>
          <w:color w:val="000000"/>
          <w:sz w:val="24"/>
          <w:szCs w:val="24"/>
        </w:rPr>
        <w:t>Journal of Criminal Justice</w:t>
      </w:r>
      <w:r w:rsidRPr="00961FE2">
        <w:rPr>
          <w:rFonts w:ascii="Garamond" w:hAnsi="Garamond"/>
          <w:color w:val="000000"/>
          <w:sz w:val="24"/>
          <w:szCs w:val="24"/>
        </w:rPr>
        <w:t>, 35(1), pp.69-79.</w:t>
      </w:r>
    </w:p>
    <w:p w14:paraId="640A2CA7" w14:textId="77777777" w:rsidR="00A4707F" w:rsidRDefault="00A4707F" w:rsidP="002C4CA7">
      <w:pPr>
        <w:spacing w:line="480" w:lineRule="auto"/>
        <w:ind w:right="248" w:hanging="720"/>
        <w:rPr>
          <w:rFonts w:ascii="Garamond" w:hAnsi="Garamond"/>
          <w:sz w:val="24"/>
          <w:szCs w:val="24"/>
        </w:rPr>
      </w:pPr>
    </w:p>
    <w:p w14:paraId="3B9793DA" w14:textId="0F20452B" w:rsidR="00A4707F" w:rsidRPr="00961FE2" w:rsidRDefault="00A4707F" w:rsidP="002C4CA7">
      <w:pPr>
        <w:spacing w:line="480" w:lineRule="auto"/>
        <w:ind w:right="248" w:hanging="720"/>
        <w:rPr>
          <w:rFonts w:ascii="Garamond" w:hAnsi="Garamond"/>
          <w:sz w:val="24"/>
          <w:szCs w:val="24"/>
        </w:rPr>
      </w:pPr>
      <w:r w:rsidRPr="00961FE2">
        <w:rPr>
          <w:rFonts w:ascii="Garamond" w:hAnsi="Garamond"/>
          <w:sz w:val="24"/>
          <w:szCs w:val="24"/>
        </w:rPr>
        <w:t>Lum, C. and Koper, C.S., 2015. Evidence-based policing. </w:t>
      </w:r>
      <w:r w:rsidRPr="00961FE2">
        <w:rPr>
          <w:rFonts w:ascii="Garamond" w:hAnsi="Garamond"/>
          <w:i/>
          <w:iCs/>
          <w:sz w:val="24"/>
          <w:szCs w:val="24"/>
        </w:rPr>
        <w:t>Critical Issues in Policing: Contemporary Readings</w:t>
      </w:r>
      <w:r w:rsidRPr="00961FE2">
        <w:rPr>
          <w:rFonts w:ascii="Garamond" w:hAnsi="Garamond"/>
          <w:sz w:val="24"/>
          <w:szCs w:val="24"/>
        </w:rPr>
        <w:t>, pp.260-274.</w:t>
      </w:r>
    </w:p>
    <w:p w14:paraId="7EC85D47" w14:textId="77777777" w:rsidR="00A4707F" w:rsidRDefault="00A4707F" w:rsidP="002C4CA7">
      <w:pPr>
        <w:spacing w:line="480" w:lineRule="auto"/>
        <w:ind w:right="248" w:hanging="720"/>
        <w:rPr>
          <w:rFonts w:ascii="Garamond" w:hAnsi="Garamond" w:cs="Open Sans"/>
          <w:color w:val="000000"/>
          <w:sz w:val="24"/>
          <w:szCs w:val="24"/>
          <w:shd w:val="clear" w:color="auto" w:fill="FFFFFF"/>
        </w:rPr>
      </w:pPr>
    </w:p>
    <w:p w14:paraId="410FDF39" w14:textId="755FFF0C" w:rsidR="00A4707F" w:rsidRPr="00961FE2" w:rsidRDefault="00A4707F" w:rsidP="002C4CA7">
      <w:pPr>
        <w:spacing w:line="480" w:lineRule="auto"/>
        <w:ind w:right="248" w:hanging="720"/>
        <w:rPr>
          <w:rFonts w:ascii="Garamond" w:hAnsi="Garamond"/>
          <w:sz w:val="24"/>
          <w:szCs w:val="24"/>
        </w:rPr>
      </w:pPr>
      <w:r w:rsidRPr="00961FE2">
        <w:rPr>
          <w:rFonts w:ascii="Garamond" w:hAnsi="Garamond" w:cs="Open Sans"/>
          <w:color w:val="000000"/>
          <w:sz w:val="24"/>
          <w:szCs w:val="24"/>
          <w:shd w:val="clear" w:color="auto" w:fill="FFFFFF"/>
        </w:rPr>
        <w:t>Lum, C., Koper, C. and Telep, C., 2010. The Evidence-Based Policing Matrix.</w:t>
      </w:r>
      <w:r w:rsidRPr="00961FE2">
        <w:rPr>
          <w:rStyle w:val="apple-converted-space"/>
          <w:rFonts w:ascii="Garamond" w:hAnsi="Garamond" w:cs="Open Sans"/>
          <w:color w:val="000000"/>
          <w:sz w:val="24"/>
          <w:szCs w:val="24"/>
          <w:shd w:val="clear" w:color="auto" w:fill="FFFFFF"/>
        </w:rPr>
        <w:t> </w:t>
      </w:r>
      <w:r w:rsidRPr="00961FE2">
        <w:rPr>
          <w:rFonts w:ascii="Garamond" w:hAnsi="Garamond" w:cs="Open Sans"/>
          <w:i/>
          <w:iCs/>
          <w:color w:val="000000"/>
          <w:sz w:val="24"/>
          <w:szCs w:val="24"/>
        </w:rPr>
        <w:t>Journal of Experimental Criminology</w:t>
      </w:r>
      <w:r w:rsidRPr="00961FE2">
        <w:rPr>
          <w:rFonts w:ascii="Garamond" w:hAnsi="Garamond" w:cs="Open Sans"/>
          <w:color w:val="000000"/>
          <w:sz w:val="24"/>
          <w:szCs w:val="24"/>
          <w:shd w:val="clear" w:color="auto" w:fill="FFFFFF"/>
        </w:rPr>
        <w:t>, [online] 7(1), pp.3-26. Available at: &lt;https://link.springer.com/article/10.1007/s11292-010-9108-2#citeas&gt; [Accessed 4 July 2021].</w:t>
      </w:r>
    </w:p>
    <w:p w14:paraId="4CE7678F" w14:textId="77777777" w:rsidR="00A4707F" w:rsidRDefault="00A4707F" w:rsidP="002C4CA7">
      <w:pPr>
        <w:spacing w:line="480" w:lineRule="auto"/>
        <w:ind w:right="248" w:hanging="720"/>
        <w:rPr>
          <w:rFonts w:ascii="Garamond" w:eastAsia="Calibri" w:hAnsi="Garamond" w:cs="Calibri"/>
          <w:sz w:val="24"/>
          <w:szCs w:val="24"/>
        </w:rPr>
      </w:pPr>
    </w:p>
    <w:p w14:paraId="18F35D0F" w14:textId="67AF589D" w:rsidR="00A4707F" w:rsidRPr="00961FE2" w:rsidRDefault="00A4707F" w:rsidP="002C4CA7">
      <w:pPr>
        <w:spacing w:line="480" w:lineRule="auto"/>
        <w:ind w:right="248" w:hanging="720"/>
        <w:rPr>
          <w:rFonts w:ascii="Garamond" w:eastAsia="Calibri" w:hAnsi="Garamond" w:cs="Calibri"/>
          <w:sz w:val="24"/>
          <w:szCs w:val="24"/>
        </w:rPr>
      </w:pPr>
      <w:r w:rsidRPr="00961FE2">
        <w:rPr>
          <w:rFonts w:ascii="Garamond" w:eastAsia="Calibri" w:hAnsi="Garamond" w:cs="Calibri"/>
          <w:sz w:val="24"/>
          <w:szCs w:val="24"/>
        </w:rPr>
        <w:t>Ministry of Justice, National Offender Management Service, 2012. </w:t>
      </w:r>
      <w:r w:rsidRPr="00961FE2">
        <w:rPr>
          <w:rFonts w:ascii="Garamond" w:eastAsia="Calibri" w:hAnsi="Garamond" w:cs="Calibri"/>
          <w:i/>
          <w:iCs/>
          <w:sz w:val="24"/>
          <w:szCs w:val="24"/>
        </w:rPr>
        <w:t>MAPPA Guidance (Version 4)</w:t>
      </w:r>
      <w:r w:rsidRPr="00961FE2">
        <w:rPr>
          <w:rFonts w:ascii="Garamond" w:eastAsia="Calibri" w:hAnsi="Garamond" w:cs="Calibri"/>
          <w:sz w:val="24"/>
          <w:szCs w:val="24"/>
        </w:rPr>
        <w:t>. [online] Available at: &lt;http://www.justice.gov.uk/downloads/offenders/mappa/mappa-guidance-2012-part1.pdf#page=11&gt; [Accessed 3 July 2021].</w:t>
      </w:r>
    </w:p>
    <w:p w14:paraId="211FC752" w14:textId="77777777" w:rsidR="00A4707F" w:rsidRDefault="00A4707F" w:rsidP="002C4CA7">
      <w:pPr>
        <w:spacing w:line="480" w:lineRule="auto"/>
        <w:ind w:right="248" w:hanging="720"/>
        <w:rPr>
          <w:rFonts w:ascii="Garamond" w:eastAsia="Calibri" w:hAnsi="Garamond" w:cs="Calibri"/>
          <w:sz w:val="24"/>
          <w:szCs w:val="24"/>
        </w:rPr>
      </w:pPr>
    </w:p>
    <w:p w14:paraId="4B45C9A3" w14:textId="647CC1B2" w:rsidR="00A4707F" w:rsidRPr="00961FE2" w:rsidRDefault="00A4707F" w:rsidP="002C4CA7">
      <w:pPr>
        <w:spacing w:line="480" w:lineRule="auto"/>
        <w:ind w:right="248" w:hanging="720"/>
        <w:rPr>
          <w:rFonts w:ascii="Garamond" w:eastAsia="Calibri" w:hAnsi="Garamond" w:cs="Calibri"/>
          <w:sz w:val="24"/>
          <w:szCs w:val="24"/>
        </w:rPr>
      </w:pPr>
      <w:r w:rsidRPr="00961FE2">
        <w:rPr>
          <w:rFonts w:ascii="Garamond" w:eastAsia="Calibri" w:hAnsi="Garamond" w:cs="Calibri"/>
          <w:sz w:val="24"/>
          <w:szCs w:val="24"/>
        </w:rPr>
        <w:lastRenderedPageBreak/>
        <w:t>National Policing Improvement Agency, 2009. </w:t>
      </w:r>
      <w:r w:rsidRPr="00961FE2">
        <w:rPr>
          <w:rFonts w:ascii="Garamond" w:eastAsia="Calibri" w:hAnsi="Garamond" w:cs="Calibri"/>
          <w:i/>
          <w:iCs/>
          <w:sz w:val="24"/>
          <w:szCs w:val="24"/>
        </w:rPr>
        <w:t>The management of priority and volume crime</w:t>
      </w:r>
      <w:r w:rsidRPr="00961FE2">
        <w:rPr>
          <w:rFonts w:ascii="Garamond" w:eastAsia="Calibri" w:hAnsi="Garamond" w:cs="Calibri"/>
          <w:sz w:val="24"/>
          <w:szCs w:val="24"/>
        </w:rPr>
        <w:t>. [online] National Centre for Policing Excellence, pp.7-11. Available at: &lt;https://library.college.police.uk/docs/acpo/VCMM-191109.pdf&gt; [Accessed 29 June 2021].</w:t>
      </w:r>
    </w:p>
    <w:p w14:paraId="1D1AE1E6" w14:textId="77777777" w:rsidR="00A4707F" w:rsidRDefault="00A4707F" w:rsidP="002C4CA7">
      <w:pPr>
        <w:spacing w:line="480" w:lineRule="auto"/>
        <w:ind w:right="248" w:hanging="720"/>
        <w:rPr>
          <w:rFonts w:ascii="Garamond" w:hAnsi="Garamond" w:cs="Calibri"/>
          <w:sz w:val="24"/>
          <w:szCs w:val="24"/>
        </w:rPr>
      </w:pPr>
    </w:p>
    <w:p w14:paraId="4F554D1A" w14:textId="5B2E5FB7" w:rsidR="00A4707F" w:rsidRPr="00961FE2" w:rsidRDefault="00A4707F" w:rsidP="002C4CA7">
      <w:pPr>
        <w:spacing w:line="480" w:lineRule="auto"/>
        <w:ind w:right="248" w:hanging="720"/>
        <w:rPr>
          <w:rFonts w:ascii="Garamond" w:hAnsi="Garamond" w:cs="Calibri"/>
          <w:sz w:val="24"/>
          <w:szCs w:val="24"/>
        </w:rPr>
      </w:pPr>
      <w:r w:rsidRPr="00961FE2">
        <w:rPr>
          <w:rFonts w:ascii="Garamond" w:hAnsi="Garamond" w:cs="Calibri"/>
          <w:sz w:val="24"/>
          <w:szCs w:val="24"/>
        </w:rPr>
        <w:t>Netpol.org. 2000. </w:t>
      </w:r>
      <w:r w:rsidRPr="00961FE2">
        <w:rPr>
          <w:rFonts w:ascii="Garamond" w:hAnsi="Garamond" w:cs="Calibri"/>
          <w:i/>
          <w:iCs/>
          <w:sz w:val="24"/>
          <w:szCs w:val="24"/>
        </w:rPr>
        <w:t>The National Intelligence Model</w:t>
      </w:r>
      <w:r w:rsidRPr="00961FE2">
        <w:rPr>
          <w:rFonts w:ascii="Garamond" w:hAnsi="Garamond" w:cs="Calibri"/>
          <w:sz w:val="24"/>
          <w:szCs w:val="24"/>
        </w:rPr>
        <w:t>. [online] Available at: &lt;https://netpol.org/wp-content/uploads/2014/06/National-Intelligence-Model.pdf&gt; [Accessed 2 July 2021].</w:t>
      </w:r>
    </w:p>
    <w:p w14:paraId="0EE3D466" w14:textId="77777777" w:rsidR="00A4707F" w:rsidRDefault="00A4707F" w:rsidP="002C4CA7">
      <w:pPr>
        <w:spacing w:line="480" w:lineRule="auto"/>
        <w:ind w:right="248" w:hanging="720"/>
        <w:rPr>
          <w:rFonts w:ascii="Garamond" w:eastAsia="Calibri" w:hAnsi="Garamond" w:cs="Calibri"/>
          <w:sz w:val="24"/>
          <w:szCs w:val="24"/>
        </w:rPr>
      </w:pPr>
    </w:p>
    <w:p w14:paraId="167BC4F3" w14:textId="2B58F60B" w:rsidR="00A4707F" w:rsidRPr="00961FE2" w:rsidRDefault="00A4707F" w:rsidP="002C4CA7">
      <w:pPr>
        <w:spacing w:line="480" w:lineRule="auto"/>
        <w:ind w:right="248" w:hanging="720"/>
        <w:rPr>
          <w:rFonts w:ascii="Garamond" w:eastAsia="Calibri" w:hAnsi="Garamond" w:cs="Calibri"/>
          <w:sz w:val="24"/>
          <w:szCs w:val="24"/>
        </w:rPr>
      </w:pPr>
      <w:r w:rsidRPr="00961FE2">
        <w:rPr>
          <w:rFonts w:ascii="Garamond" w:eastAsia="Calibri" w:hAnsi="Garamond" w:cs="Calibri"/>
          <w:sz w:val="24"/>
          <w:szCs w:val="24"/>
        </w:rPr>
        <w:t>Newburn, T., Williamson, T., Wright, A., Tilley, N., Robinson, A. and Burrows, J., 2012. </w:t>
      </w:r>
      <w:r w:rsidRPr="00961FE2">
        <w:rPr>
          <w:rFonts w:ascii="Garamond" w:eastAsia="Calibri" w:hAnsi="Garamond" w:cs="Calibri"/>
          <w:i/>
          <w:iCs/>
          <w:sz w:val="24"/>
          <w:szCs w:val="24"/>
        </w:rPr>
        <w:t>Handbook of criminal investigation</w:t>
      </w:r>
      <w:r w:rsidRPr="00961FE2">
        <w:rPr>
          <w:rFonts w:ascii="Garamond" w:eastAsia="Calibri" w:hAnsi="Garamond" w:cs="Calibri"/>
          <w:sz w:val="24"/>
          <w:szCs w:val="24"/>
        </w:rPr>
        <w:t>. 2nd ed. Oxford: Willian Publishing, pp.252-280.</w:t>
      </w:r>
    </w:p>
    <w:p w14:paraId="2B8699AD" w14:textId="77777777" w:rsidR="00A4707F" w:rsidRDefault="00A4707F" w:rsidP="002C4CA7">
      <w:pPr>
        <w:shd w:val="clear" w:color="auto" w:fill="FFFFFF"/>
        <w:spacing w:after="180" w:line="480" w:lineRule="auto"/>
        <w:ind w:right="248" w:hanging="720"/>
        <w:rPr>
          <w:rFonts w:ascii="Garamond" w:hAnsi="Garamond"/>
          <w:color w:val="000000"/>
          <w:sz w:val="24"/>
          <w:szCs w:val="24"/>
        </w:rPr>
      </w:pPr>
    </w:p>
    <w:p w14:paraId="253F6456" w14:textId="5557FCB5" w:rsidR="00A4707F" w:rsidRPr="00961FE2" w:rsidRDefault="00A4707F" w:rsidP="002C4CA7">
      <w:pPr>
        <w:shd w:val="clear" w:color="auto" w:fill="FFFFFF"/>
        <w:spacing w:after="180" w:line="480" w:lineRule="auto"/>
        <w:ind w:right="248" w:hanging="720"/>
        <w:rPr>
          <w:rFonts w:ascii="Garamond" w:hAnsi="Garamond"/>
          <w:color w:val="000000"/>
          <w:sz w:val="24"/>
          <w:szCs w:val="24"/>
        </w:rPr>
      </w:pPr>
      <w:r w:rsidRPr="00961FE2">
        <w:rPr>
          <w:rFonts w:ascii="Garamond" w:hAnsi="Garamond"/>
          <w:color w:val="000000"/>
          <w:sz w:val="24"/>
          <w:szCs w:val="24"/>
        </w:rPr>
        <w:t>Nytimes.com. 2021. </w:t>
      </w:r>
      <w:r w:rsidRPr="00961FE2">
        <w:rPr>
          <w:rFonts w:ascii="Garamond" w:hAnsi="Garamond"/>
          <w:i/>
          <w:iCs/>
          <w:color w:val="000000"/>
          <w:sz w:val="24"/>
          <w:szCs w:val="24"/>
        </w:rPr>
        <w:t>Sir Robert Peel’s Nine Principles of Policing (Published 2014)</w:t>
      </w:r>
      <w:r w:rsidRPr="00961FE2">
        <w:rPr>
          <w:rFonts w:ascii="Garamond" w:hAnsi="Garamond"/>
          <w:color w:val="000000"/>
          <w:sz w:val="24"/>
          <w:szCs w:val="24"/>
        </w:rPr>
        <w:t>. [online] Available at: &lt;https://www.nytimes.com/2014/04/16/nyregion/sir-robert-peels-nine-principles-of-policing.html&gt; [Accessed 24 June 2021].</w:t>
      </w:r>
    </w:p>
    <w:p w14:paraId="15F5DFE0" w14:textId="77777777" w:rsidR="002C4CA7" w:rsidRDefault="002C4CA7" w:rsidP="002C4CA7">
      <w:pPr>
        <w:shd w:val="clear" w:color="auto" w:fill="FFFFFF"/>
        <w:spacing w:after="180" w:line="480" w:lineRule="auto"/>
        <w:ind w:right="248" w:hanging="720"/>
        <w:rPr>
          <w:rFonts w:ascii="Garamond" w:hAnsi="Garamond"/>
          <w:color w:val="000000"/>
          <w:sz w:val="24"/>
          <w:szCs w:val="24"/>
        </w:rPr>
      </w:pPr>
    </w:p>
    <w:p w14:paraId="0BF90AB7" w14:textId="5FFA0746" w:rsidR="00A4707F" w:rsidRPr="00961FE2" w:rsidRDefault="00A4707F" w:rsidP="002C4CA7">
      <w:pPr>
        <w:shd w:val="clear" w:color="auto" w:fill="FFFFFF"/>
        <w:spacing w:after="180" w:line="480" w:lineRule="auto"/>
        <w:ind w:right="248" w:hanging="720"/>
        <w:rPr>
          <w:rFonts w:ascii="Garamond" w:hAnsi="Garamond"/>
          <w:color w:val="000000"/>
          <w:sz w:val="24"/>
          <w:szCs w:val="24"/>
        </w:rPr>
      </w:pPr>
      <w:r w:rsidRPr="00961FE2">
        <w:rPr>
          <w:rFonts w:ascii="Garamond" w:hAnsi="Garamond"/>
          <w:color w:val="000000"/>
          <w:sz w:val="24"/>
          <w:szCs w:val="24"/>
        </w:rPr>
        <w:t>Odeyemi, T. and Obiyan, A., 2018. Digital policing technologies and democratic policing. </w:t>
      </w:r>
      <w:r w:rsidRPr="00961FE2">
        <w:rPr>
          <w:rFonts w:ascii="Garamond" w:hAnsi="Garamond"/>
          <w:i/>
          <w:iCs/>
          <w:color w:val="000000"/>
          <w:sz w:val="24"/>
          <w:szCs w:val="24"/>
        </w:rPr>
        <w:t>International Journal of Police Science &amp; Management</w:t>
      </w:r>
      <w:r w:rsidRPr="00961FE2">
        <w:rPr>
          <w:rFonts w:ascii="Garamond" w:hAnsi="Garamond"/>
          <w:color w:val="000000"/>
          <w:sz w:val="24"/>
          <w:szCs w:val="24"/>
        </w:rPr>
        <w:t>, 20(2), pp.97-108.</w:t>
      </w:r>
    </w:p>
    <w:p w14:paraId="3661C61D" w14:textId="77777777" w:rsidR="002C4CA7" w:rsidRDefault="002C4CA7" w:rsidP="002C4CA7">
      <w:pPr>
        <w:spacing w:line="480" w:lineRule="auto"/>
        <w:ind w:right="248" w:hanging="720"/>
        <w:rPr>
          <w:rFonts w:ascii="Garamond" w:eastAsia="Calibri" w:hAnsi="Garamond" w:cs="Calibri"/>
          <w:sz w:val="24"/>
          <w:szCs w:val="24"/>
        </w:rPr>
      </w:pPr>
    </w:p>
    <w:p w14:paraId="6C1CCF4B" w14:textId="48BDDA05" w:rsidR="00A4707F" w:rsidRPr="00961FE2" w:rsidRDefault="00A4707F" w:rsidP="002C4CA7">
      <w:pPr>
        <w:spacing w:line="480" w:lineRule="auto"/>
        <w:ind w:right="248" w:hanging="720"/>
        <w:rPr>
          <w:rFonts w:ascii="Garamond" w:eastAsia="Calibri" w:hAnsi="Garamond" w:cs="Calibri"/>
          <w:sz w:val="24"/>
          <w:szCs w:val="24"/>
        </w:rPr>
      </w:pPr>
      <w:r w:rsidRPr="00961FE2">
        <w:rPr>
          <w:rFonts w:ascii="Garamond" w:eastAsia="Calibri" w:hAnsi="Garamond" w:cs="Calibri"/>
          <w:sz w:val="24"/>
          <w:szCs w:val="24"/>
        </w:rPr>
        <w:t>Ohchr.org. 2021. </w:t>
      </w:r>
      <w:r w:rsidRPr="00961FE2">
        <w:rPr>
          <w:rFonts w:ascii="Garamond" w:eastAsia="Calibri" w:hAnsi="Garamond" w:cs="Calibri"/>
          <w:i/>
          <w:iCs/>
          <w:sz w:val="24"/>
          <w:szCs w:val="24"/>
        </w:rPr>
        <w:t>OHCHR | Basic Principles of Justice for Victims of Crime and Abuse of Power</w:t>
      </w:r>
      <w:r w:rsidRPr="00961FE2">
        <w:rPr>
          <w:rFonts w:ascii="Garamond" w:eastAsia="Calibri" w:hAnsi="Garamond" w:cs="Calibri"/>
          <w:sz w:val="24"/>
          <w:szCs w:val="24"/>
        </w:rPr>
        <w:t>. [online] Available at: &lt;https://www.ohchr.org/EN/ProfessionalInterest/Pages/VictimsOfCrimeAndAbuseOfPower.aspx&gt; [Accessed 3 July 2021].</w:t>
      </w:r>
    </w:p>
    <w:p w14:paraId="693383EA" w14:textId="77777777" w:rsidR="00A4707F" w:rsidRDefault="00A4707F" w:rsidP="002C4CA7">
      <w:pPr>
        <w:shd w:val="clear" w:color="auto" w:fill="FFFFFF"/>
        <w:spacing w:after="180" w:line="480" w:lineRule="auto"/>
        <w:ind w:right="248" w:hanging="720"/>
        <w:rPr>
          <w:rFonts w:ascii="Garamond" w:hAnsi="Garamond"/>
          <w:color w:val="000000"/>
          <w:sz w:val="24"/>
          <w:szCs w:val="24"/>
        </w:rPr>
      </w:pPr>
    </w:p>
    <w:p w14:paraId="15E55C08" w14:textId="77777777" w:rsidR="00A4707F" w:rsidRDefault="00A4707F" w:rsidP="002C4CA7">
      <w:pPr>
        <w:shd w:val="clear" w:color="auto" w:fill="FFFFFF"/>
        <w:spacing w:after="180" w:line="480" w:lineRule="auto"/>
        <w:ind w:right="248" w:hanging="720"/>
        <w:rPr>
          <w:rFonts w:ascii="Garamond" w:hAnsi="Garamond"/>
          <w:color w:val="000000"/>
          <w:sz w:val="24"/>
          <w:szCs w:val="24"/>
        </w:rPr>
      </w:pPr>
      <w:r w:rsidRPr="00961FE2">
        <w:rPr>
          <w:rFonts w:ascii="Garamond" w:hAnsi="Garamond"/>
          <w:color w:val="000000"/>
          <w:sz w:val="24"/>
          <w:szCs w:val="24"/>
        </w:rPr>
        <w:t>Paoline, E., 2003. Taking stock: Toward a richer understanding of police culture. </w:t>
      </w:r>
      <w:r w:rsidRPr="00961FE2">
        <w:rPr>
          <w:rFonts w:ascii="Garamond" w:hAnsi="Garamond"/>
          <w:i/>
          <w:iCs/>
          <w:color w:val="000000"/>
          <w:sz w:val="24"/>
          <w:szCs w:val="24"/>
        </w:rPr>
        <w:t>Journal of Criminal Justice</w:t>
      </w:r>
      <w:r w:rsidRPr="00961FE2">
        <w:rPr>
          <w:rFonts w:ascii="Garamond" w:hAnsi="Garamond"/>
          <w:color w:val="000000"/>
          <w:sz w:val="24"/>
          <w:szCs w:val="24"/>
        </w:rPr>
        <w:t>, 31(3), pp.199-214.</w:t>
      </w:r>
    </w:p>
    <w:p w14:paraId="68B6D2B2" w14:textId="77777777" w:rsidR="002C4CA7" w:rsidRDefault="002C4CA7" w:rsidP="002C4CA7">
      <w:pPr>
        <w:shd w:val="clear" w:color="auto" w:fill="FFFFFF"/>
        <w:spacing w:after="180" w:line="480" w:lineRule="auto"/>
        <w:ind w:right="248" w:hanging="720"/>
        <w:rPr>
          <w:rFonts w:ascii="Garamond" w:eastAsia="Calibri" w:hAnsi="Garamond" w:cs="Calibri"/>
          <w:sz w:val="24"/>
          <w:szCs w:val="24"/>
        </w:rPr>
      </w:pPr>
    </w:p>
    <w:p w14:paraId="1F5B57C7" w14:textId="33A554E6" w:rsidR="00A4707F" w:rsidRPr="00A4707F" w:rsidRDefault="00A4707F" w:rsidP="002C4CA7">
      <w:pPr>
        <w:shd w:val="clear" w:color="auto" w:fill="FFFFFF"/>
        <w:spacing w:after="180" w:line="480" w:lineRule="auto"/>
        <w:ind w:right="248" w:hanging="720"/>
        <w:rPr>
          <w:rFonts w:ascii="Garamond" w:hAnsi="Garamond"/>
          <w:color w:val="000000"/>
          <w:sz w:val="24"/>
          <w:szCs w:val="24"/>
        </w:rPr>
      </w:pPr>
      <w:r w:rsidRPr="00961FE2">
        <w:rPr>
          <w:rFonts w:ascii="Garamond" w:eastAsia="Calibri" w:hAnsi="Garamond" w:cs="Calibri"/>
          <w:sz w:val="24"/>
          <w:szCs w:val="24"/>
        </w:rPr>
        <w:t>Peachey, P., 2011. Cardiff Five: 'We've lived through hell since 1988. We have the right to a public inquiry'. </w:t>
      </w:r>
      <w:r w:rsidRPr="00961FE2">
        <w:rPr>
          <w:rFonts w:ascii="Garamond" w:eastAsia="Calibri" w:hAnsi="Garamond" w:cs="Calibri"/>
          <w:i/>
          <w:iCs/>
          <w:sz w:val="24"/>
          <w:szCs w:val="24"/>
        </w:rPr>
        <w:t>The</w:t>
      </w:r>
      <w:r>
        <w:rPr>
          <w:rFonts w:ascii="Garamond" w:eastAsia="Calibri" w:hAnsi="Garamond" w:cs="Calibri"/>
          <w:i/>
          <w:iCs/>
          <w:sz w:val="24"/>
          <w:szCs w:val="24"/>
        </w:rPr>
        <w:t xml:space="preserve"> </w:t>
      </w:r>
      <w:r w:rsidRPr="00961FE2">
        <w:rPr>
          <w:rFonts w:ascii="Garamond" w:eastAsia="Calibri" w:hAnsi="Garamond" w:cs="Calibri"/>
          <w:i/>
          <w:iCs/>
          <w:sz w:val="24"/>
          <w:szCs w:val="24"/>
        </w:rPr>
        <w:t>Independent</w:t>
      </w:r>
      <w:r w:rsidRPr="00961FE2">
        <w:rPr>
          <w:rFonts w:ascii="Garamond" w:eastAsia="Calibri" w:hAnsi="Garamond" w:cs="Calibri"/>
          <w:sz w:val="24"/>
          <w:szCs w:val="24"/>
        </w:rPr>
        <w:t>, [online] Available at: &lt;https://www.independent.co.uk/news/uk/crime/cardiff-five-we-ve-lived-through-hell-1988-we-have-right-public-inquiry-6280405.html&gt; [Accessed 30 June 2021].</w:t>
      </w:r>
    </w:p>
    <w:p w14:paraId="384E6C81" w14:textId="77777777" w:rsidR="002C4CA7" w:rsidRDefault="002C4CA7" w:rsidP="002C4CA7">
      <w:pPr>
        <w:spacing w:line="480" w:lineRule="auto"/>
        <w:ind w:right="248" w:hanging="720"/>
        <w:rPr>
          <w:rFonts w:ascii="Garamond" w:hAnsi="Garamond" w:cs="Calibri"/>
          <w:sz w:val="24"/>
          <w:szCs w:val="24"/>
        </w:rPr>
      </w:pPr>
    </w:p>
    <w:p w14:paraId="0E43317B" w14:textId="20F6D4CC" w:rsidR="00A4707F" w:rsidRPr="00961FE2" w:rsidRDefault="00A4707F" w:rsidP="002C4CA7">
      <w:pPr>
        <w:spacing w:line="480" w:lineRule="auto"/>
        <w:ind w:right="248" w:hanging="720"/>
        <w:rPr>
          <w:rFonts w:ascii="Garamond" w:hAnsi="Garamond" w:cs="Calibri"/>
          <w:sz w:val="24"/>
          <w:szCs w:val="24"/>
        </w:rPr>
      </w:pPr>
      <w:r w:rsidRPr="00961FE2">
        <w:rPr>
          <w:rFonts w:ascii="Garamond" w:hAnsi="Garamond" w:cs="Calibri"/>
          <w:sz w:val="24"/>
          <w:szCs w:val="24"/>
        </w:rPr>
        <w:t>Ratcliffe, J., 2005. The Effectiveness of Police Intelligence Management: A New Zealand Case Study. </w:t>
      </w:r>
      <w:r w:rsidRPr="00961FE2">
        <w:rPr>
          <w:rFonts w:ascii="Garamond" w:hAnsi="Garamond" w:cs="Calibri"/>
          <w:i/>
          <w:iCs/>
          <w:sz w:val="24"/>
          <w:szCs w:val="24"/>
        </w:rPr>
        <w:t>Police Practice and Research</w:t>
      </w:r>
      <w:r w:rsidRPr="00961FE2">
        <w:rPr>
          <w:rFonts w:ascii="Garamond" w:hAnsi="Garamond" w:cs="Calibri"/>
          <w:sz w:val="24"/>
          <w:szCs w:val="24"/>
        </w:rPr>
        <w:t>, [online] 6(5), pp.435-451. Available at: &lt;https://www.academia.edu/download/46892977/Ratcliffe_2005_Effectiveness_of_police_intel_management_in_NZ.pdf&gt; [Accessed 2 July 2021].</w:t>
      </w:r>
    </w:p>
    <w:p w14:paraId="29AF06E1" w14:textId="77777777" w:rsidR="00A4707F" w:rsidRDefault="00A4707F" w:rsidP="002C4CA7">
      <w:pPr>
        <w:spacing w:line="480" w:lineRule="auto"/>
        <w:ind w:right="248" w:hanging="720"/>
        <w:rPr>
          <w:rFonts w:ascii="Garamond" w:hAnsi="Garamond" w:cs="Calibri"/>
          <w:i/>
          <w:iCs/>
          <w:sz w:val="24"/>
          <w:szCs w:val="24"/>
        </w:rPr>
      </w:pPr>
    </w:p>
    <w:p w14:paraId="42CDFA66" w14:textId="1B0854EF" w:rsidR="00A4707F" w:rsidRPr="00961FE2" w:rsidRDefault="00A4707F" w:rsidP="002C4CA7">
      <w:pPr>
        <w:spacing w:line="480" w:lineRule="auto"/>
        <w:ind w:right="248" w:hanging="720"/>
        <w:rPr>
          <w:rFonts w:ascii="Garamond" w:hAnsi="Garamond" w:cs="Calibri"/>
          <w:sz w:val="24"/>
          <w:szCs w:val="24"/>
        </w:rPr>
      </w:pPr>
      <w:r w:rsidRPr="00961FE2">
        <w:rPr>
          <w:rFonts w:ascii="Garamond" w:hAnsi="Garamond" w:cs="Calibri"/>
          <w:i/>
          <w:iCs/>
          <w:sz w:val="24"/>
          <w:szCs w:val="24"/>
        </w:rPr>
        <w:t>Regulation of Investigatory Powers Act 200</w:t>
      </w:r>
      <w:r w:rsidRPr="00961FE2">
        <w:rPr>
          <w:rFonts w:ascii="Garamond" w:hAnsi="Garamond" w:cs="Calibri"/>
          <w:sz w:val="24"/>
          <w:szCs w:val="24"/>
        </w:rPr>
        <w:t>. c. 23. [online] Available at: &lt;</w:t>
      </w:r>
      <w:r w:rsidRPr="00961FE2">
        <w:rPr>
          <w:rFonts w:ascii="Garamond" w:hAnsi="Garamond"/>
          <w:sz w:val="24"/>
          <w:szCs w:val="24"/>
        </w:rPr>
        <w:t xml:space="preserve"> </w:t>
      </w:r>
      <w:hyperlink r:id="rId12" w:history="1">
        <w:r w:rsidRPr="00961FE2">
          <w:rPr>
            <w:rStyle w:val="Hyperlink"/>
            <w:rFonts w:ascii="Garamond" w:hAnsi="Garamond" w:cs="Calibri"/>
            <w:sz w:val="24"/>
            <w:szCs w:val="24"/>
          </w:rPr>
          <w:t>https://www.legislation.gov.uk/ukpga/2000/23/contents</w:t>
        </w:r>
      </w:hyperlink>
      <w:r w:rsidRPr="00961FE2">
        <w:rPr>
          <w:rFonts w:ascii="Garamond" w:hAnsi="Garamond" w:cs="Calibri"/>
          <w:sz w:val="24"/>
          <w:szCs w:val="24"/>
        </w:rPr>
        <w:t>&gt; [Accessed 1 July 2021].</w:t>
      </w:r>
    </w:p>
    <w:p w14:paraId="4C9C0E68" w14:textId="77777777" w:rsidR="00A4707F" w:rsidRDefault="00A4707F" w:rsidP="002C4CA7">
      <w:pPr>
        <w:shd w:val="clear" w:color="auto" w:fill="FFFFFF"/>
        <w:spacing w:after="180" w:line="480" w:lineRule="auto"/>
        <w:ind w:right="248" w:hanging="720"/>
        <w:rPr>
          <w:rFonts w:ascii="Garamond" w:hAnsi="Garamond"/>
          <w:color w:val="000000"/>
          <w:sz w:val="24"/>
          <w:szCs w:val="24"/>
        </w:rPr>
      </w:pPr>
    </w:p>
    <w:p w14:paraId="730BF62A" w14:textId="3AA7A61A" w:rsidR="00A4707F" w:rsidRPr="00961FE2" w:rsidRDefault="00A4707F" w:rsidP="002C4CA7">
      <w:pPr>
        <w:shd w:val="clear" w:color="auto" w:fill="FFFFFF"/>
        <w:spacing w:after="180" w:line="480" w:lineRule="auto"/>
        <w:ind w:right="248" w:hanging="720"/>
        <w:rPr>
          <w:rFonts w:ascii="Garamond" w:hAnsi="Garamond"/>
          <w:color w:val="000000"/>
          <w:sz w:val="24"/>
          <w:szCs w:val="24"/>
        </w:rPr>
      </w:pPr>
      <w:r w:rsidRPr="00961FE2">
        <w:rPr>
          <w:rFonts w:ascii="Garamond" w:hAnsi="Garamond"/>
          <w:color w:val="000000"/>
          <w:sz w:val="24"/>
          <w:szCs w:val="24"/>
        </w:rPr>
        <w:t>Robinson, M., 2020. Four Minneapolis police officers sacked after black man dies during arrest. </w:t>
      </w:r>
      <w:r w:rsidRPr="00961FE2">
        <w:rPr>
          <w:rFonts w:ascii="Garamond" w:hAnsi="Garamond"/>
          <w:i/>
          <w:iCs/>
          <w:color w:val="000000"/>
          <w:sz w:val="24"/>
          <w:szCs w:val="24"/>
        </w:rPr>
        <w:t>The Times</w:t>
      </w:r>
      <w:r w:rsidRPr="00961FE2">
        <w:rPr>
          <w:rFonts w:ascii="Garamond" w:hAnsi="Garamond"/>
          <w:color w:val="000000"/>
          <w:sz w:val="24"/>
          <w:szCs w:val="24"/>
        </w:rPr>
        <w:t>, [online] Available at: &lt;http://Four Minneapolis police officers sacked after black man dies during arrest&gt; [Accessed 28 June 2021].</w:t>
      </w:r>
    </w:p>
    <w:p w14:paraId="0B20E03A" w14:textId="77777777" w:rsidR="002C4CA7" w:rsidRDefault="002C4CA7" w:rsidP="002C4CA7">
      <w:pPr>
        <w:spacing w:line="480" w:lineRule="auto"/>
        <w:ind w:right="248" w:hanging="720"/>
        <w:rPr>
          <w:rFonts w:ascii="Garamond" w:eastAsia="Calibri" w:hAnsi="Garamond" w:cs="Calibri"/>
          <w:i/>
          <w:iCs/>
          <w:sz w:val="24"/>
          <w:szCs w:val="24"/>
        </w:rPr>
      </w:pPr>
    </w:p>
    <w:p w14:paraId="2CEFA4AB" w14:textId="2E158876" w:rsidR="00A4707F" w:rsidRPr="00961FE2" w:rsidRDefault="00A4707F" w:rsidP="002C4CA7">
      <w:pPr>
        <w:spacing w:line="480" w:lineRule="auto"/>
        <w:ind w:right="248" w:hanging="720"/>
        <w:rPr>
          <w:rFonts w:ascii="Garamond" w:eastAsia="Calibri" w:hAnsi="Garamond" w:cs="Calibri"/>
          <w:sz w:val="24"/>
          <w:szCs w:val="24"/>
        </w:rPr>
      </w:pPr>
      <w:r w:rsidRPr="00961FE2">
        <w:rPr>
          <w:rFonts w:ascii="Garamond" w:eastAsia="Calibri" w:hAnsi="Garamond" w:cs="Calibri"/>
          <w:i/>
          <w:iCs/>
          <w:sz w:val="24"/>
          <w:szCs w:val="24"/>
        </w:rPr>
        <w:t>Serious Crime Act 2015, c. 9, Explanatory Notes.</w:t>
      </w:r>
      <w:r w:rsidRPr="00961FE2">
        <w:rPr>
          <w:rFonts w:ascii="Garamond" w:eastAsia="Calibri" w:hAnsi="Garamond" w:cs="Calibri"/>
          <w:sz w:val="24"/>
          <w:szCs w:val="24"/>
        </w:rPr>
        <w:t xml:space="preserve"> [online] Available at: &lt;https://www.legislation.gov.uk/ukpga/2015/9/notes&gt; [Accessed 29 June 2021].</w:t>
      </w:r>
    </w:p>
    <w:p w14:paraId="7EC1148C" w14:textId="77777777" w:rsidR="00A4707F" w:rsidRDefault="00A4707F" w:rsidP="002C4CA7">
      <w:pPr>
        <w:spacing w:line="480" w:lineRule="auto"/>
        <w:ind w:right="248" w:hanging="720"/>
        <w:rPr>
          <w:rFonts w:ascii="Garamond" w:hAnsi="Garamond" w:cstheme="minorHAnsi"/>
          <w:i/>
          <w:iCs/>
          <w:color w:val="000000"/>
          <w:sz w:val="24"/>
          <w:szCs w:val="24"/>
        </w:rPr>
      </w:pPr>
    </w:p>
    <w:p w14:paraId="008CEDE5" w14:textId="19E19941" w:rsidR="00A4707F" w:rsidRPr="00961FE2" w:rsidRDefault="00A4707F" w:rsidP="002C4CA7">
      <w:pPr>
        <w:spacing w:line="480" w:lineRule="auto"/>
        <w:ind w:right="248" w:hanging="720"/>
        <w:rPr>
          <w:rFonts w:ascii="Garamond" w:hAnsi="Garamond" w:cstheme="minorHAnsi"/>
          <w:sz w:val="24"/>
          <w:szCs w:val="24"/>
        </w:rPr>
      </w:pPr>
      <w:r w:rsidRPr="00961FE2">
        <w:rPr>
          <w:rFonts w:ascii="Garamond" w:hAnsi="Garamond" w:cstheme="minorHAnsi"/>
          <w:i/>
          <w:iCs/>
          <w:color w:val="000000"/>
          <w:sz w:val="24"/>
          <w:szCs w:val="24"/>
        </w:rPr>
        <w:t>Serious Crime Act 2015</w:t>
      </w:r>
      <w:r w:rsidRPr="00961FE2">
        <w:rPr>
          <w:rFonts w:ascii="Garamond" w:hAnsi="Garamond" w:cstheme="minorHAnsi"/>
          <w:color w:val="000000"/>
          <w:sz w:val="24"/>
          <w:szCs w:val="24"/>
          <w:shd w:val="clear" w:color="auto" w:fill="FFFFFF"/>
        </w:rPr>
        <w:t>, c. 9. [online] Available at: &lt;</w:t>
      </w:r>
      <w:hyperlink r:id="rId13" w:history="1">
        <w:r w:rsidRPr="00961FE2">
          <w:rPr>
            <w:rStyle w:val="Hyperlink"/>
            <w:rFonts w:ascii="Garamond" w:hAnsi="Garamond" w:cstheme="minorHAnsi"/>
            <w:sz w:val="24"/>
            <w:szCs w:val="24"/>
            <w:shd w:val="clear" w:color="auto" w:fill="FFFFFF"/>
          </w:rPr>
          <w:t>https://www.legislation.gov.uk/ukpga/2015/9/contents/enacted</w:t>
        </w:r>
      </w:hyperlink>
      <w:r w:rsidRPr="00961FE2">
        <w:rPr>
          <w:rFonts w:ascii="Garamond" w:hAnsi="Garamond" w:cstheme="minorHAnsi"/>
          <w:color w:val="000000"/>
          <w:sz w:val="24"/>
          <w:szCs w:val="24"/>
          <w:shd w:val="clear" w:color="auto" w:fill="FFFFFF"/>
        </w:rPr>
        <w:t>&gt; [Accessed 29 June 2021]</w:t>
      </w:r>
    </w:p>
    <w:p w14:paraId="7E2024E7" w14:textId="77777777" w:rsidR="00A4707F" w:rsidRDefault="00A4707F" w:rsidP="002C4CA7">
      <w:pPr>
        <w:spacing w:line="480" w:lineRule="auto"/>
        <w:ind w:right="248" w:hanging="720"/>
        <w:rPr>
          <w:rFonts w:ascii="Garamond" w:hAnsi="Garamond" w:cs="Calibri"/>
          <w:sz w:val="24"/>
          <w:szCs w:val="24"/>
        </w:rPr>
      </w:pPr>
    </w:p>
    <w:p w14:paraId="398F1F64" w14:textId="503E3911" w:rsidR="00A4707F" w:rsidRPr="00961FE2" w:rsidRDefault="00A4707F" w:rsidP="002C4CA7">
      <w:pPr>
        <w:spacing w:line="480" w:lineRule="auto"/>
        <w:ind w:right="248" w:hanging="720"/>
        <w:rPr>
          <w:rFonts w:ascii="Garamond" w:hAnsi="Garamond" w:cs="Calibri"/>
          <w:sz w:val="24"/>
          <w:szCs w:val="24"/>
        </w:rPr>
      </w:pPr>
      <w:r w:rsidRPr="00961FE2">
        <w:rPr>
          <w:rFonts w:ascii="Garamond" w:hAnsi="Garamond" w:cs="Calibri"/>
          <w:sz w:val="24"/>
          <w:szCs w:val="24"/>
        </w:rPr>
        <w:lastRenderedPageBreak/>
        <w:t>Sheptycki, J., 2017. The police intelligence division-of-labour. </w:t>
      </w:r>
      <w:r w:rsidRPr="00961FE2">
        <w:rPr>
          <w:rFonts w:ascii="Garamond" w:hAnsi="Garamond" w:cs="Calibri"/>
          <w:i/>
          <w:iCs/>
          <w:sz w:val="24"/>
          <w:szCs w:val="24"/>
        </w:rPr>
        <w:t>Policing and Society</w:t>
      </w:r>
      <w:r w:rsidRPr="00961FE2">
        <w:rPr>
          <w:rFonts w:ascii="Garamond" w:hAnsi="Garamond" w:cs="Calibri"/>
          <w:sz w:val="24"/>
          <w:szCs w:val="24"/>
        </w:rPr>
        <w:t>, [online] 27(6), pp.620-635. Available at: &lt;https://www.tandfonline.com/doi/pdf/10.1080/10439463.2017.1342645?needAccess=true&gt; [Accessed 1 July 2021].</w:t>
      </w:r>
    </w:p>
    <w:p w14:paraId="294650BC" w14:textId="77777777" w:rsidR="00A4707F" w:rsidRDefault="00A4707F" w:rsidP="002C4CA7">
      <w:pPr>
        <w:spacing w:line="480" w:lineRule="auto"/>
        <w:ind w:right="248" w:hanging="720"/>
        <w:rPr>
          <w:rFonts w:ascii="Garamond" w:hAnsi="Garamond" w:cs="Open Sans"/>
          <w:color w:val="000000"/>
          <w:sz w:val="24"/>
          <w:szCs w:val="24"/>
          <w:shd w:val="clear" w:color="auto" w:fill="FFFFFF"/>
        </w:rPr>
      </w:pPr>
    </w:p>
    <w:p w14:paraId="42B417D2" w14:textId="3234A90E" w:rsidR="00A4707F" w:rsidRPr="00961FE2" w:rsidRDefault="00A4707F" w:rsidP="002C4CA7">
      <w:pPr>
        <w:spacing w:line="480" w:lineRule="auto"/>
        <w:ind w:right="248" w:hanging="720"/>
        <w:rPr>
          <w:rFonts w:ascii="Garamond" w:hAnsi="Garamond"/>
          <w:sz w:val="24"/>
          <w:szCs w:val="24"/>
        </w:rPr>
      </w:pPr>
      <w:r w:rsidRPr="00961FE2">
        <w:rPr>
          <w:rFonts w:ascii="Garamond" w:hAnsi="Garamond" w:cs="Open Sans"/>
          <w:color w:val="000000"/>
          <w:sz w:val="24"/>
          <w:szCs w:val="24"/>
          <w:shd w:val="clear" w:color="auto" w:fill="FFFFFF"/>
        </w:rPr>
        <w:t>Sherman, L., 1998. Evidence-Based Policing.</w:t>
      </w:r>
      <w:r w:rsidRPr="00961FE2">
        <w:rPr>
          <w:rStyle w:val="apple-converted-space"/>
          <w:rFonts w:ascii="Garamond" w:hAnsi="Garamond" w:cs="Open Sans"/>
          <w:color w:val="000000"/>
          <w:sz w:val="24"/>
          <w:szCs w:val="24"/>
          <w:shd w:val="clear" w:color="auto" w:fill="FFFFFF"/>
        </w:rPr>
        <w:t> </w:t>
      </w:r>
      <w:r w:rsidRPr="00961FE2">
        <w:rPr>
          <w:rFonts w:ascii="Garamond" w:hAnsi="Garamond" w:cs="Open Sans"/>
          <w:i/>
          <w:iCs/>
          <w:color w:val="000000"/>
          <w:sz w:val="24"/>
          <w:szCs w:val="24"/>
        </w:rPr>
        <w:t>Police Foundation: Ideas in American Policing</w:t>
      </w:r>
      <w:r w:rsidRPr="00961FE2">
        <w:rPr>
          <w:rFonts w:ascii="Garamond" w:hAnsi="Garamond" w:cs="Open Sans"/>
          <w:color w:val="000000"/>
          <w:sz w:val="24"/>
          <w:szCs w:val="24"/>
          <w:shd w:val="clear" w:color="auto" w:fill="FFFFFF"/>
        </w:rPr>
        <w:t>, pp.1-16.</w:t>
      </w:r>
    </w:p>
    <w:p w14:paraId="3FEF2C0B" w14:textId="77777777" w:rsidR="002C4CA7" w:rsidRDefault="002C4CA7" w:rsidP="002C4CA7">
      <w:pPr>
        <w:spacing w:line="480" w:lineRule="auto"/>
        <w:ind w:right="248" w:hanging="720"/>
        <w:rPr>
          <w:rFonts w:ascii="Garamond" w:eastAsia="Calibri" w:hAnsi="Garamond" w:cs="Calibri"/>
          <w:sz w:val="24"/>
          <w:szCs w:val="24"/>
        </w:rPr>
      </w:pPr>
    </w:p>
    <w:p w14:paraId="1202A617" w14:textId="0746BDE2" w:rsidR="00A4707F" w:rsidRPr="00961FE2" w:rsidRDefault="00A4707F" w:rsidP="002C4CA7">
      <w:pPr>
        <w:spacing w:line="480" w:lineRule="auto"/>
        <w:ind w:right="248" w:hanging="720"/>
        <w:rPr>
          <w:rFonts w:ascii="Garamond" w:eastAsia="Calibri" w:hAnsi="Garamond" w:cs="Calibri"/>
          <w:sz w:val="24"/>
          <w:szCs w:val="24"/>
        </w:rPr>
      </w:pPr>
      <w:r w:rsidRPr="00961FE2">
        <w:rPr>
          <w:rFonts w:ascii="Garamond" w:eastAsia="Calibri" w:hAnsi="Garamond" w:cs="Calibri"/>
          <w:sz w:val="24"/>
          <w:szCs w:val="24"/>
        </w:rPr>
        <w:t xml:space="preserve">The Guardian, 1992. Cardiff murder appeal man 'beaten </w:t>
      </w:r>
      <w:proofErr w:type="spellStart"/>
      <w:r w:rsidRPr="00961FE2">
        <w:rPr>
          <w:rFonts w:ascii="Garamond" w:eastAsia="Calibri" w:hAnsi="Garamond" w:cs="Calibri"/>
          <w:sz w:val="24"/>
          <w:szCs w:val="24"/>
        </w:rPr>
        <w:t>over head</w:t>
      </w:r>
      <w:proofErr w:type="spellEnd"/>
      <w:r w:rsidRPr="00961FE2">
        <w:rPr>
          <w:rFonts w:ascii="Garamond" w:eastAsia="Calibri" w:hAnsi="Garamond" w:cs="Calibri"/>
          <w:sz w:val="24"/>
          <w:szCs w:val="24"/>
        </w:rPr>
        <w:t xml:space="preserve"> verbally'. [online] Available at: &lt;https://www.theguardian.com/uk/1992/dec/10/cardiff-three-wales&gt; [Accessed 30 June 2021].</w:t>
      </w:r>
    </w:p>
    <w:p w14:paraId="0D64D975" w14:textId="77777777" w:rsidR="00A4707F" w:rsidRDefault="00A4707F" w:rsidP="002C4CA7">
      <w:pPr>
        <w:spacing w:line="480" w:lineRule="auto"/>
        <w:ind w:right="248" w:hanging="720"/>
        <w:rPr>
          <w:rFonts w:ascii="Garamond" w:hAnsi="Garamond"/>
          <w:sz w:val="24"/>
          <w:szCs w:val="24"/>
          <w:lang w:val="nl-NL"/>
        </w:rPr>
      </w:pPr>
    </w:p>
    <w:p w14:paraId="61BD53BF" w14:textId="70F707C3" w:rsidR="00A4707F" w:rsidRPr="00A4707F" w:rsidRDefault="00A4707F" w:rsidP="002C4CA7">
      <w:pPr>
        <w:spacing w:line="480" w:lineRule="auto"/>
        <w:ind w:right="248" w:hanging="720"/>
        <w:rPr>
          <w:rFonts w:ascii="Garamond" w:hAnsi="Garamond"/>
          <w:sz w:val="24"/>
          <w:szCs w:val="24"/>
        </w:rPr>
      </w:pPr>
      <w:r w:rsidRPr="00961FE2">
        <w:rPr>
          <w:rFonts w:ascii="Garamond" w:hAnsi="Garamond"/>
          <w:sz w:val="24"/>
          <w:szCs w:val="24"/>
          <w:lang w:val="nl-NL"/>
        </w:rPr>
        <w:t>Van Dijk, A. J.  &amp; Hoogewoning, F. 2015. ‘</w:t>
      </w:r>
      <w:r w:rsidRPr="00961FE2">
        <w:rPr>
          <w:rFonts w:ascii="Garamond" w:hAnsi="Garamond"/>
          <w:sz w:val="24"/>
          <w:szCs w:val="24"/>
        </w:rPr>
        <w:t xml:space="preserve">What really matters in policing? And why “what works?” alone is simply not enough’ [online] Available at: </w:t>
      </w:r>
      <w:hyperlink r:id="rId14" w:history="1">
        <w:r w:rsidRPr="00961FE2">
          <w:rPr>
            <w:rStyle w:val="Hyperlink"/>
            <w:rFonts w:ascii="Garamond" w:hAnsi="Garamond"/>
            <w:sz w:val="24"/>
            <w:szCs w:val="24"/>
          </w:rPr>
          <w:t>https://www.cepol.europa.eu/sites/default/files/28-dijk-hoogewoning.pdf</w:t>
        </w:r>
      </w:hyperlink>
      <w:r w:rsidRPr="00961FE2">
        <w:rPr>
          <w:rFonts w:ascii="Garamond" w:hAnsi="Garamond"/>
          <w:sz w:val="24"/>
          <w:szCs w:val="24"/>
        </w:rPr>
        <w:t xml:space="preserve"> [Accessed 4 July 2021] </w:t>
      </w:r>
    </w:p>
    <w:sectPr w:rsidR="00A4707F" w:rsidRPr="00A4707F" w:rsidSect="00DE0ECC">
      <w:headerReference w:type="even" r:id="rId15"/>
      <w:headerReference w:type="default" r:id="rId16"/>
      <w:footerReference w:type="default" r:id="rId17"/>
      <w:pgSz w:w="11894" w:h="16834"/>
      <w:pgMar w:top="1440" w:right="1440" w:bottom="1440" w:left="144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14270C5" w14:textId="77777777" w:rsidR="00637F79" w:rsidRDefault="00637F79">
      <w:r>
        <w:separator/>
      </w:r>
    </w:p>
  </w:endnote>
  <w:endnote w:type="continuationSeparator" w:id="0">
    <w:p w14:paraId="5661EBEE" w14:textId="77777777" w:rsidR="00637F79" w:rsidRDefault="00637F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Garamond">
    <w:panose1 w:val="02020404030301010803"/>
    <w:charset w:val="00"/>
    <w:family w:val="roman"/>
    <w:pitch w:val="variable"/>
    <w:sig w:usb0="00000287" w:usb1="00000002" w:usb2="00000000" w:usb3="00000000" w:csb0="0000009F" w:csb1="00000000"/>
  </w:font>
  <w:font w:name="Open Sans">
    <w:panose1 w:val="020B0606030504020204"/>
    <w:charset w:val="00"/>
    <w:family w:val="swiss"/>
    <w:pitch w:val="variable"/>
    <w:sig w:usb0="E00002EF" w:usb1="4000205B" w:usb2="00000028" w:usb3="00000000" w:csb0="0000019F" w:csb1="00000000"/>
  </w:font>
  <w:font w:name="Cambria">
    <w:panose1 w:val="02040503050406030204"/>
    <w:charset w:val="00"/>
    <w:family w:val="roman"/>
    <w:pitch w:val="variable"/>
    <w:sig w:usb0="A00002EF" w:usb1="4000004B"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3ABA8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69BA75" w14:textId="77777777" w:rsidR="00637F79" w:rsidRDefault="00637F79">
      <w:r>
        <w:separator/>
      </w:r>
    </w:p>
  </w:footnote>
  <w:footnote w:type="continuationSeparator" w:id="0">
    <w:p w14:paraId="3C9258DB" w14:textId="77777777" w:rsidR="00637F79" w:rsidRDefault="00637F7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16881246"/>
      <w:docPartObj>
        <w:docPartGallery w:val="Page Numbers (Top of Page)"/>
        <w:docPartUnique/>
      </w:docPartObj>
    </w:sdtPr>
    <w:sdtContent>
      <w:p w14:paraId="0B02F027" w14:textId="146C7ED0" w:rsidR="00AF1E8C" w:rsidRDefault="00AF1E8C" w:rsidP="001219CD">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1C1F673" w14:textId="77777777" w:rsidR="00AF1E8C" w:rsidRDefault="00AF1E8C" w:rsidP="00AF1E8C">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51761091"/>
      <w:docPartObj>
        <w:docPartGallery w:val="Page Numbers (Top of Page)"/>
        <w:docPartUnique/>
      </w:docPartObj>
    </w:sdtPr>
    <w:sdtContent>
      <w:p w14:paraId="7AD4C3BC" w14:textId="61C45825" w:rsidR="00AF1E8C" w:rsidRDefault="00AF1E8C" w:rsidP="001219CD">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E0EF86B" w14:textId="760A7841" w:rsidR="00AF1E8C" w:rsidRDefault="00AF1E8C" w:rsidP="00AF1E8C">
    <w:pPr>
      <w:pStyle w:val="Header"/>
      <w:ind w:right="360"/>
    </w:pPr>
    <w:r>
      <w:t>DHEP Assignment</w:t>
    </w:r>
    <w:r>
      <w:tab/>
    </w:r>
    <w:r w:rsidR="00DE076C">
      <w:t>Name: Aled Goodwin</w:t>
    </w:r>
    <w:r w:rsidR="00DE076C">
      <w:tab/>
    </w:r>
    <w:r>
      <w:t>Student ID: 1910682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427C9E"/>
    <w:multiLevelType w:val="hybridMultilevel"/>
    <w:tmpl w:val="57140AC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6F762F3"/>
    <w:multiLevelType w:val="hybridMultilevel"/>
    <w:tmpl w:val="18863748"/>
    <w:lvl w:ilvl="0" w:tplc="EA36B794">
      <w:start w:val="1"/>
      <w:numFmt w:val="lowerLetter"/>
      <w:lvlText w:val="%1."/>
      <w:lvlJc w:val="left"/>
      <w:pPr>
        <w:ind w:left="395" w:hanging="360"/>
      </w:pPr>
      <w:rPr>
        <w:rFonts w:ascii="Times New Roman" w:hAnsi="Times New Roman" w:hint="default"/>
        <w:sz w:val="24"/>
      </w:rPr>
    </w:lvl>
    <w:lvl w:ilvl="1" w:tplc="08090019" w:tentative="1">
      <w:start w:val="1"/>
      <w:numFmt w:val="lowerLetter"/>
      <w:lvlText w:val="%2."/>
      <w:lvlJc w:val="left"/>
      <w:pPr>
        <w:ind w:left="1115" w:hanging="360"/>
      </w:pPr>
    </w:lvl>
    <w:lvl w:ilvl="2" w:tplc="0809001B" w:tentative="1">
      <w:start w:val="1"/>
      <w:numFmt w:val="lowerRoman"/>
      <w:lvlText w:val="%3."/>
      <w:lvlJc w:val="right"/>
      <w:pPr>
        <w:ind w:left="1835" w:hanging="180"/>
      </w:pPr>
    </w:lvl>
    <w:lvl w:ilvl="3" w:tplc="0809000F" w:tentative="1">
      <w:start w:val="1"/>
      <w:numFmt w:val="decimal"/>
      <w:lvlText w:val="%4."/>
      <w:lvlJc w:val="left"/>
      <w:pPr>
        <w:ind w:left="2555" w:hanging="360"/>
      </w:pPr>
    </w:lvl>
    <w:lvl w:ilvl="4" w:tplc="08090019" w:tentative="1">
      <w:start w:val="1"/>
      <w:numFmt w:val="lowerLetter"/>
      <w:lvlText w:val="%5."/>
      <w:lvlJc w:val="left"/>
      <w:pPr>
        <w:ind w:left="3275" w:hanging="360"/>
      </w:pPr>
    </w:lvl>
    <w:lvl w:ilvl="5" w:tplc="0809001B" w:tentative="1">
      <w:start w:val="1"/>
      <w:numFmt w:val="lowerRoman"/>
      <w:lvlText w:val="%6."/>
      <w:lvlJc w:val="right"/>
      <w:pPr>
        <w:ind w:left="3995" w:hanging="180"/>
      </w:pPr>
    </w:lvl>
    <w:lvl w:ilvl="6" w:tplc="0809000F" w:tentative="1">
      <w:start w:val="1"/>
      <w:numFmt w:val="decimal"/>
      <w:lvlText w:val="%7."/>
      <w:lvlJc w:val="left"/>
      <w:pPr>
        <w:ind w:left="4715" w:hanging="360"/>
      </w:pPr>
    </w:lvl>
    <w:lvl w:ilvl="7" w:tplc="08090019" w:tentative="1">
      <w:start w:val="1"/>
      <w:numFmt w:val="lowerLetter"/>
      <w:lvlText w:val="%8."/>
      <w:lvlJc w:val="left"/>
      <w:pPr>
        <w:ind w:left="5435" w:hanging="360"/>
      </w:pPr>
    </w:lvl>
    <w:lvl w:ilvl="8" w:tplc="0809001B" w:tentative="1">
      <w:start w:val="1"/>
      <w:numFmt w:val="lowerRoman"/>
      <w:lvlText w:val="%9."/>
      <w:lvlJc w:val="right"/>
      <w:pPr>
        <w:ind w:left="6155" w:hanging="180"/>
      </w:pPr>
    </w:lvl>
  </w:abstractNum>
  <w:abstractNum w:abstractNumId="3" w15:restartNumberingAfterBreak="0">
    <w:nsid w:val="0F5A2CBE"/>
    <w:multiLevelType w:val="hybridMultilevel"/>
    <w:tmpl w:val="6120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38B5C80"/>
    <w:multiLevelType w:val="hybridMultilevel"/>
    <w:tmpl w:val="B964D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956DB9"/>
    <w:multiLevelType w:val="hybridMultilevel"/>
    <w:tmpl w:val="C70CC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7C73854"/>
    <w:multiLevelType w:val="hybridMultilevel"/>
    <w:tmpl w:val="8E667E34"/>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29526F1B"/>
    <w:multiLevelType w:val="hybridMultilevel"/>
    <w:tmpl w:val="4104B98C"/>
    <w:lvl w:ilvl="0" w:tplc="BCE8CA90">
      <w:start w:val="1"/>
      <w:numFmt w:val="bullet"/>
      <w:lvlText w:val=""/>
      <w:lvlJc w:val="left"/>
      <w:pPr>
        <w:ind w:left="720" w:hanging="360"/>
      </w:pPr>
      <w:rPr>
        <w:rFonts w:ascii="Symbol" w:hAnsi="Symbol" w:hint="default"/>
      </w:rPr>
    </w:lvl>
    <w:lvl w:ilvl="1" w:tplc="98C44506">
      <w:start w:val="1"/>
      <w:numFmt w:val="bullet"/>
      <w:lvlText w:val="o"/>
      <w:lvlJc w:val="left"/>
      <w:pPr>
        <w:ind w:left="1440" w:hanging="360"/>
      </w:pPr>
      <w:rPr>
        <w:rFonts w:ascii="Courier New" w:hAnsi="Courier New" w:hint="default"/>
      </w:rPr>
    </w:lvl>
    <w:lvl w:ilvl="2" w:tplc="8A8A353E">
      <w:start w:val="1"/>
      <w:numFmt w:val="bullet"/>
      <w:lvlText w:val=""/>
      <w:lvlJc w:val="left"/>
      <w:pPr>
        <w:ind w:left="2160" w:hanging="360"/>
      </w:pPr>
      <w:rPr>
        <w:rFonts w:ascii="Wingdings" w:hAnsi="Wingdings" w:hint="default"/>
      </w:rPr>
    </w:lvl>
    <w:lvl w:ilvl="3" w:tplc="D2D48B14">
      <w:start w:val="1"/>
      <w:numFmt w:val="bullet"/>
      <w:lvlText w:val=""/>
      <w:lvlJc w:val="left"/>
      <w:pPr>
        <w:ind w:left="2880" w:hanging="360"/>
      </w:pPr>
      <w:rPr>
        <w:rFonts w:ascii="Symbol" w:hAnsi="Symbol" w:hint="default"/>
      </w:rPr>
    </w:lvl>
    <w:lvl w:ilvl="4" w:tplc="02CC9A06">
      <w:start w:val="1"/>
      <w:numFmt w:val="bullet"/>
      <w:lvlText w:val="o"/>
      <w:lvlJc w:val="left"/>
      <w:pPr>
        <w:ind w:left="3600" w:hanging="360"/>
      </w:pPr>
      <w:rPr>
        <w:rFonts w:ascii="Courier New" w:hAnsi="Courier New" w:hint="default"/>
      </w:rPr>
    </w:lvl>
    <w:lvl w:ilvl="5" w:tplc="693237EE">
      <w:start w:val="1"/>
      <w:numFmt w:val="bullet"/>
      <w:lvlText w:val=""/>
      <w:lvlJc w:val="left"/>
      <w:pPr>
        <w:ind w:left="4320" w:hanging="360"/>
      </w:pPr>
      <w:rPr>
        <w:rFonts w:ascii="Wingdings" w:hAnsi="Wingdings" w:hint="default"/>
      </w:rPr>
    </w:lvl>
    <w:lvl w:ilvl="6" w:tplc="EE6662C4">
      <w:start w:val="1"/>
      <w:numFmt w:val="bullet"/>
      <w:lvlText w:val=""/>
      <w:lvlJc w:val="left"/>
      <w:pPr>
        <w:ind w:left="5040" w:hanging="360"/>
      </w:pPr>
      <w:rPr>
        <w:rFonts w:ascii="Symbol" w:hAnsi="Symbol" w:hint="default"/>
      </w:rPr>
    </w:lvl>
    <w:lvl w:ilvl="7" w:tplc="7DBC18D2">
      <w:start w:val="1"/>
      <w:numFmt w:val="bullet"/>
      <w:lvlText w:val="o"/>
      <w:lvlJc w:val="left"/>
      <w:pPr>
        <w:ind w:left="5760" w:hanging="360"/>
      </w:pPr>
      <w:rPr>
        <w:rFonts w:ascii="Courier New" w:hAnsi="Courier New" w:hint="default"/>
      </w:rPr>
    </w:lvl>
    <w:lvl w:ilvl="8" w:tplc="94BE9FBC">
      <w:start w:val="1"/>
      <w:numFmt w:val="bullet"/>
      <w:lvlText w:val=""/>
      <w:lvlJc w:val="left"/>
      <w:pPr>
        <w:ind w:left="648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1EE2DD5"/>
    <w:multiLevelType w:val="hybridMultilevel"/>
    <w:tmpl w:val="B0704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7736C2E"/>
    <w:multiLevelType w:val="hybridMultilevel"/>
    <w:tmpl w:val="70D2A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3A2C62E6"/>
    <w:multiLevelType w:val="hybridMultilevel"/>
    <w:tmpl w:val="D2EA1894"/>
    <w:lvl w:ilvl="0" w:tplc="2FD8BD06">
      <w:start w:val="1"/>
      <w:numFmt w:val="bullet"/>
      <w:lvlText w:val=""/>
      <w:lvlJc w:val="left"/>
      <w:pPr>
        <w:ind w:left="720" w:hanging="360"/>
      </w:pPr>
      <w:rPr>
        <w:rFonts w:ascii="Symbol" w:hAnsi="Symbol" w:hint="default"/>
      </w:rPr>
    </w:lvl>
    <w:lvl w:ilvl="1" w:tplc="FF980758">
      <w:start w:val="1"/>
      <w:numFmt w:val="bullet"/>
      <w:lvlText w:val="o"/>
      <w:lvlJc w:val="left"/>
      <w:pPr>
        <w:ind w:left="1440" w:hanging="360"/>
      </w:pPr>
      <w:rPr>
        <w:rFonts w:ascii="Courier New" w:hAnsi="Courier New" w:hint="default"/>
      </w:rPr>
    </w:lvl>
    <w:lvl w:ilvl="2" w:tplc="01A8064A">
      <w:start w:val="1"/>
      <w:numFmt w:val="bullet"/>
      <w:lvlText w:val=""/>
      <w:lvlJc w:val="left"/>
      <w:pPr>
        <w:ind w:left="2160" w:hanging="360"/>
      </w:pPr>
      <w:rPr>
        <w:rFonts w:ascii="Wingdings" w:hAnsi="Wingdings" w:hint="default"/>
      </w:rPr>
    </w:lvl>
    <w:lvl w:ilvl="3" w:tplc="8DE629BC">
      <w:start w:val="1"/>
      <w:numFmt w:val="bullet"/>
      <w:lvlText w:val=""/>
      <w:lvlJc w:val="left"/>
      <w:pPr>
        <w:ind w:left="2880" w:hanging="360"/>
      </w:pPr>
      <w:rPr>
        <w:rFonts w:ascii="Symbol" w:hAnsi="Symbol" w:hint="default"/>
      </w:rPr>
    </w:lvl>
    <w:lvl w:ilvl="4" w:tplc="820455FA">
      <w:start w:val="1"/>
      <w:numFmt w:val="bullet"/>
      <w:lvlText w:val="o"/>
      <w:lvlJc w:val="left"/>
      <w:pPr>
        <w:ind w:left="3600" w:hanging="360"/>
      </w:pPr>
      <w:rPr>
        <w:rFonts w:ascii="Courier New" w:hAnsi="Courier New" w:hint="default"/>
      </w:rPr>
    </w:lvl>
    <w:lvl w:ilvl="5" w:tplc="BDEECA82">
      <w:start w:val="1"/>
      <w:numFmt w:val="bullet"/>
      <w:lvlText w:val=""/>
      <w:lvlJc w:val="left"/>
      <w:pPr>
        <w:ind w:left="4320" w:hanging="360"/>
      </w:pPr>
      <w:rPr>
        <w:rFonts w:ascii="Wingdings" w:hAnsi="Wingdings" w:hint="default"/>
      </w:rPr>
    </w:lvl>
    <w:lvl w:ilvl="6" w:tplc="89203ADC">
      <w:start w:val="1"/>
      <w:numFmt w:val="bullet"/>
      <w:lvlText w:val=""/>
      <w:lvlJc w:val="left"/>
      <w:pPr>
        <w:ind w:left="5040" w:hanging="360"/>
      </w:pPr>
      <w:rPr>
        <w:rFonts w:ascii="Symbol" w:hAnsi="Symbol" w:hint="default"/>
      </w:rPr>
    </w:lvl>
    <w:lvl w:ilvl="7" w:tplc="7EC6E3EE">
      <w:start w:val="1"/>
      <w:numFmt w:val="bullet"/>
      <w:lvlText w:val="o"/>
      <w:lvlJc w:val="left"/>
      <w:pPr>
        <w:ind w:left="5760" w:hanging="360"/>
      </w:pPr>
      <w:rPr>
        <w:rFonts w:ascii="Courier New" w:hAnsi="Courier New" w:hint="default"/>
      </w:rPr>
    </w:lvl>
    <w:lvl w:ilvl="8" w:tplc="B34E67A2">
      <w:start w:val="1"/>
      <w:numFmt w:val="bullet"/>
      <w:lvlText w:val=""/>
      <w:lvlJc w:val="left"/>
      <w:pPr>
        <w:ind w:left="6480" w:hanging="360"/>
      </w:pPr>
      <w:rPr>
        <w:rFonts w:ascii="Wingdings" w:hAnsi="Wingdings" w:hint="default"/>
      </w:rPr>
    </w:lvl>
  </w:abstractNum>
  <w:abstractNum w:abstractNumId="21" w15:restartNumberingAfterBreak="0">
    <w:nsid w:val="3B7F2BB9"/>
    <w:multiLevelType w:val="multilevel"/>
    <w:tmpl w:val="18B436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3BBE2DA1"/>
    <w:multiLevelType w:val="multilevel"/>
    <w:tmpl w:val="7F3A51A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3E2B32AF"/>
    <w:multiLevelType w:val="hybridMultilevel"/>
    <w:tmpl w:val="46A20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8261E85"/>
    <w:multiLevelType w:val="hybridMultilevel"/>
    <w:tmpl w:val="3A74CD6A"/>
    <w:lvl w:ilvl="0" w:tplc="E8CC776E">
      <w:start w:val="1"/>
      <w:numFmt w:val="bullet"/>
      <w:lvlText w:val=""/>
      <w:lvlJc w:val="left"/>
      <w:pPr>
        <w:ind w:left="720" w:hanging="360"/>
      </w:pPr>
      <w:rPr>
        <w:rFonts w:ascii="Symbol" w:hAnsi="Symbol" w:hint="default"/>
      </w:rPr>
    </w:lvl>
    <w:lvl w:ilvl="1" w:tplc="5B009E70">
      <w:start w:val="1"/>
      <w:numFmt w:val="bullet"/>
      <w:lvlText w:val="o"/>
      <w:lvlJc w:val="left"/>
      <w:pPr>
        <w:ind w:left="1440" w:hanging="360"/>
      </w:pPr>
      <w:rPr>
        <w:rFonts w:ascii="Courier New" w:hAnsi="Courier New" w:hint="default"/>
      </w:rPr>
    </w:lvl>
    <w:lvl w:ilvl="2" w:tplc="CFF69896">
      <w:start w:val="1"/>
      <w:numFmt w:val="bullet"/>
      <w:lvlText w:val=""/>
      <w:lvlJc w:val="left"/>
      <w:pPr>
        <w:ind w:left="2160" w:hanging="360"/>
      </w:pPr>
      <w:rPr>
        <w:rFonts w:ascii="Wingdings" w:hAnsi="Wingdings" w:hint="default"/>
      </w:rPr>
    </w:lvl>
    <w:lvl w:ilvl="3" w:tplc="4D3A1C92">
      <w:start w:val="1"/>
      <w:numFmt w:val="bullet"/>
      <w:lvlText w:val=""/>
      <w:lvlJc w:val="left"/>
      <w:pPr>
        <w:ind w:left="2880" w:hanging="360"/>
      </w:pPr>
      <w:rPr>
        <w:rFonts w:ascii="Symbol" w:hAnsi="Symbol" w:hint="default"/>
      </w:rPr>
    </w:lvl>
    <w:lvl w:ilvl="4" w:tplc="5322ABC8">
      <w:start w:val="1"/>
      <w:numFmt w:val="bullet"/>
      <w:lvlText w:val="o"/>
      <w:lvlJc w:val="left"/>
      <w:pPr>
        <w:ind w:left="3600" w:hanging="360"/>
      </w:pPr>
      <w:rPr>
        <w:rFonts w:ascii="Courier New" w:hAnsi="Courier New" w:hint="default"/>
      </w:rPr>
    </w:lvl>
    <w:lvl w:ilvl="5" w:tplc="C2FE2280">
      <w:start w:val="1"/>
      <w:numFmt w:val="bullet"/>
      <w:lvlText w:val=""/>
      <w:lvlJc w:val="left"/>
      <w:pPr>
        <w:ind w:left="4320" w:hanging="360"/>
      </w:pPr>
      <w:rPr>
        <w:rFonts w:ascii="Wingdings" w:hAnsi="Wingdings" w:hint="default"/>
      </w:rPr>
    </w:lvl>
    <w:lvl w:ilvl="6" w:tplc="1480E64C">
      <w:start w:val="1"/>
      <w:numFmt w:val="bullet"/>
      <w:lvlText w:val=""/>
      <w:lvlJc w:val="left"/>
      <w:pPr>
        <w:ind w:left="5040" w:hanging="360"/>
      </w:pPr>
      <w:rPr>
        <w:rFonts w:ascii="Symbol" w:hAnsi="Symbol" w:hint="default"/>
      </w:rPr>
    </w:lvl>
    <w:lvl w:ilvl="7" w:tplc="A6C8C532">
      <w:start w:val="1"/>
      <w:numFmt w:val="bullet"/>
      <w:lvlText w:val="o"/>
      <w:lvlJc w:val="left"/>
      <w:pPr>
        <w:ind w:left="5760" w:hanging="360"/>
      </w:pPr>
      <w:rPr>
        <w:rFonts w:ascii="Courier New" w:hAnsi="Courier New" w:hint="default"/>
      </w:rPr>
    </w:lvl>
    <w:lvl w:ilvl="8" w:tplc="9F005286">
      <w:start w:val="1"/>
      <w:numFmt w:val="bullet"/>
      <w:lvlText w:val=""/>
      <w:lvlJc w:val="left"/>
      <w:pPr>
        <w:ind w:left="6480" w:hanging="360"/>
      </w:pPr>
      <w:rPr>
        <w:rFonts w:ascii="Wingdings" w:hAnsi="Wingdings" w:hint="default"/>
      </w:rPr>
    </w:lvl>
  </w:abstractNum>
  <w:abstractNum w:abstractNumId="26" w15:restartNumberingAfterBreak="0">
    <w:nsid w:val="57CB4E18"/>
    <w:multiLevelType w:val="hybridMultilevel"/>
    <w:tmpl w:val="5024C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B89576B"/>
    <w:multiLevelType w:val="hybridMultilevel"/>
    <w:tmpl w:val="18863748"/>
    <w:lvl w:ilvl="0" w:tplc="EA36B794">
      <w:start w:val="1"/>
      <w:numFmt w:val="lowerLetter"/>
      <w:lvlText w:val="%1."/>
      <w:lvlJc w:val="left"/>
      <w:pPr>
        <w:ind w:left="2203" w:hanging="360"/>
      </w:pPr>
      <w:rPr>
        <w:rFonts w:ascii="Times New Roman" w:hAnsi="Times New Roman" w:hint="default"/>
        <w:sz w:val="24"/>
      </w:rPr>
    </w:lvl>
    <w:lvl w:ilvl="1" w:tplc="08090019" w:tentative="1">
      <w:start w:val="1"/>
      <w:numFmt w:val="lowerLetter"/>
      <w:lvlText w:val="%2."/>
      <w:lvlJc w:val="left"/>
      <w:pPr>
        <w:ind w:left="2923" w:hanging="360"/>
      </w:pPr>
    </w:lvl>
    <w:lvl w:ilvl="2" w:tplc="0809001B" w:tentative="1">
      <w:start w:val="1"/>
      <w:numFmt w:val="lowerRoman"/>
      <w:lvlText w:val="%3."/>
      <w:lvlJc w:val="right"/>
      <w:pPr>
        <w:ind w:left="3643" w:hanging="180"/>
      </w:pPr>
    </w:lvl>
    <w:lvl w:ilvl="3" w:tplc="0809000F" w:tentative="1">
      <w:start w:val="1"/>
      <w:numFmt w:val="decimal"/>
      <w:lvlText w:val="%4."/>
      <w:lvlJc w:val="left"/>
      <w:pPr>
        <w:ind w:left="4363" w:hanging="360"/>
      </w:pPr>
    </w:lvl>
    <w:lvl w:ilvl="4" w:tplc="08090019" w:tentative="1">
      <w:start w:val="1"/>
      <w:numFmt w:val="lowerLetter"/>
      <w:lvlText w:val="%5."/>
      <w:lvlJc w:val="left"/>
      <w:pPr>
        <w:ind w:left="5083" w:hanging="360"/>
      </w:pPr>
    </w:lvl>
    <w:lvl w:ilvl="5" w:tplc="0809001B" w:tentative="1">
      <w:start w:val="1"/>
      <w:numFmt w:val="lowerRoman"/>
      <w:lvlText w:val="%6."/>
      <w:lvlJc w:val="right"/>
      <w:pPr>
        <w:ind w:left="5803" w:hanging="180"/>
      </w:pPr>
    </w:lvl>
    <w:lvl w:ilvl="6" w:tplc="0809000F" w:tentative="1">
      <w:start w:val="1"/>
      <w:numFmt w:val="decimal"/>
      <w:lvlText w:val="%7."/>
      <w:lvlJc w:val="left"/>
      <w:pPr>
        <w:ind w:left="6523" w:hanging="360"/>
      </w:pPr>
    </w:lvl>
    <w:lvl w:ilvl="7" w:tplc="08090019" w:tentative="1">
      <w:start w:val="1"/>
      <w:numFmt w:val="lowerLetter"/>
      <w:lvlText w:val="%8."/>
      <w:lvlJc w:val="left"/>
      <w:pPr>
        <w:ind w:left="7243" w:hanging="360"/>
      </w:pPr>
    </w:lvl>
    <w:lvl w:ilvl="8" w:tplc="0809001B" w:tentative="1">
      <w:start w:val="1"/>
      <w:numFmt w:val="lowerRoman"/>
      <w:lvlText w:val="%9."/>
      <w:lvlJc w:val="right"/>
      <w:pPr>
        <w:ind w:left="7963" w:hanging="180"/>
      </w:pPr>
    </w:lvl>
  </w:abstractNum>
  <w:abstractNum w:abstractNumId="28" w15:restartNumberingAfterBreak="0">
    <w:nsid w:val="5E356561"/>
    <w:multiLevelType w:val="hybridMultilevel"/>
    <w:tmpl w:val="9D2E5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F7257F6"/>
    <w:multiLevelType w:val="hybridMultilevel"/>
    <w:tmpl w:val="71D8E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074DED"/>
    <w:multiLevelType w:val="hybridMultilevel"/>
    <w:tmpl w:val="A4025278"/>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BFE2DB5"/>
    <w:multiLevelType w:val="hybridMultilevel"/>
    <w:tmpl w:val="6130064E"/>
    <w:lvl w:ilvl="0" w:tplc="34CAA4E2">
      <w:start w:val="1"/>
      <w:numFmt w:val="decimal"/>
      <w:lvlText w:val="%1."/>
      <w:lvlJc w:val="left"/>
      <w:pPr>
        <w:ind w:left="720" w:hanging="360"/>
      </w:pPr>
      <w:rPr>
        <w:rFonts w:ascii="Arial" w:hAnsi="Arial" w:cs="Arial" w:hint="default"/>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6" w15:restartNumberingAfterBreak="0">
    <w:nsid w:val="7B320EF7"/>
    <w:multiLevelType w:val="hybridMultilevel"/>
    <w:tmpl w:val="019622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3"/>
  </w:num>
  <w:num w:numId="2">
    <w:abstractNumId w:val="20"/>
  </w:num>
  <w:num w:numId="3">
    <w:abstractNumId w:val="4"/>
  </w:num>
  <w:num w:numId="4">
    <w:abstractNumId w:val="18"/>
  </w:num>
  <w:num w:numId="5">
    <w:abstractNumId w:val="35"/>
  </w:num>
  <w:num w:numId="6">
    <w:abstractNumId w:val="24"/>
  </w:num>
  <w:num w:numId="7">
    <w:abstractNumId w:val="14"/>
  </w:num>
  <w:num w:numId="8">
    <w:abstractNumId w:val="34"/>
  </w:num>
  <w:num w:numId="9">
    <w:abstractNumId w:val="7"/>
  </w:num>
  <w:num w:numId="10">
    <w:abstractNumId w:val="31"/>
  </w:num>
  <w:num w:numId="11">
    <w:abstractNumId w:val="19"/>
  </w:num>
  <w:num w:numId="12">
    <w:abstractNumId w:val="9"/>
  </w:num>
  <w:num w:numId="13">
    <w:abstractNumId w:val="10"/>
  </w:num>
  <w:num w:numId="14">
    <w:abstractNumId w:val="16"/>
  </w:num>
  <w:num w:numId="15">
    <w:abstractNumId w:val="29"/>
  </w:num>
  <w:num w:numId="16">
    <w:abstractNumId w:val="8"/>
  </w:num>
  <w:num w:numId="17">
    <w:abstractNumId w:val="0"/>
  </w:num>
  <w:num w:numId="18">
    <w:abstractNumId w:val="12"/>
  </w:num>
  <w:num w:numId="19">
    <w:abstractNumId w:val="30"/>
  </w:num>
  <w:num w:numId="20">
    <w:abstractNumId w:val="5"/>
  </w:num>
  <w:num w:numId="21">
    <w:abstractNumId w:val="17"/>
  </w:num>
  <w:num w:numId="22">
    <w:abstractNumId w:val="3"/>
  </w:num>
  <w:num w:numId="23">
    <w:abstractNumId w:val="23"/>
  </w:num>
  <w:num w:numId="24">
    <w:abstractNumId w:val="27"/>
  </w:num>
  <w:num w:numId="25">
    <w:abstractNumId w:val="2"/>
  </w:num>
  <w:num w:numId="26">
    <w:abstractNumId w:val="33"/>
  </w:num>
  <w:num w:numId="27">
    <w:abstractNumId w:val="6"/>
  </w:num>
  <w:num w:numId="28">
    <w:abstractNumId w:val="28"/>
  </w:num>
  <w:num w:numId="29">
    <w:abstractNumId w:val="32"/>
  </w:num>
  <w:num w:numId="30">
    <w:abstractNumId w:val="26"/>
  </w:num>
  <w:num w:numId="31">
    <w:abstractNumId w:val="15"/>
  </w:num>
  <w:num w:numId="32">
    <w:abstractNumId w:val="25"/>
  </w:num>
  <w:num w:numId="33">
    <w:abstractNumId w:val="22"/>
  </w:num>
  <w:num w:numId="34">
    <w:abstractNumId w:val="21"/>
  </w:num>
  <w:num w:numId="35">
    <w:abstractNumId w:val="1"/>
  </w:num>
  <w:num w:numId="36">
    <w:abstractNumId w:val="36"/>
  </w:num>
  <w:num w:numId="3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7"/>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ECF"/>
    <w:rsid w:val="00026B02"/>
    <w:rsid w:val="00045D04"/>
    <w:rsid w:val="000822E5"/>
    <w:rsid w:val="000971FC"/>
    <w:rsid w:val="000A2A3A"/>
    <w:rsid w:val="000A492A"/>
    <w:rsid w:val="000B1468"/>
    <w:rsid w:val="000C12E6"/>
    <w:rsid w:val="000D2D4F"/>
    <w:rsid w:val="000D2F80"/>
    <w:rsid w:val="000E413A"/>
    <w:rsid w:val="000F2EAB"/>
    <w:rsid w:val="000F5AA3"/>
    <w:rsid w:val="00100396"/>
    <w:rsid w:val="00100B5C"/>
    <w:rsid w:val="00103507"/>
    <w:rsid w:val="001106E9"/>
    <w:rsid w:val="00116072"/>
    <w:rsid w:val="00124CA5"/>
    <w:rsid w:val="00130080"/>
    <w:rsid w:val="00134F77"/>
    <w:rsid w:val="00152E9D"/>
    <w:rsid w:val="00154487"/>
    <w:rsid w:val="0017512A"/>
    <w:rsid w:val="00196958"/>
    <w:rsid w:val="001A1E39"/>
    <w:rsid w:val="001A24F3"/>
    <w:rsid w:val="001A486E"/>
    <w:rsid w:val="001B405C"/>
    <w:rsid w:val="001B4CA3"/>
    <w:rsid w:val="001B5F45"/>
    <w:rsid w:val="001E1050"/>
    <w:rsid w:val="001E1E1F"/>
    <w:rsid w:val="001E2007"/>
    <w:rsid w:val="001E57C1"/>
    <w:rsid w:val="001E6AF7"/>
    <w:rsid w:val="001F07EF"/>
    <w:rsid w:val="001F2D52"/>
    <w:rsid w:val="001F50B6"/>
    <w:rsid w:val="001F6D7A"/>
    <w:rsid w:val="0022746E"/>
    <w:rsid w:val="00235F71"/>
    <w:rsid w:val="002444CA"/>
    <w:rsid w:val="00260DE6"/>
    <w:rsid w:val="00273FEE"/>
    <w:rsid w:val="0028204E"/>
    <w:rsid w:val="0028591B"/>
    <w:rsid w:val="00291841"/>
    <w:rsid w:val="002C449B"/>
    <w:rsid w:val="002C4CA7"/>
    <w:rsid w:val="002C6040"/>
    <w:rsid w:val="002D5B3F"/>
    <w:rsid w:val="002E272E"/>
    <w:rsid w:val="002F5778"/>
    <w:rsid w:val="003223E0"/>
    <w:rsid w:val="00352C4A"/>
    <w:rsid w:val="00362560"/>
    <w:rsid w:val="003703CC"/>
    <w:rsid w:val="003732FD"/>
    <w:rsid w:val="003753B2"/>
    <w:rsid w:val="00376559"/>
    <w:rsid w:val="00382BAA"/>
    <w:rsid w:val="00384D73"/>
    <w:rsid w:val="00393EB6"/>
    <w:rsid w:val="003A3CE5"/>
    <w:rsid w:val="003B366F"/>
    <w:rsid w:val="003B3F9D"/>
    <w:rsid w:val="003B6C95"/>
    <w:rsid w:val="003E5751"/>
    <w:rsid w:val="004046A9"/>
    <w:rsid w:val="00404C50"/>
    <w:rsid w:val="0042193C"/>
    <w:rsid w:val="00423934"/>
    <w:rsid w:val="00426244"/>
    <w:rsid w:val="00454735"/>
    <w:rsid w:val="00456A25"/>
    <w:rsid w:val="00470A38"/>
    <w:rsid w:val="00474229"/>
    <w:rsid w:val="004874DE"/>
    <w:rsid w:val="004B5334"/>
    <w:rsid w:val="004B6C14"/>
    <w:rsid w:val="004B6C61"/>
    <w:rsid w:val="004C4F19"/>
    <w:rsid w:val="004D5E9B"/>
    <w:rsid w:val="004D63D9"/>
    <w:rsid w:val="004E6585"/>
    <w:rsid w:val="0050249F"/>
    <w:rsid w:val="00524566"/>
    <w:rsid w:val="00530BEF"/>
    <w:rsid w:val="00550080"/>
    <w:rsid w:val="00552351"/>
    <w:rsid w:val="00561F00"/>
    <w:rsid w:val="00562C4E"/>
    <w:rsid w:val="00562DEC"/>
    <w:rsid w:val="00576AB4"/>
    <w:rsid w:val="00577917"/>
    <w:rsid w:val="00590667"/>
    <w:rsid w:val="00592635"/>
    <w:rsid w:val="005969E2"/>
    <w:rsid w:val="005A1689"/>
    <w:rsid w:val="005B61CD"/>
    <w:rsid w:val="005D1D58"/>
    <w:rsid w:val="005D432C"/>
    <w:rsid w:val="005E285E"/>
    <w:rsid w:val="005E72F8"/>
    <w:rsid w:val="005F0579"/>
    <w:rsid w:val="005F3A53"/>
    <w:rsid w:val="006062A3"/>
    <w:rsid w:val="00610E08"/>
    <w:rsid w:val="00611777"/>
    <w:rsid w:val="006140BF"/>
    <w:rsid w:val="006161BE"/>
    <w:rsid w:val="00620787"/>
    <w:rsid w:val="00632434"/>
    <w:rsid w:val="0063478F"/>
    <w:rsid w:val="00637F79"/>
    <w:rsid w:val="00644256"/>
    <w:rsid w:val="00661D6F"/>
    <w:rsid w:val="006628E9"/>
    <w:rsid w:val="0066725E"/>
    <w:rsid w:val="006716C7"/>
    <w:rsid w:val="00673F98"/>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05EC9"/>
    <w:rsid w:val="007366DF"/>
    <w:rsid w:val="00757839"/>
    <w:rsid w:val="0076406B"/>
    <w:rsid w:val="00770C81"/>
    <w:rsid w:val="00791024"/>
    <w:rsid w:val="00793F0A"/>
    <w:rsid w:val="00795507"/>
    <w:rsid w:val="007A2657"/>
    <w:rsid w:val="007C682C"/>
    <w:rsid w:val="007D2385"/>
    <w:rsid w:val="007E6F99"/>
    <w:rsid w:val="007F214F"/>
    <w:rsid w:val="00800069"/>
    <w:rsid w:val="008042F0"/>
    <w:rsid w:val="008310A0"/>
    <w:rsid w:val="00835D29"/>
    <w:rsid w:val="00842E7F"/>
    <w:rsid w:val="008510CE"/>
    <w:rsid w:val="00852933"/>
    <w:rsid w:val="008566E5"/>
    <w:rsid w:val="008566FE"/>
    <w:rsid w:val="00865B46"/>
    <w:rsid w:val="00894D56"/>
    <w:rsid w:val="00896134"/>
    <w:rsid w:val="008A62BC"/>
    <w:rsid w:val="008B43E7"/>
    <w:rsid w:val="008C1980"/>
    <w:rsid w:val="008D763F"/>
    <w:rsid w:val="008F036F"/>
    <w:rsid w:val="008F1308"/>
    <w:rsid w:val="008F78C2"/>
    <w:rsid w:val="00904568"/>
    <w:rsid w:val="00911394"/>
    <w:rsid w:val="00923EF2"/>
    <w:rsid w:val="00926D25"/>
    <w:rsid w:val="00926E9D"/>
    <w:rsid w:val="00930386"/>
    <w:rsid w:val="00932C6E"/>
    <w:rsid w:val="00933F10"/>
    <w:rsid w:val="009433C5"/>
    <w:rsid w:val="009601B8"/>
    <w:rsid w:val="00961FE2"/>
    <w:rsid w:val="00965881"/>
    <w:rsid w:val="009871FF"/>
    <w:rsid w:val="00990799"/>
    <w:rsid w:val="00995D51"/>
    <w:rsid w:val="009A0631"/>
    <w:rsid w:val="009B10ED"/>
    <w:rsid w:val="009D3EA4"/>
    <w:rsid w:val="009D649C"/>
    <w:rsid w:val="009E4BC1"/>
    <w:rsid w:val="009F5CB2"/>
    <w:rsid w:val="009F710D"/>
    <w:rsid w:val="00A03BB8"/>
    <w:rsid w:val="00A24221"/>
    <w:rsid w:val="00A26EA6"/>
    <w:rsid w:val="00A3505D"/>
    <w:rsid w:val="00A4036F"/>
    <w:rsid w:val="00A406E5"/>
    <w:rsid w:val="00A4641C"/>
    <w:rsid w:val="00A4707F"/>
    <w:rsid w:val="00A55876"/>
    <w:rsid w:val="00A67FB1"/>
    <w:rsid w:val="00A85BFE"/>
    <w:rsid w:val="00AB6FE7"/>
    <w:rsid w:val="00AB7AD7"/>
    <w:rsid w:val="00AC5F32"/>
    <w:rsid w:val="00AD2430"/>
    <w:rsid w:val="00AE41A6"/>
    <w:rsid w:val="00AF0E34"/>
    <w:rsid w:val="00AF1E8C"/>
    <w:rsid w:val="00AF271D"/>
    <w:rsid w:val="00AF56C2"/>
    <w:rsid w:val="00AF6FEB"/>
    <w:rsid w:val="00B004E6"/>
    <w:rsid w:val="00B0744D"/>
    <w:rsid w:val="00B431D9"/>
    <w:rsid w:val="00B50EA8"/>
    <w:rsid w:val="00B64082"/>
    <w:rsid w:val="00B643DA"/>
    <w:rsid w:val="00B67F0E"/>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64DA0"/>
    <w:rsid w:val="00C705F9"/>
    <w:rsid w:val="00C8065A"/>
    <w:rsid w:val="00C80F0F"/>
    <w:rsid w:val="00C8667A"/>
    <w:rsid w:val="00C93BCB"/>
    <w:rsid w:val="00CC241A"/>
    <w:rsid w:val="00CD1C26"/>
    <w:rsid w:val="00CE4035"/>
    <w:rsid w:val="00CE65AB"/>
    <w:rsid w:val="00CF4266"/>
    <w:rsid w:val="00D145F1"/>
    <w:rsid w:val="00D22BAE"/>
    <w:rsid w:val="00D22D9C"/>
    <w:rsid w:val="00D241F1"/>
    <w:rsid w:val="00D275CB"/>
    <w:rsid w:val="00D30DFA"/>
    <w:rsid w:val="00D463A5"/>
    <w:rsid w:val="00D4710D"/>
    <w:rsid w:val="00D47D25"/>
    <w:rsid w:val="00D62ACD"/>
    <w:rsid w:val="00DA36EE"/>
    <w:rsid w:val="00DB116D"/>
    <w:rsid w:val="00DD17CC"/>
    <w:rsid w:val="00DE076C"/>
    <w:rsid w:val="00DE0ECC"/>
    <w:rsid w:val="00DE217A"/>
    <w:rsid w:val="00DF1EF9"/>
    <w:rsid w:val="00DF321B"/>
    <w:rsid w:val="00E05287"/>
    <w:rsid w:val="00E230E0"/>
    <w:rsid w:val="00E51AAC"/>
    <w:rsid w:val="00E66CC0"/>
    <w:rsid w:val="00E728A9"/>
    <w:rsid w:val="00E7483E"/>
    <w:rsid w:val="00E807D9"/>
    <w:rsid w:val="00EA0F4E"/>
    <w:rsid w:val="00EA295B"/>
    <w:rsid w:val="00EA3B9B"/>
    <w:rsid w:val="00EA6801"/>
    <w:rsid w:val="00EB0611"/>
    <w:rsid w:val="00EB4F96"/>
    <w:rsid w:val="00ED14FE"/>
    <w:rsid w:val="00ED7072"/>
    <w:rsid w:val="00EE3132"/>
    <w:rsid w:val="00EE3D9D"/>
    <w:rsid w:val="00EE6F25"/>
    <w:rsid w:val="00F02126"/>
    <w:rsid w:val="00F03D85"/>
    <w:rsid w:val="00F07C8C"/>
    <w:rsid w:val="00F171F6"/>
    <w:rsid w:val="00F249F1"/>
    <w:rsid w:val="00F25B9D"/>
    <w:rsid w:val="00F2664E"/>
    <w:rsid w:val="00F31163"/>
    <w:rsid w:val="00F31C04"/>
    <w:rsid w:val="00F442A7"/>
    <w:rsid w:val="00F57A89"/>
    <w:rsid w:val="00F61A20"/>
    <w:rsid w:val="00F63DD9"/>
    <w:rsid w:val="00F67644"/>
    <w:rsid w:val="00F8381F"/>
    <w:rsid w:val="00F90BD8"/>
    <w:rsid w:val="00FA04CD"/>
    <w:rsid w:val="00FA25F5"/>
    <w:rsid w:val="00FA2810"/>
    <w:rsid w:val="00FA68F8"/>
    <w:rsid w:val="00FB1DC0"/>
    <w:rsid w:val="00FB3B4E"/>
    <w:rsid w:val="00FB4521"/>
    <w:rsid w:val="00FB4F84"/>
    <w:rsid w:val="00FB5CF8"/>
    <w:rsid w:val="00FD34A3"/>
    <w:rsid w:val="00FE5651"/>
    <w:rsid w:val="00FF273B"/>
    <w:rsid w:val="00FF564C"/>
    <w:rsid w:val="043208AE"/>
    <w:rsid w:val="04DED357"/>
    <w:rsid w:val="057B3CB1"/>
    <w:rsid w:val="08FD2EDD"/>
    <w:rsid w:val="0BECC44E"/>
    <w:rsid w:val="0D580C24"/>
    <w:rsid w:val="18A581AA"/>
    <w:rsid w:val="2002C083"/>
    <w:rsid w:val="259E24E2"/>
    <w:rsid w:val="2CC25FBB"/>
    <w:rsid w:val="3A6915F2"/>
    <w:rsid w:val="3BDD3DF9"/>
    <w:rsid w:val="43AA28BB"/>
    <w:rsid w:val="464F7901"/>
    <w:rsid w:val="4FB4B4CD"/>
    <w:rsid w:val="55303588"/>
    <w:rsid w:val="663E7263"/>
    <w:rsid w:val="7A0A2E45"/>
    <w:rsid w:val="7D0502E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4BF909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uiPriority="9"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iPriority="99"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Unresolved Mention" w:uiPriority="99"/>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uiPriority w:val="9"/>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474229"/>
    <w:rPr>
      <w:sz w:val="24"/>
      <w:szCs w:val="24"/>
    </w:rPr>
  </w:style>
  <w:style w:type="character" w:customStyle="1" w:styleId="normaltextrun1">
    <w:name w:val="normaltextrun1"/>
    <w:basedOn w:val="DefaultParagraphFont"/>
    <w:rsid w:val="00474229"/>
  </w:style>
  <w:style w:type="character" w:customStyle="1" w:styleId="eop">
    <w:name w:val="eop"/>
    <w:basedOn w:val="DefaultParagraphFont"/>
    <w:rsid w:val="00474229"/>
  </w:style>
  <w:style w:type="character" w:customStyle="1" w:styleId="Heading2Char">
    <w:name w:val="Heading 2 Char"/>
    <w:basedOn w:val="DefaultParagraphFont"/>
    <w:link w:val="Heading2"/>
    <w:uiPriority w:val="9"/>
    <w:rsid w:val="000C12E6"/>
    <w:rPr>
      <w:b/>
      <w:sz w:val="24"/>
      <w:lang w:eastAsia="en-GB"/>
    </w:rPr>
  </w:style>
  <w:style w:type="character" w:customStyle="1" w:styleId="apple-converted-space">
    <w:name w:val="apple-converted-space"/>
    <w:basedOn w:val="DefaultParagraphFont"/>
    <w:rsid w:val="000C12E6"/>
  </w:style>
  <w:style w:type="character" w:styleId="UnresolvedMention">
    <w:name w:val="Unresolved Mention"/>
    <w:basedOn w:val="DefaultParagraphFont"/>
    <w:uiPriority w:val="99"/>
    <w:unhideWhenUsed/>
    <w:rsid w:val="000C12E6"/>
    <w:rPr>
      <w:color w:val="605E5C"/>
      <w:shd w:val="clear" w:color="auto" w:fill="E1DFDD"/>
    </w:rPr>
  </w:style>
  <w:style w:type="character" w:styleId="FollowedHyperlink">
    <w:name w:val="FollowedHyperlink"/>
    <w:basedOn w:val="DefaultParagraphFont"/>
    <w:uiPriority w:val="99"/>
    <w:semiHidden/>
    <w:unhideWhenUsed/>
    <w:rsid w:val="000C12E6"/>
    <w:rPr>
      <w:color w:val="800080" w:themeColor="followedHyperlink"/>
      <w:u w:val="single"/>
    </w:rPr>
  </w:style>
  <w:style w:type="character" w:styleId="PageNumber">
    <w:name w:val="page number"/>
    <w:basedOn w:val="DefaultParagraphFont"/>
    <w:semiHidden/>
    <w:unhideWhenUsed/>
    <w:rsid w:val="00AF1E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337711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0157958">
      <w:bodyDiv w:val="1"/>
      <w:marLeft w:val="0"/>
      <w:marRight w:val="0"/>
      <w:marTop w:val="0"/>
      <w:marBottom w:val="0"/>
      <w:divBdr>
        <w:top w:val="none" w:sz="0" w:space="0" w:color="auto"/>
        <w:left w:val="none" w:sz="0" w:space="0" w:color="auto"/>
        <w:bottom w:val="none" w:sz="0" w:space="0" w:color="auto"/>
        <w:right w:val="none" w:sz="0" w:space="0" w:color="auto"/>
      </w:divBdr>
      <w:divsChild>
        <w:div w:id="1725910261">
          <w:marLeft w:val="0"/>
          <w:marRight w:val="0"/>
          <w:marTop w:val="0"/>
          <w:marBottom w:val="0"/>
          <w:divBdr>
            <w:top w:val="none" w:sz="0" w:space="0" w:color="auto"/>
            <w:left w:val="none" w:sz="0" w:space="0" w:color="auto"/>
            <w:bottom w:val="none" w:sz="0" w:space="0" w:color="auto"/>
            <w:right w:val="none" w:sz="0" w:space="0" w:color="auto"/>
          </w:divBdr>
          <w:divsChild>
            <w:div w:id="1188565920">
              <w:marLeft w:val="0"/>
              <w:marRight w:val="0"/>
              <w:marTop w:val="0"/>
              <w:marBottom w:val="0"/>
              <w:divBdr>
                <w:top w:val="none" w:sz="0" w:space="0" w:color="auto"/>
                <w:left w:val="none" w:sz="0" w:space="0" w:color="auto"/>
                <w:bottom w:val="none" w:sz="0" w:space="0" w:color="auto"/>
                <w:right w:val="none" w:sz="0" w:space="0" w:color="auto"/>
              </w:divBdr>
              <w:divsChild>
                <w:div w:id="1797138476">
                  <w:marLeft w:val="0"/>
                  <w:marRight w:val="0"/>
                  <w:marTop w:val="0"/>
                  <w:marBottom w:val="0"/>
                  <w:divBdr>
                    <w:top w:val="none" w:sz="0" w:space="0" w:color="auto"/>
                    <w:left w:val="none" w:sz="0" w:space="0" w:color="auto"/>
                    <w:bottom w:val="none" w:sz="0" w:space="0" w:color="auto"/>
                    <w:right w:val="none" w:sz="0" w:space="0" w:color="auto"/>
                  </w:divBdr>
                  <w:divsChild>
                    <w:div w:id="1453598008">
                      <w:marLeft w:val="0"/>
                      <w:marRight w:val="0"/>
                      <w:marTop w:val="0"/>
                      <w:marBottom w:val="0"/>
                      <w:divBdr>
                        <w:top w:val="none" w:sz="0" w:space="0" w:color="auto"/>
                        <w:left w:val="none" w:sz="0" w:space="0" w:color="auto"/>
                        <w:bottom w:val="none" w:sz="0" w:space="0" w:color="auto"/>
                        <w:right w:val="none" w:sz="0" w:space="0" w:color="auto"/>
                      </w:divBdr>
                      <w:divsChild>
                        <w:div w:id="1272202480">
                          <w:marLeft w:val="0"/>
                          <w:marRight w:val="0"/>
                          <w:marTop w:val="0"/>
                          <w:marBottom w:val="0"/>
                          <w:divBdr>
                            <w:top w:val="none" w:sz="0" w:space="0" w:color="auto"/>
                            <w:left w:val="none" w:sz="0" w:space="0" w:color="auto"/>
                            <w:bottom w:val="none" w:sz="0" w:space="0" w:color="auto"/>
                            <w:right w:val="none" w:sz="0" w:space="0" w:color="auto"/>
                          </w:divBdr>
                          <w:divsChild>
                            <w:div w:id="1970548141">
                              <w:marLeft w:val="0"/>
                              <w:marRight w:val="0"/>
                              <w:marTop w:val="0"/>
                              <w:marBottom w:val="0"/>
                              <w:divBdr>
                                <w:top w:val="none" w:sz="0" w:space="0" w:color="auto"/>
                                <w:left w:val="none" w:sz="0" w:space="0" w:color="auto"/>
                                <w:bottom w:val="none" w:sz="0" w:space="0" w:color="auto"/>
                                <w:right w:val="none" w:sz="0" w:space="0" w:color="auto"/>
                              </w:divBdr>
                              <w:divsChild>
                                <w:div w:id="1230382866">
                                  <w:marLeft w:val="0"/>
                                  <w:marRight w:val="0"/>
                                  <w:marTop w:val="0"/>
                                  <w:marBottom w:val="0"/>
                                  <w:divBdr>
                                    <w:top w:val="none" w:sz="0" w:space="0" w:color="auto"/>
                                    <w:left w:val="none" w:sz="0" w:space="0" w:color="auto"/>
                                    <w:bottom w:val="none" w:sz="0" w:space="0" w:color="auto"/>
                                    <w:right w:val="none" w:sz="0" w:space="0" w:color="auto"/>
                                  </w:divBdr>
                                  <w:divsChild>
                                    <w:div w:id="459424691">
                                      <w:marLeft w:val="0"/>
                                      <w:marRight w:val="0"/>
                                      <w:marTop w:val="0"/>
                                      <w:marBottom w:val="0"/>
                                      <w:divBdr>
                                        <w:top w:val="none" w:sz="0" w:space="0" w:color="auto"/>
                                        <w:left w:val="none" w:sz="0" w:space="0" w:color="auto"/>
                                        <w:bottom w:val="none" w:sz="0" w:space="0" w:color="auto"/>
                                        <w:right w:val="none" w:sz="0" w:space="0" w:color="auto"/>
                                      </w:divBdr>
                                      <w:divsChild>
                                        <w:div w:id="1832213161">
                                          <w:marLeft w:val="0"/>
                                          <w:marRight w:val="0"/>
                                          <w:marTop w:val="0"/>
                                          <w:marBottom w:val="0"/>
                                          <w:divBdr>
                                            <w:top w:val="none" w:sz="0" w:space="0" w:color="auto"/>
                                            <w:left w:val="none" w:sz="0" w:space="0" w:color="auto"/>
                                            <w:bottom w:val="none" w:sz="0" w:space="0" w:color="auto"/>
                                            <w:right w:val="none" w:sz="0" w:space="0" w:color="auto"/>
                                          </w:divBdr>
                                          <w:divsChild>
                                            <w:div w:id="156000869">
                                              <w:marLeft w:val="0"/>
                                              <w:marRight w:val="0"/>
                                              <w:marTop w:val="0"/>
                                              <w:marBottom w:val="0"/>
                                              <w:divBdr>
                                                <w:top w:val="none" w:sz="0" w:space="0" w:color="auto"/>
                                                <w:left w:val="none" w:sz="0" w:space="0" w:color="auto"/>
                                                <w:bottom w:val="none" w:sz="0" w:space="0" w:color="auto"/>
                                                <w:right w:val="none" w:sz="0" w:space="0" w:color="auto"/>
                                              </w:divBdr>
                                              <w:divsChild>
                                                <w:div w:id="716321065">
                                                  <w:marLeft w:val="0"/>
                                                  <w:marRight w:val="0"/>
                                                  <w:marTop w:val="0"/>
                                                  <w:marBottom w:val="0"/>
                                                  <w:divBdr>
                                                    <w:top w:val="none" w:sz="0" w:space="0" w:color="auto"/>
                                                    <w:left w:val="none" w:sz="0" w:space="0" w:color="auto"/>
                                                    <w:bottom w:val="none" w:sz="0" w:space="0" w:color="auto"/>
                                                    <w:right w:val="none" w:sz="0" w:space="0" w:color="auto"/>
                                                  </w:divBdr>
                                                  <w:divsChild>
                                                    <w:div w:id="1916937473">
                                                      <w:marLeft w:val="0"/>
                                                      <w:marRight w:val="0"/>
                                                      <w:marTop w:val="0"/>
                                                      <w:marBottom w:val="0"/>
                                                      <w:divBdr>
                                                        <w:top w:val="single" w:sz="6" w:space="0" w:color="ABABAB"/>
                                                        <w:left w:val="single" w:sz="6" w:space="0" w:color="ABABAB"/>
                                                        <w:bottom w:val="none" w:sz="0" w:space="0" w:color="auto"/>
                                                        <w:right w:val="single" w:sz="6" w:space="0" w:color="ABABAB"/>
                                                      </w:divBdr>
                                                      <w:divsChild>
                                                        <w:div w:id="240071226">
                                                          <w:marLeft w:val="0"/>
                                                          <w:marRight w:val="0"/>
                                                          <w:marTop w:val="0"/>
                                                          <w:marBottom w:val="0"/>
                                                          <w:divBdr>
                                                            <w:top w:val="none" w:sz="0" w:space="0" w:color="auto"/>
                                                            <w:left w:val="none" w:sz="0" w:space="0" w:color="auto"/>
                                                            <w:bottom w:val="none" w:sz="0" w:space="0" w:color="auto"/>
                                                            <w:right w:val="none" w:sz="0" w:space="0" w:color="auto"/>
                                                          </w:divBdr>
                                                          <w:divsChild>
                                                            <w:div w:id="2064283753">
                                                              <w:marLeft w:val="0"/>
                                                              <w:marRight w:val="0"/>
                                                              <w:marTop w:val="0"/>
                                                              <w:marBottom w:val="0"/>
                                                              <w:divBdr>
                                                                <w:top w:val="none" w:sz="0" w:space="0" w:color="auto"/>
                                                                <w:left w:val="none" w:sz="0" w:space="0" w:color="auto"/>
                                                                <w:bottom w:val="none" w:sz="0" w:space="0" w:color="auto"/>
                                                                <w:right w:val="none" w:sz="0" w:space="0" w:color="auto"/>
                                                              </w:divBdr>
                                                              <w:divsChild>
                                                                <w:div w:id="817115246">
                                                                  <w:marLeft w:val="0"/>
                                                                  <w:marRight w:val="0"/>
                                                                  <w:marTop w:val="0"/>
                                                                  <w:marBottom w:val="0"/>
                                                                  <w:divBdr>
                                                                    <w:top w:val="none" w:sz="0" w:space="0" w:color="auto"/>
                                                                    <w:left w:val="none" w:sz="0" w:space="0" w:color="auto"/>
                                                                    <w:bottom w:val="none" w:sz="0" w:space="0" w:color="auto"/>
                                                                    <w:right w:val="none" w:sz="0" w:space="0" w:color="auto"/>
                                                                  </w:divBdr>
                                                                  <w:divsChild>
                                                                    <w:div w:id="1383139930">
                                                                      <w:marLeft w:val="0"/>
                                                                      <w:marRight w:val="0"/>
                                                                      <w:marTop w:val="0"/>
                                                                      <w:marBottom w:val="0"/>
                                                                      <w:divBdr>
                                                                        <w:top w:val="none" w:sz="0" w:space="0" w:color="auto"/>
                                                                        <w:left w:val="none" w:sz="0" w:space="0" w:color="auto"/>
                                                                        <w:bottom w:val="none" w:sz="0" w:space="0" w:color="auto"/>
                                                                        <w:right w:val="none" w:sz="0" w:space="0" w:color="auto"/>
                                                                      </w:divBdr>
                                                                      <w:divsChild>
                                                                        <w:div w:id="318311070">
                                                                          <w:marLeft w:val="0"/>
                                                                          <w:marRight w:val="0"/>
                                                                          <w:marTop w:val="0"/>
                                                                          <w:marBottom w:val="0"/>
                                                                          <w:divBdr>
                                                                            <w:top w:val="none" w:sz="0" w:space="0" w:color="auto"/>
                                                                            <w:left w:val="none" w:sz="0" w:space="0" w:color="auto"/>
                                                                            <w:bottom w:val="none" w:sz="0" w:space="0" w:color="auto"/>
                                                                            <w:right w:val="none" w:sz="0" w:space="0" w:color="auto"/>
                                                                          </w:divBdr>
                                                                          <w:divsChild>
                                                                            <w:div w:id="367603953">
                                                                              <w:marLeft w:val="0"/>
                                                                              <w:marRight w:val="0"/>
                                                                              <w:marTop w:val="0"/>
                                                                              <w:marBottom w:val="0"/>
                                                                              <w:divBdr>
                                                                                <w:top w:val="none" w:sz="0" w:space="0" w:color="auto"/>
                                                                                <w:left w:val="none" w:sz="0" w:space="0" w:color="auto"/>
                                                                                <w:bottom w:val="none" w:sz="0" w:space="0" w:color="auto"/>
                                                                                <w:right w:val="none" w:sz="0" w:space="0" w:color="auto"/>
                                                                              </w:divBdr>
                                                                              <w:divsChild>
                                                                                <w:div w:id="39329372">
                                                                                  <w:marLeft w:val="0"/>
                                                                                  <w:marRight w:val="0"/>
                                                                                  <w:marTop w:val="0"/>
                                                                                  <w:marBottom w:val="0"/>
                                                                                  <w:divBdr>
                                                                                    <w:top w:val="none" w:sz="0" w:space="0" w:color="auto"/>
                                                                                    <w:left w:val="none" w:sz="0" w:space="0" w:color="auto"/>
                                                                                    <w:bottom w:val="none" w:sz="0" w:space="0" w:color="auto"/>
                                                                                    <w:right w:val="none" w:sz="0" w:space="0" w:color="auto"/>
                                                                                  </w:divBdr>
                                                                                  <w:divsChild>
                                                                                    <w:div w:id="392119364">
                                                                                      <w:marLeft w:val="-75"/>
                                                                                      <w:marRight w:val="0"/>
                                                                                      <w:marTop w:val="30"/>
                                                                                      <w:marBottom w:val="30"/>
                                                                                      <w:divBdr>
                                                                                        <w:top w:val="none" w:sz="0" w:space="0" w:color="auto"/>
                                                                                        <w:left w:val="none" w:sz="0" w:space="0" w:color="auto"/>
                                                                                        <w:bottom w:val="none" w:sz="0" w:space="0" w:color="auto"/>
                                                                                        <w:right w:val="none" w:sz="0" w:space="0" w:color="auto"/>
                                                                                      </w:divBdr>
                                                                                      <w:divsChild>
                                                                                        <w:div w:id="870990546">
                                                                                          <w:marLeft w:val="0"/>
                                                                                          <w:marRight w:val="0"/>
                                                                                          <w:marTop w:val="0"/>
                                                                                          <w:marBottom w:val="0"/>
                                                                                          <w:divBdr>
                                                                                            <w:top w:val="none" w:sz="0" w:space="0" w:color="auto"/>
                                                                                            <w:left w:val="none" w:sz="0" w:space="0" w:color="auto"/>
                                                                                            <w:bottom w:val="none" w:sz="0" w:space="0" w:color="auto"/>
                                                                                            <w:right w:val="none" w:sz="0" w:space="0" w:color="auto"/>
                                                                                          </w:divBdr>
                                                                                          <w:divsChild>
                                                                                            <w:div w:id="92285719">
                                                                                              <w:marLeft w:val="0"/>
                                                                                              <w:marRight w:val="0"/>
                                                                                              <w:marTop w:val="0"/>
                                                                                              <w:marBottom w:val="0"/>
                                                                                              <w:divBdr>
                                                                                                <w:top w:val="none" w:sz="0" w:space="0" w:color="auto"/>
                                                                                                <w:left w:val="none" w:sz="0" w:space="0" w:color="auto"/>
                                                                                                <w:bottom w:val="none" w:sz="0" w:space="0" w:color="auto"/>
                                                                                                <w:right w:val="none" w:sz="0" w:space="0" w:color="auto"/>
                                                                                              </w:divBdr>
                                                                                            </w:div>
                                                                                          </w:divsChild>
                                                                                        </w:div>
                                                                                        <w:div w:id="2000883385">
                                                                                          <w:marLeft w:val="0"/>
                                                                                          <w:marRight w:val="0"/>
                                                                                          <w:marTop w:val="0"/>
                                                                                          <w:marBottom w:val="0"/>
                                                                                          <w:divBdr>
                                                                                            <w:top w:val="none" w:sz="0" w:space="0" w:color="auto"/>
                                                                                            <w:left w:val="none" w:sz="0" w:space="0" w:color="auto"/>
                                                                                            <w:bottom w:val="none" w:sz="0" w:space="0" w:color="auto"/>
                                                                                            <w:right w:val="none" w:sz="0" w:space="0" w:color="auto"/>
                                                                                          </w:divBdr>
                                                                                          <w:divsChild>
                                                                                            <w:div w:id="330451206">
                                                                                              <w:marLeft w:val="0"/>
                                                                                              <w:marRight w:val="0"/>
                                                                                              <w:marTop w:val="0"/>
                                                                                              <w:marBottom w:val="0"/>
                                                                                              <w:divBdr>
                                                                                                <w:top w:val="none" w:sz="0" w:space="0" w:color="auto"/>
                                                                                                <w:left w:val="none" w:sz="0" w:space="0" w:color="auto"/>
                                                                                                <w:bottom w:val="none" w:sz="0" w:space="0" w:color="auto"/>
                                                                                                <w:right w:val="none" w:sz="0" w:space="0" w:color="auto"/>
                                                                                              </w:divBdr>
                                                                                            </w:div>
                                                                                          </w:divsChild>
                                                                                        </w:div>
                                                                                        <w:div w:id="1142113700">
                                                                                          <w:marLeft w:val="0"/>
                                                                                          <w:marRight w:val="0"/>
                                                                                          <w:marTop w:val="0"/>
                                                                                          <w:marBottom w:val="0"/>
                                                                                          <w:divBdr>
                                                                                            <w:top w:val="none" w:sz="0" w:space="0" w:color="auto"/>
                                                                                            <w:left w:val="none" w:sz="0" w:space="0" w:color="auto"/>
                                                                                            <w:bottom w:val="none" w:sz="0" w:space="0" w:color="auto"/>
                                                                                            <w:right w:val="none" w:sz="0" w:space="0" w:color="auto"/>
                                                                                          </w:divBdr>
                                                                                          <w:divsChild>
                                                                                            <w:div w:id="1568612903">
                                                                                              <w:marLeft w:val="0"/>
                                                                                              <w:marRight w:val="0"/>
                                                                                              <w:marTop w:val="0"/>
                                                                                              <w:marBottom w:val="0"/>
                                                                                              <w:divBdr>
                                                                                                <w:top w:val="none" w:sz="0" w:space="0" w:color="auto"/>
                                                                                                <w:left w:val="none" w:sz="0" w:space="0" w:color="auto"/>
                                                                                                <w:bottom w:val="none" w:sz="0" w:space="0" w:color="auto"/>
                                                                                                <w:right w:val="none" w:sz="0" w:space="0" w:color="auto"/>
                                                                                              </w:divBdr>
                                                                                            </w:div>
                                                                                          </w:divsChild>
                                                                                        </w:div>
                                                                                        <w:div w:id="270934788">
                                                                                          <w:marLeft w:val="0"/>
                                                                                          <w:marRight w:val="0"/>
                                                                                          <w:marTop w:val="0"/>
                                                                                          <w:marBottom w:val="0"/>
                                                                                          <w:divBdr>
                                                                                            <w:top w:val="none" w:sz="0" w:space="0" w:color="auto"/>
                                                                                            <w:left w:val="none" w:sz="0" w:space="0" w:color="auto"/>
                                                                                            <w:bottom w:val="none" w:sz="0" w:space="0" w:color="auto"/>
                                                                                            <w:right w:val="none" w:sz="0" w:space="0" w:color="auto"/>
                                                                                          </w:divBdr>
                                                                                          <w:divsChild>
                                                                                            <w:div w:id="1281297046">
                                                                                              <w:marLeft w:val="0"/>
                                                                                              <w:marRight w:val="0"/>
                                                                                              <w:marTop w:val="0"/>
                                                                                              <w:marBottom w:val="0"/>
                                                                                              <w:divBdr>
                                                                                                <w:top w:val="none" w:sz="0" w:space="0" w:color="auto"/>
                                                                                                <w:left w:val="none" w:sz="0" w:space="0" w:color="auto"/>
                                                                                                <w:bottom w:val="none" w:sz="0" w:space="0" w:color="auto"/>
                                                                                                <w:right w:val="none" w:sz="0" w:space="0" w:color="auto"/>
                                                                                              </w:divBdr>
                                                                                            </w:div>
                                                                                            <w:div w:id="693924872">
                                                                                              <w:marLeft w:val="0"/>
                                                                                              <w:marRight w:val="0"/>
                                                                                              <w:marTop w:val="0"/>
                                                                                              <w:marBottom w:val="0"/>
                                                                                              <w:divBdr>
                                                                                                <w:top w:val="none" w:sz="0" w:space="0" w:color="auto"/>
                                                                                                <w:left w:val="none" w:sz="0" w:space="0" w:color="auto"/>
                                                                                                <w:bottom w:val="none" w:sz="0" w:space="0" w:color="auto"/>
                                                                                                <w:right w:val="none" w:sz="0" w:space="0" w:color="auto"/>
                                                                                              </w:divBdr>
                                                                                            </w:div>
                                                                                          </w:divsChild>
                                                                                        </w:div>
                                                                                        <w:div w:id="712850770">
                                                                                          <w:marLeft w:val="0"/>
                                                                                          <w:marRight w:val="0"/>
                                                                                          <w:marTop w:val="0"/>
                                                                                          <w:marBottom w:val="0"/>
                                                                                          <w:divBdr>
                                                                                            <w:top w:val="none" w:sz="0" w:space="0" w:color="auto"/>
                                                                                            <w:left w:val="none" w:sz="0" w:space="0" w:color="auto"/>
                                                                                            <w:bottom w:val="none" w:sz="0" w:space="0" w:color="auto"/>
                                                                                            <w:right w:val="none" w:sz="0" w:space="0" w:color="auto"/>
                                                                                          </w:divBdr>
                                                                                          <w:divsChild>
                                                                                            <w:div w:id="1718774869">
                                                                                              <w:marLeft w:val="0"/>
                                                                                              <w:marRight w:val="0"/>
                                                                                              <w:marTop w:val="0"/>
                                                                                              <w:marBottom w:val="0"/>
                                                                                              <w:divBdr>
                                                                                                <w:top w:val="none" w:sz="0" w:space="0" w:color="auto"/>
                                                                                                <w:left w:val="none" w:sz="0" w:space="0" w:color="auto"/>
                                                                                                <w:bottom w:val="none" w:sz="0" w:space="0" w:color="auto"/>
                                                                                                <w:right w:val="none" w:sz="0" w:space="0" w:color="auto"/>
                                                                                              </w:divBdr>
                                                                                            </w:div>
                                                                                          </w:divsChild>
                                                                                        </w:div>
                                                                                        <w:div w:id="644624500">
                                                                                          <w:marLeft w:val="0"/>
                                                                                          <w:marRight w:val="0"/>
                                                                                          <w:marTop w:val="0"/>
                                                                                          <w:marBottom w:val="0"/>
                                                                                          <w:divBdr>
                                                                                            <w:top w:val="none" w:sz="0" w:space="0" w:color="auto"/>
                                                                                            <w:left w:val="none" w:sz="0" w:space="0" w:color="auto"/>
                                                                                            <w:bottom w:val="none" w:sz="0" w:space="0" w:color="auto"/>
                                                                                            <w:right w:val="none" w:sz="0" w:space="0" w:color="auto"/>
                                                                                          </w:divBdr>
                                                                                          <w:divsChild>
                                                                                            <w:div w:id="204607457">
                                                                                              <w:marLeft w:val="0"/>
                                                                                              <w:marRight w:val="0"/>
                                                                                              <w:marTop w:val="0"/>
                                                                                              <w:marBottom w:val="0"/>
                                                                                              <w:divBdr>
                                                                                                <w:top w:val="none" w:sz="0" w:space="0" w:color="auto"/>
                                                                                                <w:left w:val="none" w:sz="0" w:space="0" w:color="auto"/>
                                                                                                <w:bottom w:val="none" w:sz="0" w:space="0" w:color="auto"/>
                                                                                                <w:right w:val="none" w:sz="0" w:space="0" w:color="auto"/>
                                                                                              </w:divBdr>
                                                                                            </w:div>
                                                                                          </w:divsChild>
                                                                                        </w:div>
                                                                                        <w:div w:id="1186213365">
                                                                                          <w:marLeft w:val="0"/>
                                                                                          <w:marRight w:val="0"/>
                                                                                          <w:marTop w:val="0"/>
                                                                                          <w:marBottom w:val="0"/>
                                                                                          <w:divBdr>
                                                                                            <w:top w:val="none" w:sz="0" w:space="0" w:color="auto"/>
                                                                                            <w:left w:val="none" w:sz="0" w:space="0" w:color="auto"/>
                                                                                            <w:bottom w:val="none" w:sz="0" w:space="0" w:color="auto"/>
                                                                                            <w:right w:val="none" w:sz="0" w:space="0" w:color="auto"/>
                                                                                          </w:divBdr>
                                                                                          <w:divsChild>
                                                                                            <w:div w:id="1923834835">
                                                                                              <w:marLeft w:val="0"/>
                                                                                              <w:marRight w:val="0"/>
                                                                                              <w:marTop w:val="0"/>
                                                                                              <w:marBottom w:val="0"/>
                                                                                              <w:divBdr>
                                                                                                <w:top w:val="none" w:sz="0" w:space="0" w:color="auto"/>
                                                                                                <w:left w:val="none" w:sz="0" w:space="0" w:color="auto"/>
                                                                                                <w:bottom w:val="none" w:sz="0" w:space="0" w:color="auto"/>
                                                                                                <w:right w:val="none" w:sz="0" w:space="0" w:color="auto"/>
                                                                                              </w:divBdr>
                                                                                            </w:div>
                                                                                          </w:divsChild>
                                                                                        </w:div>
                                                                                        <w:div w:id="431363683">
                                                                                          <w:marLeft w:val="0"/>
                                                                                          <w:marRight w:val="0"/>
                                                                                          <w:marTop w:val="0"/>
                                                                                          <w:marBottom w:val="0"/>
                                                                                          <w:divBdr>
                                                                                            <w:top w:val="none" w:sz="0" w:space="0" w:color="auto"/>
                                                                                            <w:left w:val="none" w:sz="0" w:space="0" w:color="auto"/>
                                                                                            <w:bottom w:val="none" w:sz="0" w:space="0" w:color="auto"/>
                                                                                            <w:right w:val="none" w:sz="0" w:space="0" w:color="auto"/>
                                                                                          </w:divBdr>
                                                                                          <w:divsChild>
                                                                                            <w:div w:id="786313637">
                                                                                              <w:marLeft w:val="0"/>
                                                                                              <w:marRight w:val="0"/>
                                                                                              <w:marTop w:val="0"/>
                                                                                              <w:marBottom w:val="0"/>
                                                                                              <w:divBdr>
                                                                                                <w:top w:val="none" w:sz="0" w:space="0" w:color="auto"/>
                                                                                                <w:left w:val="none" w:sz="0" w:space="0" w:color="auto"/>
                                                                                                <w:bottom w:val="none" w:sz="0" w:space="0" w:color="auto"/>
                                                                                                <w:right w:val="none" w:sz="0" w:space="0" w:color="auto"/>
                                                                                              </w:divBdr>
                                                                                            </w:div>
                                                                                          </w:divsChild>
                                                                                        </w:div>
                                                                                        <w:div w:id="1676761229">
                                                                                          <w:marLeft w:val="0"/>
                                                                                          <w:marRight w:val="0"/>
                                                                                          <w:marTop w:val="0"/>
                                                                                          <w:marBottom w:val="0"/>
                                                                                          <w:divBdr>
                                                                                            <w:top w:val="none" w:sz="0" w:space="0" w:color="auto"/>
                                                                                            <w:left w:val="none" w:sz="0" w:space="0" w:color="auto"/>
                                                                                            <w:bottom w:val="none" w:sz="0" w:space="0" w:color="auto"/>
                                                                                            <w:right w:val="none" w:sz="0" w:space="0" w:color="auto"/>
                                                                                          </w:divBdr>
                                                                                          <w:divsChild>
                                                                                            <w:div w:id="1877572783">
                                                                                              <w:marLeft w:val="0"/>
                                                                                              <w:marRight w:val="0"/>
                                                                                              <w:marTop w:val="0"/>
                                                                                              <w:marBottom w:val="0"/>
                                                                                              <w:divBdr>
                                                                                                <w:top w:val="none" w:sz="0" w:space="0" w:color="auto"/>
                                                                                                <w:left w:val="none" w:sz="0" w:space="0" w:color="auto"/>
                                                                                                <w:bottom w:val="none" w:sz="0" w:space="0" w:color="auto"/>
                                                                                                <w:right w:val="none" w:sz="0" w:space="0" w:color="auto"/>
                                                                                              </w:divBdr>
                                                                                            </w:div>
                                                                                            <w:div w:id="1775981543">
                                                                                              <w:marLeft w:val="0"/>
                                                                                              <w:marRight w:val="0"/>
                                                                                              <w:marTop w:val="0"/>
                                                                                              <w:marBottom w:val="0"/>
                                                                                              <w:divBdr>
                                                                                                <w:top w:val="none" w:sz="0" w:space="0" w:color="auto"/>
                                                                                                <w:left w:val="none" w:sz="0" w:space="0" w:color="auto"/>
                                                                                                <w:bottom w:val="none" w:sz="0" w:space="0" w:color="auto"/>
                                                                                                <w:right w:val="none" w:sz="0" w:space="0" w:color="auto"/>
                                                                                              </w:divBdr>
                                                                                            </w:div>
                                                                                          </w:divsChild>
                                                                                        </w:div>
                                                                                        <w:div w:id="897133677">
                                                                                          <w:marLeft w:val="0"/>
                                                                                          <w:marRight w:val="0"/>
                                                                                          <w:marTop w:val="0"/>
                                                                                          <w:marBottom w:val="0"/>
                                                                                          <w:divBdr>
                                                                                            <w:top w:val="none" w:sz="0" w:space="0" w:color="auto"/>
                                                                                            <w:left w:val="none" w:sz="0" w:space="0" w:color="auto"/>
                                                                                            <w:bottom w:val="none" w:sz="0" w:space="0" w:color="auto"/>
                                                                                            <w:right w:val="none" w:sz="0" w:space="0" w:color="auto"/>
                                                                                          </w:divBdr>
                                                                                          <w:divsChild>
                                                                                            <w:div w:id="1236208418">
                                                                                              <w:marLeft w:val="0"/>
                                                                                              <w:marRight w:val="0"/>
                                                                                              <w:marTop w:val="0"/>
                                                                                              <w:marBottom w:val="0"/>
                                                                                              <w:divBdr>
                                                                                                <w:top w:val="none" w:sz="0" w:space="0" w:color="auto"/>
                                                                                                <w:left w:val="none" w:sz="0" w:space="0" w:color="auto"/>
                                                                                                <w:bottom w:val="none" w:sz="0" w:space="0" w:color="auto"/>
                                                                                                <w:right w:val="none" w:sz="0" w:space="0" w:color="auto"/>
                                                                                              </w:divBdr>
                                                                                            </w:div>
                                                                                          </w:divsChild>
                                                                                        </w:div>
                                                                                        <w:div w:id="462381353">
                                                                                          <w:marLeft w:val="0"/>
                                                                                          <w:marRight w:val="0"/>
                                                                                          <w:marTop w:val="0"/>
                                                                                          <w:marBottom w:val="0"/>
                                                                                          <w:divBdr>
                                                                                            <w:top w:val="none" w:sz="0" w:space="0" w:color="auto"/>
                                                                                            <w:left w:val="none" w:sz="0" w:space="0" w:color="auto"/>
                                                                                            <w:bottom w:val="none" w:sz="0" w:space="0" w:color="auto"/>
                                                                                            <w:right w:val="none" w:sz="0" w:space="0" w:color="auto"/>
                                                                                          </w:divBdr>
                                                                                          <w:divsChild>
                                                                                            <w:div w:id="1512064633">
                                                                                              <w:marLeft w:val="0"/>
                                                                                              <w:marRight w:val="0"/>
                                                                                              <w:marTop w:val="0"/>
                                                                                              <w:marBottom w:val="0"/>
                                                                                              <w:divBdr>
                                                                                                <w:top w:val="none" w:sz="0" w:space="0" w:color="auto"/>
                                                                                                <w:left w:val="none" w:sz="0" w:space="0" w:color="auto"/>
                                                                                                <w:bottom w:val="none" w:sz="0" w:space="0" w:color="auto"/>
                                                                                                <w:right w:val="none" w:sz="0" w:space="0" w:color="auto"/>
                                                                                              </w:divBdr>
                                                                                            </w:div>
                                                                                          </w:divsChild>
                                                                                        </w:div>
                                                                                        <w:div w:id="1834683179">
                                                                                          <w:marLeft w:val="0"/>
                                                                                          <w:marRight w:val="0"/>
                                                                                          <w:marTop w:val="0"/>
                                                                                          <w:marBottom w:val="0"/>
                                                                                          <w:divBdr>
                                                                                            <w:top w:val="none" w:sz="0" w:space="0" w:color="auto"/>
                                                                                            <w:left w:val="none" w:sz="0" w:space="0" w:color="auto"/>
                                                                                            <w:bottom w:val="none" w:sz="0" w:space="0" w:color="auto"/>
                                                                                            <w:right w:val="none" w:sz="0" w:space="0" w:color="auto"/>
                                                                                          </w:divBdr>
                                                                                          <w:divsChild>
                                                                                            <w:div w:id="358817200">
                                                                                              <w:marLeft w:val="0"/>
                                                                                              <w:marRight w:val="0"/>
                                                                                              <w:marTop w:val="0"/>
                                                                                              <w:marBottom w:val="0"/>
                                                                                              <w:divBdr>
                                                                                                <w:top w:val="none" w:sz="0" w:space="0" w:color="auto"/>
                                                                                                <w:left w:val="none" w:sz="0" w:space="0" w:color="auto"/>
                                                                                                <w:bottom w:val="none" w:sz="0" w:space="0" w:color="auto"/>
                                                                                                <w:right w:val="none" w:sz="0" w:space="0" w:color="auto"/>
                                                                                              </w:divBdr>
                                                                                            </w:div>
                                                                                          </w:divsChild>
                                                                                        </w:div>
                                                                                        <w:div w:id="1116487792">
                                                                                          <w:marLeft w:val="0"/>
                                                                                          <w:marRight w:val="0"/>
                                                                                          <w:marTop w:val="0"/>
                                                                                          <w:marBottom w:val="0"/>
                                                                                          <w:divBdr>
                                                                                            <w:top w:val="none" w:sz="0" w:space="0" w:color="auto"/>
                                                                                            <w:left w:val="none" w:sz="0" w:space="0" w:color="auto"/>
                                                                                            <w:bottom w:val="none" w:sz="0" w:space="0" w:color="auto"/>
                                                                                            <w:right w:val="none" w:sz="0" w:space="0" w:color="auto"/>
                                                                                          </w:divBdr>
                                                                                          <w:divsChild>
                                                                                            <w:div w:id="1900896368">
                                                                                              <w:marLeft w:val="0"/>
                                                                                              <w:marRight w:val="0"/>
                                                                                              <w:marTop w:val="0"/>
                                                                                              <w:marBottom w:val="0"/>
                                                                                              <w:divBdr>
                                                                                                <w:top w:val="none" w:sz="0" w:space="0" w:color="auto"/>
                                                                                                <w:left w:val="none" w:sz="0" w:space="0" w:color="auto"/>
                                                                                                <w:bottom w:val="none" w:sz="0" w:space="0" w:color="auto"/>
                                                                                                <w:right w:val="none" w:sz="0" w:space="0" w:color="auto"/>
                                                                                              </w:divBdr>
                                                                                            </w:div>
                                                                                          </w:divsChild>
                                                                                        </w:div>
                                                                                        <w:div w:id="2028367681">
                                                                                          <w:marLeft w:val="0"/>
                                                                                          <w:marRight w:val="0"/>
                                                                                          <w:marTop w:val="0"/>
                                                                                          <w:marBottom w:val="0"/>
                                                                                          <w:divBdr>
                                                                                            <w:top w:val="none" w:sz="0" w:space="0" w:color="auto"/>
                                                                                            <w:left w:val="none" w:sz="0" w:space="0" w:color="auto"/>
                                                                                            <w:bottom w:val="none" w:sz="0" w:space="0" w:color="auto"/>
                                                                                            <w:right w:val="none" w:sz="0" w:space="0" w:color="auto"/>
                                                                                          </w:divBdr>
                                                                                          <w:divsChild>
                                                                                            <w:div w:id="508327333">
                                                                                              <w:marLeft w:val="0"/>
                                                                                              <w:marRight w:val="0"/>
                                                                                              <w:marTop w:val="0"/>
                                                                                              <w:marBottom w:val="0"/>
                                                                                              <w:divBdr>
                                                                                                <w:top w:val="none" w:sz="0" w:space="0" w:color="auto"/>
                                                                                                <w:left w:val="none" w:sz="0" w:space="0" w:color="auto"/>
                                                                                                <w:bottom w:val="none" w:sz="0" w:space="0" w:color="auto"/>
                                                                                                <w:right w:val="none" w:sz="0" w:space="0" w:color="auto"/>
                                                                                              </w:divBdr>
                                                                                            </w:div>
                                                                                          </w:divsChild>
                                                                                        </w:div>
                                                                                        <w:div w:id="1303653271">
                                                                                          <w:marLeft w:val="0"/>
                                                                                          <w:marRight w:val="0"/>
                                                                                          <w:marTop w:val="0"/>
                                                                                          <w:marBottom w:val="0"/>
                                                                                          <w:divBdr>
                                                                                            <w:top w:val="none" w:sz="0" w:space="0" w:color="auto"/>
                                                                                            <w:left w:val="none" w:sz="0" w:space="0" w:color="auto"/>
                                                                                            <w:bottom w:val="none" w:sz="0" w:space="0" w:color="auto"/>
                                                                                            <w:right w:val="none" w:sz="0" w:space="0" w:color="auto"/>
                                                                                          </w:divBdr>
                                                                                          <w:divsChild>
                                                                                            <w:div w:id="1073893450">
                                                                                              <w:marLeft w:val="0"/>
                                                                                              <w:marRight w:val="0"/>
                                                                                              <w:marTop w:val="0"/>
                                                                                              <w:marBottom w:val="0"/>
                                                                                              <w:divBdr>
                                                                                                <w:top w:val="none" w:sz="0" w:space="0" w:color="auto"/>
                                                                                                <w:left w:val="none" w:sz="0" w:space="0" w:color="auto"/>
                                                                                                <w:bottom w:val="none" w:sz="0" w:space="0" w:color="auto"/>
                                                                                                <w:right w:val="none" w:sz="0" w:space="0" w:color="auto"/>
                                                                                              </w:divBdr>
                                                                                            </w:div>
                                                                                          </w:divsChild>
                                                                                        </w:div>
                                                                                        <w:div w:id="1212889608">
                                                                                          <w:marLeft w:val="0"/>
                                                                                          <w:marRight w:val="0"/>
                                                                                          <w:marTop w:val="0"/>
                                                                                          <w:marBottom w:val="0"/>
                                                                                          <w:divBdr>
                                                                                            <w:top w:val="none" w:sz="0" w:space="0" w:color="auto"/>
                                                                                            <w:left w:val="none" w:sz="0" w:space="0" w:color="auto"/>
                                                                                            <w:bottom w:val="none" w:sz="0" w:space="0" w:color="auto"/>
                                                                                            <w:right w:val="none" w:sz="0" w:space="0" w:color="auto"/>
                                                                                          </w:divBdr>
                                                                                          <w:divsChild>
                                                                                            <w:div w:id="1176072465">
                                                                                              <w:marLeft w:val="0"/>
                                                                                              <w:marRight w:val="0"/>
                                                                                              <w:marTop w:val="0"/>
                                                                                              <w:marBottom w:val="0"/>
                                                                                              <w:divBdr>
                                                                                                <w:top w:val="none" w:sz="0" w:space="0" w:color="auto"/>
                                                                                                <w:left w:val="none" w:sz="0" w:space="0" w:color="auto"/>
                                                                                                <w:bottom w:val="none" w:sz="0" w:space="0" w:color="auto"/>
                                                                                                <w:right w:val="none" w:sz="0" w:space="0" w:color="auto"/>
                                                                                              </w:divBdr>
                                                                                            </w:div>
                                                                                          </w:divsChild>
                                                                                        </w:div>
                                                                                        <w:div w:id="598875535">
                                                                                          <w:marLeft w:val="0"/>
                                                                                          <w:marRight w:val="0"/>
                                                                                          <w:marTop w:val="0"/>
                                                                                          <w:marBottom w:val="0"/>
                                                                                          <w:divBdr>
                                                                                            <w:top w:val="none" w:sz="0" w:space="0" w:color="auto"/>
                                                                                            <w:left w:val="none" w:sz="0" w:space="0" w:color="auto"/>
                                                                                            <w:bottom w:val="none" w:sz="0" w:space="0" w:color="auto"/>
                                                                                            <w:right w:val="none" w:sz="0" w:space="0" w:color="auto"/>
                                                                                          </w:divBdr>
                                                                                          <w:divsChild>
                                                                                            <w:div w:id="1418745459">
                                                                                              <w:marLeft w:val="0"/>
                                                                                              <w:marRight w:val="0"/>
                                                                                              <w:marTop w:val="0"/>
                                                                                              <w:marBottom w:val="0"/>
                                                                                              <w:divBdr>
                                                                                                <w:top w:val="none" w:sz="0" w:space="0" w:color="auto"/>
                                                                                                <w:left w:val="none" w:sz="0" w:space="0" w:color="auto"/>
                                                                                                <w:bottom w:val="none" w:sz="0" w:space="0" w:color="auto"/>
                                                                                                <w:right w:val="none" w:sz="0" w:space="0" w:color="auto"/>
                                                                                              </w:divBdr>
                                                                                            </w:div>
                                                                                          </w:divsChild>
                                                                                        </w:div>
                                                                                        <w:div w:id="1533571853">
                                                                                          <w:marLeft w:val="0"/>
                                                                                          <w:marRight w:val="0"/>
                                                                                          <w:marTop w:val="0"/>
                                                                                          <w:marBottom w:val="0"/>
                                                                                          <w:divBdr>
                                                                                            <w:top w:val="none" w:sz="0" w:space="0" w:color="auto"/>
                                                                                            <w:left w:val="none" w:sz="0" w:space="0" w:color="auto"/>
                                                                                            <w:bottom w:val="none" w:sz="0" w:space="0" w:color="auto"/>
                                                                                            <w:right w:val="none" w:sz="0" w:space="0" w:color="auto"/>
                                                                                          </w:divBdr>
                                                                                          <w:divsChild>
                                                                                            <w:div w:id="2103183917">
                                                                                              <w:marLeft w:val="0"/>
                                                                                              <w:marRight w:val="0"/>
                                                                                              <w:marTop w:val="0"/>
                                                                                              <w:marBottom w:val="0"/>
                                                                                              <w:divBdr>
                                                                                                <w:top w:val="none" w:sz="0" w:space="0" w:color="auto"/>
                                                                                                <w:left w:val="none" w:sz="0" w:space="0" w:color="auto"/>
                                                                                                <w:bottom w:val="none" w:sz="0" w:space="0" w:color="auto"/>
                                                                                                <w:right w:val="none" w:sz="0" w:space="0" w:color="auto"/>
                                                                                              </w:divBdr>
                                                                                            </w:div>
                                                                                          </w:divsChild>
                                                                                        </w:div>
                                                                                        <w:div w:id="1311250842">
                                                                                          <w:marLeft w:val="0"/>
                                                                                          <w:marRight w:val="0"/>
                                                                                          <w:marTop w:val="0"/>
                                                                                          <w:marBottom w:val="0"/>
                                                                                          <w:divBdr>
                                                                                            <w:top w:val="none" w:sz="0" w:space="0" w:color="auto"/>
                                                                                            <w:left w:val="none" w:sz="0" w:space="0" w:color="auto"/>
                                                                                            <w:bottom w:val="none" w:sz="0" w:space="0" w:color="auto"/>
                                                                                            <w:right w:val="none" w:sz="0" w:space="0" w:color="auto"/>
                                                                                          </w:divBdr>
                                                                                          <w:divsChild>
                                                                                            <w:div w:id="1396583295">
                                                                                              <w:marLeft w:val="0"/>
                                                                                              <w:marRight w:val="0"/>
                                                                                              <w:marTop w:val="0"/>
                                                                                              <w:marBottom w:val="0"/>
                                                                                              <w:divBdr>
                                                                                                <w:top w:val="none" w:sz="0" w:space="0" w:color="auto"/>
                                                                                                <w:left w:val="none" w:sz="0" w:space="0" w:color="auto"/>
                                                                                                <w:bottom w:val="none" w:sz="0" w:space="0" w:color="auto"/>
                                                                                                <w:right w:val="none" w:sz="0" w:space="0" w:color="auto"/>
                                                                                              </w:divBdr>
                                                                                            </w:div>
                                                                                          </w:divsChild>
                                                                                        </w:div>
                                                                                        <w:div w:id="292977885">
                                                                                          <w:marLeft w:val="0"/>
                                                                                          <w:marRight w:val="0"/>
                                                                                          <w:marTop w:val="0"/>
                                                                                          <w:marBottom w:val="0"/>
                                                                                          <w:divBdr>
                                                                                            <w:top w:val="none" w:sz="0" w:space="0" w:color="auto"/>
                                                                                            <w:left w:val="none" w:sz="0" w:space="0" w:color="auto"/>
                                                                                            <w:bottom w:val="none" w:sz="0" w:space="0" w:color="auto"/>
                                                                                            <w:right w:val="none" w:sz="0" w:space="0" w:color="auto"/>
                                                                                          </w:divBdr>
                                                                                          <w:divsChild>
                                                                                            <w:div w:id="1074934848">
                                                                                              <w:marLeft w:val="0"/>
                                                                                              <w:marRight w:val="0"/>
                                                                                              <w:marTop w:val="0"/>
                                                                                              <w:marBottom w:val="0"/>
                                                                                              <w:divBdr>
                                                                                                <w:top w:val="none" w:sz="0" w:space="0" w:color="auto"/>
                                                                                                <w:left w:val="none" w:sz="0" w:space="0" w:color="auto"/>
                                                                                                <w:bottom w:val="none" w:sz="0" w:space="0" w:color="auto"/>
                                                                                                <w:right w:val="none" w:sz="0" w:space="0" w:color="auto"/>
                                                                                              </w:divBdr>
                                                                                            </w:div>
                                                                                          </w:divsChild>
                                                                                        </w:div>
                                                                                        <w:div w:id="1552618007">
                                                                                          <w:marLeft w:val="0"/>
                                                                                          <w:marRight w:val="0"/>
                                                                                          <w:marTop w:val="0"/>
                                                                                          <w:marBottom w:val="0"/>
                                                                                          <w:divBdr>
                                                                                            <w:top w:val="none" w:sz="0" w:space="0" w:color="auto"/>
                                                                                            <w:left w:val="none" w:sz="0" w:space="0" w:color="auto"/>
                                                                                            <w:bottom w:val="none" w:sz="0" w:space="0" w:color="auto"/>
                                                                                            <w:right w:val="none" w:sz="0" w:space="0" w:color="auto"/>
                                                                                          </w:divBdr>
                                                                                          <w:divsChild>
                                                                                            <w:div w:id="1149441154">
                                                                                              <w:marLeft w:val="0"/>
                                                                                              <w:marRight w:val="0"/>
                                                                                              <w:marTop w:val="0"/>
                                                                                              <w:marBottom w:val="0"/>
                                                                                              <w:divBdr>
                                                                                                <w:top w:val="none" w:sz="0" w:space="0" w:color="auto"/>
                                                                                                <w:left w:val="none" w:sz="0" w:space="0" w:color="auto"/>
                                                                                                <w:bottom w:val="none" w:sz="0" w:space="0" w:color="auto"/>
                                                                                                <w:right w:val="none" w:sz="0" w:space="0" w:color="auto"/>
                                                                                              </w:divBdr>
                                                                                            </w:div>
                                                                                          </w:divsChild>
                                                                                        </w:div>
                                                                                        <w:div w:id="1742631405">
                                                                                          <w:marLeft w:val="0"/>
                                                                                          <w:marRight w:val="0"/>
                                                                                          <w:marTop w:val="0"/>
                                                                                          <w:marBottom w:val="0"/>
                                                                                          <w:divBdr>
                                                                                            <w:top w:val="none" w:sz="0" w:space="0" w:color="auto"/>
                                                                                            <w:left w:val="none" w:sz="0" w:space="0" w:color="auto"/>
                                                                                            <w:bottom w:val="none" w:sz="0" w:space="0" w:color="auto"/>
                                                                                            <w:right w:val="none" w:sz="0" w:space="0" w:color="auto"/>
                                                                                          </w:divBdr>
                                                                                          <w:divsChild>
                                                                                            <w:div w:id="203910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legislation.gov.uk/ukpga/2015/9/contents/enacted"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legislation.gov.uk/ukpga/2000/23/content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assets.publishing.service.gov.uk/government/uploads/system/uploads/attachment_data/file/903473/pace-code-c-2019.pdf" TargetMode="External"/><Relationship Id="rId5" Type="http://schemas.openxmlformats.org/officeDocument/2006/relationships/styles" Target="styles.xml"/><Relationship Id="rId15" Type="http://schemas.openxmlformats.org/officeDocument/2006/relationships/header" Target="header1.xml"/><Relationship Id="rId10" Type="http://schemas.openxmlformats.org/officeDocument/2006/relationships/hyperlink" Target="https://library.college.police.uk/docs/npia/NIM-Code-of-Practice.pdf" TargetMode="External"/><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epol.europa.eu/sites/default/files/28-dijk-hoogewoning.pdf"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46E9C27-BDBD-4E83-86C2-D0D2DD94227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0AECCF6-D9B8-4AC0-A403-D5F7926ED0F1}">
  <ds:schemaRefs>
    <ds:schemaRef ds:uri="http://schemas.microsoft.com/sharepoint/v3/contenttype/forms"/>
  </ds:schemaRefs>
</ds:datastoreItem>
</file>

<file path=customXml/itemProps3.xml><?xml version="1.0" encoding="utf-8"?>
<ds:datastoreItem xmlns:ds="http://schemas.openxmlformats.org/officeDocument/2006/customXml" ds:itemID="{9259A4C1-3D24-41E3-8DFE-51366132BA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196</TotalTime>
  <Pages>27</Pages>
  <Words>6520</Words>
  <Characters>37169</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43602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Aled Goodwin</cp:lastModifiedBy>
  <cp:revision>21</cp:revision>
  <cp:lastPrinted>2014-10-10T07:42:00Z</cp:lastPrinted>
  <dcterms:created xsi:type="dcterms:W3CDTF">2020-03-20T10:06:00Z</dcterms:created>
  <dcterms:modified xsi:type="dcterms:W3CDTF">2021-07-05T10:35:00Z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0x01010054EC8029807A2946B625B0D114BCF650</vt:lpwstr>
  </property>
</Properties>
</file>