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0F9DF67" w14:textId="77777777" w:rsidR="00A4541F" w:rsidRDefault="006A166E">
      <w:pPr>
        <w:ind w:right="-874"/>
        <w:jc w:val="center"/>
        <w:rPr>
          <w:b/>
        </w:rPr>
      </w:pPr>
      <w:r>
        <w:rPr>
          <w:b/>
        </w:rPr>
        <w:t>The Fourth Gospel and Narrative Criticism</w:t>
      </w:r>
    </w:p>
    <w:p w14:paraId="7CFC4390" w14:textId="77777777" w:rsidR="00A4541F" w:rsidRDefault="00A4541F">
      <w:pPr>
        <w:tabs>
          <w:tab w:val="left" w:pos="720"/>
        </w:tabs>
        <w:ind w:right="-874"/>
        <w:jc w:val="both"/>
        <w:rPr>
          <w:b/>
        </w:rPr>
      </w:pPr>
    </w:p>
    <w:p w14:paraId="74B8E0A6" w14:textId="77777777" w:rsidR="00A4541F" w:rsidRDefault="006A166E">
      <w:pPr>
        <w:tabs>
          <w:tab w:val="left" w:pos="720"/>
        </w:tabs>
        <w:ind w:right="-874"/>
        <w:jc w:val="both"/>
        <w:rPr>
          <w:b/>
        </w:rPr>
      </w:pPr>
      <w:r>
        <w:rPr>
          <w:b/>
        </w:rPr>
        <w:t xml:space="preserve">1.  </w:t>
      </w:r>
      <w:r>
        <w:rPr>
          <w:b/>
        </w:rPr>
        <w:tab/>
        <w:t>Introduction</w:t>
      </w:r>
    </w:p>
    <w:p w14:paraId="738F2B86" w14:textId="77777777" w:rsidR="00A4541F" w:rsidRDefault="006A166E">
      <w:pPr>
        <w:tabs>
          <w:tab w:val="left" w:pos="720"/>
        </w:tabs>
        <w:ind w:right="-874"/>
        <w:jc w:val="both"/>
      </w:pPr>
      <w:r>
        <w:rPr>
          <w:b/>
        </w:rPr>
        <w:tab/>
      </w:r>
      <w:r>
        <w:t xml:space="preserve">Historical criticism was the most widely used tool in twentieth-century biblical </w:t>
      </w:r>
      <w:r>
        <w:tab/>
        <w:t xml:space="preserve">scholarship (source criticism, form criticism, redaction criticism); this has led to a search </w:t>
      </w:r>
    </w:p>
    <w:p w14:paraId="5685B12F" w14:textId="77777777" w:rsidR="00A4541F" w:rsidRDefault="006A166E">
      <w:pPr>
        <w:tabs>
          <w:tab w:val="left" w:pos="720"/>
        </w:tabs>
        <w:ind w:right="-874"/>
        <w:jc w:val="both"/>
      </w:pPr>
      <w:r>
        <w:tab/>
      </w:r>
      <w:proofErr w:type="gramStart"/>
      <w:r>
        <w:t>for</w:t>
      </w:r>
      <w:proofErr w:type="gramEnd"/>
      <w:r>
        <w:t xml:space="preserve"> data that relate directly to the historical Jesus. There was a clear lack of emphasis on </w:t>
      </w:r>
      <w:r>
        <w:tab/>
        <w:t>the Gospels as literary texts.</w:t>
      </w:r>
    </w:p>
    <w:p w14:paraId="61EB3B81" w14:textId="77777777" w:rsidR="00A4541F" w:rsidRDefault="00A4541F">
      <w:pPr>
        <w:tabs>
          <w:tab w:val="left" w:pos="720"/>
        </w:tabs>
        <w:ind w:right="-874"/>
        <w:jc w:val="both"/>
      </w:pPr>
    </w:p>
    <w:p w14:paraId="18569F21" w14:textId="77777777" w:rsidR="00A4541F" w:rsidRDefault="00A4541F">
      <w:pPr>
        <w:tabs>
          <w:tab w:val="left" w:pos="720"/>
        </w:tabs>
        <w:ind w:right="-874"/>
        <w:jc w:val="both"/>
      </w:pPr>
    </w:p>
    <w:p w14:paraId="4E23719B" w14:textId="77777777" w:rsidR="00A4541F" w:rsidRDefault="006A166E">
      <w:pPr>
        <w:tabs>
          <w:tab w:val="left" w:pos="720"/>
        </w:tabs>
        <w:ind w:right="-874"/>
        <w:jc w:val="both"/>
        <w:rPr>
          <w:b/>
        </w:rPr>
      </w:pPr>
      <w:r>
        <w:rPr>
          <w:b/>
        </w:rPr>
        <w:t>2.</w:t>
      </w:r>
      <w:r>
        <w:rPr>
          <w:b/>
        </w:rPr>
        <w:tab/>
        <w:t>What is Narrative Criticism?</w:t>
      </w:r>
    </w:p>
    <w:p w14:paraId="40CA1F20" w14:textId="77777777" w:rsidR="00A4541F" w:rsidRDefault="006A166E">
      <w:pPr>
        <w:tabs>
          <w:tab w:val="left" w:pos="720"/>
        </w:tabs>
        <w:ind w:right="-874"/>
        <w:jc w:val="both"/>
      </w:pPr>
      <w:r>
        <w:rPr>
          <w:b/>
        </w:rPr>
        <w:tab/>
      </w:r>
      <w:r>
        <w:t xml:space="preserve">Around 1980 NT scholars began to use literary-critical tools, known collectively as </w:t>
      </w:r>
      <w:r>
        <w:tab/>
        <w:t>‘narrative criticism’, to</w:t>
      </w:r>
      <w:r w:rsidR="0015685F">
        <w:t xml:space="preserve"> illuminate biblical text.</w:t>
      </w:r>
      <w:r>
        <w:t xml:space="preserve"> </w:t>
      </w:r>
      <w:proofErr w:type="spellStart"/>
      <w:r>
        <w:t>Narative</w:t>
      </w:r>
      <w:proofErr w:type="spellEnd"/>
      <w:r>
        <w:t xml:space="preserve"> critics focus on biblical </w:t>
      </w:r>
      <w:r>
        <w:tab/>
        <w:t xml:space="preserve">narratives and </w:t>
      </w:r>
      <w:proofErr w:type="gramStart"/>
      <w:r>
        <w:t>stories which</w:t>
      </w:r>
      <w:proofErr w:type="gramEnd"/>
      <w:r>
        <w:t xml:space="preserve"> are read with the aid of insights drawn from the secular field </w:t>
      </w:r>
      <w:r>
        <w:tab/>
        <w:t>of modern literary criticism.</w:t>
      </w:r>
    </w:p>
    <w:p w14:paraId="2518E3F8" w14:textId="77777777" w:rsidR="00A4541F" w:rsidRDefault="00A4541F">
      <w:pPr>
        <w:tabs>
          <w:tab w:val="left" w:pos="720"/>
        </w:tabs>
        <w:ind w:right="-874"/>
        <w:jc w:val="both"/>
      </w:pPr>
    </w:p>
    <w:p w14:paraId="46EE76A9" w14:textId="77777777" w:rsidR="00A4541F" w:rsidRDefault="006A166E">
      <w:pPr>
        <w:tabs>
          <w:tab w:val="left" w:pos="720"/>
        </w:tabs>
        <w:ind w:right="-874"/>
        <w:jc w:val="both"/>
      </w:pPr>
      <w:r>
        <w:tab/>
        <w:t>One of its main purposes is to determine the effects of the narratives on their audience.</w:t>
      </w:r>
    </w:p>
    <w:p w14:paraId="454B1BDE" w14:textId="77777777" w:rsidR="00A4541F" w:rsidRDefault="006A166E">
      <w:pPr>
        <w:tabs>
          <w:tab w:val="left" w:pos="720"/>
        </w:tabs>
        <w:ind w:right="-874"/>
        <w:jc w:val="both"/>
      </w:pPr>
      <w:r>
        <w:tab/>
        <w:t xml:space="preserve">Typical definition: ‘Historical criticism may be said to treat biblical narratives as windows </w:t>
      </w:r>
      <w:r>
        <w:tab/>
        <w:t xml:space="preserve">that enable us to learn something about another time and place; narrative criticism treats </w:t>
      </w:r>
      <w:r>
        <w:tab/>
        <w:t xml:space="preserve">these same texts as mirrors that invite audience participation in the creation of meaning. </w:t>
      </w:r>
      <w:r>
        <w:tab/>
        <w:t xml:space="preserve">For the narrative critic, texts shape the way readers understand themselves and their own </w:t>
      </w:r>
      <w:r>
        <w:tab/>
        <w:t>present circumstances’ (M.A. Powell, “Narrative Criticism”, 240).</w:t>
      </w:r>
    </w:p>
    <w:p w14:paraId="6D78F1C2" w14:textId="77777777" w:rsidR="00A4541F" w:rsidRDefault="00A4541F">
      <w:pPr>
        <w:tabs>
          <w:tab w:val="left" w:pos="720"/>
        </w:tabs>
        <w:ind w:right="-874"/>
        <w:jc w:val="both"/>
      </w:pPr>
    </w:p>
    <w:p w14:paraId="53DF7EB6" w14:textId="77777777" w:rsidR="00A4541F" w:rsidRDefault="006A166E">
      <w:pPr>
        <w:tabs>
          <w:tab w:val="left" w:pos="720"/>
        </w:tabs>
        <w:ind w:right="-874"/>
        <w:jc w:val="both"/>
      </w:pPr>
      <w:r>
        <w:tab/>
        <w:t xml:space="preserve">Narrative criticism places emphasis on the Gospels as completed pieces of literature.  </w:t>
      </w:r>
      <w:r>
        <w:tab/>
        <w:t xml:space="preserve">The process of reading is also important, for a narrative is to be read sequentially with all </w:t>
      </w:r>
      <w:r>
        <w:tab/>
        <w:t xml:space="preserve">its parts related to the Gospel as a whole. Why literary unity? In the case of John’s </w:t>
      </w:r>
      <w:r>
        <w:tab/>
        <w:t xml:space="preserve">Gospel, it is a book read by numerous generations in its present form, it has a </w:t>
      </w:r>
      <w:r>
        <w:tab/>
        <w:t>consistency of style (‘a seamless garment’) and contains many self-allusions.</w:t>
      </w:r>
    </w:p>
    <w:p w14:paraId="400CE0DD" w14:textId="77777777" w:rsidR="00A4541F" w:rsidRDefault="00A4541F">
      <w:pPr>
        <w:tabs>
          <w:tab w:val="left" w:pos="720"/>
        </w:tabs>
        <w:ind w:right="-874"/>
        <w:jc w:val="both"/>
      </w:pPr>
    </w:p>
    <w:p w14:paraId="491B4278" w14:textId="77777777" w:rsidR="00A4541F" w:rsidRDefault="00A4541F">
      <w:pPr>
        <w:tabs>
          <w:tab w:val="left" w:pos="720"/>
        </w:tabs>
        <w:ind w:right="-874"/>
        <w:jc w:val="both"/>
      </w:pPr>
    </w:p>
    <w:p w14:paraId="35D1DAAC" w14:textId="77777777" w:rsidR="00A4541F" w:rsidRDefault="006A166E">
      <w:pPr>
        <w:tabs>
          <w:tab w:val="left" w:pos="720"/>
        </w:tabs>
        <w:ind w:right="-874"/>
        <w:jc w:val="both"/>
        <w:rPr>
          <w:b/>
        </w:rPr>
      </w:pPr>
      <w:proofErr w:type="gramStart"/>
      <w:r>
        <w:rPr>
          <w:b/>
        </w:rPr>
        <w:t>3.</w:t>
      </w:r>
      <w:r>
        <w:rPr>
          <w:b/>
        </w:rPr>
        <w:tab/>
        <w:t>Narrative Criticism</w:t>
      </w:r>
      <w:proofErr w:type="gramEnd"/>
      <w:r>
        <w:rPr>
          <w:b/>
        </w:rPr>
        <w:t xml:space="preserve"> and the Fourth Gospel</w:t>
      </w:r>
    </w:p>
    <w:p w14:paraId="4EBED399" w14:textId="77777777" w:rsidR="00A4541F" w:rsidRDefault="006A166E">
      <w:pPr>
        <w:ind w:right="-878"/>
        <w:jc w:val="both"/>
      </w:pPr>
      <w:r>
        <w:rPr>
          <w:b/>
        </w:rPr>
        <w:tab/>
      </w:r>
      <w:r>
        <w:t xml:space="preserve">John lends itself to an analysis of its literary or ‘aesthetic qualities’. In a collection of </w:t>
      </w:r>
      <w:r>
        <w:tab/>
        <w:t xml:space="preserve">essays entitled </w:t>
      </w:r>
      <w:r>
        <w:rPr>
          <w:i/>
        </w:rPr>
        <w:t xml:space="preserve">The Gospel of John as Literature: An Anthology of Twentieth Century </w:t>
      </w:r>
      <w:r>
        <w:rPr>
          <w:i/>
        </w:rPr>
        <w:tab/>
        <w:t xml:space="preserve">Perspectives, </w:t>
      </w:r>
      <w:r>
        <w:t xml:space="preserve">Mark </w:t>
      </w:r>
      <w:proofErr w:type="spellStart"/>
      <w:r>
        <w:t>Stibbe</w:t>
      </w:r>
      <w:proofErr w:type="spellEnd"/>
      <w:r>
        <w:t xml:space="preserve"> demonstrates the extent to which scholars have studied the </w:t>
      </w:r>
      <w:r>
        <w:tab/>
        <w:t xml:space="preserve">literary and poetic qualities of John’s Gospel. </w:t>
      </w:r>
    </w:p>
    <w:p w14:paraId="09C869A1" w14:textId="77777777" w:rsidR="00A4541F" w:rsidRDefault="00A4541F">
      <w:pPr>
        <w:ind w:right="-878"/>
        <w:jc w:val="both"/>
      </w:pPr>
    </w:p>
    <w:p w14:paraId="6888FF2E" w14:textId="77777777" w:rsidR="00A4541F" w:rsidRDefault="006A166E" w:rsidP="0015685F">
      <w:pPr>
        <w:ind w:left="720" w:right="-878"/>
        <w:jc w:val="both"/>
      </w:pPr>
      <w:r>
        <w:t xml:space="preserve">This is taken a step further by </w:t>
      </w:r>
      <w:proofErr w:type="spellStart"/>
      <w:r>
        <w:t>R.Alan</w:t>
      </w:r>
      <w:proofErr w:type="spellEnd"/>
      <w:r>
        <w:t xml:space="preserve"> Culpepper (</w:t>
      </w:r>
      <w:r>
        <w:rPr>
          <w:i/>
        </w:rPr>
        <w:t>Anatomy of the Fourth Gospel</w:t>
      </w:r>
      <w:r>
        <w:t xml:space="preserve"> (1983)) who offers a thorough analysis of the narrative qualit</w:t>
      </w:r>
      <w:r w:rsidR="0015685F">
        <w:t xml:space="preserve">ies of the Fourth Gospel (e.g. </w:t>
      </w:r>
      <w:r>
        <w:t>narrator, point of view, time, plot and characterization) an</w:t>
      </w:r>
      <w:r w:rsidR="0015685F">
        <w:t xml:space="preserve">d of the communication </w:t>
      </w:r>
      <w:r w:rsidR="0015685F">
        <w:tab/>
        <w:t xml:space="preserve">between </w:t>
      </w:r>
      <w:r>
        <w:t>narrator and reader.</w:t>
      </w:r>
    </w:p>
    <w:p w14:paraId="6AB282AA" w14:textId="77777777" w:rsidR="00A4541F" w:rsidRDefault="00A4541F">
      <w:pPr>
        <w:ind w:right="-878"/>
        <w:jc w:val="both"/>
      </w:pPr>
    </w:p>
    <w:p w14:paraId="5D4BB6BB" w14:textId="77777777" w:rsidR="00A4541F" w:rsidRDefault="006A166E">
      <w:pPr>
        <w:ind w:right="-878"/>
        <w:jc w:val="both"/>
      </w:pPr>
      <w:r>
        <w:tab/>
        <w:t xml:space="preserve">Note the importance of the contributions of Mark </w:t>
      </w:r>
      <w:proofErr w:type="spellStart"/>
      <w:r>
        <w:t>Stibbe</w:t>
      </w:r>
      <w:proofErr w:type="spellEnd"/>
      <w:r>
        <w:t xml:space="preserve">. In his doctoral dissertation </w:t>
      </w:r>
      <w:r>
        <w:tab/>
        <w:t xml:space="preserve">(1992: </w:t>
      </w:r>
      <w:r>
        <w:rPr>
          <w:i/>
        </w:rPr>
        <w:t xml:space="preserve">John as </w:t>
      </w:r>
      <w:proofErr w:type="gramStart"/>
      <w:r>
        <w:rPr>
          <w:i/>
        </w:rPr>
        <w:t>Storyteller</w:t>
      </w:r>
      <w:r>
        <w:t xml:space="preserve"> )</w:t>
      </w:r>
      <w:proofErr w:type="gramEnd"/>
      <w:r>
        <w:t xml:space="preserve"> </w:t>
      </w:r>
      <w:proofErr w:type="spellStart"/>
      <w:r>
        <w:t>Stibbe</w:t>
      </w:r>
      <w:proofErr w:type="spellEnd"/>
      <w:r>
        <w:t xml:space="preserve"> wrote on the value of narrative criticism for a proper </w:t>
      </w:r>
      <w:r>
        <w:tab/>
        <w:t xml:space="preserve">understanding </w:t>
      </w:r>
      <w:r>
        <w:tab/>
        <w:t xml:space="preserve">of John 18-19; a commentary followed in which he applies elements from </w:t>
      </w:r>
      <w:r>
        <w:tab/>
        <w:t xml:space="preserve">the narrative-critical method to the whole Gospel. For each passage he considers </w:t>
      </w:r>
      <w:r>
        <w:tab/>
        <w:t xml:space="preserve">numerous literary strategies, including context, structure, form, plot-type, time, author, </w:t>
      </w:r>
      <w:r>
        <w:lastRenderedPageBreak/>
        <w:tab/>
        <w:t xml:space="preserve">narrator and reader, characterization, literary devices and irony. Some of these will now </w:t>
      </w:r>
      <w:r>
        <w:tab/>
        <w:t>be considered in more detail.</w:t>
      </w:r>
    </w:p>
    <w:p w14:paraId="3CAE1141" w14:textId="77777777" w:rsidR="00A4541F" w:rsidRDefault="00A4541F">
      <w:pPr>
        <w:tabs>
          <w:tab w:val="left" w:pos="720"/>
        </w:tabs>
        <w:ind w:right="-874"/>
        <w:jc w:val="both"/>
      </w:pPr>
    </w:p>
    <w:p w14:paraId="7CD8C4F9" w14:textId="77777777" w:rsidR="00A4541F" w:rsidRDefault="00A4541F">
      <w:pPr>
        <w:tabs>
          <w:tab w:val="left" w:pos="720"/>
        </w:tabs>
        <w:ind w:right="-874"/>
        <w:jc w:val="both"/>
      </w:pPr>
    </w:p>
    <w:p w14:paraId="230986E9" w14:textId="77777777" w:rsidR="00A4541F" w:rsidRDefault="006A166E">
      <w:pPr>
        <w:ind w:right="-878"/>
        <w:jc w:val="both"/>
        <w:rPr>
          <w:b/>
        </w:rPr>
      </w:pPr>
      <w:r>
        <w:rPr>
          <w:b/>
        </w:rPr>
        <w:t xml:space="preserve">4.  </w:t>
      </w:r>
      <w:r>
        <w:rPr>
          <w:b/>
        </w:rPr>
        <w:tab/>
        <w:t>The Literary Dynamics of the Fourth Gospel</w:t>
      </w:r>
    </w:p>
    <w:p w14:paraId="3F895543" w14:textId="77777777" w:rsidR="00A4541F" w:rsidRDefault="006A166E">
      <w:pPr>
        <w:ind w:right="-878"/>
        <w:jc w:val="both"/>
      </w:pPr>
      <w:r>
        <w:rPr>
          <w:b/>
        </w:rPr>
        <w:tab/>
        <w:t>4.1 Context</w:t>
      </w:r>
      <w:r>
        <w:t xml:space="preserve"> The immediate context of a passage and its order are important in the light </w:t>
      </w:r>
      <w:r>
        <w:tab/>
        <w:t xml:space="preserve">of what precedes. The Prologue makes three statements about John the Baptist (1:6-9), </w:t>
      </w:r>
      <w:r>
        <w:tab/>
        <w:t xml:space="preserve">namely that he is not the </w:t>
      </w:r>
      <w:proofErr w:type="gramStart"/>
      <w:r>
        <w:t xml:space="preserve">light, that he comes to bear witness to the light and that through </w:t>
      </w:r>
      <w:r>
        <w:tab/>
        <w:t>his</w:t>
      </w:r>
      <w:proofErr w:type="gramEnd"/>
      <w:r>
        <w:t xml:space="preserve"> witness all might come to believe.  These are ‘fulfilled’ in the narrative of 1:19-42, for </w:t>
      </w:r>
      <w:r>
        <w:tab/>
        <w:t xml:space="preserve">John states ‘I am not the Christ’ (1:19-28), demonstrates that he bears witness to the light </w:t>
      </w:r>
      <w:r>
        <w:tab/>
        <w:t xml:space="preserve">by means of his words ‘Look the Lamb of God’ (1:29-34) and his disciples follow Jesus </w:t>
      </w:r>
      <w:r>
        <w:tab/>
      </w:r>
      <w:proofErr w:type="gramStart"/>
      <w:r>
        <w:t>as</w:t>
      </w:r>
      <w:proofErr w:type="gramEnd"/>
      <w:r>
        <w:t xml:space="preserve"> a result of John’s testimony (1:35-42).</w:t>
      </w:r>
    </w:p>
    <w:p w14:paraId="1298C329" w14:textId="77777777" w:rsidR="00A4541F" w:rsidRDefault="006A166E">
      <w:pPr>
        <w:ind w:right="-878"/>
        <w:jc w:val="both"/>
      </w:pPr>
      <w:r>
        <w:tab/>
      </w:r>
      <w:r>
        <w:rPr>
          <w:b/>
        </w:rPr>
        <w:t>4.2</w:t>
      </w:r>
      <w:r>
        <w:t xml:space="preserve"> </w:t>
      </w:r>
      <w:r>
        <w:rPr>
          <w:b/>
        </w:rPr>
        <w:t>Form</w:t>
      </w:r>
      <w:r>
        <w:t xml:space="preserve"> Individual passages consist of distinctive literary genres, such as a prologue, </w:t>
      </w:r>
      <w:r>
        <w:tab/>
        <w:t xml:space="preserve">symbolic world-picture of </w:t>
      </w:r>
      <w:proofErr w:type="spellStart"/>
      <w:r>
        <w:rPr>
          <w:i/>
        </w:rPr>
        <w:t>paroimia</w:t>
      </w:r>
      <w:proofErr w:type="spellEnd"/>
      <w:r>
        <w:rPr>
          <w:i/>
        </w:rPr>
        <w:t xml:space="preserve">, </w:t>
      </w:r>
      <w:r>
        <w:t xml:space="preserve">homily, </w:t>
      </w:r>
      <w:proofErr w:type="gramStart"/>
      <w:r>
        <w:t>farewell</w:t>
      </w:r>
      <w:proofErr w:type="gramEnd"/>
      <w:r>
        <w:t xml:space="preserve"> discourse.  </w:t>
      </w:r>
    </w:p>
    <w:p w14:paraId="0983AAE1" w14:textId="77777777" w:rsidR="00A4541F" w:rsidRDefault="006A166E">
      <w:pPr>
        <w:ind w:right="-878"/>
        <w:jc w:val="both"/>
      </w:pPr>
      <w:r>
        <w:tab/>
        <w:t xml:space="preserve">Trial scenes are prominent (see John 5:16-47; 8:12-59; 10:22-39) in which elements of </w:t>
      </w:r>
      <w:r>
        <w:tab/>
        <w:t xml:space="preserve">conflict control the plot and prompt readers to decide between opposing parties.  </w:t>
      </w:r>
      <w:r>
        <w:tab/>
        <w:t xml:space="preserve">Throughout John’s story an ironic trial is in progress, in the sense that </w:t>
      </w:r>
      <w:proofErr w:type="gramStart"/>
      <w:r>
        <w:t xml:space="preserve">Jesus is on trial, </w:t>
      </w:r>
      <w:r>
        <w:tab/>
        <w:t xml:space="preserve">falsely </w:t>
      </w:r>
      <w:r>
        <w:tab/>
        <w:t>accused by the ‘Jews’</w:t>
      </w:r>
      <w:proofErr w:type="gramEnd"/>
      <w:r>
        <w:t xml:space="preserve">, although he is in fact both judge and one of the parties in </w:t>
      </w:r>
      <w:r>
        <w:tab/>
        <w:t>dispute.</w:t>
      </w:r>
    </w:p>
    <w:p w14:paraId="1B3F28F2" w14:textId="77777777" w:rsidR="00A4541F" w:rsidRDefault="00A4541F">
      <w:pPr>
        <w:spacing w:line="360" w:lineRule="auto"/>
        <w:ind w:right="-878"/>
        <w:jc w:val="both"/>
      </w:pPr>
    </w:p>
    <w:p w14:paraId="61129006" w14:textId="77777777" w:rsidR="00A4541F" w:rsidRDefault="006A166E">
      <w:pPr>
        <w:ind w:right="-878"/>
        <w:jc w:val="both"/>
      </w:pPr>
      <w:r>
        <w:rPr>
          <w:b/>
        </w:rPr>
        <w:tab/>
        <w:t>4.3</w:t>
      </w:r>
      <w:r>
        <w:t> </w:t>
      </w:r>
      <w:r>
        <w:rPr>
          <w:b/>
        </w:rPr>
        <w:t xml:space="preserve">Plot </w:t>
      </w:r>
      <w:r>
        <w:t xml:space="preserve">Some sections carefully arrange events with a beginning, middle and end. </w:t>
      </w:r>
      <w:r>
        <w:tab/>
      </w:r>
      <w:proofErr w:type="gramStart"/>
      <w:r>
        <w:t>Note, for example, the use of progression settings in 11:1-44.</w:t>
      </w:r>
      <w:proofErr w:type="gramEnd"/>
      <w:r>
        <w:t xml:space="preserve"> Jesus is initially outside </w:t>
      </w:r>
      <w:r>
        <w:tab/>
        <w:t>Judaea (11:1-16), at the middle of the story he is outside the village of Bethany (11:17-</w:t>
      </w:r>
      <w:r>
        <w:tab/>
        <w:t xml:space="preserve">37), and at the end Jesus is outside the tomb from which Lazarus emerges (11:38-44).  </w:t>
      </w:r>
      <w:r>
        <w:tab/>
        <w:t xml:space="preserve">Here the author uses a dynamic plot in order to present a progression to Jesus’ ultimate </w:t>
      </w:r>
      <w:r>
        <w:tab/>
        <w:t>destination - Lazarus’ tomb.</w:t>
      </w:r>
    </w:p>
    <w:p w14:paraId="202C144B" w14:textId="77777777" w:rsidR="00A4541F" w:rsidRDefault="00A4541F">
      <w:pPr>
        <w:ind w:right="-878"/>
        <w:jc w:val="both"/>
      </w:pPr>
    </w:p>
    <w:p w14:paraId="56133A1E" w14:textId="77777777" w:rsidR="00A4541F" w:rsidRDefault="006A166E">
      <w:pPr>
        <w:ind w:right="-878"/>
        <w:jc w:val="both"/>
      </w:pPr>
      <w:r>
        <w:rPr>
          <w:b/>
        </w:rPr>
        <w:tab/>
        <w:t>4.4</w:t>
      </w:r>
      <w:r>
        <w:t xml:space="preserve"> </w:t>
      </w:r>
      <w:r>
        <w:rPr>
          <w:b/>
        </w:rPr>
        <w:t xml:space="preserve">Time </w:t>
      </w:r>
      <w:r>
        <w:t xml:space="preserve">This involves the organization of events into a temporal sequence. </w:t>
      </w:r>
      <w:proofErr w:type="spellStart"/>
      <w:r>
        <w:t>Stibbe</w:t>
      </w:r>
      <w:proofErr w:type="spellEnd"/>
      <w:r>
        <w:t xml:space="preserve"> </w:t>
      </w:r>
      <w:r>
        <w:tab/>
        <w:t xml:space="preserve">distinguishes between narrative time (the time it takes to read a narrative) and story time </w:t>
      </w:r>
      <w:r>
        <w:tab/>
        <w:t xml:space="preserve">(the time sequence within the narrative itself). Thus seven chapters cover a period of 24 </w:t>
      </w:r>
      <w:r>
        <w:tab/>
        <w:t xml:space="preserve">hours (John 13-19), while in the Book of Signs (1-12) twelve chapters cover a period of </w:t>
      </w:r>
      <w:r>
        <w:tab/>
        <w:t xml:space="preserve">two to three years. The author has slowed the pace of the plot to heighten its </w:t>
      </w:r>
      <w:r>
        <w:tab/>
        <w:t xml:space="preserve">significance. </w:t>
      </w:r>
    </w:p>
    <w:p w14:paraId="3AA96591" w14:textId="77777777" w:rsidR="00A4541F" w:rsidRDefault="006A166E">
      <w:pPr>
        <w:ind w:right="-878"/>
        <w:jc w:val="both"/>
      </w:pPr>
      <w:r>
        <w:tab/>
        <w:t>Another popular device is that of ‘flashback’ (</w:t>
      </w:r>
      <w:proofErr w:type="spellStart"/>
      <w:r>
        <w:t>analepsis</w:t>
      </w:r>
      <w:proofErr w:type="spellEnd"/>
      <w:r>
        <w:t xml:space="preserve">) and ‘flash-forward’ (prolepsis) </w:t>
      </w:r>
      <w:r>
        <w:tab/>
        <w:t xml:space="preserve">as in the case of Jesus’ question, and first utterance in this Gospel, to the first disciples: </w:t>
      </w:r>
      <w:r>
        <w:tab/>
        <w:t>‘Whom do you seek?’ (1:38)</w:t>
      </w:r>
      <w:proofErr w:type="gramStart"/>
      <w:r>
        <w:t>;</w:t>
      </w:r>
      <w:proofErr w:type="gramEnd"/>
      <w:r>
        <w:t xml:space="preserve"> cf. same question in the garden of his arrest (18:4, 7) and </w:t>
      </w:r>
      <w:r>
        <w:tab/>
        <w:t xml:space="preserve">the garden of his resurrection (20:15).  This is a demonstration of the focus of this gospel </w:t>
      </w:r>
      <w:r>
        <w:tab/>
        <w:t>on the quest for Jesus.</w:t>
      </w:r>
    </w:p>
    <w:p w14:paraId="0FAA4F42" w14:textId="77777777" w:rsidR="00A4541F" w:rsidRDefault="00A4541F">
      <w:pPr>
        <w:ind w:right="-878"/>
        <w:jc w:val="both"/>
      </w:pPr>
    </w:p>
    <w:p w14:paraId="13AF59D1" w14:textId="77777777" w:rsidR="00A4541F" w:rsidRDefault="006A166E">
      <w:pPr>
        <w:ind w:right="-878"/>
        <w:jc w:val="both"/>
      </w:pPr>
      <w:r>
        <w:rPr>
          <w:b/>
        </w:rPr>
        <w:tab/>
        <w:t>4.5</w:t>
      </w:r>
      <w:r>
        <w:t xml:space="preserve"> </w:t>
      </w:r>
      <w:r>
        <w:rPr>
          <w:b/>
        </w:rPr>
        <w:t>Characterization</w:t>
      </w:r>
      <w:r>
        <w:t xml:space="preserve"> This examines the way in which authors describe historical </w:t>
      </w:r>
      <w:r>
        <w:tab/>
        <w:t xml:space="preserve">characters. Peter is presented as a fairly ‘flat’ character during the public ministry, but </w:t>
      </w:r>
      <w:r>
        <w:tab/>
        <w:t>exhibits a wide variety of traits in John 13-21.</w:t>
      </w:r>
    </w:p>
    <w:p w14:paraId="49155B4D" w14:textId="77777777" w:rsidR="00A4541F" w:rsidRDefault="006A166E">
      <w:pPr>
        <w:ind w:right="-878"/>
        <w:jc w:val="both"/>
      </w:pPr>
      <w:r>
        <w:tab/>
      </w:r>
      <w:proofErr w:type="spellStart"/>
      <w:r>
        <w:t>Stibbe</w:t>
      </w:r>
      <w:proofErr w:type="spellEnd"/>
      <w:r>
        <w:t xml:space="preserve"> notes how the narrator often suggests motives and attitudes of his characters in an </w:t>
      </w:r>
      <w:r>
        <w:tab/>
        <w:t xml:space="preserve">implicit way (through speech and action rather than internal commentary).  Note in </w:t>
      </w:r>
      <w:r>
        <w:tab/>
        <w:t xml:space="preserve">particular the image of Jesus as ‘the elusive Christ’ (a kind of Johannine Pimpernel).  The </w:t>
      </w:r>
      <w:r>
        <w:tab/>
        <w:t xml:space="preserve">Jews find him most evasive; they cannot be </w:t>
      </w:r>
      <w:proofErr w:type="gramStart"/>
      <w:r>
        <w:t>grasp</w:t>
      </w:r>
      <w:proofErr w:type="gramEnd"/>
      <w:r>
        <w:t xml:space="preserve"> him physically when they attempt to </w:t>
      </w:r>
      <w:r>
        <w:tab/>
        <w:t xml:space="preserve">arrest him (7:30, 44; 8:59; 10:39) or theologically when they try to understand him. This </w:t>
      </w:r>
      <w:r>
        <w:tab/>
        <w:t xml:space="preserve">elusiveness is indicated by Jesus’ words (metaphors, enigmatic word-pictures) and </w:t>
      </w:r>
      <w:r>
        <w:tab/>
        <w:t>actions (sought but rarely found).</w:t>
      </w:r>
    </w:p>
    <w:p w14:paraId="535C7189" w14:textId="77777777" w:rsidR="00A4541F" w:rsidRDefault="00A4541F">
      <w:pPr>
        <w:ind w:right="-878"/>
        <w:jc w:val="both"/>
      </w:pPr>
    </w:p>
    <w:p w14:paraId="1C7C896F" w14:textId="77777777" w:rsidR="00A4541F" w:rsidRDefault="006A166E">
      <w:pPr>
        <w:ind w:right="-878"/>
        <w:jc w:val="both"/>
      </w:pPr>
      <w:r>
        <w:rPr>
          <w:b/>
        </w:rPr>
        <w:tab/>
      </w:r>
      <w:proofErr w:type="gramStart"/>
      <w:r>
        <w:rPr>
          <w:b/>
        </w:rPr>
        <w:t>4.6</w:t>
      </w:r>
      <w:r>
        <w:t xml:space="preserve">  </w:t>
      </w:r>
      <w:r>
        <w:rPr>
          <w:b/>
        </w:rPr>
        <w:t>Literary</w:t>
      </w:r>
      <w:proofErr w:type="gramEnd"/>
      <w:r>
        <w:rPr>
          <w:b/>
        </w:rPr>
        <w:t xml:space="preserve"> Devices</w:t>
      </w:r>
      <w:r>
        <w:t xml:space="preserve">  Many literary devices can be identified in John’s Gospel: </w:t>
      </w:r>
    </w:p>
    <w:p w14:paraId="70B13A0B" w14:textId="77777777" w:rsidR="00A4541F" w:rsidRDefault="006A166E">
      <w:pPr>
        <w:ind w:right="-878"/>
        <w:jc w:val="both"/>
      </w:pPr>
      <w:r>
        <w:rPr>
          <w:b/>
        </w:rPr>
        <w:tab/>
        <w:t>Double meaning</w:t>
      </w:r>
      <w:r>
        <w:t xml:space="preserve"> (or </w:t>
      </w:r>
      <w:r>
        <w:rPr>
          <w:i/>
        </w:rPr>
        <w:t xml:space="preserve">double </w:t>
      </w:r>
      <w:proofErr w:type="gramStart"/>
      <w:r>
        <w:rPr>
          <w:i/>
        </w:rPr>
        <w:t xml:space="preserve">entendre </w:t>
      </w:r>
      <w:r>
        <w:t>)</w:t>
      </w:r>
      <w:proofErr w:type="gramEnd"/>
      <w:r>
        <w:rPr>
          <w:i/>
        </w:rPr>
        <w:t xml:space="preserve"> </w:t>
      </w:r>
      <w:r>
        <w:t xml:space="preserve">When Jesus speaks of being born again (3:3,7), </w:t>
      </w:r>
      <w:r>
        <w:tab/>
        <w:t>the word often translated as ‘again’ can also be rendered as ‘from above’ (</w:t>
      </w:r>
      <w:proofErr w:type="spellStart"/>
      <w:r>
        <w:rPr>
          <w:i/>
        </w:rPr>
        <w:t>anôthen</w:t>
      </w:r>
      <w:proofErr w:type="spellEnd"/>
      <w:r>
        <w:rPr>
          <w:i/>
        </w:rPr>
        <w:t xml:space="preserve"> </w:t>
      </w:r>
      <w:r>
        <w:t xml:space="preserve">). </w:t>
      </w:r>
      <w:r>
        <w:tab/>
        <w:t xml:space="preserve">Nicodemus reveals his limited understanding by interpreting it simply as ‘again’.  Cf. </w:t>
      </w:r>
      <w:r>
        <w:tab/>
        <w:t>also Jesus’ discourse with the Samaritan woman</w:t>
      </w:r>
      <w:proofErr w:type="gramStart"/>
      <w:r>
        <w:t>;</w:t>
      </w:r>
      <w:proofErr w:type="gramEnd"/>
      <w:r>
        <w:t xml:space="preserve"> the phrase ‘living water’ (4:10) can be </w:t>
      </w:r>
      <w:r>
        <w:tab/>
        <w:t xml:space="preserve">translated as running water, and the woman interprets the phrase on a literal level (how </w:t>
      </w:r>
      <w:r>
        <w:tab/>
        <w:t xml:space="preserve">can a well have running water?)  Related </w:t>
      </w:r>
      <w:proofErr w:type="gramStart"/>
      <w:r>
        <w:t>to  this</w:t>
      </w:r>
      <w:proofErr w:type="gramEnd"/>
      <w:r>
        <w:t xml:space="preserve"> is the technique of misunderstanding; a </w:t>
      </w:r>
      <w:r>
        <w:tab/>
        <w:t xml:space="preserve">tension develops between the literal and spiritual levels of the discourse, which eventually </w:t>
      </w:r>
      <w:r>
        <w:tab/>
        <w:t>leads to a more complete understanding of Jesus’ self-revelation.</w:t>
      </w:r>
    </w:p>
    <w:p w14:paraId="5A0CA637" w14:textId="77777777" w:rsidR="00A4541F" w:rsidRDefault="00A4541F">
      <w:pPr>
        <w:ind w:right="-878"/>
        <w:jc w:val="both"/>
      </w:pPr>
    </w:p>
    <w:p w14:paraId="32516D50" w14:textId="77777777" w:rsidR="00A4541F" w:rsidRDefault="006A166E" w:rsidP="0015685F">
      <w:pPr>
        <w:ind w:left="720" w:right="-878"/>
        <w:jc w:val="both"/>
      </w:pPr>
      <w:r>
        <w:rPr>
          <w:b/>
        </w:rPr>
        <w:t>Narrative settings</w:t>
      </w:r>
      <w:r w:rsidR="0015685F">
        <w:t xml:space="preserve"> </w:t>
      </w:r>
      <w:r>
        <w:t>There is a major contrast between the country as a place of faith (</w:t>
      </w:r>
      <w:proofErr w:type="spellStart"/>
      <w:r>
        <w:t>Perea</w:t>
      </w:r>
      <w:proofErr w:type="spellEnd"/>
      <w:r>
        <w:t>: 1:19-51; Galilee: 2:1-11; Judaea: 3:22-36; Sama</w:t>
      </w:r>
      <w:r w:rsidR="0015685F">
        <w:t xml:space="preserve">ria: 4:4-42; Galilee: 4:46-54; </w:t>
      </w:r>
      <w:proofErr w:type="spellStart"/>
      <w:r>
        <w:t>Perea</w:t>
      </w:r>
      <w:proofErr w:type="spellEnd"/>
      <w:r>
        <w:t>: 10:40) and Jerusalem as a place of unbelief</w:t>
      </w:r>
      <w:r w:rsidR="0015685F">
        <w:t xml:space="preserve"> (2:13-22; 3:1-21; 5:1-47; 7:1- </w:t>
      </w:r>
      <w:r>
        <w:t xml:space="preserve">10:39).  </w:t>
      </w:r>
    </w:p>
    <w:p w14:paraId="78DB6E06" w14:textId="77777777" w:rsidR="00A4541F" w:rsidRDefault="006A166E">
      <w:pPr>
        <w:ind w:right="-878"/>
        <w:jc w:val="both"/>
      </w:pPr>
      <w:r>
        <w:tab/>
        <w:t xml:space="preserve">The most effective use of settings (and narrative echoes) occurs in the arrest scene. An </w:t>
      </w:r>
      <w:r>
        <w:tab/>
        <w:t xml:space="preserve">enclosed garden (references are made in vv. 1,4 to Jesus going in and out) is reminiscent </w:t>
      </w:r>
      <w:r>
        <w:tab/>
        <w:t xml:space="preserve">of the sheepfold (10:1-5). When Jesus stands at the entrance of the garden (with his </w:t>
      </w:r>
      <w:r>
        <w:tab/>
        <w:t xml:space="preserve">disciples inside behind him), one is reminded of his role as the good shepherd who </w:t>
      </w:r>
      <w:r>
        <w:tab/>
        <w:t xml:space="preserve">guards </w:t>
      </w:r>
      <w:r>
        <w:tab/>
        <w:t xml:space="preserve">the entrance. The approach of Judas is symbolic of the thief who tries to get into </w:t>
      </w:r>
      <w:r>
        <w:tab/>
        <w:t>the sheepfold (10:1; cf. 12:6).</w:t>
      </w:r>
    </w:p>
    <w:p w14:paraId="1518E5D3" w14:textId="77777777" w:rsidR="00A4541F" w:rsidRDefault="00A4541F">
      <w:pPr>
        <w:ind w:right="-878"/>
        <w:jc w:val="both"/>
      </w:pPr>
    </w:p>
    <w:p w14:paraId="77359D0D" w14:textId="77777777" w:rsidR="00A4541F" w:rsidRDefault="006A166E">
      <w:pPr>
        <w:ind w:right="-878"/>
        <w:jc w:val="both"/>
      </w:pPr>
      <w:r>
        <w:rPr>
          <w:b/>
        </w:rPr>
        <w:tab/>
        <w:t>Dual stage-setting (Intercalation)</w:t>
      </w:r>
      <w:r w:rsidR="0015685F">
        <w:t xml:space="preserve"> </w:t>
      </w:r>
      <w:r>
        <w:t>Description of the denials of Peter o</w:t>
      </w:r>
      <w:r w:rsidR="0015685F">
        <w:t xml:space="preserve">n one stage, </w:t>
      </w:r>
      <w:r w:rsidR="0015685F">
        <w:tab/>
        <w:t xml:space="preserve">and the trial of </w:t>
      </w:r>
      <w:r>
        <w:t xml:space="preserve">Jesus before </w:t>
      </w:r>
      <w:proofErr w:type="spellStart"/>
      <w:r>
        <w:t>Annas</w:t>
      </w:r>
      <w:proofErr w:type="spellEnd"/>
      <w:r>
        <w:t xml:space="preserve"> on another (18:15-27). John juxtaposes Jesus’ </w:t>
      </w:r>
      <w:r>
        <w:tab/>
        <w:t xml:space="preserve">declaration concerning the reliability of his disciples with a description of Peter’s </w:t>
      </w:r>
      <w:r>
        <w:tab/>
        <w:t>weaknesses.</w:t>
      </w:r>
    </w:p>
    <w:p w14:paraId="5ED6EDE9" w14:textId="77777777" w:rsidR="00A4541F" w:rsidRDefault="006A166E">
      <w:pPr>
        <w:ind w:right="-878"/>
        <w:jc w:val="both"/>
        <w:rPr>
          <w:b/>
        </w:rPr>
      </w:pPr>
      <w:r>
        <w:rPr>
          <w:b/>
        </w:rPr>
        <w:tab/>
      </w:r>
    </w:p>
    <w:p w14:paraId="7671FCF3" w14:textId="77777777" w:rsidR="00A4541F" w:rsidRDefault="006A166E">
      <w:pPr>
        <w:ind w:right="-878"/>
        <w:jc w:val="both"/>
      </w:pPr>
      <w:r>
        <w:rPr>
          <w:b/>
        </w:rPr>
        <w:tab/>
      </w:r>
      <w:proofErr w:type="spellStart"/>
      <w:r>
        <w:rPr>
          <w:b/>
        </w:rPr>
        <w:t>Intertextuality</w:t>
      </w:r>
      <w:proofErr w:type="spellEnd"/>
      <w:r>
        <w:t xml:space="preserve"> Assumption that readers are familiar with other texts and borrow freely </w:t>
      </w:r>
      <w:r>
        <w:tab/>
        <w:t xml:space="preserve">from motifs that these texts employ; the readers of John’s Gospel are assumed to be </w:t>
      </w:r>
      <w:r>
        <w:tab/>
        <w:t xml:space="preserve">familiar with the writings of the OT and may be expected to recognize allusions to those </w:t>
      </w:r>
      <w:r>
        <w:tab/>
        <w:t xml:space="preserve">writing even when explicit citations are not made.  </w:t>
      </w:r>
    </w:p>
    <w:p w14:paraId="0E01F968" w14:textId="77777777" w:rsidR="00A4541F" w:rsidRDefault="006A166E">
      <w:pPr>
        <w:ind w:right="-878"/>
        <w:jc w:val="both"/>
      </w:pPr>
      <w:r>
        <w:tab/>
        <w:t xml:space="preserve">A cluster of such </w:t>
      </w:r>
      <w:proofErr w:type="spellStart"/>
      <w:r>
        <w:t>intertextual</w:t>
      </w:r>
      <w:proofErr w:type="spellEnd"/>
      <w:r>
        <w:t xml:space="preserve"> echoes relate to </w:t>
      </w:r>
      <w:proofErr w:type="spellStart"/>
      <w:r>
        <w:t>Deutero</w:t>
      </w:r>
      <w:proofErr w:type="spellEnd"/>
      <w:r>
        <w:t xml:space="preserve">-Isaianic prophecies, for many key </w:t>
      </w:r>
      <w:r>
        <w:tab/>
        <w:t xml:space="preserve">themes are worked into the Johannine narratives: trial scenes (particularly in John </w:t>
      </w:r>
      <w:r>
        <w:tab/>
        <w:t xml:space="preserve">5, </w:t>
      </w:r>
      <w:r>
        <w:tab/>
        <w:t xml:space="preserve">8, 10), ‘I am’ sayings, glory, God as shepherd, descent from Abraham, flowing water, </w:t>
      </w:r>
      <w:r>
        <w:tab/>
        <w:t>sight and blindness, darkness and light, witness, truth.</w:t>
      </w:r>
    </w:p>
    <w:p w14:paraId="7CC9B975" w14:textId="77777777" w:rsidR="00A4541F" w:rsidRDefault="00A4541F">
      <w:pPr>
        <w:ind w:right="-878"/>
        <w:jc w:val="both"/>
      </w:pPr>
    </w:p>
    <w:p w14:paraId="61DCC3EC" w14:textId="77777777" w:rsidR="00A4541F" w:rsidRDefault="0015685F" w:rsidP="0015685F">
      <w:pPr>
        <w:ind w:left="720" w:right="-878"/>
        <w:jc w:val="both"/>
      </w:pPr>
      <w:r>
        <w:rPr>
          <w:b/>
        </w:rPr>
        <w:t>Symbolism</w:t>
      </w:r>
      <w:r w:rsidR="006A166E">
        <w:rPr>
          <w:b/>
        </w:rPr>
        <w:t xml:space="preserve"> </w:t>
      </w:r>
      <w:r w:rsidR="006A166E">
        <w:t>Symbolic language transcends the mos</w:t>
      </w:r>
      <w:r>
        <w:t xml:space="preserve">t literal application; it also </w:t>
      </w:r>
      <w:r w:rsidR="006A166E">
        <w:t>possess</w:t>
      </w:r>
      <w:r>
        <w:t>es</w:t>
      </w:r>
      <w:r w:rsidR="006A166E">
        <w:t xml:space="preserve"> symbolic meaning, so that night becomes a symb</w:t>
      </w:r>
      <w:r>
        <w:t xml:space="preserve">ol of rejection and unbelief.  </w:t>
      </w:r>
      <w:r w:rsidR="006A166E">
        <w:t>Hence Nicodemus comes to Jesus from the darkness of the night (3:2,19)</w:t>
      </w:r>
    </w:p>
    <w:p w14:paraId="6D552FD7" w14:textId="77777777" w:rsidR="00A4541F" w:rsidRDefault="00A4541F">
      <w:pPr>
        <w:ind w:right="-878"/>
        <w:jc w:val="both"/>
      </w:pPr>
    </w:p>
    <w:p w14:paraId="781935A7" w14:textId="77777777" w:rsidR="00A4541F" w:rsidRDefault="006A166E">
      <w:pPr>
        <w:ind w:right="-878"/>
        <w:jc w:val="both"/>
      </w:pPr>
      <w:r>
        <w:rPr>
          <w:b/>
        </w:rPr>
        <w:tab/>
        <w:t>4.7</w:t>
      </w:r>
      <w:r>
        <w:t xml:space="preserve"> </w:t>
      </w:r>
      <w:r>
        <w:rPr>
          <w:b/>
        </w:rPr>
        <w:t xml:space="preserve">Irony </w:t>
      </w:r>
      <w:r>
        <w:t xml:space="preserve">Two levels of meaning are set up: </w:t>
      </w:r>
      <w:proofErr w:type="gramStart"/>
      <w:r>
        <w:t>one which</w:t>
      </w:r>
      <w:proofErr w:type="gramEnd"/>
      <w:r>
        <w:t xml:space="preserve"> is not recognized by the </w:t>
      </w:r>
      <w:r>
        <w:tab/>
        <w:t xml:space="preserve">characters within the story, the other which is recognized by the reader outside the story. </w:t>
      </w:r>
      <w:r>
        <w:tab/>
        <w:t xml:space="preserve">See </w:t>
      </w:r>
      <w:proofErr w:type="spellStart"/>
      <w:r>
        <w:t>P.D.Duke</w:t>
      </w:r>
      <w:proofErr w:type="spellEnd"/>
      <w:r>
        <w:t xml:space="preserve">, </w:t>
      </w:r>
      <w:r>
        <w:rPr>
          <w:i/>
        </w:rPr>
        <w:t xml:space="preserve">Irony in the Fourth Gospel </w:t>
      </w:r>
      <w:r>
        <w:t xml:space="preserve"> (1985). Irony is particularly prevalent in the </w:t>
      </w:r>
      <w:r>
        <w:tab/>
        <w:t>Johannine Passion narrative.</w:t>
      </w:r>
    </w:p>
    <w:p w14:paraId="7A2C2CE5" w14:textId="77777777" w:rsidR="00A4541F" w:rsidRDefault="00A4541F">
      <w:pPr>
        <w:tabs>
          <w:tab w:val="left" w:pos="720"/>
        </w:tabs>
        <w:ind w:right="-874"/>
        <w:jc w:val="both"/>
      </w:pPr>
    </w:p>
    <w:p w14:paraId="0BC33652" w14:textId="77777777" w:rsidR="00A4541F" w:rsidRDefault="00A4541F">
      <w:pPr>
        <w:tabs>
          <w:tab w:val="left" w:pos="720"/>
        </w:tabs>
        <w:ind w:right="-874"/>
        <w:jc w:val="both"/>
      </w:pPr>
    </w:p>
    <w:p w14:paraId="5B079545" w14:textId="77777777" w:rsidR="00A4541F" w:rsidRDefault="006A166E">
      <w:pPr>
        <w:ind w:right="-878"/>
        <w:jc w:val="both"/>
      </w:pPr>
      <w:r>
        <w:rPr>
          <w:b/>
        </w:rPr>
        <w:t xml:space="preserve">5.  </w:t>
      </w:r>
      <w:r>
        <w:rPr>
          <w:b/>
        </w:rPr>
        <w:tab/>
        <w:t>Evaluation of Narrative-Critical Readings of John’s Gospel</w:t>
      </w:r>
    </w:p>
    <w:p w14:paraId="4CF65BB8" w14:textId="77777777" w:rsidR="00A4541F" w:rsidRDefault="006A166E" w:rsidP="0015685F">
      <w:pPr>
        <w:ind w:left="720" w:right="-878"/>
        <w:jc w:val="both"/>
      </w:pPr>
      <w:proofErr w:type="gramStart"/>
      <w:r>
        <w:rPr>
          <w:b/>
        </w:rPr>
        <w:t>5.1  Recovery</w:t>
      </w:r>
      <w:proofErr w:type="gramEnd"/>
      <w:r>
        <w:rPr>
          <w:b/>
        </w:rPr>
        <w:t xml:space="preserve"> of Sources or Literary Unity? </w:t>
      </w:r>
      <w:r>
        <w:t xml:space="preserve">Narrative critics accuse historical </w:t>
      </w:r>
      <w:r>
        <w:tab/>
        <w:t>critics of fragmenting the text rather than focusing on the</w:t>
      </w:r>
      <w:r w:rsidR="0015685F">
        <w:t xml:space="preserve"> Gospel as a finished literary </w:t>
      </w:r>
      <w:r>
        <w:t>product (Culpepper). John Ashton responds by stating that secul</w:t>
      </w:r>
      <w:r w:rsidR="0015685F">
        <w:t xml:space="preserve">ar literary critics would find </w:t>
      </w:r>
      <w:r>
        <w:t>such statements quite astonishing, since they also h</w:t>
      </w:r>
      <w:r w:rsidR="0015685F">
        <w:t xml:space="preserve">ave an interest in the various </w:t>
      </w:r>
      <w:r>
        <w:t>stages of composition.  What about the status of the appen</w:t>
      </w:r>
      <w:r w:rsidR="0015685F">
        <w:t xml:space="preserve">dix in John 21 and the raising </w:t>
      </w:r>
      <w:r>
        <w:t>of Lazarus? Ashton criticizes those who ‘throw a pair o</w:t>
      </w:r>
      <w:r w:rsidR="0015685F">
        <w:t xml:space="preserve">f enormous brackets around the </w:t>
      </w:r>
      <w:r>
        <w:t xml:space="preserve">historical hypotheses of their colleagues...[and] proceed </w:t>
      </w:r>
      <w:r>
        <w:rPr>
          <w:i/>
        </w:rPr>
        <w:t xml:space="preserve">as if </w:t>
      </w:r>
      <w:r w:rsidR="0015685F">
        <w:t xml:space="preserve">the Gospel was designed </w:t>
      </w:r>
      <w:r>
        <w:t>from the outset in its present form’ (p. 145).</w:t>
      </w:r>
    </w:p>
    <w:p w14:paraId="22299203" w14:textId="77777777" w:rsidR="00A4541F" w:rsidRDefault="00A4541F">
      <w:pPr>
        <w:ind w:right="-878"/>
        <w:jc w:val="both"/>
      </w:pPr>
    </w:p>
    <w:p w14:paraId="2FD353B5" w14:textId="77777777" w:rsidR="00A4541F" w:rsidRDefault="0015685F" w:rsidP="0015685F">
      <w:pPr>
        <w:ind w:left="720" w:right="-878"/>
        <w:jc w:val="both"/>
      </w:pPr>
      <w:r>
        <w:rPr>
          <w:b/>
        </w:rPr>
        <w:t xml:space="preserve">5.2 </w:t>
      </w:r>
      <w:r w:rsidR="006A166E">
        <w:rPr>
          <w:b/>
        </w:rPr>
        <w:t xml:space="preserve">Modern Theories and Ancient Texts </w:t>
      </w:r>
      <w:r w:rsidR="006A166E">
        <w:t>Narrative critics may be charged with anachronistically applying modern concepts to ancient lit</w:t>
      </w:r>
      <w:r>
        <w:t xml:space="preserve">erature.  There is a danger of </w:t>
      </w:r>
      <w:r w:rsidR="006A166E">
        <w:t>forcing texts into a pattern in order to conform to a lite</w:t>
      </w:r>
      <w:r>
        <w:t xml:space="preserve">rary theory, and a tendency to </w:t>
      </w:r>
      <w:r w:rsidR="006A166E">
        <w:t xml:space="preserve">superimpose modern literary pattern and schemes upon the texts themselves. For </w:t>
      </w:r>
      <w:r w:rsidR="006A166E">
        <w:tab/>
        <w:t xml:space="preserve">example, Mark </w:t>
      </w:r>
      <w:proofErr w:type="spellStart"/>
      <w:r w:rsidR="006A166E">
        <w:t>Stibbe</w:t>
      </w:r>
      <w:proofErr w:type="spellEnd"/>
      <w:r w:rsidR="006A166E">
        <w:t xml:space="preserve"> applies </w:t>
      </w:r>
      <w:proofErr w:type="spellStart"/>
      <w:r w:rsidR="006A166E">
        <w:t>Northop</w:t>
      </w:r>
      <w:proofErr w:type="spellEnd"/>
      <w:r w:rsidR="006A166E">
        <w:t xml:space="preserve"> Frye’s archetypal approach to story patterns </w:t>
      </w:r>
      <w:r w:rsidR="006A166E">
        <w:tab/>
        <w:t>(</w:t>
      </w:r>
      <w:r w:rsidR="006A166E">
        <w:rPr>
          <w:i/>
        </w:rPr>
        <w:t xml:space="preserve">Anatomy of </w:t>
      </w:r>
      <w:proofErr w:type="gramStart"/>
      <w:r w:rsidR="006A166E">
        <w:rPr>
          <w:i/>
        </w:rPr>
        <w:t xml:space="preserve">Criticism </w:t>
      </w:r>
      <w:r w:rsidR="006A166E">
        <w:t xml:space="preserve"> 1971</w:t>
      </w:r>
      <w:proofErr w:type="gramEnd"/>
      <w:r w:rsidR="006A166E">
        <w:t xml:space="preserve">), in which he claims that all storytellers describe events </w:t>
      </w:r>
      <w:r w:rsidR="006A166E">
        <w:tab/>
        <w:t xml:space="preserve">using one of four fundamental plot-types or </w:t>
      </w:r>
      <w:proofErr w:type="spellStart"/>
      <w:r w:rsidR="006A166E">
        <w:rPr>
          <w:i/>
        </w:rPr>
        <w:t>mythoi</w:t>
      </w:r>
      <w:proofErr w:type="spellEnd"/>
      <w:r w:rsidR="006A166E">
        <w:rPr>
          <w:i/>
        </w:rPr>
        <w:t xml:space="preserve"> </w:t>
      </w:r>
      <w:r w:rsidR="006A166E">
        <w:t xml:space="preserve"> (trag</w:t>
      </w:r>
      <w:r>
        <w:t xml:space="preserve">edy, satire, comedy, romance). </w:t>
      </w:r>
      <w:r w:rsidR="006A166E">
        <w:t>John, it is claimed, uses the four plot-types in a crea</w:t>
      </w:r>
      <w:r>
        <w:t xml:space="preserve">tive way throughout the Gospel </w:t>
      </w:r>
      <w:r w:rsidR="006A166E">
        <w:t xml:space="preserve">(romance in 4:4-42, comedy in 2:1-11; satire in 8:12-59; tragedy in 18-19). </w:t>
      </w:r>
    </w:p>
    <w:p w14:paraId="593F1FB1" w14:textId="77777777" w:rsidR="00A4541F" w:rsidRDefault="006A166E">
      <w:pPr>
        <w:ind w:right="-878"/>
        <w:jc w:val="both"/>
      </w:pPr>
      <w:r>
        <w:tab/>
        <w:t xml:space="preserve">Note also the simplicity of Johannine narratives in comparison with the complex pieces of </w:t>
      </w:r>
      <w:r>
        <w:tab/>
        <w:t xml:space="preserve">literature for which literary criticism was originally formulated. ‘To apply the same </w:t>
      </w:r>
      <w:r>
        <w:tab/>
        <w:t xml:space="preserve">technique to the Gospels ...is like using a combine harvester to mow the garden lawn’ </w:t>
      </w:r>
      <w:r>
        <w:tab/>
        <w:t xml:space="preserve">(Ashton, </w:t>
      </w:r>
      <w:r>
        <w:rPr>
          <w:i/>
        </w:rPr>
        <w:t>Studying John</w:t>
      </w:r>
      <w:proofErr w:type="gramStart"/>
      <w:r>
        <w:rPr>
          <w:i/>
        </w:rPr>
        <w:t>,</w:t>
      </w:r>
      <w:r>
        <w:t>159</w:t>
      </w:r>
      <w:proofErr w:type="gramEnd"/>
      <w:r>
        <w:t>).</w:t>
      </w:r>
    </w:p>
    <w:p w14:paraId="65AFBA71" w14:textId="77777777" w:rsidR="00A4541F" w:rsidRDefault="00A4541F">
      <w:pPr>
        <w:ind w:right="-878"/>
        <w:jc w:val="both"/>
      </w:pPr>
    </w:p>
    <w:p w14:paraId="21906588" w14:textId="77777777" w:rsidR="00A4541F" w:rsidRDefault="006A166E">
      <w:pPr>
        <w:ind w:right="-878"/>
        <w:jc w:val="both"/>
      </w:pPr>
      <w:r>
        <w:rPr>
          <w:b/>
        </w:rPr>
        <w:tab/>
      </w:r>
      <w:r w:rsidR="0015685F">
        <w:rPr>
          <w:b/>
        </w:rPr>
        <w:t>5.3</w:t>
      </w:r>
      <w:r>
        <w:rPr>
          <w:b/>
        </w:rPr>
        <w:t xml:space="preserve"> </w:t>
      </w:r>
      <w:proofErr w:type="gramStart"/>
      <w:r>
        <w:rPr>
          <w:b/>
        </w:rPr>
        <w:t>Fiction</w:t>
      </w:r>
      <w:proofErr w:type="gramEnd"/>
      <w:r>
        <w:rPr>
          <w:b/>
        </w:rPr>
        <w:t xml:space="preserve"> or History?</w:t>
      </w:r>
      <w:r>
        <w:t xml:space="preserve"> Narrative critics are often accused of viewing the Gospels </w:t>
      </w:r>
      <w:r>
        <w:tab/>
        <w:t xml:space="preserve">as mere stories or novels rather than as records of significant events.  Pure narrative </w:t>
      </w:r>
      <w:r>
        <w:tab/>
        <w:t xml:space="preserve">criticism does not allow its users to go beyond the text (the author and readers are only </w:t>
      </w:r>
      <w:r>
        <w:tab/>
        <w:t xml:space="preserve">those ‘implied’ by the text). </w:t>
      </w:r>
    </w:p>
    <w:p w14:paraId="3B93DC23" w14:textId="77777777" w:rsidR="00A4541F" w:rsidRDefault="006A166E">
      <w:pPr>
        <w:ind w:right="-878"/>
        <w:jc w:val="both"/>
      </w:pPr>
      <w:r>
        <w:tab/>
      </w:r>
      <w:proofErr w:type="spellStart"/>
      <w:r>
        <w:t>Stibbe</w:t>
      </w:r>
      <w:proofErr w:type="spellEnd"/>
      <w:r>
        <w:t xml:space="preserve">, among others, denies such claims and states that narrative criticism can be used as </w:t>
      </w:r>
      <w:r>
        <w:tab/>
        <w:t xml:space="preserve">an effective tool even in the ongoing quest for the historical Jesus (based on a tradition </w:t>
      </w:r>
      <w:r>
        <w:tab/>
        <w:t xml:space="preserve">drawn from an eye-witness source and is consequently of value).  He speaks of John’s </w:t>
      </w:r>
      <w:r>
        <w:tab/>
        <w:t xml:space="preserve">Gospel as a ‘charismatic history’, namely a historical tradition interpreted creatively and </w:t>
      </w:r>
      <w:r>
        <w:tab/>
      </w:r>
      <w:proofErr w:type="spellStart"/>
      <w:r>
        <w:t>christologically</w:t>
      </w:r>
      <w:proofErr w:type="spellEnd"/>
      <w:r>
        <w:t xml:space="preserve"> with the aid of the Spirit.</w:t>
      </w:r>
    </w:p>
    <w:p w14:paraId="3270FA5D" w14:textId="77777777" w:rsidR="00A4541F" w:rsidRDefault="00A4541F">
      <w:pPr>
        <w:ind w:right="-878"/>
        <w:jc w:val="both"/>
      </w:pPr>
    </w:p>
    <w:p w14:paraId="33419ED9" w14:textId="77777777" w:rsidR="00A4541F" w:rsidRDefault="006A166E">
      <w:pPr>
        <w:ind w:right="-878"/>
        <w:jc w:val="both"/>
        <w:rPr>
          <w:b/>
        </w:rPr>
      </w:pPr>
      <w:r>
        <w:rPr>
          <w:b/>
        </w:rPr>
        <w:tab/>
      </w:r>
    </w:p>
    <w:p w14:paraId="7777B53C" w14:textId="77777777" w:rsidR="00A4541F" w:rsidRDefault="006A166E" w:rsidP="0015685F">
      <w:pPr>
        <w:ind w:left="720" w:right="-878"/>
        <w:jc w:val="both"/>
      </w:pPr>
      <w:proofErr w:type="gramStart"/>
      <w:r>
        <w:rPr>
          <w:b/>
        </w:rPr>
        <w:t>5.4  Integration</w:t>
      </w:r>
      <w:proofErr w:type="gramEnd"/>
      <w:r>
        <w:rPr>
          <w:b/>
        </w:rPr>
        <w:t xml:space="preserve"> of Narrative Criticism and Historical Criticism </w:t>
      </w:r>
      <w:r w:rsidR="0015685F">
        <w:t xml:space="preserve">The </w:t>
      </w:r>
      <w:r>
        <w:t>narrative-critical approach does not replace historical cri</w:t>
      </w:r>
      <w:r w:rsidR="0015685F">
        <w:t xml:space="preserve">ticism nor make questions of a </w:t>
      </w:r>
      <w:r>
        <w:t xml:space="preserve">historical nature irrelevant. </w:t>
      </w:r>
      <w:proofErr w:type="gramStart"/>
      <w:r>
        <w:t xml:space="preserve">Much of the work undertaken </w:t>
      </w:r>
      <w:r w:rsidR="0015685F">
        <w:t xml:space="preserve">by recent scholars in the name </w:t>
      </w:r>
      <w:r>
        <w:t>of narrative criticism has already been accomplished by those w</w:t>
      </w:r>
      <w:r w:rsidR="0015685F">
        <w:t xml:space="preserve">ho would define </w:t>
      </w:r>
      <w:r>
        <w:t>themselves as ‘historical critics’</w:t>
      </w:r>
      <w:proofErr w:type="gramEnd"/>
      <w:r>
        <w:t xml:space="preserve"> (e.g. </w:t>
      </w:r>
      <w:proofErr w:type="spellStart"/>
      <w:r>
        <w:t>C.H.Dodd</w:t>
      </w:r>
      <w:proofErr w:type="spellEnd"/>
      <w:r>
        <w:t xml:space="preserve">, </w:t>
      </w:r>
      <w:r>
        <w:rPr>
          <w:i/>
        </w:rPr>
        <w:t>Interpretation of the Fourth Gospel</w:t>
      </w:r>
      <w:bookmarkStart w:id="0" w:name="_GoBack"/>
      <w:bookmarkEnd w:id="0"/>
      <w:r>
        <w:t>).</w:t>
      </w:r>
    </w:p>
    <w:p w14:paraId="4670A6CC" w14:textId="77777777" w:rsidR="00A4541F" w:rsidRDefault="00A4541F">
      <w:pPr>
        <w:ind w:right="-878"/>
        <w:jc w:val="both"/>
      </w:pPr>
    </w:p>
    <w:p w14:paraId="6ABBBE71" w14:textId="77777777" w:rsidR="00A4541F" w:rsidRDefault="006A166E">
      <w:pPr>
        <w:ind w:right="-878"/>
        <w:jc w:val="both"/>
      </w:pPr>
      <w:r>
        <w:tab/>
        <w:t xml:space="preserve">The task that lies ahead is to attempt at an integration of the older, historical-critical </w:t>
      </w:r>
      <w:r>
        <w:tab/>
        <w:t xml:space="preserve">methods and more recent forms of literary criticism.  Interpretative tools and guidelines </w:t>
      </w:r>
      <w:r>
        <w:tab/>
        <w:t>must urgently be developed to secure a more effective integration of current literary-</w:t>
      </w:r>
      <w:r>
        <w:tab/>
        <w:t xml:space="preserve">critical and historical-critical approaches to biblical texts. Narrative criticism is best </w:t>
      </w:r>
      <w:r>
        <w:tab/>
        <w:t xml:space="preserve">understood as one key among several that are available to biblical interpreters. ‘But it will </w:t>
      </w:r>
      <w:r>
        <w:tab/>
        <w:t xml:space="preserve">not open all the doors or answer all the questions that people ask about the Bible and </w:t>
      </w:r>
      <w:r>
        <w:tab/>
        <w:t>about the meaning of biblical material’ (</w:t>
      </w:r>
      <w:proofErr w:type="spellStart"/>
      <w:r>
        <w:t>M.A.Powell</w:t>
      </w:r>
      <w:proofErr w:type="spellEnd"/>
      <w:r>
        <w:t xml:space="preserve">, “Narrative Criticism”, 253).  </w:t>
      </w:r>
    </w:p>
    <w:p w14:paraId="3F85E931" w14:textId="77777777" w:rsidR="00A4541F" w:rsidRDefault="00A4541F">
      <w:pPr>
        <w:ind w:right="-878"/>
        <w:jc w:val="both"/>
      </w:pPr>
    </w:p>
    <w:p w14:paraId="0F4FC51C" w14:textId="77777777" w:rsidR="00A4541F" w:rsidRDefault="00A4541F">
      <w:pPr>
        <w:ind w:right="-878"/>
        <w:jc w:val="both"/>
      </w:pPr>
    </w:p>
    <w:p w14:paraId="02498184" w14:textId="77777777" w:rsidR="00A4541F" w:rsidRDefault="00A4541F">
      <w:pPr>
        <w:ind w:right="-878"/>
        <w:jc w:val="both"/>
      </w:pPr>
    </w:p>
    <w:p w14:paraId="58FA5D39" w14:textId="77777777" w:rsidR="00A4541F" w:rsidRDefault="00A4541F">
      <w:pPr>
        <w:ind w:right="-878"/>
        <w:jc w:val="both"/>
      </w:pPr>
    </w:p>
    <w:p w14:paraId="17D73D5C" w14:textId="77777777" w:rsidR="00A4541F" w:rsidRDefault="006A166E">
      <w:pPr>
        <w:ind w:right="-878"/>
        <w:jc w:val="both"/>
        <w:rPr>
          <w:b/>
        </w:rPr>
      </w:pPr>
      <w:r>
        <w:rPr>
          <w:b/>
        </w:rPr>
        <w:t>Bibliography</w:t>
      </w:r>
    </w:p>
    <w:p w14:paraId="3759C13F" w14:textId="77777777" w:rsidR="00A4541F" w:rsidRDefault="00A4541F">
      <w:pPr>
        <w:ind w:right="-878"/>
        <w:jc w:val="both"/>
      </w:pPr>
    </w:p>
    <w:p w14:paraId="09576B07" w14:textId="77777777" w:rsidR="00A4541F" w:rsidRDefault="006A166E">
      <w:pPr>
        <w:ind w:right="-878"/>
        <w:jc w:val="both"/>
      </w:pPr>
      <w:r>
        <w:t xml:space="preserve">Ashton, J., “Narrative Criticism”, </w:t>
      </w:r>
      <w:r>
        <w:rPr>
          <w:i/>
        </w:rPr>
        <w:t>Studying John: Approaches to the Fourth Gospel</w:t>
      </w:r>
      <w:proofErr w:type="gramStart"/>
      <w:r>
        <w:rPr>
          <w:i/>
        </w:rPr>
        <w:t xml:space="preserve">, </w:t>
      </w:r>
      <w:r>
        <w:t xml:space="preserve"> Oxford</w:t>
      </w:r>
      <w:proofErr w:type="gramEnd"/>
      <w:r>
        <w:t>, 1994, 141-165.</w:t>
      </w:r>
    </w:p>
    <w:p w14:paraId="79B1968C" w14:textId="77777777" w:rsidR="00A4541F" w:rsidRDefault="006A166E">
      <w:pPr>
        <w:ind w:right="-878"/>
        <w:jc w:val="both"/>
      </w:pPr>
      <w:r>
        <w:t>Boer, M.de, “Narrative Criticism, Historical Criticism and the Gospel of John”</w:t>
      </w:r>
      <w:proofErr w:type="gramStart"/>
      <w:r>
        <w:t xml:space="preserve">, </w:t>
      </w:r>
      <w:r>
        <w:rPr>
          <w:i/>
        </w:rPr>
        <w:t xml:space="preserve"> JSNT</w:t>
      </w:r>
      <w:proofErr w:type="gramEnd"/>
      <w:r>
        <w:t xml:space="preserve">  47, 1992, 35-48.</w:t>
      </w:r>
    </w:p>
    <w:p w14:paraId="2CE9831B" w14:textId="77777777" w:rsidR="00A4541F" w:rsidRDefault="006A166E">
      <w:pPr>
        <w:ind w:right="-878"/>
        <w:jc w:val="both"/>
      </w:pPr>
      <w:r>
        <w:t xml:space="preserve">Culpepper, R.A., </w:t>
      </w:r>
      <w:r>
        <w:rPr>
          <w:i/>
        </w:rPr>
        <w:t xml:space="preserve">Anatomy of the Fourth Gospel: A Study in Literary Design, </w:t>
      </w:r>
      <w:r>
        <w:t>Philadelphia, 1983.</w:t>
      </w:r>
    </w:p>
    <w:p w14:paraId="15575B3C" w14:textId="77777777" w:rsidR="00A4541F" w:rsidRDefault="006A166E">
      <w:pPr>
        <w:ind w:right="-878"/>
        <w:jc w:val="both"/>
      </w:pPr>
      <w:r>
        <w:t xml:space="preserve">Duke, P.D., </w:t>
      </w:r>
      <w:r>
        <w:rPr>
          <w:i/>
        </w:rPr>
        <w:t xml:space="preserve">Irony in the Fourth Gospel, </w:t>
      </w:r>
      <w:r>
        <w:t>Atlanta, 1985.</w:t>
      </w:r>
    </w:p>
    <w:p w14:paraId="5353B7A8" w14:textId="77777777" w:rsidR="00A4541F" w:rsidRDefault="006A166E">
      <w:pPr>
        <w:ind w:right="-878"/>
        <w:jc w:val="both"/>
      </w:pPr>
      <w:r>
        <w:t xml:space="preserve">Powell, M.A., </w:t>
      </w:r>
      <w:r>
        <w:rPr>
          <w:i/>
        </w:rPr>
        <w:t>What is Narrative Criticism</w:t>
      </w:r>
      <w:proofErr w:type="gramStart"/>
      <w:r>
        <w:rPr>
          <w:i/>
        </w:rPr>
        <w:t>?,</w:t>
      </w:r>
      <w:proofErr w:type="gramEnd"/>
      <w:r>
        <w:rPr>
          <w:i/>
        </w:rPr>
        <w:t xml:space="preserve"> </w:t>
      </w:r>
      <w:r>
        <w:t>London, 1990.</w:t>
      </w:r>
    </w:p>
    <w:p w14:paraId="4DB97DF9" w14:textId="77777777" w:rsidR="00A4541F" w:rsidRDefault="006A166E">
      <w:pPr>
        <w:ind w:right="-878"/>
        <w:jc w:val="both"/>
      </w:pPr>
      <w:r>
        <w:t xml:space="preserve">Powell, M.A., </w:t>
      </w:r>
      <w:proofErr w:type="gramStart"/>
      <w:r>
        <w:t>“</w:t>
      </w:r>
      <w:proofErr w:type="gramEnd"/>
      <w:r>
        <w:t xml:space="preserve">Narrative Criticism”, </w:t>
      </w:r>
      <w:r>
        <w:rPr>
          <w:i/>
        </w:rPr>
        <w:t xml:space="preserve">Hearing the New Testament: Strategies for Interpretation, </w:t>
      </w:r>
      <w:r>
        <w:t xml:space="preserve">ed. </w:t>
      </w:r>
      <w:proofErr w:type="spellStart"/>
      <w:r>
        <w:t>J.B.Green</w:t>
      </w:r>
      <w:proofErr w:type="spellEnd"/>
      <w:r>
        <w:t>, Carlisle, 1995, 239-255.</w:t>
      </w:r>
    </w:p>
    <w:p w14:paraId="6022A068" w14:textId="77777777" w:rsidR="00A4541F" w:rsidRDefault="006A166E">
      <w:pPr>
        <w:ind w:right="-878"/>
        <w:jc w:val="both"/>
      </w:pPr>
      <w:proofErr w:type="spellStart"/>
      <w:r>
        <w:t>Stibbe</w:t>
      </w:r>
      <w:proofErr w:type="spellEnd"/>
      <w:r>
        <w:t xml:space="preserve">, M., “The Elusive Christ: A New Reading of the Fourth Gospel”, </w:t>
      </w:r>
      <w:r>
        <w:rPr>
          <w:i/>
        </w:rPr>
        <w:t xml:space="preserve">Journal for the Study of the New </w:t>
      </w:r>
      <w:proofErr w:type="gramStart"/>
      <w:r>
        <w:rPr>
          <w:i/>
        </w:rPr>
        <w:t xml:space="preserve">Testament </w:t>
      </w:r>
      <w:r>
        <w:t xml:space="preserve"> 44</w:t>
      </w:r>
      <w:proofErr w:type="gramEnd"/>
      <w:r>
        <w:t>, 1991 20-39.</w:t>
      </w:r>
    </w:p>
    <w:p w14:paraId="2B70A5A7" w14:textId="77777777" w:rsidR="00A4541F" w:rsidRDefault="006A166E">
      <w:pPr>
        <w:ind w:right="-878"/>
        <w:jc w:val="both"/>
      </w:pPr>
      <w:proofErr w:type="spellStart"/>
      <w:r>
        <w:t>Stibbe</w:t>
      </w:r>
      <w:proofErr w:type="spellEnd"/>
      <w:r>
        <w:t xml:space="preserve">, M., </w:t>
      </w:r>
      <w:r>
        <w:rPr>
          <w:i/>
        </w:rPr>
        <w:t xml:space="preserve">John as Storyteller: Narrative Criticism and the Fourth Gospel, </w:t>
      </w:r>
      <w:r>
        <w:t>Cambridge, 1992.</w:t>
      </w:r>
    </w:p>
    <w:p w14:paraId="1B8FB26A" w14:textId="77777777" w:rsidR="00A4541F" w:rsidRDefault="006A166E">
      <w:pPr>
        <w:ind w:right="-878"/>
        <w:jc w:val="both"/>
      </w:pPr>
      <w:proofErr w:type="spellStart"/>
      <w:r>
        <w:t>Stibbe</w:t>
      </w:r>
      <w:proofErr w:type="spellEnd"/>
      <w:r>
        <w:t xml:space="preserve">, M., </w:t>
      </w:r>
      <w:r>
        <w:rPr>
          <w:i/>
        </w:rPr>
        <w:t xml:space="preserve">John: Readings: A New Biblical Commentary, </w:t>
      </w:r>
      <w:r>
        <w:t>Sheffield, 1993.</w:t>
      </w:r>
    </w:p>
    <w:p w14:paraId="72BC4F91" w14:textId="77777777" w:rsidR="00A4541F" w:rsidRDefault="00A4541F">
      <w:pPr>
        <w:ind w:right="-878"/>
        <w:jc w:val="both"/>
      </w:pPr>
    </w:p>
    <w:p w14:paraId="3D455D52" w14:textId="77777777" w:rsidR="00A4541F" w:rsidRDefault="00A4541F">
      <w:pPr>
        <w:tabs>
          <w:tab w:val="left" w:pos="720"/>
        </w:tabs>
        <w:ind w:right="-874"/>
        <w:jc w:val="both"/>
      </w:pPr>
    </w:p>
    <w:sectPr w:rsidR="00A4541F">
      <w:pgSz w:w="12240" w:h="15840"/>
      <w:pgMar w:top="1440" w:right="1800" w:bottom="1440" w:left="18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zoom w:percent="164"/>
  <w:proofState w:spelling="clean" w:grammar="clean"/>
  <w:defaultTabStop w:val="720"/>
  <w:drawingGridHorizontalSpacing w:val="120"/>
  <w:drawingGridVerticalSpacing w:val="120"/>
  <w:displayVerticalDrawingGridEvery w:val="0"/>
  <w:doNotUseMarginsForDrawingGridOrigin/>
  <w:characterSpacingControl w:val="doNotCompress"/>
  <w:savePreviewPicture/>
  <w:compat>
    <w:spaceForUL/>
    <w:balanceSingleByteDoubleByteWidth/>
    <w:doNotLeaveBackslashAlone/>
    <w:ulTrailSpace/>
    <w:doNotExpandShiftReturn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A166E"/>
    <w:rsid w:val="0015685F"/>
    <w:rsid w:val="006A166E"/>
    <w:rsid w:val="00A454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decimalSymbol w:val="."/>
  <w:listSeparator w:val=","/>
  <w14:docId w14:val="60924570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" w:eastAsia="Times New Roman" w:hAnsi="Times" w:cs="Times New Roman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textAlignment w:val="baseline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" w:eastAsia="Times New Roman" w:hAnsi="Times" w:cs="Times New Roman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textAlignment w:val="baseline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5</Pages>
  <Words>2015</Words>
  <Characters>11489</Characters>
  <Application>Microsoft Macintosh Word</Application>
  <DocSecurity>0</DocSecurity>
  <Lines>95</Lines>
  <Paragraphs>26</Paragraphs>
  <ScaleCrop>false</ScaleCrop>
  <Company>University of Wales Trinity Sanit David</Company>
  <LinksUpToDate>false</LinksUpToDate>
  <CharactersWithSpaces>13478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Fourth Gospel and Narrative Criticism</dc:title>
  <dc:subject/>
  <dc:creator>Catrin H. Williams</dc:creator>
  <cp:keywords/>
  <cp:lastModifiedBy>Catrin Haf Williams</cp:lastModifiedBy>
  <cp:revision>3</cp:revision>
  <cp:lastPrinted>1997-12-16T00:06:00Z</cp:lastPrinted>
  <dcterms:created xsi:type="dcterms:W3CDTF">2015-10-29T12:29:00Z</dcterms:created>
  <dcterms:modified xsi:type="dcterms:W3CDTF">2015-10-29T12:32:00Z</dcterms:modified>
</cp:coreProperties>
</file>