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7DC0A3" w14:textId="62B9E850" w:rsidR="000319AB" w:rsidRPr="00117547" w:rsidRDefault="000319AB" w:rsidP="000319AB">
      <w:pPr>
        <w:jc w:val="both"/>
        <w:rPr>
          <w:rFonts w:cstheme="minorHAnsi"/>
        </w:rPr>
      </w:pPr>
      <w:r w:rsidRPr="00117547">
        <w:rPr>
          <w:rFonts w:cstheme="minorHAnsi"/>
        </w:rPr>
        <w:t>Question Critically explore ONE way in which the debate regarding social inclusion has changed in recent years.</w:t>
      </w:r>
    </w:p>
    <w:p w14:paraId="7B53FF2F" w14:textId="77777777" w:rsidR="000319AB" w:rsidRPr="00117547" w:rsidRDefault="000319AB" w:rsidP="000319AB">
      <w:pPr>
        <w:jc w:val="both"/>
        <w:rPr>
          <w:rFonts w:cstheme="minorHAnsi"/>
        </w:rPr>
      </w:pPr>
    </w:p>
    <w:p w14:paraId="6071A356" w14:textId="5EE37063" w:rsidR="003D391D" w:rsidRPr="00117547" w:rsidRDefault="000319AB" w:rsidP="000319AB">
      <w:pPr>
        <w:jc w:val="both"/>
        <w:rPr>
          <w:rFonts w:cstheme="minorHAnsi"/>
          <w:u w:val="single"/>
        </w:rPr>
      </w:pPr>
      <w:r w:rsidRPr="00117547">
        <w:rPr>
          <w:rFonts w:cstheme="minorHAnsi"/>
          <w:u w:val="single"/>
        </w:rPr>
        <w:t>Intro</w:t>
      </w:r>
      <w:r w:rsidR="006C3DC7" w:rsidRPr="00117547">
        <w:rPr>
          <w:rFonts w:cstheme="minorHAnsi"/>
          <w:u w:val="single"/>
        </w:rPr>
        <w:t xml:space="preserve">duction </w:t>
      </w:r>
    </w:p>
    <w:p w14:paraId="1A7191CB" w14:textId="77777777" w:rsidR="009413BF" w:rsidRPr="00117547" w:rsidRDefault="009413BF" w:rsidP="000319AB">
      <w:pPr>
        <w:jc w:val="both"/>
        <w:rPr>
          <w:rFonts w:cstheme="minorHAnsi"/>
          <w:color w:val="BF8F00" w:themeColor="accent4" w:themeShade="BF"/>
        </w:rPr>
      </w:pPr>
    </w:p>
    <w:p w14:paraId="1EE53831" w14:textId="37383242" w:rsidR="004E1B8D" w:rsidRPr="00117547" w:rsidRDefault="000319AB" w:rsidP="00C717BB">
      <w:pPr>
        <w:spacing w:line="360" w:lineRule="auto"/>
        <w:jc w:val="both"/>
        <w:rPr>
          <w:rFonts w:cstheme="minorHAnsi"/>
        </w:rPr>
      </w:pPr>
      <w:r w:rsidRPr="00117547">
        <w:rPr>
          <w:rFonts w:cstheme="minorHAnsi"/>
        </w:rPr>
        <w:t xml:space="preserve">This essay concentrates </w:t>
      </w:r>
      <w:r w:rsidR="007D65FD" w:rsidRPr="00117547">
        <w:rPr>
          <w:rFonts w:cstheme="minorHAnsi"/>
        </w:rPr>
        <w:t>on mental</w:t>
      </w:r>
      <w:r w:rsidRPr="00117547">
        <w:rPr>
          <w:rFonts w:cstheme="minorHAnsi"/>
        </w:rPr>
        <w:t xml:space="preserve"> health</w:t>
      </w:r>
      <w:r w:rsidR="00144310">
        <w:rPr>
          <w:rFonts w:cstheme="minorHAnsi"/>
        </w:rPr>
        <w:t xml:space="preserve"> and</w:t>
      </w:r>
      <w:r w:rsidRPr="00117547">
        <w:rPr>
          <w:rFonts w:cstheme="minorHAnsi"/>
        </w:rPr>
        <w:t xml:space="preserve"> </w:t>
      </w:r>
      <w:r w:rsidR="00E83BA0" w:rsidRPr="00117547">
        <w:rPr>
          <w:rFonts w:cstheme="minorHAnsi"/>
        </w:rPr>
        <w:t xml:space="preserve">the </w:t>
      </w:r>
      <w:r w:rsidRPr="00117547">
        <w:rPr>
          <w:rFonts w:cstheme="minorHAnsi"/>
        </w:rPr>
        <w:t>attitudes and perceptions</w:t>
      </w:r>
      <w:r w:rsidR="00E83BA0" w:rsidRPr="00117547">
        <w:rPr>
          <w:rFonts w:cstheme="minorHAnsi"/>
        </w:rPr>
        <w:t xml:space="preserve"> that situate this as an issue for debate in relation to social inclusion both historical and contemporary. It will consider key moments in how mental health has been understood</w:t>
      </w:r>
      <w:r w:rsidR="00F34FCA" w:rsidRPr="00117547">
        <w:rPr>
          <w:rFonts w:cstheme="minorHAnsi"/>
        </w:rPr>
        <w:t xml:space="preserve"> and managed both in social policy and wider culture and some of the</w:t>
      </w:r>
      <w:r w:rsidRPr="00117547">
        <w:rPr>
          <w:rFonts w:cstheme="minorHAnsi"/>
        </w:rPr>
        <w:t xml:space="preserve"> </w:t>
      </w:r>
      <w:r w:rsidR="00F34FCA" w:rsidRPr="00117547">
        <w:rPr>
          <w:rFonts w:cstheme="minorHAnsi"/>
        </w:rPr>
        <w:t>developments in</w:t>
      </w:r>
      <w:r w:rsidR="0093134B" w:rsidRPr="00117547">
        <w:rPr>
          <w:rFonts w:cstheme="minorHAnsi"/>
        </w:rPr>
        <w:t xml:space="preserve"> </w:t>
      </w:r>
      <w:r w:rsidRPr="00117547">
        <w:rPr>
          <w:rFonts w:cstheme="minorHAnsi"/>
        </w:rPr>
        <w:t>services and provisions</w:t>
      </w:r>
      <w:r w:rsidR="0093134B" w:rsidRPr="00117547">
        <w:rPr>
          <w:rFonts w:cstheme="minorHAnsi"/>
        </w:rPr>
        <w:t xml:space="preserve"> </w:t>
      </w:r>
      <w:r w:rsidR="00F34FCA" w:rsidRPr="00117547">
        <w:rPr>
          <w:rFonts w:cstheme="minorHAnsi"/>
        </w:rPr>
        <w:t>that have served to either allow or deny social inclusion for those suffering with mental health conditions.</w:t>
      </w:r>
      <w:r w:rsidRPr="00117547">
        <w:rPr>
          <w:rFonts w:cstheme="minorHAnsi"/>
        </w:rPr>
        <w:t xml:space="preserve"> I will then look at </w:t>
      </w:r>
      <w:r w:rsidR="00E83BA0" w:rsidRPr="00117547">
        <w:rPr>
          <w:rFonts w:cstheme="minorHAnsi"/>
        </w:rPr>
        <w:t xml:space="preserve">what I would argue is </w:t>
      </w:r>
      <w:r w:rsidRPr="00117547">
        <w:rPr>
          <w:rFonts w:cstheme="minorHAnsi"/>
        </w:rPr>
        <w:t xml:space="preserve">an inflectional turning point through the </w:t>
      </w:r>
      <w:r w:rsidR="001C66C2" w:rsidRPr="00117547">
        <w:rPr>
          <w:rFonts w:cstheme="minorHAnsi"/>
        </w:rPr>
        <w:t xml:space="preserve">2004 Mental Health and Social Exclusion Unit Report </w:t>
      </w:r>
      <w:r w:rsidR="00FB3D38" w:rsidRPr="00117547">
        <w:rPr>
          <w:rFonts w:cstheme="minorHAnsi"/>
        </w:rPr>
        <w:t>(</w:t>
      </w:r>
      <w:r w:rsidR="009D37FD" w:rsidRPr="00117547">
        <w:rPr>
          <w:rFonts w:cstheme="minorHAnsi"/>
        </w:rPr>
        <w:t xml:space="preserve">ODPM </w:t>
      </w:r>
      <w:r w:rsidR="00F34FCA" w:rsidRPr="00117547">
        <w:rPr>
          <w:rFonts w:cstheme="minorHAnsi"/>
        </w:rPr>
        <w:t>,</w:t>
      </w:r>
      <w:r w:rsidR="009D37FD" w:rsidRPr="00117547">
        <w:rPr>
          <w:rFonts w:cstheme="minorHAnsi"/>
        </w:rPr>
        <w:t>2004)</w:t>
      </w:r>
      <w:r w:rsidR="00F34FCA" w:rsidRPr="00117547">
        <w:rPr>
          <w:rFonts w:cstheme="minorHAnsi"/>
        </w:rPr>
        <w:t xml:space="preserve"> via which this essay will focus on a critical exploration of how mental health management has been instrumental in both illustrating and affecting questions of social inclusion</w:t>
      </w:r>
      <w:r w:rsidR="006A6B24" w:rsidRPr="00117547">
        <w:rPr>
          <w:rFonts w:cstheme="minorHAnsi"/>
        </w:rPr>
        <w:t xml:space="preserve"> in the workplace</w:t>
      </w:r>
      <w:r w:rsidR="00144310">
        <w:rPr>
          <w:rFonts w:cstheme="minorHAnsi"/>
        </w:rPr>
        <w:t xml:space="preserve"> specifically</w:t>
      </w:r>
      <w:r w:rsidR="006A6B24" w:rsidRPr="00B845F0">
        <w:rPr>
          <w:rFonts w:cstheme="minorHAnsi"/>
        </w:rPr>
        <w:t>.</w:t>
      </w:r>
      <w:r w:rsidR="004E1B8D" w:rsidRPr="00B845F0">
        <w:rPr>
          <w:rFonts w:cstheme="minorHAnsi"/>
        </w:rPr>
        <w:t xml:space="preserve"> It will argue that the focus on the workplace in such policies has been a defining factor of contemporary policy and a shift from earlier models of exclusion for people with mental illnesses. Further it will focus on a multi-disciplinary approach that sees a variety of stakeholders contributing practical support to include sufferers in the workplace fed by recognition that this is beneficial for both employers and employees, and for wider economic and individual well-being.</w:t>
      </w:r>
    </w:p>
    <w:p w14:paraId="2EBB13FB" w14:textId="5AA976E8" w:rsidR="00C54749" w:rsidRPr="00117547" w:rsidRDefault="00C54749" w:rsidP="00837A73">
      <w:pPr>
        <w:jc w:val="both"/>
        <w:rPr>
          <w:rFonts w:cstheme="minorHAnsi"/>
        </w:rPr>
      </w:pPr>
    </w:p>
    <w:p w14:paraId="23691513" w14:textId="77777777" w:rsidR="00FE3DFE" w:rsidRPr="00117547" w:rsidRDefault="00FE3DFE" w:rsidP="00837A73">
      <w:pPr>
        <w:jc w:val="both"/>
        <w:rPr>
          <w:rFonts w:cstheme="minorHAnsi"/>
        </w:rPr>
      </w:pPr>
    </w:p>
    <w:p w14:paraId="257448E1" w14:textId="42530F9F" w:rsidR="000319AB" w:rsidRPr="00117547" w:rsidRDefault="000319AB" w:rsidP="00837A73">
      <w:pPr>
        <w:jc w:val="both"/>
        <w:rPr>
          <w:rFonts w:cstheme="minorHAnsi"/>
          <w:u w:val="single"/>
        </w:rPr>
      </w:pPr>
      <w:r w:rsidRPr="00117547">
        <w:rPr>
          <w:rFonts w:cstheme="minorHAnsi"/>
          <w:u w:val="single"/>
        </w:rPr>
        <w:t xml:space="preserve">Literature review </w:t>
      </w:r>
    </w:p>
    <w:p w14:paraId="38B083C7" w14:textId="66BC42E8" w:rsidR="000966E5" w:rsidRPr="00117547" w:rsidRDefault="000966E5" w:rsidP="00837A73">
      <w:pPr>
        <w:jc w:val="both"/>
        <w:rPr>
          <w:rFonts w:cstheme="minorHAnsi"/>
          <w:u w:val="single"/>
        </w:rPr>
      </w:pPr>
    </w:p>
    <w:p w14:paraId="6D87B53C" w14:textId="77777777" w:rsidR="000C370B" w:rsidRPr="00117547" w:rsidRDefault="000C370B" w:rsidP="00C717BB">
      <w:pPr>
        <w:spacing w:line="360" w:lineRule="auto"/>
        <w:jc w:val="both"/>
        <w:rPr>
          <w:rFonts w:cstheme="minorHAnsi"/>
        </w:rPr>
      </w:pPr>
      <w:r>
        <w:rPr>
          <w:rFonts w:cstheme="minorHAnsi"/>
        </w:rPr>
        <w:t>S</w:t>
      </w:r>
      <w:r w:rsidRPr="00117547">
        <w:rPr>
          <w:rFonts w:cstheme="minorHAnsi"/>
        </w:rPr>
        <w:t xml:space="preserve">ocial exclusion comes about when for some reason </w:t>
      </w:r>
      <w:r>
        <w:rPr>
          <w:rFonts w:cstheme="minorHAnsi"/>
        </w:rPr>
        <w:t xml:space="preserve">a person’s </w:t>
      </w:r>
      <w:r w:rsidRPr="00117547">
        <w:rPr>
          <w:rFonts w:cstheme="minorHAnsi"/>
        </w:rPr>
        <w:t>identity and</w:t>
      </w:r>
      <w:r>
        <w:rPr>
          <w:rFonts w:cstheme="minorHAnsi"/>
        </w:rPr>
        <w:t>/or</w:t>
      </w:r>
      <w:r w:rsidRPr="00117547">
        <w:rPr>
          <w:rFonts w:cstheme="minorHAnsi"/>
        </w:rPr>
        <w:t xml:space="preserve"> their physical, cultural, or psychological needs divert from hegemonic norms of society. </w:t>
      </w:r>
      <w:r>
        <w:rPr>
          <w:rFonts w:cstheme="minorHAnsi"/>
        </w:rPr>
        <w:t>E</w:t>
      </w:r>
      <w:r w:rsidRPr="00117547">
        <w:rPr>
          <w:rFonts w:cstheme="minorHAnsi"/>
        </w:rPr>
        <w:t xml:space="preserve">xamples of why an individual might be socially excluded include physical impairment or disability, diminished social role, education, economic and social participation opportunities, or education. </w:t>
      </w:r>
      <w:r w:rsidRPr="00837A73">
        <w:rPr>
          <w:rFonts w:cstheme="minorHAnsi"/>
        </w:rPr>
        <w:t xml:space="preserve">As </w:t>
      </w:r>
      <w:r w:rsidRPr="00837A73">
        <w:rPr>
          <w:rFonts w:cstheme="minorHAnsi"/>
          <w:u w:val="single"/>
        </w:rPr>
        <w:t>Levitas (1996)</w:t>
      </w:r>
      <w:r w:rsidRPr="00837A73">
        <w:rPr>
          <w:rFonts w:cstheme="minorHAnsi"/>
        </w:rPr>
        <w:t xml:space="preserve"> notes, early </w:t>
      </w:r>
      <w:r w:rsidRPr="00117547">
        <w:rPr>
          <w:rFonts w:cstheme="minorHAnsi"/>
        </w:rPr>
        <w:t>questions of social exclusion focused  most specifically on poverty as a precursor to and a consequence of inequality and were primarily concerned with integration into the labour market, a notion I will return to later in this essay through the lens of mental health.</w:t>
      </w:r>
    </w:p>
    <w:p w14:paraId="0B0AFC88" w14:textId="6BB9209C" w:rsidR="00BE0DBD" w:rsidRPr="00117547" w:rsidRDefault="00BE0DBD" w:rsidP="00837A73">
      <w:pPr>
        <w:jc w:val="both"/>
        <w:rPr>
          <w:rFonts w:cstheme="minorHAnsi"/>
        </w:rPr>
      </w:pPr>
    </w:p>
    <w:p w14:paraId="613FD0A5" w14:textId="77777777" w:rsidR="00D23074" w:rsidRPr="00117547" w:rsidRDefault="00D23074" w:rsidP="00C717BB">
      <w:pPr>
        <w:spacing w:line="360" w:lineRule="auto"/>
        <w:jc w:val="both"/>
        <w:rPr>
          <w:rFonts w:cstheme="minorHAnsi"/>
        </w:rPr>
      </w:pPr>
      <w:r w:rsidRPr="00117547">
        <w:rPr>
          <w:rFonts w:cstheme="minorHAnsi"/>
        </w:rPr>
        <w:t>This focus on poverty remains relevant in the contemporary period since a lack of status</w:t>
      </w:r>
      <w:r>
        <w:rPr>
          <w:rFonts w:cstheme="minorHAnsi"/>
        </w:rPr>
        <w:t xml:space="preserve"> </w:t>
      </w:r>
      <w:r w:rsidRPr="00117547">
        <w:rPr>
          <w:rFonts w:cstheme="minorHAnsi"/>
        </w:rPr>
        <w:t xml:space="preserve">leads to small or non-existing social networks and is also understood to compound other </w:t>
      </w:r>
      <w:r w:rsidRPr="00117547">
        <w:rPr>
          <w:rFonts w:cstheme="minorHAnsi"/>
        </w:rPr>
        <w:lastRenderedPageBreak/>
        <w:t>discriminators in relation to race and other indicators of marginality , resulting in repeated</w:t>
      </w:r>
      <w:r>
        <w:rPr>
          <w:rFonts w:cstheme="minorHAnsi"/>
        </w:rPr>
        <w:t xml:space="preserve"> </w:t>
      </w:r>
      <w:r w:rsidRPr="00117547">
        <w:rPr>
          <w:rFonts w:cstheme="minorHAnsi"/>
        </w:rPr>
        <w:t>rejection and restriction of hope and expectation</w:t>
      </w:r>
      <w:r w:rsidRPr="00117547">
        <w:rPr>
          <w:rFonts w:cstheme="minorHAnsi"/>
          <w:color w:val="FFC000" w:themeColor="accent4"/>
        </w:rPr>
        <w:t>.</w:t>
      </w:r>
      <w:r w:rsidRPr="00117547">
        <w:rPr>
          <w:rFonts w:cstheme="minorHAnsi"/>
        </w:rPr>
        <w:t xml:space="preserve"> (Sayce. 2001; Link et al.1997). Academics regularly describe social inclusion as the route to quality of life, noting that it has important and beneficial implications for health and well-being (Floyd et al., </w:t>
      </w:r>
      <w:r w:rsidRPr="00D90700">
        <w:rPr>
          <w:rFonts w:cstheme="minorHAnsi"/>
        </w:rPr>
        <w:t xml:space="preserve">2017; Levitas et al., 2007). </w:t>
      </w:r>
    </w:p>
    <w:p w14:paraId="43580FE3" w14:textId="24E24E0E" w:rsidR="002C1D04" w:rsidRPr="00117547" w:rsidRDefault="002C1D04" w:rsidP="00837A73">
      <w:pPr>
        <w:jc w:val="both"/>
        <w:rPr>
          <w:rFonts w:cstheme="minorHAnsi"/>
        </w:rPr>
      </w:pPr>
    </w:p>
    <w:p w14:paraId="4A022F8A" w14:textId="77777777" w:rsidR="001D0C9E" w:rsidRPr="00117547" w:rsidRDefault="001D0C9E" w:rsidP="00C717BB">
      <w:pPr>
        <w:spacing w:line="360" w:lineRule="auto"/>
        <w:jc w:val="both"/>
        <w:rPr>
          <w:rFonts w:cstheme="minorHAnsi"/>
        </w:rPr>
      </w:pPr>
      <w:r w:rsidRPr="00117547">
        <w:rPr>
          <w:rFonts w:cstheme="minorHAnsi"/>
        </w:rPr>
        <w:t xml:space="preserve">Approaches to social inclusion range from a focus on humanitarian issues, to </w:t>
      </w:r>
      <w:r>
        <w:rPr>
          <w:rFonts w:cstheme="minorHAnsi"/>
        </w:rPr>
        <w:t xml:space="preserve">concern for </w:t>
      </w:r>
      <w:r w:rsidRPr="00117547">
        <w:rPr>
          <w:rFonts w:cstheme="minorHAnsi"/>
        </w:rPr>
        <w:t>the burden of the individual that is not participating</w:t>
      </w:r>
      <w:r>
        <w:rPr>
          <w:rFonts w:cstheme="minorHAnsi"/>
        </w:rPr>
        <w:t xml:space="preserve"> </w:t>
      </w:r>
      <w:r w:rsidRPr="00117547">
        <w:rPr>
          <w:rFonts w:cstheme="minorHAnsi"/>
        </w:rPr>
        <w:t xml:space="preserve">(Boushey </w:t>
      </w:r>
      <w:r w:rsidRPr="00837A73">
        <w:rPr>
          <w:rFonts w:cstheme="minorHAnsi"/>
        </w:rPr>
        <w:t>et al., 2007; Huxley et al., 2012; Vinson</w:t>
      </w:r>
      <w:r w:rsidRPr="00117547">
        <w:rPr>
          <w:rFonts w:cstheme="minorHAnsi"/>
        </w:rPr>
        <w:t>, 2009). Definitions differ in detail, with some quite brief, others too specific (e.g., Levitas et al., 2007) and then very broad</w:t>
      </w:r>
      <w:r>
        <w:rPr>
          <w:rFonts w:cstheme="minorHAnsi"/>
        </w:rPr>
        <w:t xml:space="preserve"> </w:t>
      </w:r>
      <w:r w:rsidRPr="00117547">
        <w:rPr>
          <w:rFonts w:cstheme="minorHAnsi"/>
        </w:rPr>
        <w:t>statements (e.g., Boushey et al., 2007).  Stain (2012) provides a definition:</w:t>
      </w:r>
    </w:p>
    <w:p w14:paraId="50E69CB2" w14:textId="77777777" w:rsidR="001D0C9E" w:rsidRPr="00117547" w:rsidRDefault="001D0C9E" w:rsidP="00837A73">
      <w:pPr>
        <w:jc w:val="both"/>
        <w:rPr>
          <w:rFonts w:cstheme="minorHAnsi"/>
        </w:rPr>
      </w:pPr>
    </w:p>
    <w:p w14:paraId="3A163128" w14:textId="20FA34F1" w:rsidR="001D0C9E" w:rsidRPr="00117547" w:rsidRDefault="001D0C9E" w:rsidP="00837A73">
      <w:pPr>
        <w:ind w:left="720"/>
        <w:jc w:val="both"/>
        <w:rPr>
          <w:rFonts w:cstheme="minorHAnsi"/>
        </w:rPr>
      </w:pPr>
      <w:r w:rsidRPr="00117547">
        <w:rPr>
          <w:rFonts w:cstheme="minorHAnsi"/>
        </w:rPr>
        <w:t xml:space="preserve">‘Social inclusion refers to the participation of a person in society and is evidenced by an individual having the opportunities, resources, and abilities to build and maintain relationships, engage in education and employment, and participate in community events and organizations.’ Stain et al. (2012 </w:t>
      </w:r>
      <w:r w:rsidR="00837A73">
        <w:rPr>
          <w:rFonts w:cstheme="minorHAnsi"/>
        </w:rPr>
        <w:t>pp,</w:t>
      </w:r>
      <w:r>
        <w:rPr>
          <w:rFonts w:cstheme="minorHAnsi"/>
        </w:rPr>
        <w:t xml:space="preserve"> 881)</w:t>
      </w:r>
    </w:p>
    <w:p w14:paraId="53CF7B67" w14:textId="77777777" w:rsidR="00FA3016" w:rsidRPr="00117547" w:rsidRDefault="00FA3016" w:rsidP="00837A73">
      <w:pPr>
        <w:jc w:val="both"/>
        <w:rPr>
          <w:rFonts w:cstheme="minorHAnsi"/>
        </w:rPr>
      </w:pPr>
    </w:p>
    <w:p w14:paraId="5374521C" w14:textId="77777777" w:rsidR="00753417" w:rsidRPr="00117547" w:rsidRDefault="00753417" w:rsidP="00C717BB">
      <w:pPr>
        <w:spacing w:line="360" w:lineRule="auto"/>
        <w:jc w:val="both"/>
        <w:rPr>
          <w:rFonts w:cstheme="minorHAnsi"/>
        </w:rPr>
      </w:pPr>
      <w:r w:rsidRPr="00117547">
        <w:rPr>
          <w:rFonts w:cstheme="minorHAnsi"/>
        </w:rPr>
        <w:t xml:space="preserve">The impact of social exclusion on individuals’ day to day lives is </w:t>
      </w:r>
      <w:r>
        <w:rPr>
          <w:rFonts w:cstheme="minorHAnsi"/>
        </w:rPr>
        <w:t xml:space="preserve">that </w:t>
      </w:r>
      <w:r w:rsidRPr="00117547">
        <w:rPr>
          <w:rFonts w:cstheme="minorHAnsi"/>
        </w:rPr>
        <w:t>they have less control and are often infantilise</w:t>
      </w:r>
      <w:r>
        <w:rPr>
          <w:rFonts w:cstheme="minorHAnsi"/>
        </w:rPr>
        <w:t>d</w:t>
      </w:r>
      <w:r w:rsidRPr="00117547">
        <w:rPr>
          <w:rFonts w:cstheme="minorHAnsi"/>
        </w:rPr>
        <w:t>. Obtaining access to resources has been demonstrated to be vital in increasing participation, economic, social, and cultural life and to being accepted as normal member of the society in which they live</w:t>
      </w:r>
      <w:r>
        <w:rPr>
          <w:rFonts w:cstheme="minorHAnsi"/>
        </w:rPr>
        <w:t xml:space="preserve"> (</w:t>
      </w:r>
      <w:r w:rsidRPr="00117547">
        <w:rPr>
          <w:rFonts w:cstheme="minorHAnsi"/>
        </w:rPr>
        <w:t>European Commission 2004)</w:t>
      </w:r>
      <w:r>
        <w:rPr>
          <w:rFonts w:cstheme="minorHAnsi"/>
        </w:rPr>
        <w:t>.</w:t>
      </w:r>
    </w:p>
    <w:p w14:paraId="067692BB" w14:textId="77777777" w:rsidR="00753417" w:rsidRDefault="00753417" w:rsidP="00837A73">
      <w:pPr>
        <w:jc w:val="both"/>
        <w:rPr>
          <w:rFonts w:cstheme="minorHAnsi"/>
        </w:rPr>
      </w:pPr>
    </w:p>
    <w:p w14:paraId="552FCB6F" w14:textId="4DA0C384" w:rsidR="005E06BD" w:rsidRPr="00D75138" w:rsidRDefault="005E06BD" w:rsidP="00C717BB">
      <w:pPr>
        <w:spacing w:line="360" w:lineRule="auto"/>
        <w:jc w:val="both"/>
        <w:rPr>
          <w:rFonts w:cstheme="minorHAnsi"/>
        </w:rPr>
      </w:pPr>
      <w:r w:rsidRPr="00117547">
        <w:rPr>
          <w:rFonts w:cstheme="minorHAnsi"/>
        </w:rPr>
        <w:t xml:space="preserve">Some researchers give greater focus on the need for individuals to utilize personal </w:t>
      </w:r>
      <w:r w:rsidR="00652B38" w:rsidRPr="00117547">
        <w:rPr>
          <w:rFonts w:cstheme="minorHAnsi"/>
        </w:rPr>
        <w:t>agency,</w:t>
      </w:r>
      <w:r w:rsidRPr="00117547">
        <w:rPr>
          <w:rFonts w:cstheme="minorHAnsi"/>
        </w:rPr>
        <w:t xml:space="preserve"> but all tend to agree that: ‘Socially excluded individuals place a significant burden on society, with socioeconomic consequences for government, community, and familial supports. Improved social inclusion can reduce this burden’ (Boushey, Fremstad, Gragg, &amp; Waller, 2007). Further, many arguments about the possibilities of personal agency fail to fully recognis</w:t>
      </w:r>
      <w:r>
        <w:rPr>
          <w:rFonts w:cstheme="minorHAnsi"/>
        </w:rPr>
        <w:t>e</w:t>
      </w:r>
      <w:r w:rsidRPr="00117547">
        <w:rPr>
          <w:rFonts w:cstheme="minorHAnsi"/>
        </w:rPr>
        <w:t xml:space="preserve"> that individuals are not participating for reasons beyond their control</w:t>
      </w:r>
      <w:r>
        <w:rPr>
          <w:rFonts w:cstheme="minorHAnsi"/>
        </w:rPr>
        <w:t xml:space="preserve"> (</w:t>
      </w:r>
      <w:r w:rsidRPr="00117547">
        <w:rPr>
          <w:rFonts w:cstheme="minorHAnsi"/>
        </w:rPr>
        <w:t>Levitas et al. 2007)</w:t>
      </w:r>
      <w:r>
        <w:rPr>
          <w:rFonts w:cstheme="minorHAnsi"/>
        </w:rPr>
        <w:t xml:space="preserve">. Indeed, </w:t>
      </w:r>
      <w:r w:rsidRPr="00117547">
        <w:rPr>
          <w:rFonts w:cstheme="minorHAnsi"/>
        </w:rPr>
        <w:t xml:space="preserve">Marino-Francis et al. (2010) describe an inclusion process which takes each person’s personal situation into </w:t>
      </w:r>
      <w:r w:rsidR="00652B38" w:rsidRPr="00117547">
        <w:rPr>
          <w:rFonts w:cstheme="minorHAnsi"/>
        </w:rPr>
        <w:t>account,</w:t>
      </w:r>
      <w:r w:rsidRPr="00117547">
        <w:rPr>
          <w:rFonts w:cstheme="minorHAnsi"/>
        </w:rPr>
        <w:t xml:space="preserve"> so they have the power and control over their own lives</w:t>
      </w:r>
      <w:r>
        <w:rPr>
          <w:rFonts w:cstheme="minorHAnsi"/>
        </w:rPr>
        <w:t>.</w:t>
      </w:r>
    </w:p>
    <w:p w14:paraId="3840F88B" w14:textId="094E74A2" w:rsidR="009F375F" w:rsidRPr="00117547" w:rsidRDefault="009F375F" w:rsidP="00837A73">
      <w:pPr>
        <w:jc w:val="both"/>
        <w:rPr>
          <w:rFonts w:cstheme="minorHAnsi"/>
          <w:color w:val="FFC000" w:themeColor="accent4"/>
        </w:rPr>
      </w:pPr>
    </w:p>
    <w:p w14:paraId="367F333E" w14:textId="30C6F1D3" w:rsidR="001050B9" w:rsidRPr="008F1B34" w:rsidRDefault="001050B9" w:rsidP="00C717BB">
      <w:pPr>
        <w:spacing w:line="360" w:lineRule="auto"/>
        <w:jc w:val="both"/>
        <w:rPr>
          <w:rFonts w:cstheme="minorHAnsi"/>
          <w:color w:val="FF0000"/>
        </w:rPr>
      </w:pPr>
      <w:r w:rsidRPr="00117547">
        <w:rPr>
          <w:rFonts w:cstheme="minorHAnsi"/>
        </w:rPr>
        <w:t>In relation to mental health, social inclusion is recognised as an important contributor to positive mental health</w:t>
      </w:r>
      <w:r w:rsidR="00144310">
        <w:rPr>
          <w:rFonts w:cstheme="minorHAnsi"/>
        </w:rPr>
        <w:t xml:space="preserve">. </w:t>
      </w:r>
      <w:r w:rsidRPr="00117547">
        <w:rPr>
          <w:rFonts w:cstheme="minorHAnsi"/>
        </w:rPr>
        <w:t>At their worst, historical social policies focused on the physical exclusion of those suffering from such maladies as evidenced by the asylum</w:t>
      </w:r>
      <w:r>
        <w:rPr>
          <w:rFonts w:cstheme="minorHAnsi"/>
        </w:rPr>
        <w:t xml:space="preserve"> model</w:t>
      </w:r>
      <w:r w:rsidRPr="00117547">
        <w:rPr>
          <w:rFonts w:cstheme="minorHAnsi"/>
        </w:rPr>
        <w:t xml:space="preserve">, though as early as 1901 some groups recognised the value of alternative forms of action: "We often </w:t>
      </w:r>
      <w:r w:rsidRPr="00117547">
        <w:rPr>
          <w:rFonts w:cstheme="minorHAnsi"/>
        </w:rPr>
        <w:lastRenderedPageBreak/>
        <w:t>hear it said that the care we bestow on the hopelessly sick, the insane, and the feeble-minded is in opposition to what </w:t>
      </w:r>
      <w:hyperlink r:id="rId8" w:history="1">
        <w:r w:rsidRPr="00117547">
          <w:rPr>
            <w:rStyle w:val="Hyperlink"/>
            <w:rFonts w:cstheme="minorHAnsi"/>
          </w:rPr>
          <w:t>Darwin (1859)</w:t>
        </w:r>
      </w:hyperlink>
      <w:r w:rsidRPr="00117547">
        <w:rPr>
          <w:rFonts w:cstheme="minorHAnsi"/>
        </w:rPr>
        <w:t xml:space="preserve"> taught about the Survival of the Fittest, and that it does harm; but Darwin perceived that it is of such importance to a community that feelings of unselfish affection and public spirit should be strengthened by having to care for the weak, that this more than makes up for any injury done to the efficiency of a community by the artificial preservation of lives not strong enough to fight their own battles" </w:t>
      </w:r>
      <w:r>
        <w:rPr>
          <w:rFonts w:cstheme="minorHAnsi"/>
        </w:rPr>
        <w:t>(van Wyhe,2002).</w:t>
      </w:r>
    </w:p>
    <w:p w14:paraId="56EE2666" w14:textId="4D3E1662" w:rsidR="006D14A7" w:rsidRPr="00117547" w:rsidRDefault="006D14A7" w:rsidP="00837A73">
      <w:pPr>
        <w:jc w:val="both"/>
        <w:rPr>
          <w:rFonts w:cstheme="minorHAnsi"/>
        </w:rPr>
      </w:pPr>
    </w:p>
    <w:p w14:paraId="4528886E" w14:textId="77777777" w:rsidR="00144310" w:rsidRDefault="00D2387A" w:rsidP="00C717BB">
      <w:pPr>
        <w:spacing w:line="360" w:lineRule="auto"/>
        <w:jc w:val="both"/>
        <w:rPr>
          <w:rFonts w:cstheme="minorHAnsi"/>
          <w:color w:val="FF0000"/>
        </w:rPr>
      </w:pPr>
      <w:bookmarkStart w:id="0" w:name="_Hlk125908481"/>
      <w:r w:rsidRPr="00117547">
        <w:rPr>
          <w:rFonts w:cstheme="minorHAnsi"/>
        </w:rPr>
        <w:t>In more contemporary terms, evidence shows that improvements in areas of social inclusion (e.g., employment, social supports) result in significant reductions in illness and relapse rates for people with severe mental illness (Psychiatric Disability Services of Victoria, 2008), thus reducing the burden for</w:t>
      </w:r>
      <w:r w:rsidR="00144310">
        <w:rPr>
          <w:rFonts w:cstheme="minorHAnsi"/>
        </w:rPr>
        <w:t xml:space="preserve"> individuals and</w:t>
      </w:r>
      <w:r w:rsidRPr="00117547">
        <w:rPr>
          <w:rFonts w:cstheme="minorHAnsi"/>
        </w:rPr>
        <w:t xml:space="preserve"> local economies.  Therefore, the identification of modifiable contributors to social inclusion will assist in improving social inclusion, and subsequent mental health outcomes for mental health </w:t>
      </w:r>
      <w:r w:rsidRPr="00DA3C6E">
        <w:rPr>
          <w:rFonts w:cstheme="minorHAnsi"/>
        </w:rPr>
        <w:t>sufferers (Filia et al,2018)</w:t>
      </w:r>
      <w:r>
        <w:rPr>
          <w:rFonts w:cstheme="minorHAnsi"/>
          <w:color w:val="FF0000"/>
        </w:rPr>
        <w:t xml:space="preserve">. </w:t>
      </w:r>
    </w:p>
    <w:p w14:paraId="023041B1" w14:textId="77777777" w:rsidR="00144310" w:rsidRDefault="00144310" w:rsidP="00837A73">
      <w:pPr>
        <w:jc w:val="both"/>
        <w:rPr>
          <w:rFonts w:cstheme="minorHAnsi"/>
          <w:color w:val="FF0000"/>
        </w:rPr>
      </w:pPr>
    </w:p>
    <w:p w14:paraId="55504B6A" w14:textId="39BC05FD" w:rsidR="00D2387A" w:rsidRDefault="00D2387A" w:rsidP="00C717BB">
      <w:pPr>
        <w:spacing w:line="360" w:lineRule="auto"/>
        <w:jc w:val="both"/>
        <w:rPr>
          <w:rFonts w:cstheme="minorHAnsi"/>
        </w:rPr>
      </w:pPr>
      <w:r w:rsidRPr="00117547">
        <w:rPr>
          <w:rFonts w:cstheme="minorHAnsi"/>
        </w:rPr>
        <w:t>In the</w:t>
      </w:r>
      <w:r w:rsidRPr="00117547">
        <w:rPr>
          <w:rFonts w:cstheme="minorHAnsi"/>
          <w:color w:val="ED7D31" w:themeColor="accent2"/>
        </w:rPr>
        <w:t xml:space="preserve"> </w:t>
      </w:r>
      <w:r w:rsidRPr="00117547">
        <w:rPr>
          <w:rFonts w:cstheme="minorHAnsi"/>
        </w:rPr>
        <w:t xml:space="preserve">1960s the taboo about mental health began to be critiqued through seminal series </w:t>
      </w:r>
      <w:r w:rsidRPr="00837A73">
        <w:rPr>
          <w:rFonts w:cstheme="minorHAnsi"/>
        </w:rPr>
        <w:t>like the </w:t>
      </w:r>
      <w:hyperlink r:id="rId9" w:anchor="Lifeline1957">
        <w:r w:rsidRPr="00837A73">
          <w:rPr>
            <w:rStyle w:val="Hyperlink"/>
            <w:rFonts w:cstheme="minorHAnsi"/>
            <w:i/>
            <w:iCs/>
            <w:color w:val="000000" w:themeColor="text1"/>
            <w:u w:val="none"/>
          </w:rPr>
          <w:t>Lifeline</w:t>
        </w:r>
      </w:hyperlink>
      <w:r w:rsidRPr="00837A73">
        <w:rPr>
          <w:rFonts w:cstheme="minorHAnsi"/>
        </w:rPr>
        <w:t> series</w:t>
      </w:r>
      <w:r w:rsidRPr="00117547">
        <w:rPr>
          <w:rFonts w:cstheme="minorHAnsi"/>
        </w:rPr>
        <w:t xml:space="preserve"> </w:t>
      </w:r>
      <w:r>
        <w:rPr>
          <w:rFonts w:cstheme="minorHAnsi"/>
        </w:rPr>
        <w:t>(</w:t>
      </w:r>
      <w:r w:rsidRPr="00DA3C6E">
        <w:rPr>
          <w:rFonts w:cstheme="minorHAnsi"/>
          <w:i/>
          <w:iCs/>
        </w:rPr>
        <w:t>Man Alive</w:t>
      </w:r>
      <w:r w:rsidRPr="00DA3C6E">
        <w:rPr>
          <w:rFonts w:cstheme="minorHAnsi"/>
        </w:rPr>
        <w:t> 1965)</w:t>
      </w:r>
      <w:r>
        <w:rPr>
          <w:rFonts w:cstheme="minorHAnsi"/>
        </w:rPr>
        <w:t xml:space="preserve"> and the work of </w:t>
      </w:r>
      <w:r w:rsidRPr="00117547">
        <w:rPr>
          <w:rFonts w:cstheme="minorHAnsi"/>
          <w:i/>
          <w:iCs/>
        </w:rPr>
        <w:t>Observer</w:t>
      </w:r>
      <w:r w:rsidRPr="00117547">
        <w:rPr>
          <w:rFonts w:cstheme="minorHAnsi"/>
        </w:rPr>
        <w:t xml:space="preserve"> reporter John Gale, who had a mental breakdown</w:t>
      </w:r>
      <w:r>
        <w:rPr>
          <w:rFonts w:cstheme="minorHAnsi"/>
        </w:rPr>
        <w:t xml:space="preserve"> and </w:t>
      </w:r>
      <w:r w:rsidRPr="00117547">
        <w:rPr>
          <w:rFonts w:cstheme="minorHAnsi"/>
        </w:rPr>
        <w:t>described his subjective experiences in an </w:t>
      </w:r>
      <w:r w:rsidRPr="00117547">
        <w:rPr>
          <w:rFonts w:cstheme="minorHAnsi"/>
          <w:i/>
          <w:iCs/>
        </w:rPr>
        <w:t>Observer</w:t>
      </w:r>
      <w:r w:rsidRPr="00117547">
        <w:rPr>
          <w:rFonts w:cstheme="minorHAnsi"/>
        </w:rPr>
        <w:t xml:space="preserve"> feature in 1966.  1960 - 1961 was also the First World Mental Health Year</w:t>
      </w:r>
      <w:r>
        <w:rPr>
          <w:rFonts w:cstheme="minorHAnsi"/>
        </w:rPr>
        <w:t xml:space="preserve"> (</w:t>
      </w:r>
      <w:r w:rsidRPr="00117547">
        <w:rPr>
          <w:rFonts w:cstheme="minorHAnsi"/>
        </w:rPr>
        <w:t>Paton 1961)</w:t>
      </w:r>
      <w:r>
        <w:rPr>
          <w:rFonts w:cstheme="minorHAnsi"/>
        </w:rPr>
        <w:t>.</w:t>
      </w:r>
      <w:r w:rsidRPr="00117547">
        <w:rPr>
          <w:rFonts w:cstheme="minorHAnsi"/>
        </w:rPr>
        <w:t xml:space="preserve"> </w:t>
      </w:r>
    </w:p>
    <w:bookmarkEnd w:id="0"/>
    <w:p w14:paraId="065F7C01" w14:textId="4B491342" w:rsidR="00241FB7" w:rsidRDefault="0001766A" w:rsidP="00C717BB">
      <w:pPr>
        <w:spacing w:line="360" w:lineRule="auto"/>
        <w:jc w:val="both"/>
        <w:rPr>
          <w:rFonts w:cstheme="minorHAnsi"/>
        </w:rPr>
      </w:pPr>
      <w:r w:rsidRPr="00117547">
        <w:rPr>
          <w:rFonts w:cstheme="minorHAnsi"/>
        </w:rPr>
        <w:t xml:space="preserve">The 1970s brought further press coverage </w:t>
      </w:r>
      <w:r>
        <w:rPr>
          <w:rFonts w:cstheme="minorHAnsi"/>
        </w:rPr>
        <w:t xml:space="preserve">and </w:t>
      </w:r>
      <w:r w:rsidRPr="00117547">
        <w:rPr>
          <w:rFonts w:cstheme="minorHAnsi"/>
        </w:rPr>
        <w:t xml:space="preserve">the Labour government </w:t>
      </w:r>
      <w:r w:rsidRPr="00837A73">
        <w:rPr>
          <w:rFonts w:cstheme="minorHAnsi"/>
        </w:rPr>
        <w:t xml:space="preserve">initiative ‘Better services in Harder Times III’ (1975) The Conservative Party then used this as a campaign </w:t>
      </w:r>
      <w:r w:rsidRPr="00117547">
        <w:rPr>
          <w:rFonts w:cstheme="minorHAnsi"/>
          <w:color w:val="000000" w:themeColor="text1"/>
        </w:rPr>
        <w:t xml:space="preserve">in 1976 </w:t>
      </w:r>
      <w:r w:rsidRPr="004F62B5">
        <w:rPr>
          <w:rFonts w:cstheme="minorHAnsi"/>
        </w:rPr>
        <w:t xml:space="preserve">a </w:t>
      </w:r>
      <w:r w:rsidRPr="00117547">
        <w:rPr>
          <w:rFonts w:cstheme="minorHAnsi"/>
          <w:color w:val="000000" w:themeColor="text1"/>
        </w:rPr>
        <w:t>p</w:t>
      </w:r>
      <w:r w:rsidRPr="00117547">
        <w:rPr>
          <w:rFonts w:cstheme="minorHAnsi"/>
        </w:rPr>
        <w:t xml:space="preserve">arty policy group tasked with exploring possibilities to progress community based services for the mentally ill and what were then termed ‘mentally handicapped people’, reflective of the conflation of acquired mental health conditions and congenital disabilities. </w:t>
      </w:r>
    </w:p>
    <w:p w14:paraId="3740F758" w14:textId="2D9415C1" w:rsidR="0001766A" w:rsidRPr="00271A7A" w:rsidRDefault="00241FB7" w:rsidP="00C717BB">
      <w:pPr>
        <w:spacing w:line="360" w:lineRule="auto"/>
        <w:jc w:val="both"/>
        <w:rPr>
          <w:rFonts w:cstheme="minorHAnsi"/>
          <w:color w:val="FF0000"/>
        </w:rPr>
      </w:pPr>
      <w:r w:rsidRPr="00117547">
        <w:rPr>
          <w:rFonts w:cstheme="minorHAnsi"/>
        </w:rPr>
        <w:t xml:space="preserve">In 1981 the Conservative Party released a report that strongly endorsed community care </w:t>
      </w:r>
      <w:r>
        <w:rPr>
          <w:rFonts w:cstheme="minorHAnsi"/>
        </w:rPr>
        <w:t xml:space="preserve">but the </w:t>
      </w:r>
      <w:r w:rsidRPr="00117547">
        <w:rPr>
          <w:rFonts w:cstheme="minorHAnsi"/>
        </w:rPr>
        <w:t xml:space="preserve">policy did not deliver the promises made. Patients left the hospitals, but the money and skills stayed in them, so patients went into the community without the support they needed. </w:t>
      </w:r>
      <w:r w:rsidRPr="00117547">
        <w:rPr>
          <w:rFonts w:cstheme="minorHAnsi"/>
          <w:color w:val="000000" w:themeColor="text1"/>
        </w:rPr>
        <w:t>In the</w:t>
      </w:r>
      <w:r>
        <w:rPr>
          <w:rFonts w:cstheme="minorHAnsi"/>
          <w:color w:val="000000" w:themeColor="text1"/>
        </w:rPr>
        <w:t xml:space="preserve"> later part of the decade, attention turned to</w:t>
      </w:r>
      <w:r w:rsidRPr="00117547">
        <w:rPr>
          <w:rFonts w:cstheme="minorHAnsi"/>
          <w:color w:val="000000" w:themeColor="text1"/>
        </w:rPr>
        <w:t xml:space="preserve"> ethnic minority communities who often did not accept or recognise mental health. Tower Hamlets launched a Black and Ethnic communities Mental Health Awareness project in efforts to change perceptions </w:t>
      </w:r>
      <w:r w:rsidRPr="004930AA">
        <w:rPr>
          <w:rFonts w:cstheme="minorHAnsi"/>
          <w:color w:val="000000" w:themeColor="text1"/>
        </w:rPr>
        <w:t>in </w:t>
      </w:r>
      <w:hyperlink r:id="rId10" w:history="1">
        <w:r w:rsidRPr="004930AA">
          <w:rPr>
            <w:rStyle w:val="Hyperlink"/>
            <w:rFonts w:cstheme="minorHAnsi"/>
          </w:rPr>
          <w:t>March 1989</w:t>
        </w:r>
      </w:hyperlink>
      <w:r w:rsidRPr="004930AA">
        <w:rPr>
          <w:rFonts w:cstheme="minorHAnsi"/>
        </w:rPr>
        <w:t xml:space="preserve"> which is still running today.</w:t>
      </w:r>
      <w:r w:rsidRPr="004930AA">
        <w:rPr>
          <w:rStyle w:val="Hyperlink"/>
          <w:rFonts w:cstheme="minorHAnsi"/>
          <w:color w:val="000000" w:themeColor="text1"/>
          <w:u w:val="none"/>
        </w:rPr>
        <w:t xml:space="preserve"> </w:t>
      </w:r>
    </w:p>
    <w:p w14:paraId="4344B9B8" w14:textId="77777777" w:rsidR="001A104E" w:rsidRPr="008F1B34" w:rsidRDefault="001A104E" w:rsidP="00C717BB">
      <w:pPr>
        <w:spacing w:before="100" w:beforeAutospacing="1" w:after="100" w:afterAutospacing="1" w:line="360" w:lineRule="auto"/>
        <w:jc w:val="both"/>
        <w:rPr>
          <w:rFonts w:cstheme="minorHAnsi"/>
        </w:rPr>
      </w:pPr>
      <w:r w:rsidRPr="007C702D">
        <w:rPr>
          <w:rFonts w:cstheme="minorHAnsi"/>
        </w:rPr>
        <w:t>The Disability Discrimination Act 1995, (DDA) was key</w:t>
      </w:r>
      <w:r>
        <w:rPr>
          <w:rFonts w:cstheme="minorHAnsi"/>
        </w:rPr>
        <w:t xml:space="preserve"> </w:t>
      </w:r>
      <w:r w:rsidRPr="007C702D">
        <w:rPr>
          <w:rFonts w:cstheme="minorHAnsi"/>
        </w:rPr>
        <w:t xml:space="preserve">in making changes to </w:t>
      </w:r>
      <w:r>
        <w:rPr>
          <w:rFonts w:cstheme="minorHAnsi"/>
        </w:rPr>
        <w:t xml:space="preserve">discourage </w:t>
      </w:r>
      <w:r w:rsidRPr="007C702D">
        <w:rPr>
          <w:rFonts w:cstheme="minorHAnsi"/>
        </w:rPr>
        <w:t>discrimination of disabled people</w:t>
      </w:r>
      <w:r w:rsidRPr="00117547">
        <w:rPr>
          <w:rFonts w:cstheme="minorHAnsi"/>
        </w:rPr>
        <w:t xml:space="preserve">. </w:t>
      </w:r>
      <w:r>
        <w:rPr>
          <w:rFonts w:cstheme="minorHAnsi"/>
        </w:rPr>
        <w:t xml:space="preserve">These measures, however, did not resolve issues of social </w:t>
      </w:r>
      <w:r>
        <w:rPr>
          <w:rFonts w:cstheme="minorHAnsi"/>
        </w:rPr>
        <w:lastRenderedPageBreak/>
        <w:t xml:space="preserve">exclusion for those with mental illness, unable to tackle problems of </w:t>
      </w:r>
      <w:r w:rsidRPr="00117547">
        <w:rPr>
          <w:rFonts w:cstheme="minorHAnsi"/>
        </w:rPr>
        <w:t>awareness, educating and acceptance from the majority the population. People with conditions registered as mental health did not identify as having a disability and therefore were unaware of the legal protection and range of support available, further compounded by the lack of understanding and learning from employers and mental health provisions  which impacted on the aims of the Act.</w:t>
      </w:r>
      <w:r>
        <w:rPr>
          <w:rFonts w:cstheme="minorHAnsi"/>
        </w:rPr>
        <w:t>(ODPM</w:t>
      </w:r>
      <w:r w:rsidRPr="00117547">
        <w:rPr>
          <w:rFonts w:cstheme="minorHAnsi"/>
        </w:rPr>
        <w:t xml:space="preserve"> 2004)</w:t>
      </w:r>
    </w:p>
    <w:p w14:paraId="6992F2BC" w14:textId="55F10214" w:rsidR="00A3068F" w:rsidRPr="00117547" w:rsidRDefault="002848A7" w:rsidP="00C717BB">
      <w:pPr>
        <w:spacing w:before="100" w:beforeAutospacing="1" w:after="100" w:afterAutospacing="1" w:line="360" w:lineRule="auto"/>
        <w:jc w:val="both"/>
        <w:rPr>
          <w:rFonts w:cstheme="minorHAnsi"/>
          <w:lang w:eastAsia="en-GB"/>
        </w:rPr>
      </w:pPr>
      <w:r w:rsidRPr="00117547">
        <w:rPr>
          <w:rFonts w:eastAsia="Times New Roman" w:cstheme="minorHAnsi"/>
          <w:lang w:eastAsia="en-GB"/>
        </w:rPr>
        <w:t xml:space="preserve">By May 1997 the Blair government introduced the New Community Care policy because adults with mental health problems remained one of the most excluded groups in society. </w:t>
      </w:r>
      <w:r w:rsidRPr="00117547">
        <w:rPr>
          <w:rFonts w:cstheme="minorHAnsi"/>
        </w:rPr>
        <w:t>Care in the community has failed because, while it improved the treatment of many people who were mentally ill, it left far too many walking the streets, often at risk to themselves and nuisance to others. Yet it was, and continues to be, only a small minority of people with diagnosed mental illness who have been a long-term threat to others or themselves. (DOH 1998)</w:t>
      </w:r>
      <w:r>
        <w:rPr>
          <w:rFonts w:cstheme="minorHAnsi"/>
        </w:rPr>
        <w:t>.</w:t>
      </w:r>
      <w:r w:rsidRPr="00117547">
        <w:rPr>
          <w:rFonts w:eastAsia="Times New Roman" w:cstheme="minorHAnsi"/>
          <w:lang w:eastAsia="en-GB"/>
        </w:rPr>
        <w:t xml:space="preserve"> Still, fewer than a quarter of adults with long-term mental health problems are in employment whatever their diagnosis and despite many aspiring </w:t>
      </w:r>
      <w:r w:rsidRPr="002848A7">
        <w:rPr>
          <w:rFonts w:eastAsia="Times New Roman" w:cstheme="minorHAnsi"/>
          <w:lang w:eastAsia="en-GB"/>
        </w:rPr>
        <w:t xml:space="preserve">to work </w:t>
      </w:r>
      <w:r w:rsidRPr="002848A7">
        <w:rPr>
          <w:rFonts w:cstheme="minorHAnsi"/>
        </w:rPr>
        <w:t xml:space="preserve">(Dunn 1999). </w:t>
      </w:r>
      <w:r w:rsidRPr="00117547">
        <w:rPr>
          <w:rFonts w:cstheme="minorHAnsi"/>
        </w:rPr>
        <w:t>Importantly for this essay, many of these key moments in mental health policy highlighted that exclusion from the workplace compounded both the experience of mental illness for the individual and the social and economic cost of this exclusion to wider society</w:t>
      </w:r>
      <w:r w:rsidRPr="00FC66C7">
        <w:rPr>
          <w:rFonts w:cstheme="minorHAnsi"/>
        </w:rPr>
        <w:t xml:space="preserve"> (Dobson and Jowell, 1998)</w:t>
      </w:r>
      <w:r>
        <w:rPr>
          <w:rFonts w:cstheme="minorHAnsi"/>
        </w:rPr>
        <w:t>.</w:t>
      </w:r>
    </w:p>
    <w:p w14:paraId="02E364C2" w14:textId="1EF6610E" w:rsidR="005D08C3" w:rsidRPr="00117547" w:rsidRDefault="0080602B" w:rsidP="00837A73">
      <w:pPr>
        <w:jc w:val="both"/>
        <w:rPr>
          <w:rFonts w:cstheme="minorHAnsi"/>
          <w:color w:val="FFC000" w:themeColor="accent4"/>
        </w:rPr>
      </w:pP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Pr="00117547">
        <w:rPr>
          <w:rFonts w:cstheme="minorHAnsi"/>
          <w:color w:val="FFC000" w:themeColor="accent4"/>
        </w:rPr>
        <w:softHyphen/>
      </w:r>
      <w:r w:rsidR="000319AB" w:rsidRPr="00117547">
        <w:rPr>
          <w:rFonts w:cstheme="minorHAnsi"/>
          <w:u w:val="single"/>
        </w:rPr>
        <w:t xml:space="preserve">Report </w:t>
      </w:r>
      <w:r w:rsidR="006C3DC7" w:rsidRPr="00117547">
        <w:rPr>
          <w:rFonts w:cstheme="minorHAnsi"/>
          <w:u w:val="single"/>
        </w:rPr>
        <w:t xml:space="preserve">– </w:t>
      </w:r>
      <w:r w:rsidR="00B37BB1" w:rsidRPr="00117547">
        <w:rPr>
          <w:rFonts w:cstheme="minorHAnsi"/>
          <w:u w:val="single"/>
        </w:rPr>
        <w:t xml:space="preserve">2004 ODPM – Mental Health and Social Inclusion </w:t>
      </w:r>
    </w:p>
    <w:p w14:paraId="498F7E6E" w14:textId="77777777" w:rsidR="00B2778B" w:rsidRPr="00117547" w:rsidRDefault="00B2778B" w:rsidP="00C717BB">
      <w:pPr>
        <w:spacing w:line="360" w:lineRule="auto"/>
        <w:jc w:val="both"/>
        <w:rPr>
          <w:rFonts w:cstheme="minorHAnsi"/>
        </w:rPr>
      </w:pPr>
    </w:p>
    <w:p w14:paraId="7A6CEC9F" w14:textId="44617FAD" w:rsidR="00837A73" w:rsidRPr="00271A7A" w:rsidRDefault="007C6E87" w:rsidP="00C717BB">
      <w:pPr>
        <w:spacing w:line="360" w:lineRule="auto"/>
        <w:jc w:val="both"/>
        <w:rPr>
          <w:rFonts w:cstheme="minorHAnsi"/>
        </w:rPr>
      </w:pPr>
      <w:hyperlink r:id="rId11" w:history="1">
        <w:r w:rsidR="00B32B74" w:rsidRPr="00117547">
          <w:rPr>
            <w:rStyle w:val="Hyperlink"/>
            <w:rFonts w:cstheme="minorHAnsi"/>
          </w:rPr>
          <w:t xml:space="preserve"> </w:t>
        </w:r>
        <w:r w:rsidR="00D12FF1" w:rsidRPr="00117547">
          <w:rPr>
            <w:rStyle w:val="Hyperlink"/>
            <w:rFonts w:cstheme="minorHAnsi"/>
          </w:rPr>
          <w:t xml:space="preserve">The </w:t>
        </w:r>
        <w:r w:rsidR="004A6555" w:rsidRPr="00117547">
          <w:rPr>
            <w:rStyle w:val="Hyperlink"/>
            <w:rFonts w:cstheme="minorHAnsi"/>
          </w:rPr>
          <w:t>ODPM Report on mental health and social inclusion (2004)</w:t>
        </w:r>
      </w:hyperlink>
      <w:r w:rsidR="000943AF">
        <w:rPr>
          <w:rFonts w:cstheme="minorHAnsi"/>
        </w:rPr>
        <w:t xml:space="preserve"> </w:t>
      </w:r>
      <w:r w:rsidR="001A138C" w:rsidRPr="00117547">
        <w:rPr>
          <w:rFonts w:cstheme="minorHAnsi"/>
        </w:rPr>
        <w:t xml:space="preserve">was a major turning point in encouraging acceptance </w:t>
      </w:r>
      <w:r w:rsidR="009A4A30" w:rsidRPr="00117547">
        <w:rPr>
          <w:rFonts w:cstheme="minorHAnsi"/>
        </w:rPr>
        <w:t>of those</w:t>
      </w:r>
      <w:r w:rsidR="001A138C" w:rsidRPr="00117547">
        <w:rPr>
          <w:rFonts w:cstheme="minorHAnsi"/>
        </w:rPr>
        <w:t xml:space="preserve"> with mental health conditions</w:t>
      </w:r>
      <w:r w:rsidR="001A138C">
        <w:rPr>
          <w:rFonts w:cstheme="minorHAnsi"/>
        </w:rPr>
        <w:t xml:space="preserve">. </w:t>
      </w:r>
      <w:r w:rsidR="001A138C" w:rsidRPr="00117547">
        <w:rPr>
          <w:rFonts w:cstheme="minorHAnsi"/>
        </w:rPr>
        <w:t xml:space="preserve">The main aims of the report were themed in six key areas.  </w:t>
      </w:r>
      <w:r w:rsidR="001A138C" w:rsidRPr="00117547">
        <w:rPr>
          <w:rFonts w:eastAsia="Times New Roman" w:cstheme="minorHAnsi"/>
          <w:lang w:eastAsia="en-GB"/>
        </w:rPr>
        <w:t xml:space="preserve">Rather than focusing solely on medical needs, the action plan is extensive and relies on the combined efforts </w:t>
      </w:r>
      <w:r w:rsidR="001A138C" w:rsidRPr="00117547">
        <w:rPr>
          <w:rFonts w:cstheme="minorHAnsi"/>
        </w:rPr>
        <w:t>of government, organisations and all citizens, a concerted effort to challenge attitudes through amplifying the voice of mental health and enforcing legislation</w:t>
      </w:r>
      <w:r w:rsidR="001A138C">
        <w:rPr>
          <w:rFonts w:cstheme="minorHAnsi"/>
        </w:rPr>
        <w:t xml:space="preserve"> to</w:t>
      </w:r>
      <w:r w:rsidR="001A138C" w:rsidRPr="00117547">
        <w:rPr>
          <w:rFonts w:cstheme="minorHAnsi"/>
        </w:rPr>
        <w:t xml:space="preserve"> enable people to live to their full potential by removing obstacles to provide better outcomes for excluded groups. </w:t>
      </w:r>
      <w:r w:rsidR="001A138C">
        <w:rPr>
          <w:rFonts w:cstheme="minorHAnsi"/>
        </w:rPr>
        <w:t>The policy outlines that s</w:t>
      </w:r>
      <w:r w:rsidR="001A138C" w:rsidRPr="00117547">
        <w:rPr>
          <w:rFonts w:cstheme="minorHAnsi"/>
        </w:rPr>
        <w:t xml:space="preserve">ocial care will change, and a lens of social exclusion will be at the forefront of selecting vocational services to enable effective interventions that allow successful integration into for patients into their community. </w:t>
      </w:r>
      <w:bookmarkStart w:id="1" w:name="_Hlk125912826"/>
    </w:p>
    <w:p w14:paraId="0E383660" w14:textId="77777777" w:rsidR="00837A73" w:rsidRDefault="00837A73" w:rsidP="00C717BB">
      <w:pPr>
        <w:spacing w:line="360" w:lineRule="auto"/>
        <w:jc w:val="both"/>
        <w:rPr>
          <w:rFonts w:cstheme="minorHAnsi"/>
          <w:u w:val="single"/>
        </w:rPr>
      </w:pPr>
    </w:p>
    <w:p w14:paraId="1019673D" w14:textId="3FBE9A74" w:rsidR="00DB4332" w:rsidRPr="00117547" w:rsidRDefault="00DB4332" w:rsidP="00837A73">
      <w:pPr>
        <w:jc w:val="both"/>
        <w:rPr>
          <w:rFonts w:cstheme="minorHAnsi"/>
          <w:u w:val="single"/>
        </w:rPr>
      </w:pPr>
      <w:r>
        <w:rPr>
          <w:rFonts w:cstheme="minorHAnsi"/>
          <w:u w:val="single"/>
        </w:rPr>
        <w:lastRenderedPageBreak/>
        <w:t xml:space="preserve">Changing the Workplace: Inclusion and Mental Illness at Work </w:t>
      </w:r>
    </w:p>
    <w:p w14:paraId="399A3F57" w14:textId="77777777" w:rsidR="00DB4332" w:rsidRDefault="00DB4332" w:rsidP="00837A73">
      <w:pPr>
        <w:jc w:val="both"/>
        <w:rPr>
          <w:rFonts w:cstheme="minorHAnsi"/>
          <w:u w:val="single"/>
        </w:rPr>
      </w:pPr>
    </w:p>
    <w:p w14:paraId="7BCD5DBA" w14:textId="77777777" w:rsidR="003A79F6" w:rsidRPr="00835E50" w:rsidRDefault="003A79F6" w:rsidP="00C717BB">
      <w:pPr>
        <w:spacing w:line="360" w:lineRule="auto"/>
        <w:jc w:val="both"/>
        <w:rPr>
          <w:rFonts w:eastAsia="Times New Roman" w:cstheme="minorHAnsi"/>
          <w:color w:val="FF0000"/>
          <w:lang w:eastAsia="en-GB"/>
        </w:rPr>
      </w:pPr>
      <w:r>
        <w:rPr>
          <w:rFonts w:cstheme="minorHAnsi"/>
        </w:rPr>
        <w:t>The workplace is an essential area where social exclusion can be tackled because it has been identified as an area of great value to mental health sufferers. P</w:t>
      </w:r>
      <w:r w:rsidRPr="00117547">
        <w:rPr>
          <w:rFonts w:cstheme="minorHAnsi"/>
        </w:rPr>
        <w:t xml:space="preserve">overty due to a lack of employment has a </w:t>
      </w:r>
      <w:r>
        <w:rPr>
          <w:rFonts w:cstheme="minorHAnsi"/>
        </w:rPr>
        <w:t xml:space="preserve">large </w:t>
      </w:r>
      <w:r w:rsidRPr="00117547">
        <w:rPr>
          <w:rFonts w:cstheme="minorHAnsi"/>
        </w:rPr>
        <w:t>impact on social inclusion</w:t>
      </w:r>
      <w:r>
        <w:rPr>
          <w:rFonts w:cstheme="minorHAnsi"/>
        </w:rPr>
        <w:t xml:space="preserve"> and employment </w:t>
      </w:r>
      <w:r w:rsidRPr="00117547">
        <w:rPr>
          <w:rFonts w:cstheme="minorHAnsi"/>
        </w:rPr>
        <w:t xml:space="preserve">opportunities and retaining people through on-going support in roles </w:t>
      </w:r>
      <w:r>
        <w:rPr>
          <w:rFonts w:cstheme="minorHAnsi"/>
        </w:rPr>
        <w:t xml:space="preserve">is an </w:t>
      </w:r>
      <w:r w:rsidRPr="00117547">
        <w:rPr>
          <w:rFonts w:cstheme="minorHAnsi"/>
        </w:rPr>
        <w:t xml:space="preserve">enabler </w:t>
      </w:r>
      <w:r>
        <w:rPr>
          <w:rFonts w:cstheme="minorHAnsi"/>
        </w:rPr>
        <w:t xml:space="preserve">as </w:t>
      </w:r>
      <w:r w:rsidRPr="00117547">
        <w:rPr>
          <w:rFonts w:eastAsia="Times New Roman" w:cstheme="minorHAnsi"/>
          <w:lang w:eastAsia="en-GB"/>
        </w:rPr>
        <w:t>it prevents patterns of lack of worth, demotivation, debt, conditions like agoraphobia</w:t>
      </w:r>
      <w:r>
        <w:rPr>
          <w:rFonts w:eastAsia="Times New Roman" w:cstheme="minorHAnsi"/>
          <w:lang w:eastAsia="en-GB"/>
        </w:rPr>
        <w:t>,</w:t>
      </w:r>
      <w:r w:rsidRPr="00117547">
        <w:rPr>
          <w:rFonts w:eastAsia="Times New Roman" w:cstheme="minorHAnsi"/>
          <w:lang w:eastAsia="en-GB"/>
        </w:rPr>
        <w:t xml:space="preserve"> and reduces the dependency on reliance on benefits which in turn prevents low self-esteem </w:t>
      </w:r>
      <w:r w:rsidRPr="003F5C7E">
        <w:rPr>
          <w:rFonts w:eastAsia="Times New Roman" w:cstheme="minorHAnsi"/>
          <w:lang w:eastAsia="en-GB"/>
        </w:rPr>
        <w:t>(</w:t>
      </w:r>
      <w:r>
        <w:rPr>
          <w:rFonts w:eastAsia="Times New Roman" w:cstheme="minorHAnsi"/>
          <w:lang w:eastAsia="en-GB"/>
        </w:rPr>
        <w:t>EHRC,</w:t>
      </w:r>
      <w:r w:rsidRPr="003F5C7E">
        <w:rPr>
          <w:rFonts w:eastAsia="Times New Roman" w:cstheme="minorHAnsi"/>
          <w:lang w:eastAsia="en-GB"/>
        </w:rPr>
        <w:t xml:space="preserve"> 2018)</w:t>
      </w:r>
      <w:r>
        <w:rPr>
          <w:rFonts w:eastAsia="Times New Roman" w:cstheme="minorHAnsi"/>
          <w:lang w:eastAsia="en-GB"/>
        </w:rPr>
        <w:t>.</w:t>
      </w:r>
    </w:p>
    <w:p w14:paraId="65A802AA" w14:textId="77777777" w:rsidR="00DB4332" w:rsidRDefault="00DB4332" w:rsidP="00837A73">
      <w:pPr>
        <w:jc w:val="both"/>
        <w:rPr>
          <w:rFonts w:cstheme="minorHAnsi"/>
        </w:rPr>
      </w:pPr>
    </w:p>
    <w:p w14:paraId="3416701A" w14:textId="1D8AB960" w:rsidR="00EB5253" w:rsidRPr="00837A73" w:rsidRDefault="00DB4332" w:rsidP="00C717BB">
      <w:pPr>
        <w:spacing w:line="360" w:lineRule="auto"/>
        <w:jc w:val="both"/>
        <w:rPr>
          <w:rFonts w:cstheme="minorHAnsi"/>
        </w:rPr>
      </w:pPr>
      <w:r w:rsidRPr="00117547">
        <w:rPr>
          <w:rFonts w:cstheme="minorHAnsi"/>
        </w:rPr>
        <w:t>T</w:t>
      </w:r>
      <w:r>
        <w:rPr>
          <w:rFonts w:cstheme="minorHAnsi"/>
        </w:rPr>
        <w:t>o recognise this importance, the</w:t>
      </w:r>
      <w:r w:rsidRPr="00117547">
        <w:rPr>
          <w:rFonts w:cstheme="minorHAnsi"/>
        </w:rPr>
        <w:t xml:space="preserve"> law protects mental health suffer</w:t>
      </w:r>
      <w:r>
        <w:rPr>
          <w:rFonts w:cstheme="minorHAnsi"/>
        </w:rPr>
        <w:t>ers,</w:t>
      </w:r>
      <w:r w:rsidRPr="00117547">
        <w:rPr>
          <w:rFonts w:cstheme="minorHAnsi"/>
        </w:rPr>
        <w:t xml:space="preserve"> </w:t>
      </w:r>
      <w:r>
        <w:rPr>
          <w:rFonts w:cstheme="minorHAnsi"/>
        </w:rPr>
        <w:t xml:space="preserve">with </w:t>
      </w:r>
      <w:r w:rsidRPr="00117547">
        <w:rPr>
          <w:rFonts w:cstheme="minorHAnsi"/>
        </w:rPr>
        <w:t xml:space="preserve">greater emphasis on </w:t>
      </w:r>
      <w:r>
        <w:rPr>
          <w:rFonts w:cstheme="minorHAnsi"/>
        </w:rPr>
        <w:t xml:space="preserve">employers and </w:t>
      </w:r>
      <w:r w:rsidRPr="00117547">
        <w:rPr>
          <w:rFonts w:cstheme="minorHAnsi"/>
        </w:rPr>
        <w:t xml:space="preserve">what they have done to support and offer reasonable adjustments. </w:t>
      </w:r>
      <w:r>
        <w:rPr>
          <w:rFonts w:cstheme="minorHAnsi"/>
        </w:rPr>
        <w:t xml:space="preserve">Trade Unions have supported this legal framework, with </w:t>
      </w:r>
      <w:r w:rsidRPr="00117547">
        <w:rPr>
          <w:rFonts w:cstheme="minorHAnsi"/>
        </w:rPr>
        <w:t>TUC guidance in ‘Representing and supporting members with mental health problems at work’ indicat</w:t>
      </w:r>
      <w:r>
        <w:rPr>
          <w:rFonts w:cstheme="minorHAnsi"/>
        </w:rPr>
        <w:t>ing for example</w:t>
      </w:r>
      <w:r w:rsidRPr="00117547">
        <w:rPr>
          <w:rFonts w:cstheme="minorHAnsi"/>
        </w:rPr>
        <w:t xml:space="preserve"> that ideally there should be a provision for allowing people to take ‘disability leave’ to attend counselling and go for hospital appointments. </w:t>
      </w:r>
      <w:hyperlink r:id="rId12" w:history="1">
        <w:r w:rsidRPr="00117547">
          <w:rPr>
            <w:rStyle w:val="Hyperlink"/>
            <w:rFonts w:cstheme="minorHAnsi"/>
          </w:rPr>
          <w:t>www.tuc.org.uk</w:t>
        </w:r>
      </w:hyperlink>
      <w:r w:rsidRPr="00117547">
        <w:rPr>
          <w:rFonts w:cstheme="minorHAnsi"/>
        </w:rPr>
        <w:t xml:space="preserve"> </w:t>
      </w:r>
      <w:r>
        <w:rPr>
          <w:rFonts w:cstheme="minorHAnsi"/>
        </w:rPr>
        <w:t>E</w:t>
      </w:r>
      <w:r w:rsidRPr="00117547">
        <w:rPr>
          <w:rFonts w:cstheme="minorHAnsi"/>
        </w:rPr>
        <w:t>mployment rights extend as far as mental health suffer</w:t>
      </w:r>
      <w:r>
        <w:rPr>
          <w:rFonts w:cstheme="minorHAnsi"/>
        </w:rPr>
        <w:t>ers</w:t>
      </w:r>
      <w:r w:rsidRPr="00117547">
        <w:rPr>
          <w:rFonts w:cstheme="minorHAnsi"/>
        </w:rPr>
        <w:t xml:space="preserve"> being registered as disabled which require</w:t>
      </w:r>
      <w:r>
        <w:rPr>
          <w:rFonts w:cstheme="minorHAnsi"/>
        </w:rPr>
        <w:t>s</w:t>
      </w:r>
      <w:r w:rsidRPr="00117547">
        <w:rPr>
          <w:rFonts w:cstheme="minorHAnsi"/>
        </w:rPr>
        <w:t xml:space="preserve"> the organisation to complete further wellbeing interventions</w:t>
      </w:r>
      <w:r>
        <w:rPr>
          <w:rFonts w:cstheme="minorHAnsi"/>
        </w:rPr>
        <w:t xml:space="preserve">. For example, </w:t>
      </w:r>
      <w:r w:rsidRPr="00117547">
        <w:rPr>
          <w:rFonts w:cstheme="minorHAnsi"/>
        </w:rPr>
        <w:t>OCD is one mental health condition now classed as disability within legislation</w:t>
      </w:r>
      <w:r>
        <w:rPr>
          <w:rFonts w:cstheme="minorHAnsi"/>
        </w:rPr>
        <w:t xml:space="preserve">, </w:t>
      </w:r>
      <w:r w:rsidRPr="00117547">
        <w:rPr>
          <w:rFonts w:cstheme="minorHAnsi"/>
        </w:rPr>
        <w:t xml:space="preserve">covered by the </w:t>
      </w:r>
      <w:r>
        <w:rPr>
          <w:rFonts w:cstheme="minorHAnsi"/>
        </w:rPr>
        <w:t>E</w:t>
      </w:r>
      <w:r w:rsidRPr="00117547">
        <w:rPr>
          <w:rFonts w:cstheme="minorHAnsi"/>
        </w:rPr>
        <w:t xml:space="preserve">qualities Act 2012 and now listed as a mental impairment. </w:t>
      </w:r>
      <w:bookmarkEnd w:id="1"/>
    </w:p>
    <w:p w14:paraId="45471657" w14:textId="210608FB" w:rsidR="00E76D64" w:rsidRPr="00117547" w:rsidRDefault="00E76D64" w:rsidP="00837A73">
      <w:pPr>
        <w:jc w:val="both"/>
        <w:rPr>
          <w:rFonts w:cstheme="minorHAnsi"/>
        </w:rPr>
      </w:pPr>
    </w:p>
    <w:p w14:paraId="47EAB3EB" w14:textId="261BA53C" w:rsidR="00A33BD1" w:rsidRDefault="00587385" w:rsidP="00C717BB">
      <w:pPr>
        <w:spacing w:line="360" w:lineRule="auto"/>
        <w:jc w:val="both"/>
        <w:rPr>
          <w:rFonts w:cstheme="minorHAnsi"/>
        </w:rPr>
      </w:pPr>
      <w:r>
        <w:rPr>
          <w:rFonts w:cstheme="minorHAnsi"/>
        </w:rPr>
        <w:t xml:space="preserve">Alongside legislation, charities like </w:t>
      </w:r>
      <w:hyperlink r:id="rId13" w:history="1">
        <w:r w:rsidRPr="00117547">
          <w:rPr>
            <w:rStyle w:val="Hyperlink"/>
            <w:rFonts w:cstheme="minorHAnsi"/>
          </w:rPr>
          <w:t>OCD ACTION</w:t>
        </w:r>
      </w:hyperlink>
      <w:r>
        <w:rPr>
          <w:rFonts w:cstheme="minorHAnsi"/>
        </w:rPr>
        <w:t xml:space="preserve"> have worked with employers to support sufferers. This illustrates the power of multi-disciplinary approaches which can tackle the complex problem of inclusion. </w:t>
      </w:r>
      <w:hyperlink r:id="rId14" w:history="1">
        <w:r w:rsidRPr="00117547">
          <w:rPr>
            <w:rStyle w:val="Hyperlink"/>
            <w:rFonts w:cstheme="minorHAnsi"/>
          </w:rPr>
          <w:t>ACAS</w:t>
        </w:r>
      </w:hyperlink>
      <w:r>
        <w:rPr>
          <w:rFonts w:cstheme="minorHAnsi"/>
        </w:rPr>
        <w:t xml:space="preserve">, for example, has supported employees by </w:t>
      </w:r>
      <w:r w:rsidRPr="00117547">
        <w:rPr>
          <w:rFonts w:cstheme="minorHAnsi"/>
        </w:rPr>
        <w:t>recognis</w:t>
      </w:r>
      <w:r>
        <w:rPr>
          <w:rFonts w:cstheme="minorHAnsi"/>
        </w:rPr>
        <w:t>ing</w:t>
      </w:r>
      <w:r w:rsidRPr="00117547">
        <w:rPr>
          <w:rFonts w:cstheme="minorHAnsi"/>
        </w:rPr>
        <w:t xml:space="preserve"> time off for mental health issues </w:t>
      </w:r>
      <w:r w:rsidR="00BD41BC" w:rsidRPr="00117547">
        <w:rPr>
          <w:rFonts w:cstheme="minorHAnsi"/>
        </w:rPr>
        <w:t>as a</w:t>
      </w:r>
      <w:r w:rsidRPr="00117547">
        <w:rPr>
          <w:rFonts w:cstheme="minorHAnsi"/>
        </w:rPr>
        <w:t xml:space="preserve"> standalone section within the disability related absence section of their code</w:t>
      </w:r>
      <w:r>
        <w:rPr>
          <w:rFonts w:cstheme="minorHAnsi"/>
        </w:rPr>
        <w:t xml:space="preserve">. </w:t>
      </w:r>
      <w:hyperlink r:id="rId15" w:history="1">
        <w:r w:rsidRPr="00CF4ADD">
          <w:rPr>
            <w:rStyle w:val="Hyperlink"/>
            <w:rFonts w:cstheme="minorHAnsi"/>
          </w:rPr>
          <w:t>MIND</w:t>
        </w:r>
      </w:hyperlink>
      <w:r>
        <w:rPr>
          <w:rStyle w:val="Hyperlink"/>
          <w:rFonts w:cstheme="minorHAnsi"/>
        </w:rPr>
        <w:t xml:space="preserve">, </w:t>
      </w:r>
      <w:r w:rsidRPr="002C1584">
        <w:rPr>
          <w:rStyle w:val="Hyperlink"/>
          <w:rFonts w:cstheme="minorHAnsi"/>
          <w:color w:val="auto"/>
          <w:u w:val="none"/>
        </w:rPr>
        <w:t>equally,</w:t>
      </w:r>
      <w:r w:rsidRPr="002C1584">
        <w:rPr>
          <w:rFonts w:cstheme="minorHAnsi"/>
        </w:rPr>
        <w:t xml:space="preserve"> is </w:t>
      </w:r>
      <w:r w:rsidRPr="00117547">
        <w:rPr>
          <w:rFonts w:cstheme="minorHAnsi"/>
        </w:rPr>
        <w:t xml:space="preserve">a flexible organisation and registered charity that offers a wide range of services for both suffers and employers. Their work in the 1970s and 80s was reactive </w:t>
      </w:r>
      <w:r>
        <w:rPr>
          <w:rFonts w:cstheme="minorHAnsi"/>
        </w:rPr>
        <w:t xml:space="preserve">but the </w:t>
      </w:r>
      <w:r w:rsidRPr="00117547">
        <w:rPr>
          <w:rFonts w:cstheme="minorHAnsi"/>
        </w:rPr>
        <w:t>organisation now influences government policy</w:t>
      </w:r>
      <w:r>
        <w:rPr>
          <w:rFonts w:cstheme="minorHAnsi"/>
        </w:rPr>
        <w:t xml:space="preserve"> </w:t>
      </w:r>
      <w:r w:rsidRPr="00117547">
        <w:rPr>
          <w:rFonts w:cstheme="minorHAnsi"/>
        </w:rPr>
        <w:t xml:space="preserve">and they have a high level of </w:t>
      </w:r>
      <w:r>
        <w:rPr>
          <w:rFonts w:cstheme="minorHAnsi"/>
        </w:rPr>
        <w:t xml:space="preserve">resources </w:t>
      </w:r>
      <w:r w:rsidRPr="00117547">
        <w:rPr>
          <w:rFonts w:cstheme="minorHAnsi"/>
        </w:rPr>
        <w:t>that they are consistently enhancing along to offer solutions</w:t>
      </w:r>
      <w:r>
        <w:rPr>
          <w:rFonts w:cstheme="minorHAnsi"/>
        </w:rPr>
        <w:t xml:space="preserve"> </w:t>
      </w:r>
      <w:hyperlink r:id="rId16" w:history="1">
        <w:r w:rsidRPr="00CF4ADD">
          <w:rPr>
            <w:rStyle w:val="Hyperlink"/>
            <w:rFonts w:cstheme="minorHAnsi"/>
          </w:rPr>
          <w:t>(MIND 2023)</w:t>
        </w:r>
      </w:hyperlink>
      <w:r>
        <w:rPr>
          <w:rFonts w:cstheme="minorHAnsi"/>
        </w:rPr>
        <w:t>.</w:t>
      </w:r>
      <w:r w:rsidRPr="00117547">
        <w:rPr>
          <w:rFonts w:cstheme="minorHAnsi"/>
        </w:rPr>
        <w:t xml:space="preserve"> </w:t>
      </w:r>
      <w:r>
        <w:rPr>
          <w:rFonts w:cstheme="minorHAnsi"/>
        </w:rPr>
        <w:t xml:space="preserve">They </w:t>
      </w:r>
      <w:r w:rsidRPr="00117547">
        <w:rPr>
          <w:rFonts w:cstheme="minorHAnsi"/>
        </w:rPr>
        <w:t>report that 1-6 employe</w:t>
      </w:r>
      <w:r>
        <w:rPr>
          <w:rFonts w:cstheme="minorHAnsi"/>
        </w:rPr>
        <w:t>es</w:t>
      </w:r>
      <w:r w:rsidRPr="00117547">
        <w:rPr>
          <w:rFonts w:cstheme="minorHAnsi"/>
        </w:rPr>
        <w:t xml:space="preserve"> suffer from anxiety, low mood and stress at work’ and ‘ an estimated 300,000 people lose their jobs each year due to mental ill health’</w:t>
      </w:r>
      <w:r>
        <w:rPr>
          <w:rFonts w:cstheme="minorHAnsi"/>
        </w:rPr>
        <w:t xml:space="preserve"> (</w:t>
      </w:r>
      <w:r w:rsidRPr="00117547">
        <w:rPr>
          <w:rFonts w:cstheme="minorHAnsi"/>
        </w:rPr>
        <w:t xml:space="preserve">Stevenson/ Farmer review </w:t>
      </w:r>
      <w:hyperlink r:id="rId17" w:history="1">
        <w:r w:rsidRPr="00CF4ADD">
          <w:rPr>
            <w:rStyle w:val="Hyperlink"/>
            <w:rFonts w:cstheme="minorHAnsi"/>
          </w:rPr>
          <w:t>MIND 2017</w:t>
        </w:r>
      </w:hyperlink>
      <w:r>
        <w:rPr>
          <w:rFonts w:cstheme="minorHAnsi"/>
        </w:rPr>
        <w:t>). To respond t</w:t>
      </w:r>
      <w:r w:rsidRPr="00117547">
        <w:rPr>
          <w:rFonts w:cstheme="minorHAnsi"/>
        </w:rPr>
        <w:t xml:space="preserve">hey have brought together </w:t>
      </w:r>
      <w:r w:rsidR="009A4A30" w:rsidRPr="00117547">
        <w:rPr>
          <w:rFonts w:cstheme="minorHAnsi"/>
        </w:rPr>
        <w:t>several</w:t>
      </w:r>
      <w:r w:rsidRPr="00117547">
        <w:rPr>
          <w:rFonts w:cstheme="minorHAnsi"/>
        </w:rPr>
        <w:t xml:space="preserve"> services some tailored, digital, face to face, education, and consultancy. Working with 11 key partners from business and industry to develop and shape the mental health provisions available to </w:t>
      </w:r>
      <w:r w:rsidRPr="00117547">
        <w:rPr>
          <w:rFonts w:cstheme="minorHAnsi"/>
        </w:rPr>
        <w:lastRenderedPageBreak/>
        <w:t>industries is relevant and current and opens special mental health options for small workplaces, recognising they were not previously accessible to all businesses. The workplace wellbeing index is an excellent resource they offer to help promote and improve mental wellbeing, while the E-learning and MIND training is known as leading in the field. Alongside this their influence and participation toolkits for employers are known to have impact if implemented, supporting employees to keep safe at work so they feel able to continue. T</w:t>
      </w:r>
      <w:r>
        <w:rPr>
          <w:rFonts w:cstheme="minorHAnsi"/>
        </w:rPr>
        <w:t>he</w:t>
      </w:r>
      <w:r w:rsidRPr="00117547">
        <w:rPr>
          <w:rFonts w:cstheme="minorHAnsi"/>
        </w:rPr>
        <w:t xml:space="preserve"> training consultancy is also an excellent initiative that they now use to help employers to create inclusion through education and awareness.</w:t>
      </w:r>
      <w:r>
        <w:rPr>
          <w:rFonts w:cstheme="minorHAnsi"/>
        </w:rPr>
        <w:t xml:space="preserve"> </w:t>
      </w:r>
      <w:r w:rsidRPr="00117547">
        <w:rPr>
          <w:rFonts w:cstheme="minorHAnsi"/>
        </w:rPr>
        <w:t xml:space="preserve">There is a particular understanding within their work of inclusion and diversity, with online resources and videos to make awareness easier to access in different forms, and with upbeat website design upbeat to challenge stigma. </w:t>
      </w:r>
    </w:p>
    <w:p w14:paraId="7EEF5FCE" w14:textId="77777777" w:rsidR="00837A73" w:rsidRDefault="00837A73" w:rsidP="00837A73">
      <w:pPr>
        <w:jc w:val="both"/>
        <w:rPr>
          <w:rFonts w:cstheme="minorHAnsi"/>
          <w:u w:val="single"/>
        </w:rPr>
      </w:pPr>
    </w:p>
    <w:p w14:paraId="65383132" w14:textId="5BDE6C58" w:rsidR="00250CAB" w:rsidRPr="0015312B" w:rsidRDefault="00250CAB" w:rsidP="00837A73">
      <w:pPr>
        <w:jc w:val="both"/>
        <w:rPr>
          <w:rFonts w:cstheme="minorHAnsi"/>
          <w:u w:val="single"/>
        </w:rPr>
      </w:pPr>
      <w:r w:rsidRPr="0015312B">
        <w:rPr>
          <w:rFonts w:cstheme="minorHAnsi"/>
          <w:u w:val="single"/>
        </w:rPr>
        <w:t>Social Inclusion: A Work in Progress</w:t>
      </w:r>
    </w:p>
    <w:p w14:paraId="37C42EAB" w14:textId="77777777" w:rsidR="00250CAB" w:rsidRPr="00117547" w:rsidRDefault="00250CAB" w:rsidP="00837A73">
      <w:pPr>
        <w:jc w:val="both"/>
        <w:rPr>
          <w:rFonts w:cstheme="minorHAnsi"/>
        </w:rPr>
      </w:pPr>
    </w:p>
    <w:p w14:paraId="7C3F3859" w14:textId="7F6DE399" w:rsidR="00250CAB" w:rsidRPr="00FC66C7" w:rsidRDefault="00250CAB" w:rsidP="00C717BB">
      <w:pPr>
        <w:pStyle w:val="CommentText"/>
        <w:spacing w:line="360" w:lineRule="auto"/>
        <w:jc w:val="both"/>
        <w:rPr>
          <w:rFonts w:cstheme="minorHAnsi"/>
          <w:sz w:val="24"/>
          <w:szCs w:val="24"/>
        </w:rPr>
      </w:pPr>
      <w:r>
        <w:rPr>
          <w:rFonts w:cstheme="minorHAnsi"/>
          <w:sz w:val="24"/>
          <w:szCs w:val="24"/>
        </w:rPr>
        <w:t xml:space="preserve">These changes illustrate how within the workplace there is more potential </w:t>
      </w:r>
      <w:r w:rsidR="001F52DE">
        <w:rPr>
          <w:rFonts w:cstheme="minorHAnsi"/>
          <w:sz w:val="24"/>
          <w:szCs w:val="24"/>
        </w:rPr>
        <w:t>than</w:t>
      </w:r>
      <w:r>
        <w:rPr>
          <w:rFonts w:cstheme="minorHAnsi"/>
          <w:sz w:val="24"/>
          <w:szCs w:val="24"/>
        </w:rPr>
        <w:t xml:space="preserve"> ever to foster social inclusion. </w:t>
      </w:r>
      <w:r w:rsidRPr="00117547">
        <w:rPr>
          <w:rFonts w:cstheme="minorHAnsi"/>
          <w:sz w:val="24"/>
          <w:szCs w:val="24"/>
        </w:rPr>
        <w:t xml:space="preserve">People are now being better supported </w:t>
      </w:r>
      <w:r>
        <w:rPr>
          <w:rFonts w:cstheme="minorHAnsi"/>
          <w:sz w:val="24"/>
          <w:szCs w:val="24"/>
        </w:rPr>
        <w:t xml:space="preserve">and </w:t>
      </w:r>
      <w:r w:rsidRPr="00117547">
        <w:rPr>
          <w:rFonts w:cstheme="minorHAnsi"/>
          <w:sz w:val="24"/>
          <w:szCs w:val="24"/>
        </w:rPr>
        <w:t xml:space="preserve">facilitation by a number of organisations and initiatives is a big move from employee </w:t>
      </w:r>
      <w:r w:rsidR="001F52DE" w:rsidRPr="00117547">
        <w:rPr>
          <w:rFonts w:cstheme="minorHAnsi"/>
          <w:sz w:val="24"/>
          <w:szCs w:val="24"/>
        </w:rPr>
        <w:t>focussed</w:t>
      </w:r>
      <w:r w:rsidRPr="00117547">
        <w:rPr>
          <w:rFonts w:cstheme="minorHAnsi"/>
          <w:sz w:val="24"/>
          <w:szCs w:val="24"/>
        </w:rPr>
        <w:t xml:space="preserve"> singular </w:t>
      </w:r>
      <w:r w:rsidR="001F52DE" w:rsidRPr="00117547">
        <w:rPr>
          <w:rFonts w:cstheme="minorHAnsi"/>
          <w:sz w:val="24"/>
          <w:szCs w:val="24"/>
        </w:rPr>
        <w:t>one-way</w:t>
      </w:r>
      <w:r w:rsidRPr="00117547">
        <w:rPr>
          <w:rFonts w:cstheme="minorHAnsi"/>
          <w:sz w:val="24"/>
          <w:szCs w:val="24"/>
        </w:rPr>
        <w:t xml:space="preserve"> interventions</w:t>
      </w:r>
      <w:r>
        <w:rPr>
          <w:rFonts w:cstheme="minorHAnsi"/>
          <w:sz w:val="24"/>
          <w:szCs w:val="24"/>
        </w:rPr>
        <w:t>. The progress is slow, however,</w:t>
      </w:r>
      <w:r w:rsidRPr="00117547">
        <w:rPr>
          <w:rFonts w:cstheme="minorHAnsi"/>
          <w:sz w:val="24"/>
          <w:szCs w:val="24"/>
        </w:rPr>
        <w:t xml:space="preserve"> and continues to lack visibility and awareness within society </w:t>
      </w:r>
      <w:r w:rsidR="001F52DE" w:rsidRPr="00117547">
        <w:rPr>
          <w:rFonts w:cstheme="minorHAnsi"/>
          <w:sz w:val="24"/>
          <w:szCs w:val="24"/>
        </w:rPr>
        <w:t>overall</w:t>
      </w:r>
      <w:r w:rsidRPr="00117547">
        <w:rPr>
          <w:rFonts w:cstheme="minorHAnsi"/>
          <w:sz w:val="24"/>
          <w:szCs w:val="24"/>
        </w:rPr>
        <w:t xml:space="preserve">. </w:t>
      </w:r>
      <w:r>
        <w:rPr>
          <w:rFonts w:cstheme="minorHAnsi"/>
          <w:sz w:val="24"/>
          <w:szCs w:val="24"/>
        </w:rPr>
        <w:t xml:space="preserve">While there is a legal framework, this does not necessarily translate to feelings of work. The </w:t>
      </w:r>
      <w:r w:rsidRPr="00117547">
        <w:rPr>
          <w:rFonts w:cstheme="minorHAnsi"/>
          <w:sz w:val="24"/>
          <w:szCs w:val="24"/>
        </w:rPr>
        <w:t>mental health landscape with so many different contributing factors and personal circumstances</w:t>
      </w:r>
      <w:r>
        <w:rPr>
          <w:rFonts w:cstheme="minorHAnsi"/>
          <w:sz w:val="24"/>
          <w:szCs w:val="24"/>
        </w:rPr>
        <w:t xml:space="preserve"> means it </w:t>
      </w:r>
      <w:r w:rsidRPr="00117547">
        <w:rPr>
          <w:rFonts w:cstheme="minorHAnsi"/>
          <w:sz w:val="24"/>
          <w:szCs w:val="24"/>
        </w:rPr>
        <w:t xml:space="preserve">isn't possible to have a generic approach to mental health and the tailored nature of support, </w:t>
      </w:r>
      <w:r w:rsidR="006D50C3" w:rsidRPr="00117547">
        <w:rPr>
          <w:rFonts w:cstheme="minorHAnsi"/>
          <w:sz w:val="24"/>
          <w:szCs w:val="24"/>
        </w:rPr>
        <w:t>like</w:t>
      </w:r>
      <w:r w:rsidRPr="00117547">
        <w:rPr>
          <w:rFonts w:cstheme="minorHAnsi"/>
          <w:sz w:val="24"/>
          <w:szCs w:val="24"/>
        </w:rPr>
        <w:t xml:space="preserve"> disability more widely, makes it challenging. And public perceptions of mental health vary widely and there is a continuing lack of education.</w:t>
      </w:r>
    </w:p>
    <w:p w14:paraId="2061B38F" w14:textId="77777777" w:rsidR="00250CAB" w:rsidRPr="00117547" w:rsidRDefault="00250CAB" w:rsidP="00837A73">
      <w:pPr>
        <w:jc w:val="both"/>
        <w:rPr>
          <w:rFonts w:cstheme="minorHAnsi"/>
          <w:u w:val="single"/>
        </w:rPr>
      </w:pPr>
    </w:p>
    <w:p w14:paraId="5F3226ED" w14:textId="0D1A394B" w:rsidR="00250CAB" w:rsidRPr="00C84782" w:rsidRDefault="00250CAB" w:rsidP="00C717BB">
      <w:pPr>
        <w:spacing w:line="360" w:lineRule="auto"/>
        <w:jc w:val="both"/>
        <w:rPr>
          <w:rFonts w:cstheme="minorHAnsi"/>
          <w:i/>
          <w:iCs/>
          <w:color w:val="313131"/>
          <w:shd w:val="clear" w:color="auto" w:fill="FFFFFF"/>
        </w:rPr>
      </w:pPr>
      <w:r>
        <w:rPr>
          <w:rFonts w:cstheme="minorHAnsi"/>
        </w:rPr>
        <w:t>It</w:t>
      </w:r>
      <w:r w:rsidRPr="00117547">
        <w:rPr>
          <w:rFonts w:cstheme="minorHAnsi"/>
        </w:rPr>
        <w:t xml:space="preserve"> must </w:t>
      </w:r>
      <w:r>
        <w:rPr>
          <w:rFonts w:cstheme="minorHAnsi"/>
        </w:rPr>
        <w:t xml:space="preserve">therefore </w:t>
      </w:r>
      <w:r w:rsidRPr="00117547">
        <w:rPr>
          <w:rFonts w:cstheme="minorHAnsi"/>
        </w:rPr>
        <w:t xml:space="preserve">be recognised that there are limitations to the impact of these changes, and exclusion is still a significant issue. Even though employment legislation acts like the equality and disability and discrimination act are in place and very authoritative and effective in most cases there are still horrendous stories. An example of this is </w:t>
      </w:r>
      <w:hyperlink r:id="rId18" w:history="1">
        <w:r w:rsidRPr="00117547">
          <w:rPr>
            <w:rStyle w:val="Hyperlink"/>
            <w:rFonts w:cstheme="minorHAnsi"/>
            <w:i/>
            <w:iCs/>
            <w:shd w:val="clear" w:color="auto" w:fill="FFFFFF"/>
          </w:rPr>
          <w:t>Wickers v Colchester Vision plus Ltd t/a Specsavers Opticians</w:t>
        </w:r>
        <w:r w:rsidRPr="00117547">
          <w:rPr>
            <w:rStyle w:val="Hyperlink"/>
            <w:rFonts w:cstheme="minorHAnsi"/>
            <w:shd w:val="clear" w:color="auto" w:fill="FFFFFF"/>
          </w:rPr>
          <w:t> </w:t>
        </w:r>
      </w:hyperlink>
      <w:r w:rsidR="00144310">
        <w:rPr>
          <w:rStyle w:val="Hyperlink"/>
          <w:rFonts w:cstheme="minorHAnsi"/>
          <w:color w:val="auto"/>
          <w:u w:val="none"/>
          <w:shd w:val="clear" w:color="auto" w:fill="FFFFFF"/>
        </w:rPr>
        <w:t>which</w:t>
      </w:r>
      <w:r w:rsidRPr="00835E50">
        <w:rPr>
          <w:rStyle w:val="Hyperlink"/>
          <w:rFonts w:cstheme="minorHAnsi"/>
          <w:color w:val="auto"/>
          <w:u w:val="none"/>
          <w:shd w:val="clear" w:color="auto" w:fill="FFFFFF"/>
        </w:rPr>
        <w:t xml:space="preserve"> revealed</w:t>
      </w:r>
      <w:r w:rsidRPr="00835E50">
        <w:rPr>
          <w:rFonts w:cstheme="minorHAnsi"/>
          <w:i/>
          <w:iCs/>
          <w:shd w:val="clear" w:color="auto" w:fill="FFFFFF"/>
        </w:rPr>
        <w:t xml:space="preserve"> </w:t>
      </w:r>
      <w:r w:rsidRPr="00117547">
        <w:rPr>
          <w:rFonts w:cstheme="minorHAnsi"/>
          <w:shd w:val="clear" w:color="auto" w:fill="FFFFFF"/>
        </w:rPr>
        <w:t>that a director failed to consider not only medical conditions but the impact at work for an employee who was suffering</w:t>
      </w:r>
      <w:r w:rsidR="00144310">
        <w:rPr>
          <w:rFonts w:cstheme="minorHAnsi"/>
          <w:shd w:val="clear" w:color="auto" w:fill="FFFFFF"/>
        </w:rPr>
        <w:t>, offering little to no</w:t>
      </w:r>
      <w:r w:rsidRPr="00117547">
        <w:rPr>
          <w:rFonts w:cstheme="minorHAnsi"/>
          <w:shd w:val="clear" w:color="auto" w:fill="FFFFFF"/>
        </w:rPr>
        <w:t xml:space="preserve"> support</w:t>
      </w:r>
      <w:r>
        <w:rPr>
          <w:rFonts w:cstheme="minorHAnsi"/>
          <w:shd w:val="clear" w:color="auto" w:fill="FFFFFF"/>
        </w:rPr>
        <w:t xml:space="preserve">. </w:t>
      </w:r>
      <w:r w:rsidRPr="00117547">
        <w:rPr>
          <w:rFonts w:cstheme="minorHAnsi"/>
          <w:shd w:val="clear" w:color="auto" w:fill="FFFFFF"/>
        </w:rPr>
        <w:t>Specsavers were found to have broken the law under the Equality Act. (Personnel Today 2016)</w:t>
      </w:r>
      <w:r>
        <w:rPr>
          <w:rFonts w:cstheme="minorHAnsi"/>
          <w:i/>
          <w:iCs/>
          <w:color w:val="313131"/>
          <w:shd w:val="clear" w:color="auto" w:fill="FFFFFF"/>
        </w:rPr>
        <w:t xml:space="preserve">. </w:t>
      </w:r>
      <w:r>
        <w:rPr>
          <w:rFonts w:cstheme="minorHAnsi"/>
          <w:color w:val="313131"/>
          <w:shd w:val="clear" w:color="auto" w:fill="FFFFFF"/>
        </w:rPr>
        <w:t xml:space="preserve">Likewise, </w:t>
      </w:r>
      <w:r>
        <w:rPr>
          <w:rFonts w:cstheme="minorHAnsi"/>
        </w:rPr>
        <w:t>a</w:t>
      </w:r>
      <w:r w:rsidRPr="00117547">
        <w:rPr>
          <w:rFonts w:cstheme="minorHAnsi"/>
        </w:rPr>
        <w:t xml:space="preserve">nother </w:t>
      </w:r>
      <w:r>
        <w:rPr>
          <w:rFonts w:cstheme="minorHAnsi"/>
        </w:rPr>
        <w:t>c</w:t>
      </w:r>
      <w:r w:rsidRPr="00117547">
        <w:rPr>
          <w:rFonts w:cstheme="minorHAnsi"/>
        </w:rPr>
        <w:t xml:space="preserve">ase in the headlines was that of a </w:t>
      </w:r>
      <w:hyperlink r:id="rId19" w:history="1">
        <w:r w:rsidRPr="00117547">
          <w:rPr>
            <w:rStyle w:val="Hyperlink"/>
            <w:rFonts w:cstheme="minorHAnsi"/>
          </w:rPr>
          <w:t>London stockbroker</w:t>
        </w:r>
      </w:hyperlink>
      <w:r w:rsidRPr="00117547">
        <w:rPr>
          <w:rFonts w:cstheme="minorHAnsi"/>
        </w:rPr>
        <w:t xml:space="preserve"> reported by the </w:t>
      </w:r>
      <w:r w:rsidRPr="00117547">
        <w:rPr>
          <w:rFonts w:cstheme="minorHAnsi"/>
          <w:i/>
          <w:iCs/>
        </w:rPr>
        <w:t>Evening Standard</w:t>
      </w:r>
      <w:r w:rsidRPr="00117547">
        <w:rPr>
          <w:rFonts w:cstheme="minorHAnsi"/>
        </w:rPr>
        <w:t xml:space="preserve">, whereby a top performing employee’s mental health was </w:t>
      </w:r>
      <w:r>
        <w:rPr>
          <w:rFonts w:cstheme="minorHAnsi"/>
        </w:rPr>
        <w:lastRenderedPageBreak/>
        <w:t>a</w:t>
      </w:r>
      <w:r w:rsidRPr="00117547">
        <w:rPr>
          <w:rFonts w:cstheme="minorHAnsi"/>
        </w:rPr>
        <w:t>ffected in the short-term due to a family bereavement. He took a break away which he regarded as in line with policies but was then dismissed after returning to work and given duties which were not in line with the role he had been employed to do</w:t>
      </w:r>
      <w:r w:rsidR="00144310">
        <w:rPr>
          <w:rFonts w:cstheme="minorHAnsi"/>
        </w:rPr>
        <w:t>.</w:t>
      </w:r>
      <w:r w:rsidR="00837A73">
        <w:rPr>
          <w:rFonts w:cstheme="minorHAnsi"/>
        </w:rPr>
        <w:t xml:space="preserve"> </w:t>
      </w:r>
      <w:r w:rsidR="00144310">
        <w:rPr>
          <w:rFonts w:cstheme="minorHAnsi"/>
        </w:rPr>
        <w:t>He</w:t>
      </w:r>
      <w:r w:rsidRPr="00117547">
        <w:rPr>
          <w:rFonts w:cstheme="minorHAnsi"/>
        </w:rPr>
        <w:t xml:space="preserve"> was further publicly humiliated by being made to sit in another part of the office away from his actual desk. He was dismissed with no acknowledgement of his mental health condition and was awarded compensation and his claim for unfair dismissal and disability discrimination was upheld.</w:t>
      </w:r>
      <w:r>
        <w:rPr>
          <w:rFonts w:cstheme="minorHAnsi"/>
        </w:rPr>
        <w:t xml:space="preserve"> </w:t>
      </w:r>
      <w:r w:rsidRPr="00835E50">
        <w:rPr>
          <w:rFonts w:cstheme="minorHAnsi"/>
        </w:rPr>
        <w:t>(Simpson, 2016)</w:t>
      </w:r>
      <w:r>
        <w:rPr>
          <w:rFonts w:cstheme="minorHAnsi"/>
        </w:rPr>
        <w:t>.</w:t>
      </w:r>
    </w:p>
    <w:p w14:paraId="220C31DC" w14:textId="77777777" w:rsidR="00250CAB" w:rsidRPr="00117547" w:rsidRDefault="00250CAB" w:rsidP="00837A73">
      <w:pPr>
        <w:jc w:val="both"/>
        <w:rPr>
          <w:rFonts w:cstheme="minorHAnsi"/>
        </w:rPr>
      </w:pPr>
    </w:p>
    <w:p w14:paraId="7EB7EF2F" w14:textId="77777777" w:rsidR="00CA2E8B" w:rsidRDefault="00250CAB" w:rsidP="00C717BB">
      <w:pPr>
        <w:spacing w:line="360" w:lineRule="auto"/>
        <w:jc w:val="both"/>
        <w:rPr>
          <w:rFonts w:cstheme="minorHAnsi"/>
        </w:rPr>
      </w:pPr>
      <w:r w:rsidRPr="00117547">
        <w:rPr>
          <w:rFonts w:cstheme="minorHAnsi"/>
        </w:rPr>
        <w:t xml:space="preserve">It is important to note the access to legal support to challenge such situations as well as health and social care services varies, resulting in some groups presenting later when their mental health problems may be worse. </w:t>
      </w:r>
      <w:r>
        <w:rPr>
          <w:rFonts w:cstheme="minorHAnsi"/>
        </w:rPr>
        <w:t xml:space="preserve">In </w:t>
      </w:r>
      <w:r w:rsidRPr="00117547">
        <w:rPr>
          <w:rFonts w:cstheme="minorHAnsi"/>
        </w:rPr>
        <w:t xml:space="preserve">February 2004, </w:t>
      </w:r>
      <w:r w:rsidR="00837A73">
        <w:rPr>
          <w:rFonts w:cstheme="minorHAnsi"/>
        </w:rPr>
        <w:t xml:space="preserve">an </w:t>
      </w:r>
      <w:r w:rsidR="00837A73" w:rsidRPr="00117547">
        <w:rPr>
          <w:rFonts w:cstheme="minorHAnsi"/>
        </w:rPr>
        <w:t>enquiry</w:t>
      </w:r>
      <w:r w:rsidRPr="00117547">
        <w:rPr>
          <w:rFonts w:cstheme="minorHAnsi"/>
        </w:rPr>
        <w:t xml:space="preserve"> into the death of David Bennett concluded</w:t>
      </w:r>
      <w:r w:rsidR="001A6BA0">
        <w:rPr>
          <w:rFonts w:cstheme="minorHAnsi"/>
        </w:rPr>
        <w:t xml:space="preserve">, </w:t>
      </w:r>
      <w:r w:rsidRPr="00117547">
        <w:rPr>
          <w:rFonts w:cstheme="minorHAnsi"/>
        </w:rPr>
        <w:t>discrimination existed throughout the NHS and that “people from black and minority ethnic communities find it difficult to access mental health services</w:t>
      </w:r>
      <w:r>
        <w:rPr>
          <w:rFonts w:cstheme="minorHAnsi"/>
        </w:rPr>
        <w:t xml:space="preserve">. </w:t>
      </w:r>
      <w:r w:rsidRPr="00117547">
        <w:rPr>
          <w:rFonts w:cstheme="minorHAnsi"/>
        </w:rPr>
        <w:t>“Adults from ethnic minority groups have higher levels of dissatisfaction with statutory services than white people and are twice as likely to disagree with their diagnosis. Black and South Asian patients are less likely to have their mental health problems detected by a GP, but more likely to have their problems wrongly attributed to mental ill health.</w:t>
      </w:r>
      <w:r>
        <w:rPr>
          <w:rFonts w:cstheme="minorHAnsi"/>
        </w:rPr>
        <w:t xml:space="preserve"> One </w:t>
      </w:r>
      <w:r w:rsidRPr="00117547">
        <w:rPr>
          <w:rFonts w:cstheme="minorHAnsi"/>
        </w:rPr>
        <w:t>study found that black people were twice as likely to be involuntarily detained under the Mental Health Act than white people</w:t>
      </w:r>
      <w:r>
        <w:rPr>
          <w:rFonts w:cstheme="minorHAnsi"/>
        </w:rPr>
        <w:t xml:space="preserve"> and ethnic </w:t>
      </w:r>
      <w:r w:rsidRPr="00117547">
        <w:rPr>
          <w:rFonts w:cstheme="minorHAnsi"/>
        </w:rPr>
        <w:t>minorities are more likely to enter mental health services after initial contact with the police, other forensic services or referrals from strangers rather than a relative or a neighbour, although are no more likely to be aggressive before admission. At the end of 200</w:t>
      </w:r>
      <w:r w:rsidR="000B30D6">
        <w:rPr>
          <w:rFonts w:cstheme="minorHAnsi"/>
        </w:rPr>
        <w:t>0</w:t>
      </w:r>
      <w:r w:rsidR="003B7D69">
        <w:rPr>
          <w:rFonts w:cstheme="minorHAnsi"/>
        </w:rPr>
        <w:t>’s</w:t>
      </w:r>
      <w:r w:rsidRPr="00117547">
        <w:rPr>
          <w:rFonts w:cstheme="minorHAnsi"/>
        </w:rPr>
        <w:t xml:space="preserve">, a baseline census </w:t>
      </w:r>
      <w:r w:rsidR="002D6DCC">
        <w:rPr>
          <w:rFonts w:cstheme="minorHAnsi"/>
        </w:rPr>
        <w:t xml:space="preserve">was </w:t>
      </w:r>
      <w:r w:rsidRPr="00117547">
        <w:rPr>
          <w:rFonts w:cstheme="minorHAnsi"/>
        </w:rPr>
        <w:t xml:space="preserve">conducted on the ethnicity of people using mental health services. This </w:t>
      </w:r>
      <w:r w:rsidR="002D6DCC">
        <w:rPr>
          <w:rFonts w:cstheme="minorHAnsi"/>
        </w:rPr>
        <w:t xml:space="preserve">showed </w:t>
      </w:r>
      <w:r w:rsidR="000B30D6">
        <w:rPr>
          <w:rFonts w:cstheme="minorHAnsi"/>
        </w:rPr>
        <w:t xml:space="preserve">it affected </w:t>
      </w:r>
      <w:r w:rsidRPr="00117547">
        <w:rPr>
          <w:rFonts w:cstheme="minorHAnsi"/>
        </w:rPr>
        <w:t>engagement of sufferers and employers from these communities and</w:t>
      </w:r>
      <w:r w:rsidRPr="00117547">
        <w:rPr>
          <w:rFonts w:cstheme="minorHAnsi"/>
          <w:b/>
          <w:bCs/>
        </w:rPr>
        <w:t xml:space="preserve"> </w:t>
      </w:r>
      <w:r w:rsidRPr="00117547">
        <w:rPr>
          <w:rFonts w:cstheme="minorHAnsi"/>
        </w:rPr>
        <w:t>deserves greater discussion to understand the nuances of contemporary social inclusion related to mental health but is beyond the scope of this essay.</w:t>
      </w:r>
      <w:r>
        <w:rPr>
          <w:rFonts w:cstheme="minorHAnsi"/>
        </w:rPr>
        <w:t xml:space="preserve"> (ODPM 2004)</w:t>
      </w:r>
    </w:p>
    <w:p w14:paraId="5E51A149" w14:textId="77777777" w:rsidR="00C717BB" w:rsidRDefault="00C717BB" w:rsidP="00837A73">
      <w:pPr>
        <w:jc w:val="both"/>
        <w:rPr>
          <w:rFonts w:cstheme="minorHAnsi"/>
          <w:u w:val="single"/>
        </w:rPr>
      </w:pPr>
    </w:p>
    <w:p w14:paraId="50694D3F" w14:textId="0BAF475E" w:rsidR="00C71F5A" w:rsidRPr="00CA2E8B" w:rsidRDefault="000319AB" w:rsidP="00837A73">
      <w:pPr>
        <w:jc w:val="both"/>
        <w:rPr>
          <w:rFonts w:cstheme="minorHAnsi"/>
        </w:rPr>
      </w:pPr>
      <w:r w:rsidRPr="00117547">
        <w:rPr>
          <w:rFonts w:cstheme="minorHAnsi"/>
          <w:u w:val="single"/>
        </w:rPr>
        <w:t>Conclusion</w:t>
      </w:r>
    </w:p>
    <w:p w14:paraId="603124B9" w14:textId="585AA9BF" w:rsidR="00294BFE" w:rsidRDefault="00294BFE" w:rsidP="00837A73">
      <w:pPr>
        <w:pStyle w:val="CommentText"/>
        <w:jc w:val="both"/>
        <w:rPr>
          <w:rStyle w:val="Hyperlink"/>
          <w:rFonts w:cstheme="minorHAnsi"/>
          <w:sz w:val="24"/>
          <w:szCs w:val="24"/>
        </w:rPr>
      </w:pPr>
    </w:p>
    <w:p w14:paraId="580F2523" w14:textId="489EB84C" w:rsidR="00A97557" w:rsidRPr="00271A7A" w:rsidRDefault="00A97557" w:rsidP="00C717BB">
      <w:pPr>
        <w:pStyle w:val="CommentText"/>
        <w:spacing w:line="360" w:lineRule="auto"/>
        <w:jc w:val="both"/>
        <w:rPr>
          <w:sz w:val="24"/>
          <w:szCs w:val="24"/>
        </w:rPr>
      </w:pPr>
      <w:r w:rsidRPr="00FC66C7">
        <w:rPr>
          <w:sz w:val="24"/>
          <w:szCs w:val="24"/>
        </w:rPr>
        <w:t>A positive step forward would be to follow a plan similar to the one outlined in the</w:t>
      </w:r>
      <w:hyperlink r:id="rId20" w:history="1">
        <w:r w:rsidRPr="00FC66C7">
          <w:rPr>
            <w:rStyle w:val="Hyperlink"/>
            <w:sz w:val="24"/>
            <w:szCs w:val="24"/>
          </w:rPr>
          <w:t xml:space="preserve"> ‘Time to Take ownership – mental Health report  BITC (2019)</w:t>
        </w:r>
      </w:hyperlink>
      <w:r w:rsidRPr="00FC66C7">
        <w:rPr>
          <w:sz w:val="24"/>
          <w:szCs w:val="24"/>
        </w:rPr>
        <w:t xml:space="preserve"> </w:t>
      </w:r>
      <w:r>
        <w:rPr>
          <w:sz w:val="24"/>
          <w:szCs w:val="24"/>
        </w:rPr>
        <w:t xml:space="preserve">which </w:t>
      </w:r>
      <w:r w:rsidRPr="00FC66C7">
        <w:rPr>
          <w:sz w:val="24"/>
          <w:szCs w:val="24"/>
        </w:rPr>
        <w:t xml:space="preserve">sets out a simple approach concentrating on employers and what they can do to improve the experiences and health outcomes of their employees. For Business leaders to report and be open about mental health concerns they have and to take the lead in supporting with an inclusive culture and </w:t>
      </w:r>
      <w:r w:rsidRPr="00FC66C7">
        <w:rPr>
          <w:sz w:val="24"/>
          <w:szCs w:val="24"/>
        </w:rPr>
        <w:lastRenderedPageBreak/>
        <w:t xml:space="preserve">management accountability. There is also a greater need for the understanding how </w:t>
      </w:r>
      <w:r>
        <w:rPr>
          <w:sz w:val="24"/>
          <w:szCs w:val="24"/>
        </w:rPr>
        <w:t>a</w:t>
      </w:r>
      <w:r w:rsidRPr="00FC66C7">
        <w:rPr>
          <w:sz w:val="24"/>
          <w:szCs w:val="24"/>
        </w:rPr>
        <w:t xml:space="preserve"> single influencing factor like work </w:t>
      </w:r>
      <w:r>
        <w:rPr>
          <w:sz w:val="24"/>
          <w:szCs w:val="24"/>
        </w:rPr>
        <w:t xml:space="preserve">can </w:t>
      </w:r>
      <w:r w:rsidRPr="00FC66C7">
        <w:rPr>
          <w:sz w:val="24"/>
          <w:szCs w:val="24"/>
        </w:rPr>
        <w:t xml:space="preserve">further worsen or even bring on mental health problems. More </w:t>
      </w:r>
      <w:r>
        <w:rPr>
          <w:sz w:val="24"/>
          <w:szCs w:val="24"/>
        </w:rPr>
        <w:t xml:space="preserve">can </w:t>
      </w:r>
      <w:r w:rsidRPr="00FC66C7">
        <w:rPr>
          <w:sz w:val="24"/>
          <w:szCs w:val="24"/>
        </w:rPr>
        <w:t>be done when considering auditing with the support of specialist</w:t>
      </w:r>
      <w:r>
        <w:rPr>
          <w:sz w:val="24"/>
          <w:szCs w:val="24"/>
        </w:rPr>
        <w:t>s</w:t>
      </w:r>
      <w:r w:rsidRPr="00FC66C7">
        <w:rPr>
          <w:sz w:val="24"/>
          <w:szCs w:val="24"/>
        </w:rPr>
        <w:t xml:space="preserve"> like MIND and B</w:t>
      </w:r>
      <w:r w:rsidR="002328CC">
        <w:rPr>
          <w:sz w:val="24"/>
          <w:szCs w:val="24"/>
        </w:rPr>
        <w:t>usiness</w:t>
      </w:r>
      <w:r w:rsidRPr="00FC66C7">
        <w:rPr>
          <w:sz w:val="24"/>
          <w:szCs w:val="24"/>
        </w:rPr>
        <w:t xml:space="preserve"> Disability Forum who also help change the lives on mental health suffers through working with employers, suffer</w:t>
      </w:r>
      <w:r>
        <w:rPr>
          <w:sz w:val="24"/>
          <w:szCs w:val="24"/>
        </w:rPr>
        <w:t>ers</w:t>
      </w:r>
      <w:r w:rsidRPr="00FC66C7">
        <w:rPr>
          <w:sz w:val="24"/>
          <w:szCs w:val="24"/>
        </w:rPr>
        <w:t xml:space="preserve">, </w:t>
      </w:r>
      <w:r w:rsidR="003B7D69" w:rsidRPr="00FC66C7">
        <w:rPr>
          <w:sz w:val="24"/>
          <w:szCs w:val="24"/>
        </w:rPr>
        <w:t>society,</w:t>
      </w:r>
      <w:r w:rsidRPr="00FC66C7">
        <w:rPr>
          <w:sz w:val="24"/>
          <w:szCs w:val="24"/>
        </w:rPr>
        <w:t xml:space="preserve"> and policy makers. Management teams also need more education, more robust </w:t>
      </w:r>
      <w:r w:rsidR="003B7D69" w:rsidRPr="00FC66C7">
        <w:rPr>
          <w:sz w:val="24"/>
          <w:szCs w:val="24"/>
        </w:rPr>
        <w:t>processes,</w:t>
      </w:r>
      <w:r w:rsidRPr="00FC66C7">
        <w:rPr>
          <w:sz w:val="24"/>
          <w:szCs w:val="24"/>
        </w:rPr>
        <w:t xml:space="preserve"> and compliance to address feedback. The seamless introduction of comprehensive and tailored training </w:t>
      </w:r>
      <w:r w:rsidR="003B7D69" w:rsidRPr="00FC66C7">
        <w:rPr>
          <w:sz w:val="24"/>
          <w:szCs w:val="24"/>
        </w:rPr>
        <w:t>remains</w:t>
      </w:r>
      <w:r w:rsidRPr="00FC66C7">
        <w:rPr>
          <w:sz w:val="24"/>
          <w:szCs w:val="24"/>
        </w:rPr>
        <w:t xml:space="preserve"> slow </w:t>
      </w:r>
      <w:r>
        <w:rPr>
          <w:sz w:val="24"/>
          <w:szCs w:val="24"/>
        </w:rPr>
        <w:t>to</w:t>
      </w:r>
      <w:r w:rsidRPr="00FC66C7">
        <w:rPr>
          <w:sz w:val="24"/>
          <w:szCs w:val="24"/>
        </w:rPr>
        <w:t xml:space="preserve"> progress</w:t>
      </w:r>
      <w:r>
        <w:rPr>
          <w:sz w:val="24"/>
          <w:szCs w:val="24"/>
        </w:rPr>
        <w:t>.</w:t>
      </w:r>
    </w:p>
    <w:p w14:paraId="5810A43A" w14:textId="77777777" w:rsidR="00A97557" w:rsidRPr="00FC66C7" w:rsidRDefault="00A97557" w:rsidP="00837A73">
      <w:pPr>
        <w:pStyle w:val="CommentText"/>
        <w:jc w:val="both"/>
        <w:rPr>
          <w:rFonts w:cstheme="minorHAnsi"/>
          <w:sz w:val="24"/>
          <w:szCs w:val="24"/>
        </w:rPr>
      </w:pPr>
    </w:p>
    <w:p w14:paraId="68282036" w14:textId="7CA559F0" w:rsidR="00271A7A" w:rsidRPr="00C717BB" w:rsidRDefault="00A97557" w:rsidP="00C717BB">
      <w:pPr>
        <w:spacing w:line="360" w:lineRule="auto"/>
        <w:jc w:val="both"/>
        <w:rPr>
          <w:rFonts w:cstheme="minorHAnsi"/>
        </w:rPr>
      </w:pPr>
      <w:r w:rsidRPr="00117547">
        <w:rPr>
          <w:rFonts w:cstheme="minorHAnsi"/>
        </w:rPr>
        <w:t>This essay has argued that debates in relation to the social inclusion of those suffering with mental health conditions has changed from an historical model based largely on exclusion to</w:t>
      </w:r>
      <w:r w:rsidR="00144310">
        <w:rPr>
          <w:rFonts w:cstheme="minorHAnsi"/>
        </w:rPr>
        <w:t xml:space="preserve"> </w:t>
      </w:r>
      <w:r w:rsidRPr="00117547">
        <w:rPr>
          <w:rFonts w:cstheme="minorHAnsi"/>
        </w:rPr>
        <w:t xml:space="preserve">increasingly sympathetic legislation driven by a focus on work. This saw the coalescence of social and governmental concerns about work to fuel economic success with evidence that work has a therapeutic function for sufferers. This shift to workplace inclusion </w:t>
      </w:r>
      <w:r>
        <w:rPr>
          <w:rFonts w:cstheme="minorHAnsi"/>
        </w:rPr>
        <w:t xml:space="preserve">is </w:t>
      </w:r>
      <w:r w:rsidRPr="00117547">
        <w:rPr>
          <w:rFonts w:cstheme="minorHAnsi"/>
        </w:rPr>
        <w:t>supported by increasing wider understanding of both the prevalence of mental illness, concerted efforts to reduce stigma for sufferers through legal and media avenues and what I would argue is a multi-disciplinary approach to supporting people with mental illness to access and succeed at work.</w:t>
      </w:r>
      <w:r>
        <w:rPr>
          <w:rFonts w:cstheme="minorHAnsi"/>
        </w:rPr>
        <w:t xml:space="preserve"> </w:t>
      </w:r>
      <w:r w:rsidRPr="00117547">
        <w:rPr>
          <w:rFonts w:cstheme="minorHAnsi"/>
        </w:rPr>
        <w:t xml:space="preserve">This includes the role of charities in both advising sufferers and increasingly working with employers and particular industries to recognise the value of sufferers in the workplace and to maintain a mentally well workforce. Despite such interventions there remain cases where sufferers encounter problems in the workplace. Much evidence suggests that those who hold employers accountable find the law finds in their favour as demonstrated by the examples discussed above. However, there are groups that may still find many aspects of this difficult, particularly communities for whom a greater stigma remains. </w:t>
      </w:r>
      <w:r w:rsidR="00837A73">
        <w:rPr>
          <w:rFonts w:cstheme="minorHAnsi"/>
        </w:rPr>
        <w:t>B</w:t>
      </w:r>
      <w:r w:rsidR="00423921" w:rsidRPr="00117547">
        <w:rPr>
          <w:rFonts w:cstheme="minorHAnsi"/>
        </w:rPr>
        <w:t>y increasing wider understanding of both the prevalence of mental illness, concerted efforts to reduce stigma for suffere</w:t>
      </w:r>
      <w:r w:rsidR="006B7516" w:rsidRPr="00117547">
        <w:rPr>
          <w:rFonts w:cstheme="minorHAnsi"/>
        </w:rPr>
        <w:t>rs through legal and media avenues and what I would argue is a multi-disciplinary approach to supporting people with mental illness to access and succeed at work.</w:t>
      </w:r>
      <w:r w:rsidR="00744D71">
        <w:rPr>
          <w:rFonts w:cstheme="minorHAnsi"/>
        </w:rPr>
        <w:t xml:space="preserve"> </w:t>
      </w:r>
      <w:r w:rsidR="006B7516" w:rsidRPr="00117547">
        <w:rPr>
          <w:rFonts w:cstheme="minorHAnsi"/>
        </w:rPr>
        <w:t>This includes the role of charities in both advising sufferers and increasingly working with employers and particular industries to recognise the value of sufferers in the workplace and to maintain a mentally well workforce.</w:t>
      </w:r>
      <w:r w:rsidR="00F06ABD" w:rsidRPr="00117547">
        <w:rPr>
          <w:rFonts w:cstheme="minorHAnsi"/>
        </w:rPr>
        <w:t xml:space="preserve"> </w:t>
      </w:r>
      <w:r w:rsidR="006B7516" w:rsidRPr="00117547">
        <w:rPr>
          <w:rFonts w:cstheme="minorHAnsi"/>
        </w:rPr>
        <w:t xml:space="preserve">Despite such interventions there remain cases where sufferers encounter problems in the workplace. Much evidence </w:t>
      </w:r>
      <w:r w:rsidR="00744D71" w:rsidRPr="00117547">
        <w:rPr>
          <w:rFonts w:cstheme="minorHAnsi"/>
        </w:rPr>
        <w:t>suggests</w:t>
      </w:r>
      <w:r w:rsidR="006B7516" w:rsidRPr="00117547">
        <w:rPr>
          <w:rFonts w:cstheme="minorHAnsi"/>
        </w:rPr>
        <w:t xml:space="preserve"> that those who hold employers accountable find the law finds in their favour as demonstrated by the examples </w:t>
      </w:r>
      <w:r w:rsidR="006B7516" w:rsidRPr="00117547">
        <w:rPr>
          <w:rFonts w:cstheme="minorHAnsi"/>
        </w:rPr>
        <w:lastRenderedPageBreak/>
        <w:t>discussed above. However, there are groups that may still find many aspects of this difficult</w:t>
      </w:r>
      <w:r w:rsidR="000468A5" w:rsidRPr="00117547">
        <w:rPr>
          <w:rFonts w:cstheme="minorHAnsi"/>
        </w:rPr>
        <w:t xml:space="preserve">, particularly </w:t>
      </w:r>
      <w:r w:rsidR="006B7516" w:rsidRPr="00117547">
        <w:rPr>
          <w:rFonts w:cstheme="minorHAnsi"/>
        </w:rPr>
        <w:t>communities for whom a greater stigma remains</w:t>
      </w:r>
      <w:r w:rsidR="008E333C" w:rsidRPr="00117547">
        <w:rPr>
          <w:rFonts w:cstheme="minorHAnsi"/>
        </w:rPr>
        <w:t>.</w:t>
      </w:r>
      <w:r w:rsidR="006B7516" w:rsidRPr="00117547">
        <w:rPr>
          <w:rFonts w:cstheme="minorHAnsi"/>
        </w:rPr>
        <w:t xml:space="preserve"> </w:t>
      </w:r>
    </w:p>
    <w:p w14:paraId="1C9FF3BD" w14:textId="6564D40F" w:rsidR="00172354" w:rsidRPr="002032BF" w:rsidRDefault="00172354" w:rsidP="00172354">
      <w:pPr>
        <w:widowControl w:val="0"/>
        <w:autoSpaceDE w:val="0"/>
        <w:autoSpaceDN w:val="0"/>
        <w:adjustRightInd w:val="0"/>
        <w:spacing w:before="240"/>
        <w:rPr>
          <w:rFonts w:cstheme="minorHAnsi"/>
          <w:u w:val="single"/>
          <w:lang w:val="en-US"/>
        </w:rPr>
      </w:pPr>
      <w:r w:rsidRPr="002032BF">
        <w:rPr>
          <w:rFonts w:cstheme="minorHAnsi"/>
          <w:u w:val="single"/>
          <w:lang w:val="en-US"/>
        </w:rPr>
        <w:t>Reference list</w:t>
      </w:r>
      <w:bookmarkStart w:id="2" w:name="_GoBack"/>
      <w:bookmarkEnd w:id="2"/>
    </w:p>
    <w:p w14:paraId="06F87556" w14:textId="77777777" w:rsidR="00841ED4" w:rsidRPr="00841ED4" w:rsidRDefault="00841ED4" w:rsidP="00841ED4">
      <w:pPr>
        <w:widowControl w:val="0"/>
        <w:autoSpaceDE w:val="0"/>
        <w:autoSpaceDN w:val="0"/>
        <w:adjustRightInd w:val="0"/>
        <w:spacing w:before="240"/>
        <w:rPr>
          <w:rFonts w:cstheme="minorHAnsi"/>
          <w:sz w:val="20"/>
          <w:szCs w:val="20"/>
          <w:lang w:val="en-US"/>
        </w:rPr>
      </w:pPr>
    </w:p>
    <w:p w14:paraId="7076633C" w14:textId="2A86E493" w:rsidR="00841ED4" w:rsidRPr="00841ED4" w:rsidRDefault="00841ED4" w:rsidP="00841ED4">
      <w:pPr>
        <w:spacing w:after="240"/>
        <w:rPr>
          <w:rFonts w:eastAsia="Times New Roman" w:cstheme="minorHAnsi"/>
          <w:sz w:val="20"/>
          <w:szCs w:val="20"/>
          <w:lang w:eastAsia="en-GB"/>
        </w:rPr>
      </w:pPr>
      <w:r w:rsidRPr="00841ED4">
        <w:rPr>
          <w:rFonts w:eastAsia="Times New Roman" w:cstheme="minorHAnsi"/>
          <w:sz w:val="20"/>
          <w:szCs w:val="20"/>
          <w:lang w:eastAsia="en-GB"/>
        </w:rPr>
        <w:t xml:space="preserve">ACAS (2018). </w:t>
      </w:r>
      <w:r w:rsidRPr="00841ED4">
        <w:rPr>
          <w:rFonts w:eastAsia="Times New Roman" w:cstheme="minorHAnsi"/>
          <w:i/>
          <w:iCs/>
          <w:sz w:val="20"/>
          <w:szCs w:val="20"/>
          <w:lang w:eastAsia="en-GB"/>
        </w:rPr>
        <w:t>Time off because of a mental health issue: Absence from work - Acas</w:t>
      </w:r>
      <w:r w:rsidRPr="00841ED4">
        <w:rPr>
          <w:rFonts w:eastAsia="Times New Roman" w:cstheme="minorHAnsi"/>
          <w:sz w:val="20"/>
          <w:szCs w:val="20"/>
          <w:lang w:eastAsia="en-GB"/>
        </w:rPr>
        <w:t>. [online] www.acas.org.uk. Available at: https://www.acas.org.uk/absence-from-work/time-off-because-of-a-mental-health-issue [Accessed 19 Jan. 2023].</w:t>
      </w:r>
    </w:p>
    <w:p w14:paraId="3F565DD8" w14:textId="04BA0C4C"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Arthur, C. and Paton, L. (1961). </w:t>
      </w:r>
      <w:r w:rsidRPr="002032BF">
        <w:rPr>
          <w:rFonts w:cstheme="minorHAnsi"/>
          <w:i/>
          <w:iCs/>
          <w:sz w:val="20"/>
          <w:szCs w:val="20"/>
          <w:lang w:val="en-US"/>
        </w:rPr>
        <w:t>First world mental health year: a record</w:t>
      </w:r>
      <w:r w:rsidRPr="002032BF">
        <w:rPr>
          <w:rFonts w:cstheme="minorHAnsi"/>
          <w:sz w:val="20"/>
          <w:szCs w:val="20"/>
          <w:lang w:val="en-US"/>
        </w:rPr>
        <w:t>. London: The World Federation for Mental Health, pp.32–47. " (160 pages), edited by Arthur C. L. Paton, was published: [London] by the World Federation for Mental Health in 1961, and with a supplement in 1962.</w:t>
      </w:r>
    </w:p>
    <w:p w14:paraId="6F5B0C8B" w14:textId="33B6934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Baumgartner, J.N. and Burns, J.K. (2013). Measuring social inclusion--a key outcome in global mental health. </w:t>
      </w:r>
      <w:r w:rsidRPr="002032BF">
        <w:rPr>
          <w:rFonts w:cstheme="minorHAnsi"/>
          <w:i/>
          <w:iCs/>
          <w:sz w:val="20"/>
          <w:szCs w:val="20"/>
          <w:lang w:val="en-US"/>
        </w:rPr>
        <w:t>International Journal of Epidemiology</w:t>
      </w:r>
      <w:r w:rsidRPr="002032BF">
        <w:rPr>
          <w:rFonts w:cstheme="minorHAnsi"/>
          <w:sz w:val="20"/>
          <w:szCs w:val="20"/>
          <w:lang w:val="en-US"/>
        </w:rPr>
        <w:t>, [online] 43(2), pp.354–364. doi:</w:t>
      </w:r>
      <w:hyperlink r:id="rId21" w:history="1">
        <w:r w:rsidRPr="002032BF">
          <w:rPr>
            <w:rFonts w:cstheme="minorHAnsi"/>
            <w:sz w:val="20"/>
            <w:szCs w:val="20"/>
            <w:lang w:val="en-US"/>
          </w:rPr>
          <w:t>10.1093/ije/dyt224</w:t>
        </w:r>
      </w:hyperlink>
      <w:r w:rsidRPr="002032BF">
        <w:rPr>
          <w:rFonts w:cstheme="minorHAnsi"/>
          <w:sz w:val="20"/>
          <w:szCs w:val="20"/>
          <w:lang w:val="en-US"/>
        </w:rPr>
        <w:t>.</w:t>
      </w:r>
    </w:p>
    <w:p w14:paraId="12FD31FA"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BITC (2019). </w:t>
      </w:r>
      <w:r w:rsidRPr="002032BF">
        <w:rPr>
          <w:rFonts w:cstheme="minorHAnsi"/>
          <w:i/>
          <w:iCs/>
          <w:sz w:val="20"/>
          <w:szCs w:val="20"/>
          <w:lang w:val="en-US"/>
        </w:rPr>
        <w:t>In partnership with and the Wellbeing Leadership Team TIME TO TAKE OWNERSHIP</w:t>
      </w:r>
      <w:r w:rsidRPr="002032BF">
        <w:rPr>
          <w:rFonts w:cstheme="minorHAnsi"/>
          <w:sz w:val="20"/>
          <w:szCs w:val="20"/>
          <w:lang w:val="en-US"/>
        </w:rPr>
        <w:t xml:space="preserve">. [online] Available at: </w:t>
      </w:r>
      <w:hyperlink r:id="rId22" w:history="1">
        <w:r w:rsidRPr="002032BF">
          <w:rPr>
            <w:rFonts w:cstheme="minorHAnsi"/>
            <w:sz w:val="20"/>
            <w:szCs w:val="20"/>
            <w:lang w:val="en-US"/>
          </w:rPr>
          <w:t>https://www.bitc.org.uk/wp-content/uploads/2019/10/bitc-wellbeing-report-mhawmentalhealthworkfullreport2019-sept2019-2.pdf</w:t>
        </w:r>
      </w:hyperlink>
      <w:r w:rsidRPr="002032BF">
        <w:rPr>
          <w:rFonts w:cstheme="minorHAnsi"/>
          <w:sz w:val="20"/>
          <w:szCs w:val="20"/>
          <w:lang w:val="en-US"/>
        </w:rPr>
        <w:t>.</w:t>
      </w:r>
    </w:p>
    <w:p w14:paraId="1672F281"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Boushey, H., Fremstad, S., Gragg, R. and Walker, M. (2007). </w:t>
      </w:r>
      <w:r w:rsidRPr="002032BF">
        <w:rPr>
          <w:rFonts w:cstheme="minorHAnsi"/>
          <w:i/>
          <w:iCs/>
          <w:sz w:val="20"/>
          <w:szCs w:val="20"/>
          <w:lang w:val="en-US"/>
        </w:rPr>
        <w:t>Personal trainer | INCLUSIONIST -Washington, DC: Centre for Economic Policy and Research.</w:t>
      </w:r>
      <w:r w:rsidRPr="002032BF">
        <w:rPr>
          <w:rFonts w:cstheme="minorHAnsi"/>
          <w:sz w:val="20"/>
          <w:szCs w:val="20"/>
          <w:lang w:val="en-US"/>
        </w:rPr>
        <w:t xml:space="preserve"> [online] www.inclusionist.org. Available at: </w:t>
      </w:r>
      <w:hyperlink r:id="rId23" w:history="1">
        <w:r w:rsidRPr="002032BF">
          <w:rPr>
            <w:rFonts w:cstheme="minorHAnsi"/>
            <w:sz w:val="20"/>
            <w:szCs w:val="20"/>
            <w:lang w:val="en-US"/>
          </w:rPr>
          <w:t>http://www.inclusionist.org/files/socialinclusionusa.pdf</w:t>
        </w:r>
      </w:hyperlink>
      <w:r w:rsidRPr="002032BF">
        <w:rPr>
          <w:rFonts w:cstheme="minorHAnsi"/>
          <w:sz w:val="20"/>
          <w:szCs w:val="20"/>
          <w:lang w:val="en-US"/>
        </w:rPr>
        <w:t xml:space="preserve"> [Accessed 29 Jan. 2023].</w:t>
      </w:r>
    </w:p>
    <w:p w14:paraId="52CDF88F" w14:textId="708B5F79" w:rsidR="00172354" w:rsidRPr="002032BF" w:rsidRDefault="009B089A"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Commission</w:t>
      </w:r>
      <w:r w:rsidR="00172354" w:rsidRPr="002032BF">
        <w:rPr>
          <w:rFonts w:cstheme="minorHAnsi"/>
          <w:sz w:val="20"/>
          <w:szCs w:val="20"/>
          <w:lang w:val="en-US"/>
        </w:rPr>
        <w:t xml:space="preserve">, E. (2004). </w:t>
      </w:r>
      <w:r w:rsidR="00172354" w:rsidRPr="002032BF">
        <w:rPr>
          <w:rFonts w:cstheme="minorHAnsi"/>
          <w:i/>
          <w:iCs/>
          <w:sz w:val="20"/>
          <w:szCs w:val="20"/>
          <w:lang w:val="en-US"/>
        </w:rPr>
        <w:t>Joint report on social inclusion. Brussels, Belgium: Council of the European Union.</w:t>
      </w:r>
      <w:r w:rsidR="00172354" w:rsidRPr="002032BF">
        <w:rPr>
          <w:rFonts w:cstheme="minorHAnsi"/>
          <w:sz w:val="20"/>
          <w:szCs w:val="20"/>
          <w:lang w:val="en-US"/>
        </w:rPr>
        <w:t xml:space="preserve"> European Commission.</w:t>
      </w:r>
    </w:p>
    <w:p w14:paraId="42C55A8B" w14:textId="4C73B36C" w:rsidR="00172354"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Council, T.H. (2009). </w:t>
      </w:r>
      <w:r w:rsidRPr="002032BF">
        <w:rPr>
          <w:rFonts w:cstheme="minorHAnsi"/>
          <w:i/>
          <w:iCs/>
          <w:sz w:val="20"/>
          <w:szCs w:val="20"/>
          <w:lang w:val="en-US"/>
        </w:rPr>
        <w:t>Mental health and wellbeing</w:t>
      </w:r>
      <w:r w:rsidRPr="002032BF">
        <w:rPr>
          <w:rFonts w:cstheme="minorHAnsi"/>
          <w:sz w:val="20"/>
          <w:szCs w:val="20"/>
          <w:lang w:val="en-US"/>
        </w:rPr>
        <w:t xml:space="preserve">. [online] www.towerhamlets.gov.uk. Available at: </w:t>
      </w:r>
      <w:hyperlink r:id="rId24" w:history="1">
        <w:r w:rsidRPr="002032BF">
          <w:rPr>
            <w:rFonts w:cstheme="minorHAnsi"/>
            <w:sz w:val="20"/>
            <w:szCs w:val="20"/>
            <w:lang w:val="en-US"/>
          </w:rPr>
          <w:t>https://www.towerhamlets.gov.uk/lgnl/health__social_care/public_health/mental_wellbeing.aspx</w:t>
        </w:r>
      </w:hyperlink>
      <w:r w:rsidRPr="002032BF">
        <w:rPr>
          <w:rFonts w:cstheme="minorHAnsi"/>
          <w:sz w:val="20"/>
          <w:szCs w:val="20"/>
          <w:lang w:val="en-US"/>
        </w:rPr>
        <w:t>.</w:t>
      </w:r>
    </w:p>
    <w:p w14:paraId="3E6BA3F4" w14:textId="77777777" w:rsidR="002853C1" w:rsidRDefault="002853C1" w:rsidP="002853C1">
      <w:pPr>
        <w:rPr>
          <w:sz w:val="20"/>
          <w:szCs w:val="20"/>
        </w:rPr>
      </w:pPr>
    </w:p>
    <w:p w14:paraId="0DB70A28" w14:textId="423ABDE6" w:rsidR="002853C1" w:rsidRPr="002853C1" w:rsidRDefault="002853C1" w:rsidP="002853C1">
      <w:pPr>
        <w:rPr>
          <w:sz w:val="20"/>
          <w:szCs w:val="20"/>
        </w:rPr>
      </w:pPr>
      <w:r w:rsidRPr="002853C1">
        <w:rPr>
          <w:sz w:val="20"/>
          <w:szCs w:val="20"/>
        </w:rPr>
        <w:t>Dunn, C. (1999) The service user/survivor movement. In: This is Madness: A Critical Look at Psychiatry and the Future of Mental Health Services. (eds Newnes C., Holmes G. &amp; Dunn C.), pp. 195–209. PCCS Books, Ross-on-Wye.</w:t>
      </w:r>
    </w:p>
    <w:p w14:paraId="282F631C"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Dobson, F. and Jowell, T. (1998). </w:t>
      </w:r>
      <w:r w:rsidRPr="002032BF">
        <w:rPr>
          <w:rFonts w:cstheme="minorHAnsi"/>
          <w:i/>
          <w:iCs/>
          <w:sz w:val="20"/>
          <w:szCs w:val="20"/>
          <w:lang w:val="en-US"/>
        </w:rPr>
        <w:t>Our Healthier Nation A Contract for Health</w:t>
      </w:r>
      <w:r w:rsidRPr="002032BF">
        <w:rPr>
          <w:rFonts w:cstheme="minorHAnsi"/>
          <w:sz w:val="20"/>
          <w:szCs w:val="20"/>
          <w:lang w:val="en-US"/>
        </w:rPr>
        <w:t xml:space="preserve">. [online] London, The Stationery Office, 1998).: assets.publishing.service.gov.uk. Available at: </w:t>
      </w:r>
      <w:hyperlink r:id="rId25" w:history="1">
        <w:r w:rsidRPr="002032BF">
          <w:rPr>
            <w:rFonts w:cstheme="minorHAnsi"/>
            <w:sz w:val="20"/>
            <w:szCs w:val="20"/>
            <w:lang w:val="en-US"/>
          </w:rPr>
          <w:t>https://assets.publishing.service.gov.uk/government/uploads/system/uploads/attachment_data/file/265721/title.pdf</w:t>
        </w:r>
      </w:hyperlink>
      <w:r w:rsidRPr="002032BF">
        <w:rPr>
          <w:rFonts w:cstheme="minorHAnsi"/>
          <w:sz w:val="20"/>
          <w:szCs w:val="20"/>
          <w:lang w:val="en-US"/>
        </w:rPr>
        <w:t>.</w:t>
      </w:r>
    </w:p>
    <w:p w14:paraId="3CF9F021" w14:textId="43476A05"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Filia, K.M., Jackson, H.J., Cotton, S.M., Gardner, A. and Killackey, E.J. (2018). What is social inclusion? A thematic analysis of professional opinion. </w:t>
      </w:r>
      <w:r w:rsidRPr="002032BF">
        <w:rPr>
          <w:rFonts w:cstheme="minorHAnsi"/>
          <w:i/>
          <w:iCs/>
          <w:sz w:val="20"/>
          <w:szCs w:val="20"/>
          <w:lang w:val="en-US"/>
        </w:rPr>
        <w:t>Psychiatric Rehabilitation Journal</w:t>
      </w:r>
      <w:r w:rsidRPr="002032BF">
        <w:rPr>
          <w:rFonts w:cstheme="minorHAnsi"/>
          <w:sz w:val="20"/>
          <w:szCs w:val="20"/>
          <w:lang w:val="en-US"/>
        </w:rPr>
        <w:t>, 41(3), pp.183–195. doi:</w:t>
      </w:r>
      <w:hyperlink r:id="rId26" w:history="1">
        <w:r w:rsidRPr="002032BF">
          <w:rPr>
            <w:rFonts w:cstheme="minorHAnsi"/>
            <w:sz w:val="20"/>
            <w:szCs w:val="20"/>
            <w:lang w:val="en-US"/>
          </w:rPr>
          <w:t>10.1037/prj0000304</w:t>
        </w:r>
      </w:hyperlink>
      <w:r w:rsidRPr="002032BF">
        <w:rPr>
          <w:rFonts w:cstheme="minorHAnsi"/>
          <w:sz w:val="20"/>
          <w:szCs w:val="20"/>
          <w:lang w:val="en-US"/>
        </w:rPr>
        <w:t>.</w:t>
      </w:r>
    </w:p>
    <w:p w14:paraId="5B7DFC5A" w14:textId="6762A114"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Floyd, K., Veksler, A.E., McEwan, B., Hesse, C., Boren, J.P., Dinsmore, D.R. and Pavlich, C.A. (2016). Social Inclusion Predicts Lower Blood Glucose and Low-Density Lipoproteins in Healthy Adults. </w:t>
      </w:r>
      <w:r w:rsidRPr="002032BF">
        <w:rPr>
          <w:rFonts w:cstheme="minorHAnsi"/>
          <w:i/>
          <w:iCs/>
          <w:sz w:val="20"/>
          <w:szCs w:val="20"/>
          <w:lang w:val="en-US"/>
        </w:rPr>
        <w:t>Health Communication</w:t>
      </w:r>
      <w:r w:rsidRPr="002032BF">
        <w:rPr>
          <w:rFonts w:cstheme="minorHAnsi"/>
          <w:sz w:val="20"/>
          <w:szCs w:val="20"/>
          <w:lang w:val="en-US"/>
        </w:rPr>
        <w:t>, 32(8), pp.1039–1042. doi:</w:t>
      </w:r>
      <w:hyperlink r:id="rId27" w:history="1">
        <w:r w:rsidRPr="002032BF">
          <w:rPr>
            <w:rFonts w:cstheme="minorHAnsi"/>
            <w:sz w:val="20"/>
            <w:szCs w:val="20"/>
            <w:lang w:val="en-US"/>
          </w:rPr>
          <w:t>10.1080/10410236.2016.1196423</w:t>
        </w:r>
      </w:hyperlink>
      <w:r w:rsidRPr="002032BF">
        <w:rPr>
          <w:rFonts w:cstheme="minorHAnsi"/>
          <w:sz w:val="20"/>
          <w:szCs w:val="20"/>
          <w:lang w:val="en-US"/>
        </w:rPr>
        <w:t>.</w:t>
      </w:r>
    </w:p>
    <w:p w14:paraId="0B46E4C9"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Fry, N. (2016). </w:t>
      </w:r>
      <w:r w:rsidRPr="002032BF">
        <w:rPr>
          <w:rFonts w:cstheme="minorHAnsi"/>
          <w:i/>
          <w:iCs/>
          <w:sz w:val="20"/>
          <w:szCs w:val="20"/>
          <w:lang w:val="en-US"/>
        </w:rPr>
        <w:t>Employing people with OCD in England &amp; Wales</w:t>
      </w:r>
      <w:r w:rsidRPr="002032BF">
        <w:rPr>
          <w:rFonts w:cstheme="minorHAnsi"/>
          <w:sz w:val="20"/>
          <w:szCs w:val="20"/>
          <w:lang w:val="en-US"/>
        </w:rPr>
        <w:t xml:space="preserve">. [online] </w:t>
      </w:r>
      <w:r w:rsidRPr="002032BF">
        <w:rPr>
          <w:rFonts w:cstheme="minorHAnsi"/>
          <w:i/>
          <w:iCs/>
          <w:sz w:val="20"/>
          <w:szCs w:val="20"/>
          <w:lang w:val="en-US"/>
        </w:rPr>
        <w:t>ocdaction.org.uk</w:t>
      </w:r>
      <w:r w:rsidRPr="002032BF">
        <w:rPr>
          <w:rFonts w:cstheme="minorHAnsi"/>
          <w:sz w:val="20"/>
          <w:szCs w:val="20"/>
          <w:lang w:val="en-US"/>
        </w:rPr>
        <w:t xml:space="preserve">. Available at: </w:t>
      </w:r>
      <w:hyperlink r:id="rId28" w:history="1">
        <w:r w:rsidRPr="002032BF">
          <w:rPr>
            <w:rFonts w:cstheme="minorHAnsi"/>
            <w:sz w:val="20"/>
            <w:szCs w:val="20"/>
            <w:lang w:val="en-US"/>
          </w:rPr>
          <w:t>https://ocdaction.org.uk/wp-content/uploads/2019/12/employing_people_with_ocd_0916_1.pdf</w:t>
        </w:r>
      </w:hyperlink>
      <w:r w:rsidRPr="002032BF">
        <w:rPr>
          <w:rFonts w:cstheme="minorHAnsi"/>
          <w:sz w:val="20"/>
          <w:szCs w:val="20"/>
          <w:lang w:val="en-US"/>
        </w:rPr>
        <w:t xml:space="preserve"> [Accessed 9 Jan. 2023].</w:t>
      </w:r>
    </w:p>
    <w:p w14:paraId="39C3AF90" w14:textId="40ACE3D9" w:rsidR="00172354"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GOV.UK (1995). </w:t>
      </w:r>
      <w:r w:rsidRPr="002032BF">
        <w:rPr>
          <w:rFonts w:cstheme="minorHAnsi"/>
          <w:i/>
          <w:iCs/>
          <w:sz w:val="20"/>
          <w:szCs w:val="20"/>
          <w:lang w:val="en-US"/>
        </w:rPr>
        <w:t>Disability Discrimination Act 1995</w:t>
      </w:r>
      <w:r w:rsidRPr="002032BF">
        <w:rPr>
          <w:rFonts w:cstheme="minorHAnsi"/>
          <w:sz w:val="20"/>
          <w:szCs w:val="20"/>
          <w:lang w:val="en-US"/>
        </w:rPr>
        <w:t xml:space="preserve">. [online] Legislation.gov.uk. Available at: </w:t>
      </w:r>
      <w:hyperlink r:id="rId29" w:history="1">
        <w:r w:rsidRPr="002032BF">
          <w:rPr>
            <w:rFonts w:cstheme="minorHAnsi"/>
            <w:sz w:val="20"/>
            <w:szCs w:val="20"/>
            <w:lang w:val="en-US"/>
          </w:rPr>
          <w:t>https://www.legislation.gov.uk/ukpga/1995/50/contents</w:t>
        </w:r>
      </w:hyperlink>
      <w:r w:rsidRPr="002032BF">
        <w:rPr>
          <w:rFonts w:cstheme="minorHAnsi"/>
          <w:sz w:val="20"/>
          <w:szCs w:val="20"/>
          <w:lang w:val="en-US"/>
        </w:rPr>
        <w:t xml:space="preserve"> [Accessed 3 Dec. 2022].</w:t>
      </w:r>
    </w:p>
    <w:p w14:paraId="43ADC928" w14:textId="4872C958" w:rsidR="009B089A" w:rsidRPr="00837A73" w:rsidRDefault="009B089A" w:rsidP="00172354">
      <w:pPr>
        <w:widowControl w:val="0"/>
        <w:autoSpaceDE w:val="0"/>
        <w:autoSpaceDN w:val="0"/>
        <w:adjustRightInd w:val="0"/>
        <w:spacing w:before="240"/>
        <w:rPr>
          <w:rFonts w:cstheme="minorHAnsi"/>
          <w:sz w:val="20"/>
          <w:szCs w:val="20"/>
          <w:lang w:val="en-US"/>
        </w:rPr>
      </w:pPr>
      <w:r w:rsidRPr="00837A73">
        <w:rPr>
          <w:rFonts w:cstheme="minorHAnsi"/>
          <w:sz w:val="20"/>
          <w:szCs w:val="20"/>
        </w:rPr>
        <w:lastRenderedPageBreak/>
        <w:t>Harder Times III’ (1975).</w:t>
      </w:r>
      <w:r w:rsidR="001B170B">
        <w:rPr>
          <w:rFonts w:cstheme="minorHAnsi"/>
          <w:sz w:val="20"/>
          <w:szCs w:val="20"/>
        </w:rPr>
        <w:t xml:space="preserve"> </w:t>
      </w:r>
      <w:r w:rsidR="00837A73">
        <w:rPr>
          <w:rFonts w:cstheme="minorHAnsi"/>
          <w:sz w:val="20"/>
          <w:szCs w:val="20"/>
        </w:rPr>
        <w:t>Conservative Party Report.</w:t>
      </w:r>
    </w:p>
    <w:p w14:paraId="2332F82A"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Heffernan, R. (2016). </w:t>
      </w:r>
      <w:r w:rsidRPr="002032BF">
        <w:rPr>
          <w:rFonts w:cstheme="minorHAnsi"/>
          <w:i/>
          <w:iCs/>
          <w:sz w:val="20"/>
          <w:szCs w:val="20"/>
          <w:lang w:val="en-US"/>
        </w:rPr>
        <w:t>Developments in British politics 10</w:t>
      </w:r>
      <w:r w:rsidRPr="002032BF">
        <w:rPr>
          <w:rFonts w:cstheme="minorHAnsi"/>
          <w:sz w:val="20"/>
          <w:szCs w:val="20"/>
          <w:lang w:val="en-US"/>
        </w:rPr>
        <w:t>. 10th ed. Basingstoke: Palgrave Macmillan, pp.81–99 221, 287.</w:t>
      </w:r>
    </w:p>
    <w:p w14:paraId="7567165B" w14:textId="5BCA14DF" w:rsidR="00172354"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Hurst, C.E., Fitz, H.M. and Nurse, A.M. (2016). </w:t>
      </w:r>
      <w:r w:rsidRPr="002032BF">
        <w:rPr>
          <w:rFonts w:cstheme="minorHAnsi"/>
          <w:i/>
          <w:iCs/>
          <w:sz w:val="20"/>
          <w:szCs w:val="20"/>
          <w:lang w:val="en-US"/>
        </w:rPr>
        <w:t>Social Inequality</w:t>
      </w:r>
      <w:r w:rsidRPr="002032BF">
        <w:rPr>
          <w:rFonts w:cstheme="minorHAnsi"/>
          <w:sz w:val="20"/>
          <w:szCs w:val="20"/>
          <w:lang w:val="en-US"/>
        </w:rPr>
        <w:t>. Routledge.</w:t>
      </w:r>
    </w:p>
    <w:p w14:paraId="728F8853" w14:textId="7036F6FD" w:rsidR="00080F32" w:rsidRPr="001A6BA0" w:rsidRDefault="001A6BA0" w:rsidP="00172354">
      <w:pPr>
        <w:widowControl w:val="0"/>
        <w:autoSpaceDE w:val="0"/>
        <w:autoSpaceDN w:val="0"/>
        <w:adjustRightInd w:val="0"/>
        <w:spacing w:before="240"/>
        <w:rPr>
          <w:rFonts w:cstheme="minorHAnsi"/>
          <w:color w:val="FF0000"/>
          <w:sz w:val="20"/>
          <w:szCs w:val="20"/>
        </w:rPr>
      </w:pPr>
      <w:r w:rsidRPr="001A6BA0">
        <w:rPr>
          <w:rFonts w:cstheme="minorHAnsi"/>
          <w:color w:val="222222"/>
          <w:sz w:val="20"/>
          <w:szCs w:val="20"/>
          <w:shd w:val="clear" w:color="auto" w:fill="FFFFFF"/>
        </w:rPr>
        <w:t>Huxley, P., Goldberg, D., 2012. </w:t>
      </w:r>
      <w:r w:rsidRPr="001A6BA0">
        <w:rPr>
          <w:rFonts w:cstheme="minorHAnsi"/>
          <w:i/>
          <w:iCs/>
          <w:color w:val="222222"/>
          <w:sz w:val="20"/>
          <w:szCs w:val="20"/>
          <w:shd w:val="clear" w:color="auto" w:fill="FFFFFF"/>
        </w:rPr>
        <w:t>Mental illness in the community: the pathway to psychiatric care</w:t>
      </w:r>
      <w:r w:rsidRPr="001A6BA0">
        <w:rPr>
          <w:rFonts w:cstheme="minorHAnsi"/>
          <w:color w:val="222222"/>
          <w:sz w:val="20"/>
          <w:szCs w:val="20"/>
          <w:shd w:val="clear" w:color="auto" w:fill="FFFFFF"/>
        </w:rPr>
        <w:t>. Routledge</w:t>
      </w:r>
    </w:p>
    <w:p w14:paraId="51CD60C1" w14:textId="398C58A4" w:rsidR="009B089A" w:rsidRPr="001A6BA0" w:rsidRDefault="001A6BA0" w:rsidP="00172354">
      <w:pPr>
        <w:widowControl w:val="0"/>
        <w:autoSpaceDE w:val="0"/>
        <w:autoSpaceDN w:val="0"/>
        <w:adjustRightInd w:val="0"/>
        <w:spacing w:before="240"/>
        <w:rPr>
          <w:rFonts w:cstheme="minorHAnsi"/>
          <w:color w:val="FF0000"/>
          <w:sz w:val="20"/>
          <w:szCs w:val="20"/>
          <w:lang w:val="en-US"/>
        </w:rPr>
      </w:pPr>
      <w:r w:rsidRPr="001A6BA0">
        <w:rPr>
          <w:rFonts w:cstheme="minorHAnsi"/>
          <w:color w:val="222222"/>
          <w:sz w:val="20"/>
          <w:szCs w:val="20"/>
          <w:shd w:val="clear" w:color="auto" w:fill="FFFFFF"/>
        </w:rPr>
        <w:t xml:space="preserve">Huxley, P. and Thornicroft, G., 2003. Social inclusion, social </w:t>
      </w:r>
      <w:r w:rsidR="003E1751" w:rsidRPr="001A6BA0">
        <w:rPr>
          <w:rFonts w:cstheme="minorHAnsi"/>
          <w:color w:val="222222"/>
          <w:sz w:val="20"/>
          <w:szCs w:val="20"/>
          <w:shd w:val="clear" w:color="auto" w:fill="FFFFFF"/>
        </w:rPr>
        <w:t>quality,</w:t>
      </w:r>
      <w:r w:rsidRPr="001A6BA0">
        <w:rPr>
          <w:rFonts w:cstheme="minorHAnsi"/>
          <w:color w:val="222222"/>
          <w:sz w:val="20"/>
          <w:szCs w:val="20"/>
          <w:shd w:val="clear" w:color="auto" w:fill="FFFFFF"/>
        </w:rPr>
        <w:t xml:space="preserve"> and mental illness. </w:t>
      </w:r>
      <w:r w:rsidRPr="001A6BA0">
        <w:rPr>
          <w:rFonts w:cstheme="minorHAnsi"/>
          <w:i/>
          <w:iCs/>
          <w:color w:val="222222"/>
          <w:sz w:val="20"/>
          <w:szCs w:val="20"/>
          <w:shd w:val="clear" w:color="auto" w:fill="FFFFFF"/>
        </w:rPr>
        <w:t>The British Journal of Psychiatry</w:t>
      </w:r>
      <w:r w:rsidRPr="001A6BA0">
        <w:rPr>
          <w:rFonts w:cstheme="minorHAnsi"/>
          <w:color w:val="222222"/>
          <w:sz w:val="20"/>
          <w:szCs w:val="20"/>
          <w:shd w:val="clear" w:color="auto" w:fill="FFFFFF"/>
        </w:rPr>
        <w:t>, </w:t>
      </w:r>
      <w:r w:rsidRPr="001A6BA0">
        <w:rPr>
          <w:rFonts w:cstheme="minorHAnsi"/>
          <w:i/>
          <w:iCs/>
          <w:color w:val="222222"/>
          <w:sz w:val="20"/>
          <w:szCs w:val="20"/>
          <w:shd w:val="clear" w:color="auto" w:fill="FFFFFF"/>
        </w:rPr>
        <w:t>182</w:t>
      </w:r>
      <w:r w:rsidRPr="001A6BA0">
        <w:rPr>
          <w:rFonts w:cstheme="minorHAnsi"/>
          <w:color w:val="222222"/>
          <w:sz w:val="20"/>
          <w:szCs w:val="20"/>
          <w:shd w:val="clear" w:color="auto" w:fill="FFFFFF"/>
        </w:rPr>
        <w:t>(4), pp.289-290.</w:t>
      </w:r>
    </w:p>
    <w:p w14:paraId="0ED19C9E" w14:textId="2090DB3A"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Kirk, T. </w:t>
      </w:r>
      <w:r w:rsidR="001A6BA0">
        <w:rPr>
          <w:rFonts w:cstheme="minorHAnsi"/>
          <w:sz w:val="20"/>
          <w:szCs w:val="20"/>
          <w:lang w:val="en-US"/>
        </w:rPr>
        <w:t>,</w:t>
      </w:r>
      <w:r w:rsidRPr="002032BF">
        <w:rPr>
          <w:rFonts w:cstheme="minorHAnsi"/>
          <w:sz w:val="20"/>
          <w:szCs w:val="20"/>
          <w:lang w:val="en-US"/>
        </w:rPr>
        <w:t xml:space="preserve">2021. </w:t>
      </w:r>
      <w:r w:rsidRPr="002032BF">
        <w:rPr>
          <w:rFonts w:cstheme="minorHAnsi"/>
          <w:i/>
          <w:iCs/>
          <w:sz w:val="20"/>
          <w:szCs w:val="20"/>
          <w:lang w:val="en-US"/>
        </w:rPr>
        <w:t>Stockbroker made to sit on ‘naughty step’ after depression fight</w:t>
      </w:r>
      <w:r w:rsidRPr="002032BF">
        <w:rPr>
          <w:rFonts w:cstheme="minorHAnsi"/>
          <w:sz w:val="20"/>
          <w:szCs w:val="20"/>
          <w:lang w:val="en-US"/>
        </w:rPr>
        <w:t xml:space="preserve">. [online] Evening Standard. Available at: </w:t>
      </w:r>
      <w:hyperlink r:id="rId30" w:history="1">
        <w:r w:rsidRPr="002032BF">
          <w:rPr>
            <w:rFonts w:cstheme="minorHAnsi"/>
            <w:sz w:val="20"/>
            <w:szCs w:val="20"/>
            <w:lang w:val="en-US"/>
          </w:rPr>
          <w:t>https://www.standard.co.uk/news/uk/london-stockbroker-sunrise-brokers-depression-tribunal-naughty-step-b927361.html</w:t>
        </w:r>
      </w:hyperlink>
      <w:r w:rsidRPr="002032BF">
        <w:rPr>
          <w:rFonts w:cstheme="minorHAnsi"/>
          <w:sz w:val="20"/>
          <w:szCs w:val="20"/>
          <w:lang w:val="en-US"/>
        </w:rPr>
        <w:t xml:space="preserve"> [Accessed 9 Jan. 2023].</w:t>
      </w:r>
    </w:p>
    <w:p w14:paraId="2A173AE6" w14:textId="27487E3B" w:rsidR="001A6BA0" w:rsidRPr="001A6BA0" w:rsidRDefault="001A6BA0" w:rsidP="00172354">
      <w:pPr>
        <w:widowControl w:val="0"/>
        <w:autoSpaceDE w:val="0"/>
        <w:autoSpaceDN w:val="0"/>
        <w:adjustRightInd w:val="0"/>
        <w:spacing w:before="240"/>
        <w:rPr>
          <w:rFonts w:cstheme="minorHAnsi"/>
          <w:sz w:val="20"/>
          <w:szCs w:val="20"/>
          <w:lang w:val="en-US"/>
        </w:rPr>
      </w:pPr>
      <w:r w:rsidRPr="001A6BA0">
        <w:rPr>
          <w:rFonts w:cstheme="minorHAnsi"/>
          <w:color w:val="222222"/>
          <w:sz w:val="20"/>
          <w:szCs w:val="20"/>
          <w:shd w:val="clear" w:color="auto" w:fill="FFFFFF"/>
        </w:rPr>
        <w:t>Levitas, R., 1996. The concept of social exclusion and the new Durkheimian hegemony. </w:t>
      </w:r>
      <w:r w:rsidRPr="001A6BA0">
        <w:rPr>
          <w:rFonts w:cstheme="minorHAnsi"/>
          <w:i/>
          <w:iCs/>
          <w:color w:val="222222"/>
          <w:sz w:val="20"/>
          <w:szCs w:val="20"/>
          <w:shd w:val="clear" w:color="auto" w:fill="FFFFFF"/>
        </w:rPr>
        <w:t>Critical social policy</w:t>
      </w:r>
      <w:r w:rsidRPr="001A6BA0">
        <w:rPr>
          <w:rFonts w:cstheme="minorHAnsi"/>
          <w:color w:val="222222"/>
          <w:sz w:val="20"/>
          <w:szCs w:val="20"/>
          <w:shd w:val="clear" w:color="auto" w:fill="FFFFFF"/>
        </w:rPr>
        <w:t>, </w:t>
      </w:r>
      <w:r w:rsidRPr="001A6BA0">
        <w:rPr>
          <w:rFonts w:cstheme="minorHAnsi"/>
          <w:i/>
          <w:iCs/>
          <w:color w:val="222222"/>
          <w:sz w:val="20"/>
          <w:szCs w:val="20"/>
          <w:shd w:val="clear" w:color="auto" w:fill="FFFFFF"/>
        </w:rPr>
        <w:t>16</w:t>
      </w:r>
      <w:r w:rsidRPr="001A6BA0">
        <w:rPr>
          <w:rFonts w:cstheme="minorHAnsi"/>
          <w:color w:val="222222"/>
          <w:sz w:val="20"/>
          <w:szCs w:val="20"/>
          <w:shd w:val="clear" w:color="auto" w:fill="FFFFFF"/>
        </w:rPr>
        <w:t>(46), pp.5-20.</w:t>
      </w:r>
    </w:p>
    <w:p w14:paraId="1A72211C" w14:textId="7D686C7F"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Levitas, R., Fahmy, C., Gordon, D., Lloyd, E. and Patsios, D. (2007). The multi-dimensional analysis of social exclusion. Bristol, UK: University of Bristol.</w:t>
      </w:r>
    </w:p>
    <w:p w14:paraId="276CDC21" w14:textId="4B6EEC22"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Link, B.G., Struening, E.L., Rahav, M., Phelan, J.C. and Nuttbrock, L. (1997). On Stigma and Its Consequences: Evidence from a Longitudinal Study of Men with Dual Diagnoses of Mental Illness and Substance Abuse. </w:t>
      </w:r>
      <w:r w:rsidRPr="002032BF">
        <w:rPr>
          <w:rFonts w:cstheme="minorHAnsi"/>
          <w:i/>
          <w:iCs/>
          <w:sz w:val="20"/>
          <w:szCs w:val="20"/>
          <w:lang w:val="en-US"/>
        </w:rPr>
        <w:t>Journal of Health and Social Behavior</w:t>
      </w:r>
      <w:r w:rsidRPr="002032BF">
        <w:rPr>
          <w:rFonts w:cstheme="minorHAnsi"/>
          <w:sz w:val="20"/>
          <w:szCs w:val="20"/>
          <w:lang w:val="en-US"/>
        </w:rPr>
        <w:t>, [online] 38(2), pp.177–190. doi:</w:t>
      </w:r>
      <w:hyperlink r:id="rId31" w:history="1">
        <w:r w:rsidRPr="002032BF">
          <w:rPr>
            <w:rFonts w:cstheme="minorHAnsi"/>
            <w:sz w:val="20"/>
            <w:szCs w:val="20"/>
            <w:lang w:val="en-US"/>
          </w:rPr>
          <w:t>10.2307/2955424</w:t>
        </w:r>
      </w:hyperlink>
      <w:r w:rsidRPr="002032BF">
        <w:rPr>
          <w:rFonts w:cstheme="minorHAnsi"/>
          <w:sz w:val="20"/>
          <w:szCs w:val="20"/>
          <w:lang w:val="en-US"/>
        </w:rPr>
        <w:t>.</w:t>
      </w:r>
    </w:p>
    <w:p w14:paraId="1645B73B" w14:textId="6153A4C2"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Marino‐Francis, F. and Worrall‐Davies, A. (2010). Development and validation of a social inclusion questionnaire to evaluate the impact of attending a modernised mental health day service. </w:t>
      </w:r>
      <w:r w:rsidRPr="002032BF">
        <w:rPr>
          <w:rFonts w:cstheme="minorHAnsi"/>
          <w:i/>
          <w:iCs/>
          <w:sz w:val="20"/>
          <w:szCs w:val="20"/>
          <w:lang w:val="en-US"/>
        </w:rPr>
        <w:t>Mental Health Review Journal</w:t>
      </w:r>
      <w:r w:rsidRPr="002032BF">
        <w:rPr>
          <w:rFonts w:cstheme="minorHAnsi"/>
          <w:sz w:val="20"/>
          <w:szCs w:val="20"/>
          <w:lang w:val="en-US"/>
        </w:rPr>
        <w:t>, 15(1), pp.37–48. doi:</w:t>
      </w:r>
      <w:hyperlink r:id="rId32" w:history="1">
        <w:r w:rsidRPr="002032BF">
          <w:rPr>
            <w:rFonts w:cstheme="minorHAnsi"/>
            <w:sz w:val="20"/>
            <w:szCs w:val="20"/>
            <w:lang w:val="en-US"/>
          </w:rPr>
          <w:t>10.5042/mhrj.2010.0201</w:t>
        </w:r>
      </w:hyperlink>
      <w:r w:rsidRPr="002032BF">
        <w:rPr>
          <w:rFonts w:cstheme="minorHAnsi"/>
          <w:sz w:val="20"/>
          <w:szCs w:val="20"/>
          <w:lang w:val="en-US"/>
        </w:rPr>
        <w:t>.</w:t>
      </w:r>
    </w:p>
    <w:p w14:paraId="0B9312BA"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MIND (2017). </w:t>
      </w:r>
      <w:r w:rsidRPr="002032BF">
        <w:rPr>
          <w:rFonts w:cstheme="minorHAnsi"/>
          <w:i/>
          <w:iCs/>
          <w:sz w:val="20"/>
          <w:szCs w:val="20"/>
          <w:lang w:val="en-US"/>
        </w:rPr>
        <w:t>Thriving at Work - The Stevenson/Farmer Review of mental health and employers</w:t>
      </w:r>
      <w:r w:rsidRPr="002032BF">
        <w:rPr>
          <w:rFonts w:cstheme="minorHAnsi"/>
          <w:sz w:val="20"/>
          <w:szCs w:val="20"/>
          <w:lang w:val="en-US"/>
        </w:rPr>
        <w:t xml:space="preserve">. [online] www.mind.org.uk. Available at: </w:t>
      </w:r>
      <w:hyperlink r:id="rId33" w:history="1">
        <w:r w:rsidRPr="002032BF">
          <w:rPr>
            <w:rFonts w:cstheme="minorHAnsi"/>
            <w:sz w:val="20"/>
            <w:szCs w:val="20"/>
            <w:lang w:val="en-US"/>
          </w:rPr>
          <w:t>https://www.mind.org.uk/news-campaigns/legal-news/legal-newsletter-december-2017/thriving-at-work-the-stevenson-farmer-review-of-mental-health-and-employers/</w:t>
        </w:r>
      </w:hyperlink>
      <w:r w:rsidRPr="002032BF">
        <w:rPr>
          <w:rFonts w:cstheme="minorHAnsi"/>
          <w:sz w:val="20"/>
          <w:szCs w:val="20"/>
          <w:lang w:val="en-US"/>
        </w:rPr>
        <w:t xml:space="preserve"> [Accessed 9 Jan. 2023].</w:t>
      </w:r>
    </w:p>
    <w:p w14:paraId="24421734"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MIND (2023). </w:t>
      </w:r>
      <w:r w:rsidRPr="002032BF">
        <w:rPr>
          <w:rFonts w:cstheme="minorHAnsi"/>
          <w:i/>
          <w:iCs/>
          <w:sz w:val="20"/>
          <w:szCs w:val="20"/>
          <w:lang w:val="en-US"/>
        </w:rPr>
        <w:t>Mind Training</w:t>
      </w:r>
      <w:r w:rsidRPr="002032BF">
        <w:rPr>
          <w:rFonts w:cstheme="minorHAnsi"/>
          <w:sz w:val="20"/>
          <w:szCs w:val="20"/>
          <w:lang w:val="en-US"/>
        </w:rPr>
        <w:t xml:space="preserve">. [online] www.mind.org.uk. Available at: </w:t>
      </w:r>
      <w:hyperlink r:id="rId34" w:history="1">
        <w:r w:rsidRPr="002032BF">
          <w:rPr>
            <w:rFonts w:cstheme="minorHAnsi"/>
            <w:sz w:val="20"/>
            <w:szCs w:val="20"/>
            <w:lang w:val="en-US"/>
          </w:rPr>
          <w:t>https://www.mind.org.uk/workplace/mind-training/</w:t>
        </w:r>
      </w:hyperlink>
      <w:r w:rsidRPr="002032BF">
        <w:rPr>
          <w:rFonts w:cstheme="minorHAnsi"/>
          <w:sz w:val="20"/>
          <w:szCs w:val="20"/>
          <w:lang w:val="en-US"/>
        </w:rPr>
        <w:t xml:space="preserve"> [Accessed 6 Jan. 2023].</w:t>
      </w:r>
    </w:p>
    <w:p w14:paraId="1680F11F"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Mind (2022). </w:t>
      </w:r>
      <w:r w:rsidRPr="002032BF">
        <w:rPr>
          <w:rFonts w:cstheme="minorHAnsi"/>
          <w:i/>
          <w:iCs/>
          <w:sz w:val="20"/>
          <w:szCs w:val="20"/>
          <w:lang w:val="en-US"/>
        </w:rPr>
        <w:t>What We Do | Mind, the Mental Health Charity - Help for Mental Health Problems</w:t>
      </w:r>
      <w:r w:rsidRPr="002032BF">
        <w:rPr>
          <w:rFonts w:cstheme="minorHAnsi"/>
          <w:sz w:val="20"/>
          <w:szCs w:val="20"/>
          <w:lang w:val="en-US"/>
        </w:rPr>
        <w:t xml:space="preserve">. [online] Mind.org.uk. Available at: </w:t>
      </w:r>
      <w:hyperlink r:id="rId35" w:history="1">
        <w:r w:rsidRPr="002032BF">
          <w:rPr>
            <w:rFonts w:cstheme="minorHAnsi"/>
            <w:sz w:val="20"/>
            <w:szCs w:val="20"/>
            <w:lang w:val="en-US"/>
          </w:rPr>
          <w:t>https://www.mind.org.uk/about-us/what-we-do/</w:t>
        </w:r>
      </w:hyperlink>
      <w:r w:rsidRPr="002032BF">
        <w:rPr>
          <w:rFonts w:cstheme="minorHAnsi"/>
          <w:sz w:val="20"/>
          <w:szCs w:val="20"/>
          <w:lang w:val="en-US"/>
        </w:rPr>
        <w:t xml:space="preserve"> [Accessed 6 Jan. 2023].</w:t>
      </w:r>
    </w:p>
    <w:p w14:paraId="6BAEF3D2" w14:textId="79B0C953"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ODPM (2004). </w:t>
      </w:r>
      <w:r w:rsidRPr="002032BF">
        <w:rPr>
          <w:rFonts w:cstheme="minorHAnsi"/>
          <w:i/>
          <w:iCs/>
          <w:sz w:val="20"/>
          <w:szCs w:val="20"/>
          <w:lang w:val="en-US"/>
        </w:rPr>
        <w:t>Mental Health and Social Exclusion Social Exclusion Unit Report</w:t>
      </w:r>
      <w:r w:rsidRPr="002032BF">
        <w:rPr>
          <w:rFonts w:cstheme="minorHAnsi"/>
          <w:sz w:val="20"/>
          <w:szCs w:val="20"/>
          <w:lang w:val="en-US"/>
        </w:rPr>
        <w:t xml:space="preserve">. [online] </w:t>
      </w:r>
      <w:r w:rsidRPr="002032BF">
        <w:rPr>
          <w:rFonts w:cstheme="minorHAnsi"/>
          <w:i/>
          <w:iCs/>
          <w:sz w:val="20"/>
          <w:szCs w:val="20"/>
          <w:lang w:val="en-US"/>
        </w:rPr>
        <w:t>Centre for mental health.org.uk</w:t>
      </w:r>
      <w:r w:rsidRPr="002032BF">
        <w:rPr>
          <w:rFonts w:cstheme="minorHAnsi"/>
          <w:sz w:val="20"/>
          <w:szCs w:val="20"/>
          <w:lang w:val="en-US"/>
        </w:rPr>
        <w:t xml:space="preserve">. Office of the Deputy Prime Ministers Office. Available at: </w:t>
      </w:r>
      <w:hyperlink r:id="rId36" w:history="1">
        <w:r w:rsidRPr="002032BF">
          <w:rPr>
            <w:rFonts w:cstheme="minorHAnsi"/>
            <w:sz w:val="20"/>
            <w:szCs w:val="20"/>
            <w:lang w:val="en-US"/>
          </w:rPr>
          <w:t>https://www.centreformentalhealth.org.uk/sites/default/files/mental_health_and_social_exclusion.pdf</w:t>
        </w:r>
      </w:hyperlink>
      <w:r w:rsidRPr="002032BF">
        <w:rPr>
          <w:rFonts w:cstheme="minorHAnsi"/>
          <w:sz w:val="20"/>
          <w:szCs w:val="20"/>
          <w:lang w:val="en-US"/>
        </w:rPr>
        <w:t xml:space="preserve"> [Accessed </w:t>
      </w:r>
      <w:r w:rsidR="00837A73">
        <w:rPr>
          <w:rFonts w:cstheme="minorHAnsi"/>
          <w:sz w:val="20"/>
          <w:szCs w:val="20"/>
          <w:lang w:val="en-US"/>
        </w:rPr>
        <w:t xml:space="preserve">30 </w:t>
      </w:r>
      <w:r w:rsidRPr="002032BF">
        <w:rPr>
          <w:rFonts w:cstheme="minorHAnsi"/>
          <w:sz w:val="20"/>
          <w:szCs w:val="20"/>
          <w:lang w:val="en-US"/>
        </w:rPr>
        <w:t xml:space="preserve">Dec. </w:t>
      </w:r>
      <w:r w:rsidR="00837A73">
        <w:rPr>
          <w:rFonts w:cstheme="minorHAnsi"/>
          <w:sz w:val="20"/>
          <w:szCs w:val="20"/>
          <w:lang w:val="en-US"/>
        </w:rPr>
        <w:t>2022</w:t>
      </w:r>
      <w:r w:rsidRPr="002032BF">
        <w:rPr>
          <w:rFonts w:cstheme="minorHAnsi"/>
          <w:sz w:val="20"/>
          <w:szCs w:val="20"/>
          <w:lang w:val="en-US"/>
        </w:rPr>
        <w:t>].</w:t>
      </w:r>
    </w:p>
    <w:p w14:paraId="31CCBD05" w14:textId="661F410C" w:rsidR="00172354" w:rsidRPr="002032BF" w:rsidRDefault="002F1FD0" w:rsidP="00172354">
      <w:pPr>
        <w:widowControl w:val="0"/>
        <w:autoSpaceDE w:val="0"/>
        <w:autoSpaceDN w:val="0"/>
        <w:adjustRightInd w:val="0"/>
        <w:spacing w:before="240"/>
        <w:rPr>
          <w:rFonts w:cstheme="minorHAnsi"/>
          <w:sz w:val="20"/>
          <w:szCs w:val="20"/>
          <w:lang w:val="en-US"/>
        </w:rPr>
      </w:pPr>
      <w:r>
        <w:rPr>
          <w:rFonts w:cstheme="minorHAnsi"/>
          <w:sz w:val="20"/>
          <w:szCs w:val="20"/>
          <w:lang w:val="en-US"/>
        </w:rPr>
        <w:t>P</w:t>
      </w:r>
      <w:r w:rsidR="00172354" w:rsidRPr="002032BF">
        <w:rPr>
          <w:rFonts w:cstheme="minorHAnsi"/>
          <w:sz w:val="20"/>
          <w:szCs w:val="20"/>
          <w:lang w:val="en-US"/>
        </w:rPr>
        <w:t xml:space="preserve">nicholson (2022). </w:t>
      </w:r>
      <w:r w:rsidR="00172354" w:rsidRPr="002032BF">
        <w:rPr>
          <w:rFonts w:cstheme="minorHAnsi"/>
          <w:i/>
          <w:iCs/>
          <w:sz w:val="20"/>
          <w:szCs w:val="20"/>
          <w:lang w:val="en-US"/>
        </w:rPr>
        <w:t>Disabled people’s struggle for equality and human rights</w:t>
      </w:r>
      <w:r w:rsidR="00172354" w:rsidRPr="002032BF">
        <w:rPr>
          <w:rFonts w:cstheme="minorHAnsi"/>
          <w:sz w:val="20"/>
          <w:szCs w:val="20"/>
          <w:lang w:val="en-US"/>
        </w:rPr>
        <w:t xml:space="preserve">. [online] www.tuc.org.uk. Available at: </w:t>
      </w:r>
      <w:hyperlink r:id="rId37" w:history="1">
        <w:r w:rsidR="00172354" w:rsidRPr="002032BF">
          <w:rPr>
            <w:rFonts w:cstheme="minorHAnsi"/>
            <w:sz w:val="20"/>
            <w:szCs w:val="20"/>
            <w:lang w:val="en-US"/>
          </w:rPr>
          <w:t>https://www.tuc.org.uk/blogs/disabled-peoples-struggle-equality-and-human-rights</w:t>
        </w:r>
      </w:hyperlink>
      <w:r w:rsidR="00172354" w:rsidRPr="002032BF">
        <w:rPr>
          <w:rFonts w:cstheme="minorHAnsi"/>
          <w:sz w:val="20"/>
          <w:szCs w:val="20"/>
          <w:lang w:val="en-US"/>
        </w:rPr>
        <w:t xml:space="preserve"> [Accessed 9 Jan. 2023].</w:t>
      </w:r>
    </w:p>
    <w:p w14:paraId="167C3ADE" w14:textId="6E043B3F"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Poggi, A. (2003). Measuring social exclusion using the capability approach. Department of Applied Economics: Universitat Autonoma de Barcelona. [online] Available at: </w:t>
      </w:r>
      <w:hyperlink r:id="rId38" w:history="1">
        <w:r w:rsidRPr="002032BF">
          <w:rPr>
            <w:rFonts w:cstheme="minorHAnsi"/>
            <w:sz w:val="20"/>
            <w:szCs w:val="20"/>
            <w:lang w:val="en-US"/>
          </w:rPr>
          <w:t>. http://www.uia.mx/humanismocristiano/seminario_capabi lity/pdf/16.pdf</w:t>
        </w:r>
      </w:hyperlink>
      <w:r w:rsidRPr="002032BF">
        <w:rPr>
          <w:rFonts w:cstheme="minorHAnsi"/>
          <w:sz w:val="20"/>
          <w:szCs w:val="20"/>
          <w:lang w:val="en-US"/>
        </w:rPr>
        <w:t xml:space="preserve"> [Accessed 5 Dec. 2022].</w:t>
      </w:r>
    </w:p>
    <w:p w14:paraId="36EB0627" w14:textId="68D82005"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Sayce, L. (2001). Social inclusion and mental health. </w:t>
      </w:r>
      <w:r w:rsidRPr="002032BF">
        <w:rPr>
          <w:rFonts w:cstheme="minorHAnsi"/>
          <w:i/>
          <w:iCs/>
          <w:sz w:val="20"/>
          <w:szCs w:val="20"/>
          <w:lang w:val="en-US"/>
        </w:rPr>
        <w:t>Psychiatric Bulletin</w:t>
      </w:r>
      <w:r w:rsidRPr="002032BF">
        <w:rPr>
          <w:rFonts w:cstheme="minorHAnsi"/>
          <w:sz w:val="20"/>
          <w:szCs w:val="20"/>
          <w:lang w:val="en-US"/>
        </w:rPr>
        <w:t>, [online] 25(4), pp.121–123. doi:</w:t>
      </w:r>
      <w:hyperlink r:id="rId39" w:history="1">
        <w:r w:rsidRPr="002032BF">
          <w:rPr>
            <w:rFonts w:cstheme="minorHAnsi"/>
            <w:sz w:val="20"/>
            <w:szCs w:val="20"/>
            <w:lang w:val="en-US"/>
          </w:rPr>
          <w:t>10.1192/pb.25.4.121</w:t>
        </w:r>
      </w:hyperlink>
      <w:r w:rsidRPr="002032BF">
        <w:rPr>
          <w:rFonts w:cstheme="minorHAnsi"/>
          <w:sz w:val="20"/>
          <w:szCs w:val="20"/>
          <w:lang w:val="en-US"/>
        </w:rPr>
        <w:t>.</w:t>
      </w:r>
      <w:r w:rsidR="00837A73" w:rsidRPr="00837A73">
        <w:rPr>
          <w:rFonts w:cstheme="minorHAnsi"/>
          <w:sz w:val="20"/>
          <w:szCs w:val="20"/>
          <w:lang w:val="en-US"/>
        </w:rPr>
        <w:t xml:space="preserve"> </w:t>
      </w:r>
      <w:r w:rsidR="00837A73" w:rsidRPr="002032BF">
        <w:rPr>
          <w:rFonts w:cstheme="minorHAnsi"/>
          <w:sz w:val="20"/>
          <w:szCs w:val="20"/>
          <w:lang w:val="en-US"/>
        </w:rPr>
        <w:t>[Accessed 9 Jan. 2023].</w:t>
      </w:r>
    </w:p>
    <w:p w14:paraId="7157E626"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lastRenderedPageBreak/>
        <w:t xml:space="preserve">Simpson, S. (2016). </w:t>
      </w:r>
      <w:r w:rsidRPr="002032BF">
        <w:rPr>
          <w:rFonts w:cstheme="minorHAnsi"/>
          <w:i/>
          <w:iCs/>
          <w:sz w:val="20"/>
          <w:szCs w:val="20"/>
          <w:lang w:val="en-US"/>
        </w:rPr>
        <w:t>Disability discrimination: ‘pull yourself together’ comment to employee with depression</w:t>
      </w:r>
      <w:r w:rsidRPr="002032BF">
        <w:rPr>
          <w:rFonts w:cstheme="minorHAnsi"/>
          <w:sz w:val="20"/>
          <w:szCs w:val="20"/>
          <w:lang w:val="en-US"/>
        </w:rPr>
        <w:t xml:space="preserve">. [online] Personnel Today. Available at: </w:t>
      </w:r>
      <w:hyperlink r:id="rId40" w:history="1">
        <w:r w:rsidRPr="002032BF">
          <w:rPr>
            <w:rFonts w:cstheme="minorHAnsi"/>
            <w:sz w:val="20"/>
            <w:szCs w:val="20"/>
            <w:lang w:val="en-US"/>
          </w:rPr>
          <w:t>https://www.personneltoday.com/hr/disability-discrimination-pull-together-comment-employee-depression/</w:t>
        </w:r>
      </w:hyperlink>
      <w:r w:rsidRPr="002032BF">
        <w:rPr>
          <w:rFonts w:cstheme="minorHAnsi"/>
          <w:sz w:val="20"/>
          <w:szCs w:val="20"/>
          <w:lang w:val="en-US"/>
        </w:rPr>
        <w:t xml:space="preserve"> [Accessed 9 Jan. 2023].</w:t>
      </w:r>
    </w:p>
    <w:p w14:paraId="542533CB" w14:textId="1AB4DC2E"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Stain, H.J., Galletly, C.A., Clark, S., Wilson, J., Killen, E.A., Anthes, L., Campbell, L.E., Hanlon, M.-C. and Harvey, C. (2012). Understanding the social costs of psychosis: the experience of adults affected by psychosis identified within the second Australian National Survey of Psychosis. </w:t>
      </w:r>
      <w:r w:rsidRPr="002032BF">
        <w:rPr>
          <w:rFonts w:cstheme="minorHAnsi"/>
          <w:i/>
          <w:iCs/>
          <w:sz w:val="20"/>
          <w:szCs w:val="20"/>
          <w:lang w:val="en-US"/>
        </w:rPr>
        <w:t>The Australian and New Zealand journal of psychiatry</w:t>
      </w:r>
      <w:r w:rsidRPr="002032BF">
        <w:rPr>
          <w:rFonts w:cstheme="minorHAnsi"/>
          <w:sz w:val="20"/>
          <w:szCs w:val="20"/>
          <w:lang w:val="en-US"/>
        </w:rPr>
        <w:t>, [online] 46(9), pp.879–89. doi:</w:t>
      </w:r>
      <w:hyperlink r:id="rId41" w:history="1">
        <w:r w:rsidRPr="002032BF">
          <w:rPr>
            <w:rFonts w:cstheme="minorHAnsi"/>
            <w:sz w:val="20"/>
            <w:szCs w:val="20"/>
            <w:lang w:val="en-US"/>
          </w:rPr>
          <w:t>10.1177/0004867412449060</w:t>
        </w:r>
      </w:hyperlink>
      <w:r w:rsidRPr="002032BF">
        <w:rPr>
          <w:rFonts w:cstheme="minorHAnsi"/>
          <w:sz w:val="20"/>
          <w:szCs w:val="20"/>
          <w:lang w:val="en-US"/>
        </w:rPr>
        <w:t>.</w:t>
      </w:r>
      <w:r w:rsidR="00837A73" w:rsidRPr="00837A73">
        <w:rPr>
          <w:rFonts w:cstheme="minorHAnsi"/>
          <w:sz w:val="20"/>
          <w:szCs w:val="20"/>
          <w:lang w:val="en-US"/>
        </w:rPr>
        <w:t xml:space="preserve"> </w:t>
      </w:r>
      <w:r w:rsidR="00837A73" w:rsidRPr="002032BF">
        <w:rPr>
          <w:rFonts w:cstheme="minorHAnsi"/>
          <w:sz w:val="20"/>
          <w:szCs w:val="20"/>
          <w:lang w:val="en-US"/>
        </w:rPr>
        <w:t>[Accessed 30 Nov. 2022].</w:t>
      </w:r>
    </w:p>
    <w:p w14:paraId="3240D37B" w14:textId="4E305D95"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van Wyhe, J. (2002). </w:t>
      </w:r>
      <w:r w:rsidRPr="002032BF">
        <w:rPr>
          <w:rFonts w:cstheme="minorHAnsi"/>
          <w:i/>
          <w:iCs/>
          <w:sz w:val="20"/>
          <w:szCs w:val="20"/>
          <w:lang w:val="en-US"/>
        </w:rPr>
        <w:t>Darwin Online</w:t>
      </w:r>
      <w:r w:rsidRPr="002032BF">
        <w:rPr>
          <w:rFonts w:cstheme="minorHAnsi"/>
          <w:sz w:val="20"/>
          <w:szCs w:val="20"/>
          <w:lang w:val="en-US"/>
        </w:rPr>
        <w:t xml:space="preserve">. [online] darwin-online.org.uk. Available at: </w:t>
      </w:r>
      <w:hyperlink r:id="rId42" w:history="1">
        <w:r w:rsidRPr="002032BF">
          <w:rPr>
            <w:rFonts w:cstheme="minorHAnsi"/>
            <w:sz w:val="20"/>
            <w:szCs w:val="20"/>
            <w:lang w:val="en-US"/>
          </w:rPr>
          <w:t>http://darwin-online.org.uk</w:t>
        </w:r>
      </w:hyperlink>
      <w:r w:rsidRPr="002032BF">
        <w:rPr>
          <w:rFonts w:cstheme="minorHAnsi"/>
          <w:sz w:val="20"/>
          <w:szCs w:val="20"/>
          <w:lang w:val="en-US"/>
        </w:rPr>
        <w:t xml:space="preserve"> Citation: John van Wyhe, ed. 2002-. The Complete Work of Charles Darwin Online. (http://darwin-online.org.uk/).</w:t>
      </w:r>
      <w:r w:rsidR="00837A73" w:rsidRPr="002032BF">
        <w:rPr>
          <w:rFonts w:cstheme="minorHAnsi"/>
          <w:sz w:val="20"/>
          <w:szCs w:val="20"/>
          <w:lang w:val="en-US"/>
        </w:rPr>
        <w:t>[Accessed 30 Nov. 2022].</w:t>
      </w:r>
    </w:p>
    <w:p w14:paraId="7BFDDC43"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Vinson, T. (2009). </w:t>
      </w:r>
      <w:r w:rsidRPr="002032BF">
        <w:rPr>
          <w:rFonts w:cstheme="minorHAnsi"/>
          <w:i/>
          <w:iCs/>
          <w:sz w:val="20"/>
          <w:szCs w:val="20"/>
          <w:lang w:val="en-US"/>
        </w:rPr>
        <w:t>PANDORA Web Archive</w:t>
      </w:r>
      <w:r w:rsidRPr="002032BF">
        <w:rPr>
          <w:rFonts w:cstheme="minorHAnsi"/>
          <w:sz w:val="20"/>
          <w:szCs w:val="20"/>
          <w:lang w:val="en-US"/>
        </w:rPr>
        <w:t xml:space="preserve">. [online] pandora.nla.gov.au. Available at: </w:t>
      </w:r>
      <w:hyperlink r:id="rId43" w:history="1">
        <w:r w:rsidRPr="002032BF">
          <w:rPr>
            <w:rFonts w:cstheme="minorHAnsi"/>
            <w:sz w:val="20"/>
            <w:szCs w:val="20"/>
            <w:lang w:val="en-US"/>
          </w:rPr>
          <w:t>http://pandora.nla.gov.au/ pan/142909/20130920-1300/www.socialinclusion.gov.au/sites/default/ files/publications/pdf/compendium-of-si-indicators.pdf</w:t>
        </w:r>
      </w:hyperlink>
      <w:r w:rsidRPr="002032BF">
        <w:rPr>
          <w:rFonts w:cstheme="minorHAnsi"/>
          <w:sz w:val="20"/>
          <w:szCs w:val="20"/>
          <w:lang w:val="en-US"/>
        </w:rPr>
        <w:t xml:space="preserve"> [Accessed 30 Dec. 2022].</w:t>
      </w:r>
    </w:p>
    <w:p w14:paraId="54F7FA96" w14:textId="07B5B115"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Wheelahan, L. (2009). The problem with CBT (and why constructivism makes things worse). </w:t>
      </w:r>
      <w:r w:rsidRPr="002032BF">
        <w:rPr>
          <w:rFonts w:cstheme="minorHAnsi"/>
          <w:i/>
          <w:iCs/>
          <w:sz w:val="20"/>
          <w:szCs w:val="20"/>
          <w:lang w:val="en-US"/>
        </w:rPr>
        <w:t>Journal of Education and Work</w:t>
      </w:r>
      <w:r w:rsidRPr="002032BF">
        <w:rPr>
          <w:rFonts w:cstheme="minorHAnsi"/>
          <w:sz w:val="20"/>
          <w:szCs w:val="20"/>
          <w:lang w:val="en-US"/>
        </w:rPr>
        <w:t>, 22(3), pp.227–242. doi:</w:t>
      </w:r>
      <w:hyperlink r:id="rId44" w:history="1">
        <w:r w:rsidRPr="002032BF">
          <w:rPr>
            <w:rFonts w:cstheme="minorHAnsi"/>
            <w:sz w:val="20"/>
            <w:szCs w:val="20"/>
            <w:lang w:val="en-US"/>
          </w:rPr>
          <w:t>10.1080/13639080902957913</w:t>
        </w:r>
      </w:hyperlink>
      <w:r w:rsidRPr="002032BF">
        <w:rPr>
          <w:rFonts w:cstheme="minorHAnsi"/>
          <w:sz w:val="20"/>
          <w:szCs w:val="20"/>
          <w:lang w:val="en-US"/>
        </w:rPr>
        <w:t>.</w:t>
      </w:r>
    </w:p>
    <w:p w14:paraId="48553D42" w14:textId="29638FA0"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www.acas.org.uk. (2022). </w:t>
      </w:r>
      <w:r w:rsidRPr="002032BF">
        <w:rPr>
          <w:rFonts w:cstheme="minorHAnsi"/>
          <w:i/>
          <w:iCs/>
          <w:sz w:val="20"/>
          <w:szCs w:val="20"/>
          <w:lang w:val="en-US"/>
        </w:rPr>
        <w:t>Time off because of a mental health issue: Absence from work - Acas</w:t>
      </w:r>
      <w:r w:rsidRPr="002032BF">
        <w:rPr>
          <w:rFonts w:cstheme="minorHAnsi"/>
          <w:sz w:val="20"/>
          <w:szCs w:val="20"/>
          <w:lang w:val="en-US"/>
        </w:rPr>
        <w:t xml:space="preserve">. [online] Available at: </w:t>
      </w:r>
      <w:hyperlink r:id="rId45" w:history="1">
        <w:r w:rsidRPr="002032BF">
          <w:rPr>
            <w:rFonts w:cstheme="minorHAnsi"/>
            <w:sz w:val="20"/>
            <w:szCs w:val="20"/>
            <w:lang w:val="en-US"/>
          </w:rPr>
          <w:t>https://www.acas.org.uk/absence-from-work/time-off-because-of-a-mental-health-issue</w:t>
        </w:r>
      </w:hyperlink>
      <w:r w:rsidRPr="002032BF">
        <w:rPr>
          <w:rFonts w:cstheme="minorHAnsi"/>
          <w:sz w:val="20"/>
          <w:szCs w:val="20"/>
          <w:lang w:val="en-US"/>
        </w:rPr>
        <w:t>.</w:t>
      </w:r>
      <w:r w:rsidR="00837A73" w:rsidRPr="00837A73">
        <w:rPr>
          <w:rFonts w:cstheme="minorHAnsi"/>
          <w:sz w:val="20"/>
          <w:szCs w:val="20"/>
          <w:lang w:val="en-US"/>
        </w:rPr>
        <w:t xml:space="preserve"> </w:t>
      </w:r>
      <w:r w:rsidR="00837A73" w:rsidRPr="002032BF">
        <w:rPr>
          <w:rFonts w:cstheme="minorHAnsi"/>
          <w:sz w:val="20"/>
          <w:szCs w:val="20"/>
          <w:lang w:val="en-US"/>
        </w:rPr>
        <w:t>[Accessed 30 Nov. 2022].</w:t>
      </w:r>
    </w:p>
    <w:p w14:paraId="091BF4FB"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www.equalityhumanrights.com. (2018). </w:t>
      </w:r>
      <w:r w:rsidRPr="002032BF">
        <w:rPr>
          <w:rFonts w:cstheme="minorHAnsi"/>
          <w:i/>
          <w:iCs/>
          <w:sz w:val="20"/>
          <w:szCs w:val="20"/>
          <w:lang w:val="en-US"/>
        </w:rPr>
        <w:t>Words and terms used in the Equality Act | Equality and Human Rights Commission</w:t>
      </w:r>
      <w:r w:rsidRPr="002032BF">
        <w:rPr>
          <w:rFonts w:cstheme="minorHAnsi"/>
          <w:sz w:val="20"/>
          <w:szCs w:val="20"/>
          <w:lang w:val="en-US"/>
        </w:rPr>
        <w:t xml:space="preserve">. [online] Available at: </w:t>
      </w:r>
      <w:hyperlink r:id="rId46" w:anchor="objective" w:history="1">
        <w:r w:rsidRPr="002032BF">
          <w:rPr>
            <w:rFonts w:cstheme="minorHAnsi"/>
            <w:sz w:val="20"/>
            <w:szCs w:val="20"/>
            <w:lang w:val="en-US"/>
          </w:rPr>
          <w:t>https://www.equalityhumanrights.com/en/advice-and-guidance/commonly-used-terms-equal-rights#objective</w:t>
        </w:r>
      </w:hyperlink>
      <w:r w:rsidRPr="002032BF">
        <w:rPr>
          <w:rFonts w:cstheme="minorHAnsi"/>
          <w:sz w:val="20"/>
          <w:szCs w:val="20"/>
          <w:lang w:val="en-US"/>
        </w:rPr>
        <w:t xml:space="preserve"> [Accessed 30 Nov. 2022].</w:t>
      </w:r>
    </w:p>
    <w:p w14:paraId="1091F929" w14:textId="77777777" w:rsidR="00172354" w:rsidRPr="002032BF" w:rsidRDefault="00172354" w:rsidP="00172354">
      <w:pPr>
        <w:widowControl w:val="0"/>
        <w:autoSpaceDE w:val="0"/>
        <w:autoSpaceDN w:val="0"/>
        <w:adjustRightInd w:val="0"/>
        <w:spacing w:before="240"/>
        <w:rPr>
          <w:rFonts w:cstheme="minorHAnsi"/>
          <w:sz w:val="20"/>
          <w:szCs w:val="20"/>
          <w:lang w:val="en-US"/>
        </w:rPr>
      </w:pPr>
      <w:r w:rsidRPr="002032BF">
        <w:rPr>
          <w:rFonts w:cstheme="minorHAnsi"/>
          <w:sz w:val="20"/>
          <w:szCs w:val="20"/>
          <w:lang w:val="en-US"/>
        </w:rPr>
        <w:t xml:space="preserve">www.mind.org.uk. (2018). </w:t>
      </w:r>
      <w:r w:rsidRPr="002032BF">
        <w:rPr>
          <w:rFonts w:cstheme="minorHAnsi"/>
          <w:i/>
          <w:iCs/>
          <w:sz w:val="20"/>
          <w:szCs w:val="20"/>
          <w:lang w:val="en-US"/>
        </w:rPr>
        <w:t>Legal Newsletter September 2018</w:t>
      </w:r>
      <w:r w:rsidRPr="002032BF">
        <w:rPr>
          <w:rFonts w:cstheme="minorHAnsi"/>
          <w:sz w:val="20"/>
          <w:szCs w:val="20"/>
          <w:lang w:val="en-US"/>
        </w:rPr>
        <w:t xml:space="preserve">. [online] Available at: </w:t>
      </w:r>
      <w:hyperlink r:id="rId47" w:history="1">
        <w:r w:rsidRPr="002032BF">
          <w:rPr>
            <w:rFonts w:cstheme="minorHAnsi"/>
            <w:sz w:val="20"/>
            <w:szCs w:val="20"/>
            <w:lang w:val="en-US"/>
          </w:rPr>
          <w:t>https://www.mind.org.uk/news-campaigns/legal-news/legal-newsletter-september-2018/</w:t>
        </w:r>
      </w:hyperlink>
      <w:r w:rsidRPr="002032BF">
        <w:rPr>
          <w:rFonts w:cstheme="minorHAnsi"/>
          <w:sz w:val="20"/>
          <w:szCs w:val="20"/>
          <w:lang w:val="en-US"/>
        </w:rPr>
        <w:t xml:space="preserve"> [Accessed 9 Jan. 2023].</w:t>
      </w:r>
    </w:p>
    <w:p w14:paraId="3F7F9707" w14:textId="1CD1CE59" w:rsidR="005B40F8" w:rsidRPr="00117547" w:rsidRDefault="005B40F8" w:rsidP="000319AB">
      <w:pPr>
        <w:jc w:val="both"/>
        <w:rPr>
          <w:rFonts w:cstheme="minorHAnsi"/>
        </w:rPr>
      </w:pPr>
    </w:p>
    <w:p w14:paraId="37E5FEE7" w14:textId="0D70C434" w:rsidR="005B40F8" w:rsidRPr="00117547" w:rsidRDefault="005B40F8" w:rsidP="000319AB">
      <w:pPr>
        <w:jc w:val="both"/>
        <w:rPr>
          <w:rFonts w:cstheme="minorHAnsi"/>
        </w:rPr>
      </w:pPr>
    </w:p>
    <w:p w14:paraId="3A23C207" w14:textId="08D756CB" w:rsidR="005B40F8" w:rsidRPr="00117547" w:rsidRDefault="005B40F8" w:rsidP="000319AB">
      <w:pPr>
        <w:jc w:val="both"/>
        <w:rPr>
          <w:rFonts w:cstheme="minorHAnsi"/>
        </w:rPr>
      </w:pPr>
    </w:p>
    <w:p w14:paraId="482971D4" w14:textId="7900A1D0" w:rsidR="005B40F8" w:rsidRPr="00117547" w:rsidRDefault="005B40F8" w:rsidP="000319AB">
      <w:pPr>
        <w:jc w:val="both"/>
        <w:rPr>
          <w:rFonts w:cstheme="minorHAnsi"/>
        </w:rPr>
      </w:pPr>
    </w:p>
    <w:p w14:paraId="35AE1725" w14:textId="72BAB796" w:rsidR="005B40F8" w:rsidRPr="00117547" w:rsidRDefault="005B40F8" w:rsidP="000319AB">
      <w:pPr>
        <w:jc w:val="both"/>
        <w:rPr>
          <w:rFonts w:cstheme="minorHAnsi"/>
        </w:rPr>
      </w:pPr>
    </w:p>
    <w:p w14:paraId="0021EAD6" w14:textId="303AB23D" w:rsidR="005B40F8" w:rsidRPr="00117547" w:rsidRDefault="005B40F8" w:rsidP="000319AB">
      <w:pPr>
        <w:jc w:val="both"/>
        <w:rPr>
          <w:rFonts w:cstheme="minorHAnsi"/>
        </w:rPr>
      </w:pPr>
    </w:p>
    <w:p w14:paraId="56D4A53A" w14:textId="36D38CD8" w:rsidR="005B40F8" w:rsidRPr="00117547" w:rsidRDefault="005B40F8" w:rsidP="000319AB">
      <w:pPr>
        <w:jc w:val="both"/>
        <w:rPr>
          <w:rFonts w:cstheme="minorHAnsi"/>
        </w:rPr>
      </w:pPr>
    </w:p>
    <w:p w14:paraId="6CCF0E16" w14:textId="5E5C571B" w:rsidR="005B40F8" w:rsidRPr="00117547" w:rsidRDefault="005B40F8" w:rsidP="000319AB">
      <w:pPr>
        <w:jc w:val="both"/>
        <w:rPr>
          <w:rFonts w:cstheme="minorHAnsi"/>
        </w:rPr>
      </w:pPr>
    </w:p>
    <w:p w14:paraId="17867D0E" w14:textId="1D783830" w:rsidR="005B40F8" w:rsidRPr="00117547" w:rsidRDefault="005B40F8" w:rsidP="000319AB">
      <w:pPr>
        <w:jc w:val="both"/>
        <w:rPr>
          <w:rFonts w:cstheme="minorHAnsi"/>
        </w:rPr>
      </w:pPr>
    </w:p>
    <w:p w14:paraId="28104276" w14:textId="12D2651D" w:rsidR="005B40F8" w:rsidRPr="00117547" w:rsidRDefault="005B40F8" w:rsidP="000319AB">
      <w:pPr>
        <w:jc w:val="both"/>
        <w:rPr>
          <w:rFonts w:cstheme="minorHAnsi"/>
        </w:rPr>
      </w:pPr>
    </w:p>
    <w:p w14:paraId="2C7DBE83" w14:textId="6F026B2C" w:rsidR="005B40F8" w:rsidRPr="00117547" w:rsidRDefault="005B40F8" w:rsidP="000319AB">
      <w:pPr>
        <w:jc w:val="both"/>
        <w:rPr>
          <w:rFonts w:cstheme="minorHAnsi"/>
        </w:rPr>
      </w:pPr>
    </w:p>
    <w:p w14:paraId="4AD6710B" w14:textId="1FBB88CB" w:rsidR="005B40F8" w:rsidRPr="00117547" w:rsidRDefault="005B40F8" w:rsidP="000319AB">
      <w:pPr>
        <w:jc w:val="both"/>
        <w:rPr>
          <w:rFonts w:cstheme="minorHAnsi"/>
        </w:rPr>
      </w:pPr>
    </w:p>
    <w:p w14:paraId="787B8665" w14:textId="35DFC8CD" w:rsidR="005B40F8" w:rsidRPr="00117547" w:rsidRDefault="005B40F8" w:rsidP="000319AB">
      <w:pPr>
        <w:jc w:val="both"/>
        <w:rPr>
          <w:rFonts w:cstheme="minorHAnsi"/>
        </w:rPr>
      </w:pPr>
    </w:p>
    <w:p w14:paraId="46BAC7A6" w14:textId="068A1735" w:rsidR="005B40F8" w:rsidRPr="00117547" w:rsidRDefault="005B40F8" w:rsidP="000319AB">
      <w:pPr>
        <w:jc w:val="both"/>
        <w:rPr>
          <w:rFonts w:cstheme="minorHAnsi"/>
        </w:rPr>
      </w:pPr>
    </w:p>
    <w:sectPr w:rsidR="005B40F8" w:rsidRPr="00117547" w:rsidSect="000319AB">
      <w:headerReference w:type="default" r:id="rId4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96F3A" w14:textId="77777777" w:rsidR="007C6E87" w:rsidRDefault="007C6E87" w:rsidP="000319AB">
      <w:r>
        <w:separator/>
      </w:r>
    </w:p>
  </w:endnote>
  <w:endnote w:type="continuationSeparator" w:id="0">
    <w:p w14:paraId="06A533EF" w14:textId="77777777" w:rsidR="007C6E87" w:rsidRDefault="007C6E87" w:rsidP="00031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514760" w14:textId="77777777" w:rsidR="007C6E87" w:rsidRDefault="007C6E87" w:rsidP="000319AB">
      <w:r>
        <w:separator/>
      </w:r>
    </w:p>
  </w:footnote>
  <w:footnote w:type="continuationSeparator" w:id="0">
    <w:p w14:paraId="6B093900" w14:textId="77777777" w:rsidR="007C6E87" w:rsidRDefault="007C6E87" w:rsidP="000319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248753" w14:textId="77777777" w:rsidR="00DB4AE9" w:rsidRDefault="00DB4AE9">
    <w:pPr>
      <w:pStyle w:val="Header"/>
    </w:pPr>
    <w:r>
      <w:t xml:space="preserve">Raghvir Dhaliwal </w:t>
    </w:r>
    <w:r>
      <w:ptab w:relativeTo="margin" w:alignment="center" w:leader="none"/>
    </w:r>
    <w:r>
      <w:t>Assessment 1 MA Equity &amp; Diversity in Society</w:t>
    </w:r>
    <w:r>
      <w:ptab w:relativeTo="margin" w:alignment="right" w:leader="none"/>
    </w:r>
    <w:r>
      <w:t>ECED7001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62B10"/>
    <w:multiLevelType w:val="multilevel"/>
    <w:tmpl w:val="6090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440CA"/>
    <w:multiLevelType w:val="multilevel"/>
    <w:tmpl w:val="A2EE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3472E"/>
    <w:multiLevelType w:val="multilevel"/>
    <w:tmpl w:val="DB76E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76748F"/>
    <w:multiLevelType w:val="multilevel"/>
    <w:tmpl w:val="B588A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A55F19"/>
    <w:multiLevelType w:val="multilevel"/>
    <w:tmpl w:val="3FE81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827E0F"/>
    <w:multiLevelType w:val="multilevel"/>
    <w:tmpl w:val="93DAB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E3261C"/>
    <w:multiLevelType w:val="multilevel"/>
    <w:tmpl w:val="8F7E6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73510E"/>
    <w:multiLevelType w:val="multilevel"/>
    <w:tmpl w:val="81041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776DAE"/>
    <w:multiLevelType w:val="multilevel"/>
    <w:tmpl w:val="F8AED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F22696"/>
    <w:multiLevelType w:val="multilevel"/>
    <w:tmpl w:val="21587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4F3DAA"/>
    <w:multiLevelType w:val="multilevel"/>
    <w:tmpl w:val="E7068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3638A6"/>
    <w:multiLevelType w:val="multilevel"/>
    <w:tmpl w:val="0686C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7A5E26"/>
    <w:multiLevelType w:val="multilevel"/>
    <w:tmpl w:val="5B3A5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0"/>
  </w:num>
  <w:num w:numId="3">
    <w:abstractNumId w:val="9"/>
  </w:num>
  <w:num w:numId="4">
    <w:abstractNumId w:val="5"/>
  </w:num>
  <w:num w:numId="5">
    <w:abstractNumId w:val="4"/>
  </w:num>
  <w:num w:numId="6">
    <w:abstractNumId w:val="2"/>
  </w:num>
  <w:num w:numId="7">
    <w:abstractNumId w:val="11"/>
  </w:num>
  <w:num w:numId="8">
    <w:abstractNumId w:val="3"/>
  </w:num>
  <w:num w:numId="9">
    <w:abstractNumId w:val="12"/>
  </w:num>
  <w:num w:numId="10">
    <w:abstractNumId w:val="1"/>
  </w:num>
  <w:num w:numId="11">
    <w:abstractNumId w:val="8"/>
  </w:num>
  <w:num w:numId="12">
    <w:abstractNumId w:val="6"/>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9AB"/>
    <w:rsid w:val="00001682"/>
    <w:rsid w:val="0000485C"/>
    <w:rsid w:val="000059D1"/>
    <w:rsid w:val="000068D9"/>
    <w:rsid w:val="000072FA"/>
    <w:rsid w:val="00007B92"/>
    <w:rsid w:val="00011630"/>
    <w:rsid w:val="00012680"/>
    <w:rsid w:val="00013449"/>
    <w:rsid w:val="00014B2A"/>
    <w:rsid w:val="000167BC"/>
    <w:rsid w:val="0001695E"/>
    <w:rsid w:val="0001766A"/>
    <w:rsid w:val="00021508"/>
    <w:rsid w:val="00024108"/>
    <w:rsid w:val="000260D5"/>
    <w:rsid w:val="000270AA"/>
    <w:rsid w:val="000270C2"/>
    <w:rsid w:val="00027141"/>
    <w:rsid w:val="00027FEC"/>
    <w:rsid w:val="0003083D"/>
    <w:rsid w:val="0003171F"/>
    <w:rsid w:val="000319AB"/>
    <w:rsid w:val="00034CB8"/>
    <w:rsid w:val="00041824"/>
    <w:rsid w:val="00046354"/>
    <w:rsid w:val="000468A5"/>
    <w:rsid w:val="00053AD0"/>
    <w:rsid w:val="00060C5A"/>
    <w:rsid w:val="00061D34"/>
    <w:rsid w:val="000625C6"/>
    <w:rsid w:val="000667B3"/>
    <w:rsid w:val="0006682C"/>
    <w:rsid w:val="00067F56"/>
    <w:rsid w:val="0007017B"/>
    <w:rsid w:val="00071F28"/>
    <w:rsid w:val="00071F80"/>
    <w:rsid w:val="00072616"/>
    <w:rsid w:val="00072FD0"/>
    <w:rsid w:val="000733B4"/>
    <w:rsid w:val="0007444D"/>
    <w:rsid w:val="00080F32"/>
    <w:rsid w:val="00083EAA"/>
    <w:rsid w:val="00087028"/>
    <w:rsid w:val="00087646"/>
    <w:rsid w:val="000920A1"/>
    <w:rsid w:val="00092703"/>
    <w:rsid w:val="000943AF"/>
    <w:rsid w:val="00094581"/>
    <w:rsid w:val="0009490D"/>
    <w:rsid w:val="00095BE6"/>
    <w:rsid w:val="000966E5"/>
    <w:rsid w:val="000A2CE1"/>
    <w:rsid w:val="000A4817"/>
    <w:rsid w:val="000A56E7"/>
    <w:rsid w:val="000A579E"/>
    <w:rsid w:val="000A7AF3"/>
    <w:rsid w:val="000A7B2D"/>
    <w:rsid w:val="000B2779"/>
    <w:rsid w:val="000B30D6"/>
    <w:rsid w:val="000B33A9"/>
    <w:rsid w:val="000B3B24"/>
    <w:rsid w:val="000B3B3B"/>
    <w:rsid w:val="000B4084"/>
    <w:rsid w:val="000B4A9C"/>
    <w:rsid w:val="000B6E9B"/>
    <w:rsid w:val="000C0E59"/>
    <w:rsid w:val="000C2194"/>
    <w:rsid w:val="000C2734"/>
    <w:rsid w:val="000C370B"/>
    <w:rsid w:val="000C4A30"/>
    <w:rsid w:val="000C6615"/>
    <w:rsid w:val="000D5F17"/>
    <w:rsid w:val="000E1EC2"/>
    <w:rsid w:val="000E1FA2"/>
    <w:rsid w:val="000E20E9"/>
    <w:rsid w:val="000E2B15"/>
    <w:rsid w:val="000E4AB4"/>
    <w:rsid w:val="000E5FB5"/>
    <w:rsid w:val="000E633A"/>
    <w:rsid w:val="000F284C"/>
    <w:rsid w:val="000F4BC8"/>
    <w:rsid w:val="000F7A77"/>
    <w:rsid w:val="00100B5D"/>
    <w:rsid w:val="001050B9"/>
    <w:rsid w:val="00106049"/>
    <w:rsid w:val="00106F98"/>
    <w:rsid w:val="0011162A"/>
    <w:rsid w:val="00112FF1"/>
    <w:rsid w:val="00113C2B"/>
    <w:rsid w:val="00114379"/>
    <w:rsid w:val="00115960"/>
    <w:rsid w:val="0011706B"/>
    <w:rsid w:val="00117547"/>
    <w:rsid w:val="00117841"/>
    <w:rsid w:val="001204BF"/>
    <w:rsid w:val="001251D4"/>
    <w:rsid w:val="00127B4D"/>
    <w:rsid w:val="001308F2"/>
    <w:rsid w:val="00136050"/>
    <w:rsid w:val="00140BB6"/>
    <w:rsid w:val="00141099"/>
    <w:rsid w:val="00144310"/>
    <w:rsid w:val="00145AD8"/>
    <w:rsid w:val="0014690C"/>
    <w:rsid w:val="00147EF9"/>
    <w:rsid w:val="00151478"/>
    <w:rsid w:val="00151A63"/>
    <w:rsid w:val="001531ED"/>
    <w:rsid w:val="00153656"/>
    <w:rsid w:val="00157930"/>
    <w:rsid w:val="001601F4"/>
    <w:rsid w:val="00160D96"/>
    <w:rsid w:val="00161438"/>
    <w:rsid w:val="00162716"/>
    <w:rsid w:val="00162911"/>
    <w:rsid w:val="00163149"/>
    <w:rsid w:val="001645EB"/>
    <w:rsid w:val="00172354"/>
    <w:rsid w:val="001727D6"/>
    <w:rsid w:val="00173626"/>
    <w:rsid w:val="00173974"/>
    <w:rsid w:val="00173AD6"/>
    <w:rsid w:val="00176B0D"/>
    <w:rsid w:val="00182B4D"/>
    <w:rsid w:val="00182B89"/>
    <w:rsid w:val="0018388C"/>
    <w:rsid w:val="00184FDC"/>
    <w:rsid w:val="00185DEF"/>
    <w:rsid w:val="00191514"/>
    <w:rsid w:val="0019213D"/>
    <w:rsid w:val="00193710"/>
    <w:rsid w:val="001957A2"/>
    <w:rsid w:val="00196D22"/>
    <w:rsid w:val="00196E84"/>
    <w:rsid w:val="001A104E"/>
    <w:rsid w:val="001A138C"/>
    <w:rsid w:val="001A1D62"/>
    <w:rsid w:val="001A2369"/>
    <w:rsid w:val="001A41D1"/>
    <w:rsid w:val="001A480C"/>
    <w:rsid w:val="001A6BA0"/>
    <w:rsid w:val="001B058B"/>
    <w:rsid w:val="001B1505"/>
    <w:rsid w:val="001B170B"/>
    <w:rsid w:val="001B1B5D"/>
    <w:rsid w:val="001B1C42"/>
    <w:rsid w:val="001B2D8D"/>
    <w:rsid w:val="001B2FBB"/>
    <w:rsid w:val="001B3671"/>
    <w:rsid w:val="001B409F"/>
    <w:rsid w:val="001B5888"/>
    <w:rsid w:val="001B6A56"/>
    <w:rsid w:val="001B75DC"/>
    <w:rsid w:val="001C4701"/>
    <w:rsid w:val="001C550A"/>
    <w:rsid w:val="001C66C2"/>
    <w:rsid w:val="001D0A14"/>
    <w:rsid w:val="001D0C9E"/>
    <w:rsid w:val="001D446D"/>
    <w:rsid w:val="001D4DBB"/>
    <w:rsid w:val="001D5CC0"/>
    <w:rsid w:val="001D6BD1"/>
    <w:rsid w:val="001D73DA"/>
    <w:rsid w:val="001D7D37"/>
    <w:rsid w:val="001E15AB"/>
    <w:rsid w:val="001E18A9"/>
    <w:rsid w:val="001E1AD2"/>
    <w:rsid w:val="001E27F2"/>
    <w:rsid w:val="001E40CF"/>
    <w:rsid w:val="001E4911"/>
    <w:rsid w:val="001E491A"/>
    <w:rsid w:val="001E4B20"/>
    <w:rsid w:val="001E7FEA"/>
    <w:rsid w:val="001F0344"/>
    <w:rsid w:val="001F1077"/>
    <w:rsid w:val="001F2027"/>
    <w:rsid w:val="001F417F"/>
    <w:rsid w:val="001F4601"/>
    <w:rsid w:val="001F52DE"/>
    <w:rsid w:val="001F574A"/>
    <w:rsid w:val="001F6111"/>
    <w:rsid w:val="002015DA"/>
    <w:rsid w:val="002038B8"/>
    <w:rsid w:val="00203E0D"/>
    <w:rsid w:val="00203E30"/>
    <w:rsid w:val="00204006"/>
    <w:rsid w:val="00205852"/>
    <w:rsid w:val="002071D1"/>
    <w:rsid w:val="00210A6C"/>
    <w:rsid w:val="00211317"/>
    <w:rsid w:val="002127EA"/>
    <w:rsid w:val="00214973"/>
    <w:rsid w:val="0021536D"/>
    <w:rsid w:val="00215551"/>
    <w:rsid w:val="00224E8F"/>
    <w:rsid w:val="0022577C"/>
    <w:rsid w:val="00226A2D"/>
    <w:rsid w:val="00226ADB"/>
    <w:rsid w:val="0022719B"/>
    <w:rsid w:val="00227353"/>
    <w:rsid w:val="00227AF5"/>
    <w:rsid w:val="002328CC"/>
    <w:rsid w:val="00232DE5"/>
    <w:rsid w:val="00235377"/>
    <w:rsid w:val="00235A4E"/>
    <w:rsid w:val="00235C70"/>
    <w:rsid w:val="00241365"/>
    <w:rsid w:val="00241D3C"/>
    <w:rsid w:val="00241F06"/>
    <w:rsid w:val="00241FB7"/>
    <w:rsid w:val="002432C8"/>
    <w:rsid w:val="002449F8"/>
    <w:rsid w:val="00245368"/>
    <w:rsid w:val="002459C7"/>
    <w:rsid w:val="002462EB"/>
    <w:rsid w:val="00250839"/>
    <w:rsid w:val="00250CAB"/>
    <w:rsid w:val="00254BD9"/>
    <w:rsid w:val="00255B58"/>
    <w:rsid w:val="00257122"/>
    <w:rsid w:val="00260342"/>
    <w:rsid w:val="0026119C"/>
    <w:rsid w:val="00263107"/>
    <w:rsid w:val="00263804"/>
    <w:rsid w:val="00263C89"/>
    <w:rsid w:val="0026491A"/>
    <w:rsid w:val="00270A99"/>
    <w:rsid w:val="00271A7A"/>
    <w:rsid w:val="00274912"/>
    <w:rsid w:val="00275429"/>
    <w:rsid w:val="00275B59"/>
    <w:rsid w:val="00276F1A"/>
    <w:rsid w:val="00276F48"/>
    <w:rsid w:val="002772A4"/>
    <w:rsid w:val="00280290"/>
    <w:rsid w:val="00283376"/>
    <w:rsid w:val="00283F57"/>
    <w:rsid w:val="002848A7"/>
    <w:rsid w:val="002853C1"/>
    <w:rsid w:val="00285400"/>
    <w:rsid w:val="00285FE7"/>
    <w:rsid w:val="00290AB8"/>
    <w:rsid w:val="0029320C"/>
    <w:rsid w:val="00294BFE"/>
    <w:rsid w:val="00296709"/>
    <w:rsid w:val="0029795F"/>
    <w:rsid w:val="00297AA3"/>
    <w:rsid w:val="002A09A7"/>
    <w:rsid w:val="002A10D4"/>
    <w:rsid w:val="002A195B"/>
    <w:rsid w:val="002A2AE1"/>
    <w:rsid w:val="002A50F8"/>
    <w:rsid w:val="002A6BF0"/>
    <w:rsid w:val="002B0034"/>
    <w:rsid w:val="002B1F23"/>
    <w:rsid w:val="002B2EC2"/>
    <w:rsid w:val="002B2FC5"/>
    <w:rsid w:val="002B4498"/>
    <w:rsid w:val="002B7AA7"/>
    <w:rsid w:val="002C09DB"/>
    <w:rsid w:val="002C1584"/>
    <w:rsid w:val="002C1D04"/>
    <w:rsid w:val="002C21EA"/>
    <w:rsid w:val="002C5A52"/>
    <w:rsid w:val="002C7407"/>
    <w:rsid w:val="002C7680"/>
    <w:rsid w:val="002C7B5C"/>
    <w:rsid w:val="002D27D5"/>
    <w:rsid w:val="002D380F"/>
    <w:rsid w:val="002D3CC5"/>
    <w:rsid w:val="002D4DAF"/>
    <w:rsid w:val="002D4FBB"/>
    <w:rsid w:val="002D6AF7"/>
    <w:rsid w:val="002D6C01"/>
    <w:rsid w:val="002D6DCC"/>
    <w:rsid w:val="002D70F8"/>
    <w:rsid w:val="002E22A3"/>
    <w:rsid w:val="002E4E83"/>
    <w:rsid w:val="002E5366"/>
    <w:rsid w:val="002E6378"/>
    <w:rsid w:val="002F0200"/>
    <w:rsid w:val="002F0254"/>
    <w:rsid w:val="002F1B9D"/>
    <w:rsid w:val="002F1FD0"/>
    <w:rsid w:val="002F293C"/>
    <w:rsid w:val="002F3BBA"/>
    <w:rsid w:val="002F4B19"/>
    <w:rsid w:val="002F4C13"/>
    <w:rsid w:val="002F5C4F"/>
    <w:rsid w:val="00300040"/>
    <w:rsid w:val="00301BBF"/>
    <w:rsid w:val="0030324A"/>
    <w:rsid w:val="00303611"/>
    <w:rsid w:val="0030454B"/>
    <w:rsid w:val="003045B3"/>
    <w:rsid w:val="00306850"/>
    <w:rsid w:val="00307886"/>
    <w:rsid w:val="00310059"/>
    <w:rsid w:val="003106E9"/>
    <w:rsid w:val="003111D7"/>
    <w:rsid w:val="00311DED"/>
    <w:rsid w:val="003125C9"/>
    <w:rsid w:val="003138E9"/>
    <w:rsid w:val="00313ED1"/>
    <w:rsid w:val="0031615F"/>
    <w:rsid w:val="0031665C"/>
    <w:rsid w:val="0031681A"/>
    <w:rsid w:val="00316A99"/>
    <w:rsid w:val="00317763"/>
    <w:rsid w:val="00317CCC"/>
    <w:rsid w:val="00323857"/>
    <w:rsid w:val="003241A3"/>
    <w:rsid w:val="0032677D"/>
    <w:rsid w:val="0032714E"/>
    <w:rsid w:val="0033011D"/>
    <w:rsid w:val="00330430"/>
    <w:rsid w:val="003319F2"/>
    <w:rsid w:val="00333186"/>
    <w:rsid w:val="003333E4"/>
    <w:rsid w:val="003351CC"/>
    <w:rsid w:val="00335DF7"/>
    <w:rsid w:val="00336EC2"/>
    <w:rsid w:val="00337ABA"/>
    <w:rsid w:val="00340382"/>
    <w:rsid w:val="00340EA4"/>
    <w:rsid w:val="00341B24"/>
    <w:rsid w:val="00344BE7"/>
    <w:rsid w:val="0034583A"/>
    <w:rsid w:val="003523A0"/>
    <w:rsid w:val="003534E5"/>
    <w:rsid w:val="003560BE"/>
    <w:rsid w:val="00356297"/>
    <w:rsid w:val="00360A8C"/>
    <w:rsid w:val="00361814"/>
    <w:rsid w:val="00361D6B"/>
    <w:rsid w:val="00364724"/>
    <w:rsid w:val="00366EE8"/>
    <w:rsid w:val="0037536C"/>
    <w:rsid w:val="00376328"/>
    <w:rsid w:val="00376BF3"/>
    <w:rsid w:val="0037779C"/>
    <w:rsid w:val="00377DF2"/>
    <w:rsid w:val="00384F15"/>
    <w:rsid w:val="0038541A"/>
    <w:rsid w:val="00386417"/>
    <w:rsid w:val="00386C65"/>
    <w:rsid w:val="00390DC1"/>
    <w:rsid w:val="00391820"/>
    <w:rsid w:val="00394D4C"/>
    <w:rsid w:val="003977DD"/>
    <w:rsid w:val="003A0C4E"/>
    <w:rsid w:val="003A655D"/>
    <w:rsid w:val="003A69CA"/>
    <w:rsid w:val="003A7459"/>
    <w:rsid w:val="003A7612"/>
    <w:rsid w:val="003A79A0"/>
    <w:rsid w:val="003A79F6"/>
    <w:rsid w:val="003B1E23"/>
    <w:rsid w:val="003B2242"/>
    <w:rsid w:val="003B24FB"/>
    <w:rsid w:val="003B3749"/>
    <w:rsid w:val="003B3CBE"/>
    <w:rsid w:val="003B5730"/>
    <w:rsid w:val="003B6B24"/>
    <w:rsid w:val="003B75C3"/>
    <w:rsid w:val="003B7D69"/>
    <w:rsid w:val="003C1E00"/>
    <w:rsid w:val="003C3A1C"/>
    <w:rsid w:val="003C428E"/>
    <w:rsid w:val="003C4AE4"/>
    <w:rsid w:val="003C6D9C"/>
    <w:rsid w:val="003C7575"/>
    <w:rsid w:val="003C7E79"/>
    <w:rsid w:val="003D2387"/>
    <w:rsid w:val="003D242A"/>
    <w:rsid w:val="003D391D"/>
    <w:rsid w:val="003D533E"/>
    <w:rsid w:val="003D58AD"/>
    <w:rsid w:val="003D669D"/>
    <w:rsid w:val="003D7FE1"/>
    <w:rsid w:val="003E14C3"/>
    <w:rsid w:val="003E1751"/>
    <w:rsid w:val="003E55B1"/>
    <w:rsid w:val="003E5AF5"/>
    <w:rsid w:val="003E6193"/>
    <w:rsid w:val="003F09BE"/>
    <w:rsid w:val="003F1F3A"/>
    <w:rsid w:val="003F3C63"/>
    <w:rsid w:val="003F549C"/>
    <w:rsid w:val="003F573D"/>
    <w:rsid w:val="003F5C7E"/>
    <w:rsid w:val="00401AD3"/>
    <w:rsid w:val="00401CAF"/>
    <w:rsid w:val="00402279"/>
    <w:rsid w:val="004031FD"/>
    <w:rsid w:val="0040360A"/>
    <w:rsid w:val="00403A11"/>
    <w:rsid w:val="00403E6A"/>
    <w:rsid w:val="00403E83"/>
    <w:rsid w:val="004070CA"/>
    <w:rsid w:val="0041450D"/>
    <w:rsid w:val="00420B74"/>
    <w:rsid w:val="00422CE7"/>
    <w:rsid w:val="0042358E"/>
    <w:rsid w:val="00423921"/>
    <w:rsid w:val="00424A3E"/>
    <w:rsid w:val="00426EBF"/>
    <w:rsid w:val="0043068F"/>
    <w:rsid w:val="00430AF2"/>
    <w:rsid w:val="004348CF"/>
    <w:rsid w:val="004371E0"/>
    <w:rsid w:val="004416FE"/>
    <w:rsid w:val="004445C3"/>
    <w:rsid w:val="0044619C"/>
    <w:rsid w:val="0045006F"/>
    <w:rsid w:val="0045108C"/>
    <w:rsid w:val="00451A88"/>
    <w:rsid w:val="004536A1"/>
    <w:rsid w:val="00453E47"/>
    <w:rsid w:val="00455BA6"/>
    <w:rsid w:val="0046237E"/>
    <w:rsid w:val="0046444E"/>
    <w:rsid w:val="00464925"/>
    <w:rsid w:val="00464E5C"/>
    <w:rsid w:val="0046641F"/>
    <w:rsid w:val="00467850"/>
    <w:rsid w:val="00470D42"/>
    <w:rsid w:val="00471B5D"/>
    <w:rsid w:val="004734CB"/>
    <w:rsid w:val="00473CFF"/>
    <w:rsid w:val="004767A0"/>
    <w:rsid w:val="00477F75"/>
    <w:rsid w:val="004807B1"/>
    <w:rsid w:val="004829E6"/>
    <w:rsid w:val="00483B04"/>
    <w:rsid w:val="00485275"/>
    <w:rsid w:val="00486639"/>
    <w:rsid w:val="00487943"/>
    <w:rsid w:val="00487FDE"/>
    <w:rsid w:val="004930AA"/>
    <w:rsid w:val="00493ECF"/>
    <w:rsid w:val="00494C58"/>
    <w:rsid w:val="004A2B6E"/>
    <w:rsid w:val="004A3F7A"/>
    <w:rsid w:val="004A6555"/>
    <w:rsid w:val="004A798F"/>
    <w:rsid w:val="004B1012"/>
    <w:rsid w:val="004B29E8"/>
    <w:rsid w:val="004B2E66"/>
    <w:rsid w:val="004B3FE8"/>
    <w:rsid w:val="004C1F6E"/>
    <w:rsid w:val="004C3AEA"/>
    <w:rsid w:val="004C4763"/>
    <w:rsid w:val="004C5609"/>
    <w:rsid w:val="004E0732"/>
    <w:rsid w:val="004E0F05"/>
    <w:rsid w:val="004E0F9D"/>
    <w:rsid w:val="004E1B8D"/>
    <w:rsid w:val="004E1D34"/>
    <w:rsid w:val="004E4A89"/>
    <w:rsid w:val="004E51AE"/>
    <w:rsid w:val="004E5E29"/>
    <w:rsid w:val="004E64AA"/>
    <w:rsid w:val="004E7915"/>
    <w:rsid w:val="004F08FE"/>
    <w:rsid w:val="004F357E"/>
    <w:rsid w:val="004F62B5"/>
    <w:rsid w:val="004F7B25"/>
    <w:rsid w:val="00503065"/>
    <w:rsid w:val="00503606"/>
    <w:rsid w:val="00504068"/>
    <w:rsid w:val="005048B8"/>
    <w:rsid w:val="00505B9A"/>
    <w:rsid w:val="00505D8B"/>
    <w:rsid w:val="00506C3B"/>
    <w:rsid w:val="0050700C"/>
    <w:rsid w:val="00507DFB"/>
    <w:rsid w:val="005126CC"/>
    <w:rsid w:val="0051787B"/>
    <w:rsid w:val="0052038F"/>
    <w:rsid w:val="00520549"/>
    <w:rsid w:val="00520E96"/>
    <w:rsid w:val="00521973"/>
    <w:rsid w:val="00523A5A"/>
    <w:rsid w:val="0052794D"/>
    <w:rsid w:val="00530F16"/>
    <w:rsid w:val="00531622"/>
    <w:rsid w:val="0053182F"/>
    <w:rsid w:val="00531A98"/>
    <w:rsid w:val="00533D22"/>
    <w:rsid w:val="00535513"/>
    <w:rsid w:val="00540C38"/>
    <w:rsid w:val="0054184A"/>
    <w:rsid w:val="00543663"/>
    <w:rsid w:val="00545363"/>
    <w:rsid w:val="00545E07"/>
    <w:rsid w:val="005462D9"/>
    <w:rsid w:val="00546574"/>
    <w:rsid w:val="005479E6"/>
    <w:rsid w:val="0055255B"/>
    <w:rsid w:val="00554905"/>
    <w:rsid w:val="005569FD"/>
    <w:rsid w:val="005576DD"/>
    <w:rsid w:val="00560669"/>
    <w:rsid w:val="00562360"/>
    <w:rsid w:val="00565E3C"/>
    <w:rsid w:val="00566228"/>
    <w:rsid w:val="0057231F"/>
    <w:rsid w:val="00576CC0"/>
    <w:rsid w:val="00581792"/>
    <w:rsid w:val="00582161"/>
    <w:rsid w:val="00582850"/>
    <w:rsid w:val="00583654"/>
    <w:rsid w:val="00584E10"/>
    <w:rsid w:val="005855AA"/>
    <w:rsid w:val="005869EC"/>
    <w:rsid w:val="00587385"/>
    <w:rsid w:val="00590C77"/>
    <w:rsid w:val="00591752"/>
    <w:rsid w:val="00594AF2"/>
    <w:rsid w:val="00595276"/>
    <w:rsid w:val="00596708"/>
    <w:rsid w:val="005A3C3A"/>
    <w:rsid w:val="005A4C79"/>
    <w:rsid w:val="005A5F44"/>
    <w:rsid w:val="005A7C19"/>
    <w:rsid w:val="005B40F8"/>
    <w:rsid w:val="005B51C8"/>
    <w:rsid w:val="005B59AF"/>
    <w:rsid w:val="005C01C8"/>
    <w:rsid w:val="005C113A"/>
    <w:rsid w:val="005C1288"/>
    <w:rsid w:val="005C2E85"/>
    <w:rsid w:val="005C339A"/>
    <w:rsid w:val="005C3F1E"/>
    <w:rsid w:val="005C5A84"/>
    <w:rsid w:val="005C5C21"/>
    <w:rsid w:val="005C7096"/>
    <w:rsid w:val="005D08C3"/>
    <w:rsid w:val="005D3720"/>
    <w:rsid w:val="005E06BD"/>
    <w:rsid w:val="005E13D5"/>
    <w:rsid w:val="005E1F79"/>
    <w:rsid w:val="005E3BBC"/>
    <w:rsid w:val="005E48D6"/>
    <w:rsid w:val="005E6CB7"/>
    <w:rsid w:val="005E7DEB"/>
    <w:rsid w:val="005F2CC7"/>
    <w:rsid w:val="006008BF"/>
    <w:rsid w:val="006009B4"/>
    <w:rsid w:val="0060357D"/>
    <w:rsid w:val="00603DE7"/>
    <w:rsid w:val="00605260"/>
    <w:rsid w:val="00605EB4"/>
    <w:rsid w:val="0060744A"/>
    <w:rsid w:val="00611ABD"/>
    <w:rsid w:val="006128E2"/>
    <w:rsid w:val="0061523B"/>
    <w:rsid w:val="00616BE2"/>
    <w:rsid w:val="0062034F"/>
    <w:rsid w:val="00621B7A"/>
    <w:rsid w:val="006234FB"/>
    <w:rsid w:val="006241D7"/>
    <w:rsid w:val="006246E3"/>
    <w:rsid w:val="00626A36"/>
    <w:rsid w:val="00627790"/>
    <w:rsid w:val="00627B9A"/>
    <w:rsid w:val="0063181D"/>
    <w:rsid w:val="00631F68"/>
    <w:rsid w:val="006320D1"/>
    <w:rsid w:val="00632387"/>
    <w:rsid w:val="0063454D"/>
    <w:rsid w:val="00634657"/>
    <w:rsid w:val="006360FA"/>
    <w:rsid w:val="00636CE8"/>
    <w:rsid w:val="0063736D"/>
    <w:rsid w:val="00640E55"/>
    <w:rsid w:val="006410AE"/>
    <w:rsid w:val="00643A43"/>
    <w:rsid w:val="00645253"/>
    <w:rsid w:val="006455FD"/>
    <w:rsid w:val="006459CE"/>
    <w:rsid w:val="006508E8"/>
    <w:rsid w:val="00651F7B"/>
    <w:rsid w:val="006527C6"/>
    <w:rsid w:val="006527CA"/>
    <w:rsid w:val="00652B38"/>
    <w:rsid w:val="00657C5A"/>
    <w:rsid w:val="00660976"/>
    <w:rsid w:val="0066172C"/>
    <w:rsid w:val="006619C1"/>
    <w:rsid w:val="00667425"/>
    <w:rsid w:val="00672A7D"/>
    <w:rsid w:val="00672ADC"/>
    <w:rsid w:val="006751EF"/>
    <w:rsid w:val="0067575B"/>
    <w:rsid w:val="00683A80"/>
    <w:rsid w:val="00684492"/>
    <w:rsid w:val="00685399"/>
    <w:rsid w:val="00685442"/>
    <w:rsid w:val="00686171"/>
    <w:rsid w:val="00686252"/>
    <w:rsid w:val="00687B12"/>
    <w:rsid w:val="006904C5"/>
    <w:rsid w:val="00691422"/>
    <w:rsid w:val="0069189E"/>
    <w:rsid w:val="00692958"/>
    <w:rsid w:val="006944F3"/>
    <w:rsid w:val="006948E0"/>
    <w:rsid w:val="00694A45"/>
    <w:rsid w:val="006955EE"/>
    <w:rsid w:val="00695F40"/>
    <w:rsid w:val="006A1955"/>
    <w:rsid w:val="006A2BFA"/>
    <w:rsid w:val="006A45BE"/>
    <w:rsid w:val="006A6B24"/>
    <w:rsid w:val="006B09F9"/>
    <w:rsid w:val="006B23EB"/>
    <w:rsid w:val="006B2454"/>
    <w:rsid w:val="006B4E0D"/>
    <w:rsid w:val="006B7516"/>
    <w:rsid w:val="006B7927"/>
    <w:rsid w:val="006B7CD9"/>
    <w:rsid w:val="006C0575"/>
    <w:rsid w:val="006C267E"/>
    <w:rsid w:val="006C3545"/>
    <w:rsid w:val="006C3DC7"/>
    <w:rsid w:val="006C45BB"/>
    <w:rsid w:val="006C48E0"/>
    <w:rsid w:val="006C5091"/>
    <w:rsid w:val="006C644A"/>
    <w:rsid w:val="006C73E3"/>
    <w:rsid w:val="006D14A7"/>
    <w:rsid w:val="006D4727"/>
    <w:rsid w:val="006D50C3"/>
    <w:rsid w:val="006D630A"/>
    <w:rsid w:val="006E25E3"/>
    <w:rsid w:val="006E33B5"/>
    <w:rsid w:val="006E4DB2"/>
    <w:rsid w:val="006E5248"/>
    <w:rsid w:val="006E566E"/>
    <w:rsid w:val="006E5DCA"/>
    <w:rsid w:val="006E6083"/>
    <w:rsid w:val="006E6244"/>
    <w:rsid w:val="006E793A"/>
    <w:rsid w:val="006F1DC9"/>
    <w:rsid w:val="006F68D0"/>
    <w:rsid w:val="007007C0"/>
    <w:rsid w:val="00704595"/>
    <w:rsid w:val="007110C0"/>
    <w:rsid w:val="00712FF7"/>
    <w:rsid w:val="00715073"/>
    <w:rsid w:val="0071540F"/>
    <w:rsid w:val="007169F6"/>
    <w:rsid w:val="00720B27"/>
    <w:rsid w:val="00720B73"/>
    <w:rsid w:val="00725B9A"/>
    <w:rsid w:val="00725F0D"/>
    <w:rsid w:val="00733B0C"/>
    <w:rsid w:val="00736BA8"/>
    <w:rsid w:val="00741002"/>
    <w:rsid w:val="00741D39"/>
    <w:rsid w:val="007445B6"/>
    <w:rsid w:val="00744D71"/>
    <w:rsid w:val="0074680A"/>
    <w:rsid w:val="007503F2"/>
    <w:rsid w:val="00750749"/>
    <w:rsid w:val="00751077"/>
    <w:rsid w:val="00752991"/>
    <w:rsid w:val="00753417"/>
    <w:rsid w:val="00760249"/>
    <w:rsid w:val="00760935"/>
    <w:rsid w:val="00762F1E"/>
    <w:rsid w:val="00763B20"/>
    <w:rsid w:val="007678FC"/>
    <w:rsid w:val="007708C9"/>
    <w:rsid w:val="007716CD"/>
    <w:rsid w:val="007736BE"/>
    <w:rsid w:val="0077370B"/>
    <w:rsid w:val="00775A44"/>
    <w:rsid w:val="00775D62"/>
    <w:rsid w:val="0077686D"/>
    <w:rsid w:val="0078099E"/>
    <w:rsid w:val="007809D8"/>
    <w:rsid w:val="00781D0A"/>
    <w:rsid w:val="00782843"/>
    <w:rsid w:val="00783293"/>
    <w:rsid w:val="00786FD8"/>
    <w:rsid w:val="00787D80"/>
    <w:rsid w:val="007A03B3"/>
    <w:rsid w:val="007A05B9"/>
    <w:rsid w:val="007A12C7"/>
    <w:rsid w:val="007A15FD"/>
    <w:rsid w:val="007A2973"/>
    <w:rsid w:val="007A32C4"/>
    <w:rsid w:val="007B218A"/>
    <w:rsid w:val="007B2E9C"/>
    <w:rsid w:val="007B358F"/>
    <w:rsid w:val="007B6660"/>
    <w:rsid w:val="007B7434"/>
    <w:rsid w:val="007C0EC4"/>
    <w:rsid w:val="007C1DCD"/>
    <w:rsid w:val="007C25AE"/>
    <w:rsid w:val="007C29A9"/>
    <w:rsid w:val="007C2E5F"/>
    <w:rsid w:val="007C2EFE"/>
    <w:rsid w:val="007C5E06"/>
    <w:rsid w:val="007C6E87"/>
    <w:rsid w:val="007C702D"/>
    <w:rsid w:val="007D2191"/>
    <w:rsid w:val="007D3F47"/>
    <w:rsid w:val="007D553F"/>
    <w:rsid w:val="007D65FD"/>
    <w:rsid w:val="007E4BB0"/>
    <w:rsid w:val="007E4E1F"/>
    <w:rsid w:val="007E5048"/>
    <w:rsid w:val="007E6FF1"/>
    <w:rsid w:val="007F02EF"/>
    <w:rsid w:val="007F0617"/>
    <w:rsid w:val="007F0E16"/>
    <w:rsid w:val="007F428C"/>
    <w:rsid w:val="007F4309"/>
    <w:rsid w:val="007F4F54"/>
    <w:rsid w:val="007F559B"/>
    <w:rsid w:val="007F5877"/>
    <w:rsid w:val="007F58BB"/>
    <w:rsid w:val="007F73C3"/>
    <w:rsid w:val="008009E0"/>
    <w:rsid w:val="008010D0"/>
    <w:rsid w:val="008024CE"/>
    <w:rsid w:val="0080602B"/>
    <w:rsid w:val="00806571"/>
    <w:rsid w:val="0081035B"/>
    <w:rsid w:val="00811A77"/>
    <w:rsid w:val="00812140"/>
    <w:rsid w:val="00812B72"/>
    <w:rsid w:val="00812BF1"/>
    <w:rsid w:val="008130E0"/>
    <w:rsid w:val="0081425C"/>
    <w:rsid w:val="00815510"/>
    <w:rsid w:val="00816697"/>
    <w:rsid w:val="008205CC"/>
    <w:rsid w:val="00821C91"/>
    <w:rsid w:val="008319CF"/>
    <w:rsid w:val="0083207C"/>
    <w:rsid w:val="00832BE3"/>
    <w:rsid w:val="00832C50"/>
    <w:rsid w:val="0083454B"/>
    <w:rsid w:val="00835E50"/>
    <w:rsid w:val="00837A73"/>
    <w:rsid w:val="00837BE5"/>
    <w:rsid w:val="00841E9A"/>
    <w:rsid w:val="00841ED4"/>
    <w:rsid w:val="008428D6"/>
    <w:rsid w:val="00843181"/>
    <w:rsid w:val="00844BF7"/>
    <w:rsid w:val="0085142D"/>
    <w:rsid w:val="0085681C"/>
    <w:rsid w:val="00860C4C"/>
    <w:rsid w:val="00866D06"/>
    <w:rsid w:val="00870940"/>
    <w:rsid w:val="00870EFB"/>
    <w:rsid w:val="00873BAA"/>
    <w:rsid w:val="008740D2"/>
    <w:rsid w:val="00874261"/>
    <w:rsid w:val="00874ACB"/>
    <w:rsid w:val="00875FA0"/>
    <w:rsid w:val="00877CAB"/>
    <w:rsid w:val="00882A6E"/>
    <w:rsid w:val="0088300E"/>
    <w:rsid w:val="00886932"/>
    <w:rsid w:val="00891938"/>
    <w:rsid w:val="00892EFA"/>
    <w:rsid w:val="0089582C"/>
    <w:rsid w:val="008958B5"/>
    <w:rsid w:val="008959E5"/>
    <w:rsid w:val="008A1AA7"/>
    <w:rsid w:val="008A309E"/>
    <w:rsid w:val="008A44E0"/>
    <w:rsid w:val="008A5033"/>
    <w:rsid w:val="008A50F2"/>
    <w:rsid w:val="008A6120"/>
    <w:rsid w:val="008B0B3E"/>
    <w:rsid w:val="008B2CCF"/>
    <w:rsid w:val="008B6CC6"/>
    <w:rsid w:val="008C0127"/>
    <w:rsid w:val="008C0251"/>
    <w:rsid w:val="008C3718"/>
    <w:rsid w:val="008C39F8"/>
    <w:rsid w:val="008C5581"/>
    <w:rsid w:val="008C6B0E"/>
    <w:rsid w:val="008C6ED6"/>
    <w:rsid w:val="008D36FC"/>
    <w:rsid w:val="008D6205"/>
    <w:rsid w:val="008D65F1"/>
    <w:rsid w:val="008E19E5"/>
    <w:rsid w:val="008E333C"/>
    <w:rsid w:val="008E3F07"/>
    <w:rsid w:val="008F0C49"/>
    <w:rsid w:val="008F537A"/>
    <w:rsid w:val="008F541C"/>
    <w:rsid w:val="008F5F9A"/>
    <w:rsid w:val="008F75E9"/>
    <w:rsid w:val="009005B5"/>
    <w:rsid w:val="00901228"/>
    <w:rsid w:val="00902B69"/>
    <w:rsid w:val="00905A77"/>
    <w:rsid w:val="009104F8"/>
    <w:rsid w:val="0091206A"/>
    <w:rsid w:val="0091407A"/>
    <w:rsid w:val="0091464C"/>
    <w:rsid w:val="00916F72"/>
    <w:rsid w:val="00920584"/>
    <w:rsid w:val="0092202B"/>
    <w:rsid w:val="00922CDD"/>
    <w:rsid w:val="0093050F"/>
    <w:rsid w:val="0093134B"/>
    <w:rsid w:val="0093398A"/>
    <w:rsid w:val="009377AE"/>
    <w:rsid w:val="009413BF"/>
    <w:rsid w:val="00941767"/>
    <w:rsid w:val="00941FBE"/>
    <w:rsid w:val="00943189"/>
    <w:rsid w:val="009475C1"/>
    <w:rsid w:val="00947CA3"/>
    <w:rsid w:val="009501A5"/>
    <w:rsid w:val="00950801"/>
    <w:rsid w:val="00953393"/>
    <w:rsid w:val="0095541B"/>
    <w:rsid w:val="0096146B"/>
    <w:rsid w:val="009614C3"/>
    <w:rsid w:val="009712DE"/>
    <w:rsid w:val="009751F0"/>
    <w:rsid w:val="009754D8"/>
    <w:rsid w:val="0097617E"/>
    <w:rsid w:val="0097760A"/>
    <w:rsid w:val="0097766C"/>
    <w:rsid w:val="00983502"/>
    <w:rsid w:val="00986189"/>
    <w:rsid w:val="00986CD3"/>
    <w:rsid w:val="00987223"/>
    <w:rsid w:val="00990454"/>
    <w:rsid w:val="009906C9"/>
    <w:rsid w:val="00996499"/>
    <w:rsid w:val="009A1A3A"/>
    <w:rsid w:val="009A4878"/>
    <w:rsid w:val="009A4A30"/>
    <w:rsid w:val="009A4A56"/>
    <w:rsid w:val="009A54F1"/>
    <w:rsid w:val="009A5762"/>
    <w:rsid w:val="009B089A"/>
    <w:rsid w:val="009B17C8"/>
    <w:rsid w:val="009B1EDC"/>
    <w:rsid w:val="009B5A3F"/>
    <w:rsid w:val="009B5DCF"/>
    <w:rsid w:val="009B61B8"/>
    <w:rsid w:val="009C028F"/>
    <w:rsid w:val="009C1169"/>
    <w:rsid w:val="009C1B71"/>
    <w:rsid w:val="009C39DC"/>
    <w:rsid w:val="009C4399"/>
    <w:rsid w:val="009D012A"/>
    <w:rsid w:val="009D0EBA"/>
    <w:rsid w:val="009D3081"/>
    <w:rsid w:val="009D3799"/>
    <w:rsid w:val="009D37FD"/>
    <w:rsid w:val="009D4132"/>
    <w:rsid w:val="009D4266"/>
    <w:rsid w:val="009D47A1"/>
    <w:rsid w:val="009D6429"/>
    <w:rsid w:val="009E0280"/>
    <w:rsid w:val="009E2D5B"/>
    <w:rsid w:val="009E4D71"/>
    <w:rsid w:val="009F0CA0"/>
    <w:rsid w:val="009F27E9"/>
    <w:rsid w:val="009F375F"/>
    <w:rsid w:val="009F466A"/>
    <w:rsid w:val="00A00684"/>
    <w:rsid w:val="00A05AAF"/>
    <w:rsid w:val="00A076E0"/>
    <w:rsid w:val="00A07D0F"/>
    <w:rsid w:val="00A110B2"/>
    <w:rsid w:val="00A1273C"/>
    <w:rsid w:val="00A13FD1"/>
    <w:rsid w:val="00A154B4"/>
    <w:rsid w:val="00A170CD"/>
    <w:rsid w:val="00A22386"/>
    <w:rsid w:val="00A2321B"/>
    <w:rsid w:val="00A232C5"/>
    <w:rsid w:val="00A2351B"/>
    <w:rsid w:val="00A250AC"/>
    <w:rsid w:val="00A25772"/>
    <w:rsid w:val="00A25BE4"/>
    <w:rsid w:val="00A278AC"/>
    <w:rsid w:val="00A27D51"/>
    <w:rsid w:val="00A3068F"/>
    <w:rsid w:val="00A30A2A"/>
    <w:rsid w:val="00A317BF"/>
    <w:rsid w:val="00A32E09"/>
    <w:rsid w:val="00A33BD1"/>
    <w:rsid w:val="00A3521C"/>
    <w:rsid w:val="00A35343"/>
    <w:rsid w:val="00A3599B"/>
    <w:rsid w:val="00A41902"/>
    <w:rsid w:val="00A43568"/>
    <w:rsid w:val="00A4521D"/>
    <w:rsid w:val="00A45915"/>
    <w:rsid w:val="00A45F1F"/>
    <w:rsid w:val="00A47C18"/>
    <w:rsid w:val="00A51D1B"/>
    <w:rsid w:val="00A5220B"/>
    <w:rsid w:val="00A522A9"/>
    <w:rsid w:val="00A560E2"/>
    <w:rsid w:val="00A56BCA"/>
    <w:rsid w:val="00A5766F"/>
    <w:rsid w:val="00A61902"/>
    <w:rsid w:val="00A61C3F"/>
    <w:rsid w:val="00A61C73"/>
    <w:rsid w:val="00A61EA6"/>
    <w:rsid w:val="00A640D9"/>
    <w:rsid w:val="00A64364"/>
    <w:rsid w:val="00A6624A"/>
    <w:rsid w:val="00A713B1"/>
    <w:rsid w:val="00A716E5"/>
    <w:rsid w:val="00A7193C"/>
    <w:rsid w:val="00A72BBA"/>
    <w:rsid w:val="00A77575"/>
    <w:rsid w:val="00A80708"/>
    <w:rsid w:val="00A8582D"/>
    <w:rsid w:val="00A90362"/>
    <w:rsid w:val="00A90B96"/>
    <w:rsid w:val="00A91DF8"/>
    <w:rsid w:val="00A9294F"/>
    <w:rsid w:val="00A97557"/>
    <w:rsid w:val="00AA4CD3"/>
    <w:rsid w:val="00AA50E5"/>
    <w:rsid w:val="00AA5375"/>
    <w:rsid w:val="00AA60A3"/>
    <w:rsid w:val="00AA7BB6"/>
    <w:rsid w:val="00AA7CE7"/>
    <w:rsid w:val="00AB215C"/>
    <w:rsid w:val="00AB369D"/>
    <w:rsid w:val="00AB4705"/>
    <w:rsid w:val="00AB482F"/>
    <w:rsid w:val="00AB4DE3"/>
    <w:rsid w:val="00AB55B6"/>
    <w:rsid w:val="00AB6E8A"/>
    <w:rsid w:val="00AC23F7"/>
    <w:rsid w:val="00AC5128"/>
    <w:rsid w:val="00AC5156"/>
    <w:rsid w:val="00AC573F"/>
    <w:rsid w:val="00AC6281"/>
    <w:rsid w:val="00AC651D"/>
    <w:rsid w:val="00AD007F"/>
    <w:rsid w:val="00AD0620"/>
    <w:rsid w:val="00AD1167"/>
    <w:rsid w:val="00AD14BF"/>
    <w:rsid w:val="00AD1B29"/>
    <w:rsid w:val="00AD479B"/>
    <w:rsid w:val="00AD5035"/>
    <w:rsid w:val="00AD586E"/>
    <w:rsid w:val="00AD6C76"/>
    <w:rsid w:val="00AD7D94"/>
    <w:rsid w:val="00AE2128"/>
    <w:rsid w:val="00AE28D6"/>
    <w:rsid w:val="00AE7578"/>
    <w:rsid w:val="00AF2581"/>
    <w:rsid w:val="00AF36B2"/>
    <w:rsid w:val="00AF4A28"/>
    <w:rsid w:val="00AF5B1C"/>
    <w:rsid w:val="00AF7F15"/>
    <w:rsid w:val="00B03485"/>
    <w:rsid w:val="00B057CE"/>
    <w:rsid w:val="00B07525"/>
    <w:rsid w:val="00B100F5"/>
    <w:rsid w:val="00B1265F"/>
    <w:rsid w:val="00B1381B"/>
    <w:rsid w:val="00B1418B"/>
    <w:rsid w:val="00B1628C"/>
    <w:rsid w:val="00B16C72"/>
    <w:rsid w:val="00B17D58"/>
    <w:rsid w:val="00B22FA8"/>
    <w:rsid w:val="00B2778B"/>
    <w:rsid w:val="00B32B74"/>
    <w:rsid w:val="00B330CA"/>
    <w:rsid w:val="00B337D9"/>
    <w:rsid w:val="00B33EB9"/>
    <w:rsid w:val="00B341C2"/>
    <w:rsid w:val="00B3479A"/>
    <w:rsid w:val="00B35CA0"/>
    <w:rsid w:val="00B35E94"/>
    <w:rsid w:val="00B366E3"/>
    <w:rsid w:val="00B37BB1"/>
    <w:rsid w:val="00B40997"/>
    <w:rsid w:val="00B40AD3"/>
    <w:rsid w:val="00B44671"/>
    <w:rsid w:val="00B50723"/>
    <w:rsid w:val="00B5087E"/>
    <w:rsid w:val="00B52FEE"/>
    <w:rsid w:val="00B53D35"/>
    <w:rsid w:val="00B54744"/>
    <w:rsid w:val="00B56BE5"/>
    <w:rsid w:val="00B57330"/>
    <w:rsid w:val="00B605D5"/>
    <w:rsid w:val="00B60614"/>
    <w:rsid w:val="00B65D2D"/>
    <w:rsid w:val="00B66ECE"/>
    <w:rsid w:val="00B675D2"/>
    <w:rsid w:val="00B7053E"/>
    <w:rsid w:val="00B70658"/>
    <w:rsid w:val="00B712FA"/>
    <w:rsid w:val="00B719B1"/>
    <w:rsid w:val="00B71A85"/>
    <w:rsid w:val="00B71AA8"/>
    <w:rsid w:val="00B721A6"/>
    <w:rsid w:val="00B73727"/>
    <w:rsid w:val="00B76A35"/>
    <w:rsid w:val="00B80DAE"/>
    <w:rsid w:val="00B82AC9"/>
    <w:rsid w:val="00B832CB"/>
    <w:rsid w:val="00B83777"/>
    <w:rsid w:val="00B845F0"/>
    <w:rsid w:val="00B862AE"/>
    <w:rsid w:val="00B86484"/>
    <w:rsid w:val="00B86E0B"/>
    <w:rsid w:val="00B87D7C"/>
    <w:rsid w:val="00B9087D"/>
    <w:rsid w:val="00B90DE8"/>
    <w:rsid w:val="00B91D37"/>
    <w:rsid w:val="00B92993"/>
    <w:rsid w:val="00B93086"/>
    <w:rsid w:val="00B93184"/>
    <w:rsid w:val="00B94392"/>
    <w:rsid w:val="00BA08AE"/>
    <w:rsid w:val="00BA23C5"/>
    <w:rsid w:val="00BA2A67"/>
    <w:rsid w:val="00BA4C4A"/>
    <w:rsid w:val="00BA60AD"/>
    <w:rsid w:val="00BA627C"/>
    <w:rsid w:val="00BA6F03"/>
    <w:rsid w:val="00BA7391"/>
    <w:rsid w:val="00BA7B77"/>
    <w:rsid w:val="00BB0310"/>
    <w:rsid w:val="00BB1031"/>
    <w:rsid w:val="00BB404F"/>
    <w:rsid w:val="00BB616A"/>
    <w:rsid w:val="00BC5C34"/>
    <w:rsid w:val="00BC6D03"/>
    <w:rsid w:val="00BC6ED7"/>
    <w:rsid w:val="00BC79F8"/>
    <w:rsid w:val="00BD1195"/>
    <w:rsid w:val="00BD19D6"/>
    <w:rsid w:val="00BD28EA"/>
    <w:rsid w:val="00BD3D53"/>
    <w:rsid w:val="00BD41BC"/>
    <w:rsid w:val="00BD4604"/>
    <w:rsid w:val="00BE0DBD"/>
    <w:rsid w:val="00BE20BD"/>
    <w:rsid w:val="00BE30CF"/>
    <w:rsid w:val="00BE4DAE"/>
    <w:rsid w:val="00BE5E18"/>
    <w:rsid w:val="00BF18BA"/>
    <w:rsid w:val="00BF22AD"/>
    <w:rsid w:val="00BF676F"/>
    <w:rsid w:val="00BF74E3"/>
    <w:rsid w:val="00C01609"/>
    <w:rsid w:val="00C0169C"/>
    <w:rsid w:val="00C03544"/>
    <w:rsid w:val="00C03622"/>
    <w:rsid w:val="00C05C42"/>
    <w:rsid w:val="00C06B87"/>
    <w:rsid w:val="00C10126"/>
    <w:rsid w:val="00C11F53"/>
    <w:rsid w:val="00C12D3E"/>
    <w:rsid w:val="00C148D1"/>
    <w:rsid w:val="00C15DCD"/>
    <w:rsid w:val="00C16BAA"/>
    <w:rsid w:val="00C20088"/>
    <w:rsid w:val="00C201DD"/>
    <w:rsid w:val="00C23FEC"/>
    <w:rsid w:val="00C2432D"/>
    <w:rsid w:val="00C24932"/>
    <w:rsid w:val="00C27736"/>
    <w:rsid w:val="00C32842"/>
    <w:rsid w:val="00C338B0"/>
    <w:rsid w:val="00C36A73"/>
    <w:rsid w:val="00C41CFF"/>
    <w:rsid w:val="00C435C1"/>
    <w:rsid w:val="00C43916"/>
    <w:rsid w:val="00C460F3"/>
    <w:rsid w:val="00C477E5"/>
    <w:rsid w:val="00C54749"/>
    <w:rsid w:val="00C55FAD"/>
    <w:rsid w:val="00C614B6"/>
    <w:rsid w:val="00C64927"/>
    <w:rsid w:val="00C64A77"/>
    <w:rsid w:val="00C64F51"/>
    <w:rsid w:val="00C6547A"/>
    <w:rsid w:val="00C65BBD"/>
    <w:rsid w:val="00C66057"/>
    <w:rsid w:val="00C679E3"/>
    <w:rsid w:val="00C717BB"/>
    <w:rsid w:val="00C71F5A"/>
    <w:rsid w:val="00C72A1A"/>
    <w:rsid w:val="00C75028"/>
    <w:rsid w:val="00C76FEB"/>
    <w:rsid w:val="00C81408"/>
    <w:rsid w:val="00C83FED"/>
    <w:rsid w:val="00C84C23"/>
    <w:rsid w:val="00C87394"/>
    <w:rsid w:val="00C912C6"/>
    <w:rsid w:val="00C94A75"/>
    <w:rsid w:val="00C94AAC"/>
    <w:rsid w:val="00C95170"/>
    <w:rsid w:val="00C9729B"/>
    <w:rsid w:val="00CA28AE"/>
    <w:rsid w:val="00CA2E8B"/>
    <w:rsid w:val="00CA3603"/>
    <w:rsid w:val="00CA4046"/>
    <w:rsid w:val="00CA5707"/>
    <w:rsid w:val="00CA7FBE"/>
    <w:rsid w:val="00CB1C3E"/>
    <w:rsid w:val="00CB30ED"/>
    <w:rsid w:val="00CB406A"/>
    <w:rsid w:val="00CB5C42"/>
    <w:rsid w:val="00CB5CB2"/>
    <w:rsid w:val="00CB6533"/>
    <w:rsid w:val="00CC09ED"/>
    <w:rsid w:val="00CC1625"/>
    <w:rsid w:val="00CC332D"/>
    <w:rsid w:val="00CC5110"/>
    <w:rsid w:val="00CC6AFA"/>
    <w:rsid w:val="00CC70E3"/>
    <w:rsid w:val="00CC799B"/>
    <w:rsid w:val="00CD1748"/>
    <w:rsid w:val="00CD57B8"/>
    <w:rsid w:val="00CD63E5"/>
    <w:rsid w:val="00CD76AA"/>
    <w:rsid w:val="00CE2F8D"/>
    <w:rsid w:val="00CE7A03"/>
    <w:rsid w:val="00CF089C"/>
    <w:rsid w:val="00CF0CD0"/>
    <w:rsid w:val="00CF170B"/>
    <w:rsid w:val="00CF1C93"/>
    <w:rsid w:val="00CF2A93"/>
    <w:rsid w:val="00CF345E"/>
    <w:rsid w:val="00CF4ADD"/>
    <w:rsid w:val="00CF6407"/>
    <w:rsid w:val="00D000C2"/>
    <w:rsid w:val="00D00B64"/>
    <w:rsid w:val="00D01AA3"/>
    <w:rsid w:val="00D02C40"/>
    <w:rsid w:val="00D034D7"/>
    <w:rsid w:val="00D04602"/>
    <w:rsid w:val="00D0482C"/>
    <w:rsid w:val="00D07761"/>
    <w:rsid w:val="00D078B2"/>
    <w:rsid w:val="00D12FF1"/>
    <w:rsid w:val="00D13570"/>
    <w:rsid w:val="00D151C2"/>
    <w:rsid w:val="00D15BE3"/>
    <w:rsid w:val="00D1726E"/>
    <w:rsid w:val="00D17364"/>
    <w:rsid w:val="00D17FB2"/>
    <w:rsid w:val="00D23074"/>
    <w:rsid w:val="00D2387A"/>
    <w:rsid w:val="00D247BA"/>
    <w:rsid w:val="00D2495E"/>
    <w:rsid w:val="00D25FF9"/>
    <w:rsid w:val="00D27DD8"/>
    <w:rsid w:val="00D31FDB"/>
    <w:rsid w:val="00D3258F"/>
    <w:rsid w:val="00D34818"/>
    <w:rsid w:val="00D350AF"/>
    <w:rsid w:val="00D36EF7"/>
    <w:rsid w:val="00D400E3"/>
    <w:rsid w:val="00D40174"/>
    <w:rsid w:val="00D40DCA"/>
    <w:rsid w:val="00D41925"/>
    <w:rsid w:val="00D42BFF"/>
    <w:rsid w:val="00D44ECC"/>
    <w:rsid w:val="00D45F5F"/>
    <w:rsid w:val="00D5244E"/>
    <w:rsid w:val="00D5535F"/>
    <w:rsid w:val="00D5715E"/>
    <w:rsid w:val="00D60830"/>
    <w:rsid w:val="00D61732"/>
    <w:rsid w:val="00D63159"/>
    <w:rsid w:val="00D63347"/>
    <w:rsid w:val="00D65EB0"/>
    <w:rsid w:val="00D7061D"/>
    <w:rsid w:val="00D70DD4"/>
    <w:rsid w:val="00D727D2"/>
    <w:rsid w:val="00D7443C"/>
    <w:rsid w:val="00D74568"/>
    <w:rsid w:val="00D75D01"/>
    <w:rsid w:val="00D81A80"/>
    <w:rsid w:val="00D84023"/>
    <w:rsid w:val="00D84D4D"/>
    <w:rsid w:val="00D874BA"/>
    <w:rsid w:val="00D89D81"/>
    <w:rsid w:val="00D90700"/>
    <w:rsid w:val="00D90FE4"/>
    <w:rsid w:val="00D9320D"/>
    <w:rsid w:val="00D93E66"/>
    <w:rsid w:val="00D94DD2"/>
    <w:rsid w:val="00D95DAA"/>
    <w:rsid w:val="00D9743E"/>
    <w:rsid w:val="00DA1328"/>
    <w:rsid w:val="00DA1832"/>
    <w:rsid w:val="00DA3247"/>
    <w:rsid w:val="00DA3C6E"/>
    <w:rsid w:val="00DA4A74"/>
    <w:rsid w:val="00DA4DD8"/>
    <w:rsid w:val="00DB4332"/>
    <w:rsid w:val="00DB4AE9"/>
    <w:rsid w:val="00DB4FA7"/>
    <w:rsid w:val="00DC0BDB"/>
    <w:rsid w:val="00DC0BEA"/>
    <w:rsid w:val="00DC0E04"/>
    <w:rsid w:val="00DC20D6"/>
    <w:rsid w:val="00DC21EE"/>
    <w:rsid w:val="00DC2CFA"/>
    <w:rsid w:val="00DC3BFD"/>
    <w:rsid w:val="00DC577F"/>
    <w:rsid w:val="00DC6A6D"/>
    <w:rsid w:val="00DC78E2"/>
    <w:rsid w:val="00DD0C50"/>
    <w:rsid w:val="00DD1066"/>
    <w:rsid w:val="00DD1B36"/>
    <w:rsid w:val="00DD29B7"/>
    <w:rsid w:val="00DD428E"/>
    <w:rsid w:val="00DD4E58"/>
    <w:rsid w:val="00DD613E"/>
    <w:rsid w:val="00DE41C9"/>
    <w:rsid w:val="00DE588E"/>
    <w:rsid w:val="00DE61D4"/>
    <w:rsid w:val="00DE6FF8"/>
    <w:rsid w:val="00DE75C7"/>
    <w:rsid w:val="00DF07BC"/>
    <w:rsid w:val="00DF39D4"/>
    <w:rsid w:val="00DF4D66"/>
    <w:rsid w:val="00DF4E5D"/>
    <w:rsid w:val="00DF5AFE"/>
    <w:rsid w:val="00E006F3"/>
    <w:rsid w:val="00E05C30"/>
    <w:rsid w:val="00E0664F"/>
    <w:rsid w:val="00E0755E"/>
    <w:rsid w:val="00E101B2"/>
    <w:rsid w:val="00E1049B"/>
    <w:rsid w:val="00E12D96"/>
    <w:rsid w:val="00E132FE"/>
    <w:rsid w:val="00E1408E"/>
    <w:rsid w:val="00E1541F"/>
    <w:rsid w:val="00E15CB2"/>
    <w:rsid w:val="00E166C8"/>
    <w:rsid w:val="00E21B58"/>
    <w:rsid w:val="00E25D18"/>
    <w:rsid w:val="00E27DB1"/>
    <w:rsid w:val="00E27DE4"/>
    <w:rsid w:val="00E30D59"/>
    <w:rsid w:val="00E31236"/>
    <w:rsid w:val="00E3315A"/>
    <w:rsid w:val="00E339CB"/>
    <w:rsid w:val="00E431A1"/>
    <w:rsid w:val="00E43B46"/>
    <w:rsid w:val="00E447D8"/>
    <w:rsid w:val="00E468C2"/>
    <w:rsid w:val="00E50137"/>
    <w:rsid w:val="00E559D0"/>
    <w:rsid w:val="00E610E2"/>
    <w:rsid w:val="00E61561"/>
    <w:rsid w:val="00E61628"/>
    <w:rsid w:val="00E620AD"/>
    <w:rsid w:val="00E62E0D"/>
    <w:rsid w:val="00E64EF3"/>
    <w:rsid w:val="00E64F31"/>
    <w:rsid w:val="00E6512E"/>
    <w:rsid w:val="00E664CB"/>
    <w:rsid w:val="00E67A75"/>
    <w:rsid w:val="00E71177"/>
    <w:rsid w:val="00E72B0F"/>
    <w:rsid w:val="00E74207"/>
    <w:rsid w:val="00E76D64"/>
    <w:rsid w:val="00E7730F"/>
    <w:rsid w:val="00E82780"/>
    <w:rsid w:val="00E830BF"/>
    <w:rsid w:val="00E83BA0"/>
    <w:rsid w:val="00E84D87"/>
    <w:rsid w:val="00E85C21"/>
    <w:rsid w:val="00E86667"/>
    <w:rsid w:val="00E86F61"/>
    <w:rsid w:val="00E874E1"/>
    <w:rsid w:val="00E92B42"/>
    <w:rsid w:val="00E92E7E"/>
    <w:rsid w:val="00E941C8"/>
    <w:rsid w:val="00E94956"/>
    <w:rsid w:val="00EA22A9"/>
    <w:rsid w:val="00EA4D51"/>
    <w:rsid w:val="00EB0F2C"/>
    <w:rsid w:val="00EB298A"/>
    <w:rsid w:val="00EB4E90"/>
    <w:rsid w:val="00EB5253"/>
    <w:rsid w:val="00EB56B7"/>
    <w:rsid w:val="00EC56C4"/>
    <w:rsid w:val="00EC7024"/>
    <w:rsid w:val="00ED1451"/>
    <w:rsid w:val="00ED1620"/>
    <w:rsid w:val="00ED431A"/>
    <w:rsid w:val="00ED77E9"/>
    <w:rsid w:val="00ED794C"/>
    <w:rsid w:val="00ED7E13"/>
    <w:rsid w:val="00EE35DF"/>
    <w:rsid w:val="00EE3F9F"/>
    <w:rsid w:val="00EF0120"/>
    <w:rsid w:val="00EF116C"/>
    <w:rsid w:val="00EF3E89"/>
    <w:rsid w:val="00F016DF"/>
    <w:rsid w:val="00F02EA6"/>
    <w:rsid w:val="00F03D19"/>
    <w:rsid w:val="00F06ABD"/>
    <w:rsid w:val="00F07FD1"/>
    <w:rsid w:val="00F12E30"/>
    <w:rsid w:val="00F141D3"/>
    <w:rsid w:val="00F14817"/>
    <w:rsid w:val="00F14A34"/>
    <w:rsid w:val="00F14DBE"/>
    <w:rsid w:val="00F1539A"/>
    <w:rsid w:val="00F1790F"/>
    <w:rsid w:val="00F25D82"/>
    <w:rsid w:val="00F27CB1"/>
    <w:rsid w:val="00F307BD"/>
    <w:rsid w:val="00F32193"/>
    <w:rsid w:val="00F34FCA"/>
    <w:rsid w:val="00F379A4"/>
    <w:rsid w:val="00F41A64"/>
    <w:rsid w:val="00F42F12"/>
    <w:rsid w:val="00F43F31"/>
    <w:rsid w:val="00F46AB8"/>
    <w:rsid w:val="00F53EB5"/>
    <w:rsid w:val="00F545BE"/>
    <w:rsid w:val="00F55DCE"/>
    <w:rsid w:val="00F571AC"/>
    <w:rsid w:val="00F604E1"/>
    <w:rsid w:val="00F62B58"/>
    <w:rsid w:val="00F64C6A"/>
    <w:rsid w:val="00F64FDE"/>
    <w:rsid w:val="00F6527B"/>
    <w:rsid w:val="00F6545D"/>
    <w:rsid w:val="00F67727"/>
    <w:rsid w:val="00F67A24"/>
    <w:rsid w:val="00F731A5"/>
    <w:rsid w:val="00F73701"/>
    <w:rsid w:val="00F74D4B"/>
    <w:rsid w:val="00F7593A"/>
    <w:rsid w:val="00F774CC"/>
    <w:rsid w:val="00F801FA"/>
    <w:rsid w:val="00F80CB5"/>
    <w:rsid w:val="00F8371B"/>
    <w:rsid w:val="00F863BD"/>
    <w:rsid w:val="00F865F2"/>
    <w:rsid w:val="00F96252"/>
    <w:rsid w:val="00FA0576"/>
    <w:rsid w:val="00FA1A4F"/>
    <w:rsid w:val="00FA207C"/>
    <w:rsid w:val="00FA2478"/>
    <w:rsid w:val="00FA2680"/>
    <w:rsid w:val="00FA3016"/>
    <w:rsid w:val="00FA329C"/>
    <w:rsid w:val="00FA3AE5"/>
    <w:rsid w:val="00FA5157"/>
    <w:rsid w:val="00FB05E6"/>
    <w:rsid w:val="00FB1570"/>
    <w:rsid w:val="00FB3D38"/>
    <w:rsid w:val="00FB3D8D"/>
    <w:rsid w:val="00FB4C0F"/>
    <w:rsid w:val="00FB66DD"/>
    <w:rsid w:val="00FB6CCA"/>
    <w:rsid w:val="00FC66C7"/>
    <w:rsid w:val="00FD0ACA"/>
    <w:rsid w:val="00FD261C"/>
    <w:rsid w:val="00FD2B76"/>
    <w:rsid w:val="00FD3196"/>
    <w:rsid w:val="00FD37F0"/>
    <w:rsid w:val="00FD5E65"/>
    <w:rsid w:val="00FE1AC8"/>
    <w:rsid w:val="00FE3DFE"/>
    <w:rsid w:val="00FE43CC"/>
    <w:rsid w:val="00FE524F"/>
    <w:rsid w:val="00FE59E6"/>
    <w:rsid w:val="00FE5DB3"/>
    <w:rsid w:val="00FF0C65"/>
    <w:rsid w:val="00FF1312"/>
    <w:rsid w:val="00FF1C71"/>
    <w:rsid w:val="00FF2FA2"/>
    <w:rsid w:val="00FF6E71"/>
    <w:rsid w:val="016A81C6"/>
    <w:rsid w:val="018CAEAE"/>
    <w:rsid w:val="019CECEC"/>
    <w:rsid w:val="01A4F09C"/>
    <w:rsid w:val="01F4D602"/>
    <w:rsid w:val="021D087E"/>
    <w:rsid w:val="024C9B5F"/>
    <w:rsid w:val="025655B1"/>
    <w:rsid w:val="02747DA0"/>
    <w:rsid w:val="02E47D59"/>
    <w:rsid w:val="03B4F8E1"/>
    <w:rsid w:val="04130B62"/>
    <w:rsid w:val="04182BC9"/>
    <w:rsid w:val="04308813"/>
    <w:rsid w:val="045BAA47"/>
    <w:rsid w:val="049268E1"/>
    <w:rsid w:val="04C30656"/>
    <w:rsid w:val="058E2C7D"/>
    <w:rsid w:val="065ED6B7"/>
    <w:rsid w:val="0698BF68"/>
    <w:rsid w:val="06C1C30E"/>
    <w:rsid w:val="070AD728"/>
    <w:rsid w:val="073E7881"/>
    <w:rsid w:val="07FAA718"/>
    <w:rsid w:val="09C10CC5"/>
    <w:rsid w:val="09E03FF4"/>
    <w:rsid w:val="0B9149A1"/>
    <w:rsid w:val="0F744CBC"/>
    <w:rsid w:val="133D59BF"/>
    <w:rsid w:val="13AB03A5"/>
    <w:rsid w:val="1422DAC4"/>
    <w:rsid w:val="144119B2"/>
    <w:rsid w:val="15DA1DD6"/>
    <w:rsid w:val="1674FA81"/>
    <w:rsid w:val="18408AEB"/>
    <w:rsid w:val="18EB6578"/>
    <w:rsid w:val="19AC9B43"/>
    <w:rsid w:val="19DC5B4C"/>
    <w:rsid w:val="1A52C69E"/>
    <w:rsid w:val="1AEED09E"/>
    <w:rsid w:val="1B3E69B2"/>
    <w:rsid w:val="1BED76F4"/>
    <w:rsid w:val="1C71D4DE"/>
    <w:rsid w:val="1DF747B0"/>
    <w:rsid w:val="1E197498"/>
    <w:rsid w:val="1E6A9857"/>
    <w:rsid w:val="1EAFCC6F"/>
    <w:rsid w:val="200298BF"/>
    <w:rsid w:val="204B9CD0"/>
    <w:rsid w:val="219FABA4"/>
    <w:rsid w:val="21E76D31"/>
    <w:rsid w:val="2223DDC6"/>
    <w:rsid w:val="22FD099F"/>
    <w:rsid w:val="231F3687"/>
    <w:rsid w:val="247DCFA5"/>
    <w:rsid w:val="24D03608"/>
    <w:rsid w:val="2532584A"/>
    <w:rsid w:val="2636975E"/>
    <w:rsid w:val="26BADE54"/>
    <w:rsid w:val="27F22418"/>
    <w:rsid w:val="2856AEB5"/>
    <w:rsid w:val="288E7641"/>
    <w:rsid w:val="28F61B67"/>
    <w:rsid w:val="29839194"/>
    <w:rsid w:val="29F27F16"/>
    <w:rsid w:val="2A6E9A2C"/>
    <w:rsid w:val="2B97F21B"/>
    <w:rsid w:val="2C3ED708"/>
    <w:rsid w:val="2D2A1FD8"/>
    <w:rsid w:val="2DD4FA65"/>
    <w:rsid w:val="2E0F7E52"/>
    <w:rsid w:val="2EF50CA5"/>
    <w:rsid w:val="2F5A551B"/>
    <w:rsid w:val="2F6B05AD"/>
    <w:rsid w:val="2F78B84C"/>
    <w:rsid w:val="3061C09A"/>
    <w:rsid w:val="30C5B403"/>
    <w:rsid w:val="31AB4242"/>
    <w:rsid w:val="3300A11F"/>
    <w:rsid w:val="338B662D"/>
    <w:rsid w:val="34B4B3FA"/>
    <w:rsid w:val="360FC05E"/>
    <w:rsid w:val="36101675"/>
    <w:rsid w:val="372F28A6"/>
    <w:rsid w:val="39111E55"/>
    <w:rsid w:val="3C573B54"/>
    <w:rsid w:val="3D326D62"/>
    <w:rsid w:val="3F1825BE"/>
    <w:rsid w:val="40C1EDAF"/>
    <w:rsid w:val="411962D1"/>
    <w:rsid w:val="41FF5B92"/>
    <w:rsid w:val="428BB294"/>
    <w:rsid w:val="43CF986E"/>
    <w:rsid w:val="458D2FE0"/>
    <w:rsid w:val="4626922D"/>
    <w:rsid w:val="47C2628E"/>
    <w:rsid w:val="4853199A"/>
    <w:rsid w:val="4930608C"/>
    <w:rsid w:val="493C03A8"/>
    <w:rsid w:val="4A60A103"/>
    <w:rsid w:val="4AAADC85"/>
    <w:rsid w:val="4ACC30ED"/>
    <w:rsid w:val="4B1C2793"/>
    <w:rsid w:val="4B93986E"/>
    <w:rsid w:val="4C6320EB"/>
    <w:rsid w:val="4DD25D30"/>
    <w:rsid w:val="4E03D1AF"/>
    <w:rsid w:val="4ECC885A"/>
    <w:rsid w:val="4F341226"/>
    <w:rsid w:val="518B0FC2"/>
    <w:rsid w:val="526BB2E8"/>
    <w:rsid w:val="54E8AC25"/>
    <w:rsid w:val="5539E33C"/>
    <w:rsid w:val="556A53CC"/>
    <w:rsid w:val="5716AE7D"/>
    <w:rsid w:val="583B33EB"/>
    <w:rsid w:val="58697ACD"/>
    <w:rsid w:val="597BA22F"/>
    <w:rsid w:val="59DEA108"/>
    <w:rsid w:val="5BA924C0"/>
    <w:rsid w:val="5C1A82B4"/>
    <w:rsid w:val="5DB65315"/>
    <w:rsid w:val="5DCCEFAC"/>
    <w:rsid w:val="5EE0C582"/>
    <w:rsid w:val="5EE94A80"/>
    <w:rsid w:val="6021FA3B"/>
    <w:rsid w:val="607C3CCF"/>
    <w:rsid w:val="60EA3FC9"/>
    <w:rsid w:val="62186644"/>
    <w:rsid w:val="6286102A"/>
    <w:rsid w:val="6289C438"/>
    <w:rsid w:val="62EABA40"/>
    <w:rsid w:val="63B436A5"/>
    <w:rsid w:val="6421E08B"/>
    <w:rsid w:val="6425B0B3"/>
    <w:rsid w:val="64FA2799"/>
    <w:rsid w:val="65C164FA"/>
    <w:rsid w:val="65EB3200"/>
    <w:rsid w:val="66970949"/>
    <w:rsid w:val="68878C1D"/>
    <w:rsid w:val="68958F4A"/>
    <w:rsid w:val="69B0ADF9"/>
    <w:rsid w:val="69E9910F"/>
    <w:rsid w:val="6A235C7E"/>
    <w:rsid w:val="6A237829"/>
    <w:rsid w:val="6BBF2CDF"/>
    <w:rsid w:val="6C51C864"/>
    <w:rsid w:val="6D8AD8F4"/>
    <w:rsid w:val="6E7FEA97"/>
    <w:rsid w:val="70DC4423"/>
    <w:rsid w:val="71362034"/>
    <w:rsid w:val="72748523"/>
    <w:rsid w:val="72781484"/>
    <w:rsid w:val="73FBFDE7"/>
    <w:rsid w:val="75477294"/>
    <w:rsid w:val="7595EAD9"/>
    <w:rsid w:val="76DFAA1B"/>
    <w:rsid w:val="773794F1"/>
    <w:rsid w:val="784A3FAD"/>
    <w:rsid w:val="79003C7C"/>
    <w:rsid w:val="7A555406"/>
    <w:rsid w:val="7CADF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9E588"/>
  <w15:chartTrackingRefBased/>
  <w15:docId w15:val="{011A831B-0FCC-5449-9689-954EBA3C7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74AC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874ACB"/>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19AB"/>
    <w:pPr>
      <w:tabs>
        <w:tab w:val="center" w:pos="4680"/>
        <w:tab w:val="right" w:pos="9360"/>
      </w:tabs>
    </w:pPr>
  </w:style>
  <w:style w:type="character" w:customStyle="1" w:styleId="HeaderChar">
    <w:name w:val="Header Char"/>
    <w:basedOn w:val="DefaultParagraphFont"/>
    <w:link w:val="Header"/>
    <w:uiPriority w:val="99"/>
    <w:rsid w:val="000319AB"/>
  </w:style>
  <w:style w:type="paragraph" w:styleId="Footer">
    <w:name w:val="footer"/>
    <w:basedOn w:val="Normal"/>
    <w:link w:val="FooterChar"/>
    <w:uiPriority w:val="99"/>
    <w:unhideWhenUsed/>
    <w:rsid w:val="000319AB"/>
    <w:pPr>
      <w:tabs>
        <w:tab w:val="center" w:pos="4680"/>
        <w:tab w:val="right" w:pos="9360"/>
      </w:tabs>
    </w:pPr>
  </w:style>
  <w:style w:type="character" w:customStyle="1" w:styleId="FooterChar">
    <w:name w:val="Footer Char"/>
    <w:basedOn w:val="DefaultParagraphFont"/>
    <w:link w:val="Footer"/>
    <w:uiPriority w:val="99"/>
    <w:rsid w:val="000319AB"/>
  </w:style>
  <w:style w:type="character" w:styleId="Hyperlink">
    <w:name w:val="Hyperlink"/>
    <w:basedOn w:val="DefaultParagraphFont"/>
    <w:uiPriority w:val="99"/>
    <w:unhideWhenUsed/>
    <w:rsid w:val="000319AB"/>
    <w:rPr>
      <w:color w:val="0563C1" w:themeColor="hyperlink"/>
      <w:u w:val="single"/>
    </w:rPr>
  </w:style>
  <w:style w:type="character" w:styleId="UnresolvedMention">
    <w:name w:val="Unresolved Mention"/>
    <w:basedOn w:val="DefaultParagraphFont"/>
    <w:uiPriority w:val="99"/>
    <w:semiHidden/>
    <w:unhideWhenUsed/>
    <w:rsid w:val="000319AB"/>
    <w:rPr>
      <w:color w:val="605E5C"/>
      <w:shd w:val="clear" w:color="auto" w:fill="E1DFDD"/>
    </w:rPr>
  </w:style>
  <w:style w:type="character" w:styleId="CommentReference">
    <w:name w:val="annotation reference"/>
    <w:basedOn w:val="DefaultParagraphFont"/>
    <w:uiPriority w:val="99"/>
    <w:semiHidden/>
    <w:unhideWhenUsed/>
    <w:rsid w:val="00E83BA0"/>
    <w:rPr>
      <w:sz w:val="16"/>
      <w:szCs w:val="16"/>
    </w:rPr>
  </w:style>
  <w:style w:type="paragraph" w:styleId="CommentText">
    <w:name w:val="annotation text"/>
    <w:basedOn w:val="Normal"/>
    <w:link w:val="CommentTextChar"/>
    <w:uiPriority w:val="99"/>
    <w:unhideWhenUsed/>
    <w:rsid w:val="00E83BA0"/>
    <w:rPr>
      <w:sz w:val="20"/>
      <w:szCs w:val="20"/>
    </w:rPr>
  </w:style>
  <w:style w:type="character" w:customStyle="1" w:styleId="CommentTextChar">
    <w:name w:val="Comment Text Char"/>
    <w:basedOn w:val="DefaultParagraphFont"/>
    <w:link w:val="CommentText"/>
    <w:uiPriority w:val="99"/>
    <w:rsid w:val="00E83BA0"/>
    <w:rPr>
      <w:sz w:val="20"/>
      <w:szCs w:val="20"/>
    </w:rPr>
  </w:style>
  <w:style w:type="paragraph" w:styleId="CommentSubject">
    <w:name w:val="annotation subject"/>
    <w:basedOn w:val="CommentText"/>
    <w:next w:val="CommentText"/>
    <w:link w:val="CommentSubjectChar"/>
    <w:uiPriority w:val="99"/>
    <w:semiHidden/>
    <w:unhideWhenUsed/>
    <w:rsid w:val="00E83BA0"/>
    <w:rPr>
      <w:b/>
      <w:bCs/>
    </w:rPr>
  </w:style>
  <w:style w:type="character" w:customStyle="1" w:styleId="CommentSubjectChar">
    <w:name w:val="Comment Subject Char"/>
    <w:basedOn w:val="CommentTextChar"/>
    <w:link w:val="CommentSubject"/>
    <w:uiPriority w:val="99"/>
    <w:semiHidden/>
    <w:rsid w:val="00E83BA0"/>
    <w:rPr>
      <w:b/>
      <w:bCs/>
      <w:sz w:val="20"/>
      <w:szCs w:val="20"/>
    </w:rPr>
  </w:style>
  <w:style w:type="paragraph" w:styleId="Revision">
    <w:name w:val="Revision"/>
    <w:hidden/>
    <w:uiPriority w:val="99"/>
    <w:semiHidden/>
    <w:rsid w:val="00E83BA0"/>
  </w:style>
  <w:style w:type="paragraph" w:styleId="BalloonText">
    <w:name w:val="Balloon Text"/>
    <w:basedOn w:val="Normal"/>
    <w:link w:val="BalloonTextChar"/>
    <w:uiPriority w:val="99"/>
    <w:semiHidden/>
    <w:unhideWhenUsed/>
    <w:rsid w:val="002A195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195B"/>
    <w:rPr>
      <w:rFonts w:ascii="Segoe UI" w:hAnsi="Segoe UI" w:cs="Segoe UI"/>
      <w:sz w:val="18"/>
      <w:szCs w:val="18"/>
    </w:rPr>
  </w:style>
  <w:style w:type="character" w:styleId="FollowedHyperlink">
    <w:name w:val="FollowedHyperlink"/>
    <w:basedOn w:val="DefaultParagraphFont"/>
    <w:uiPriority w:val="99"/>
    <w:semiHidden/>
    <w:unhideWhenUsed/>
    <w:rsid w:val="00323857"/>
    <w:rPr>
      <w:color w:val="954F72" w:themeColor="followedHyperlink"/>
      <w:u w:val="single"/>
    </w:rPr>
  </w:style>
  <w:style w:type="paragraph" w:styleId="NormalWeb">
    <w:name w:val="Normal (Web)"/>
    <w:basedOn w:val="Normal"/>
    <w:uiPriority w:val="99"/>
    <w:unhideWhenUsed/>
    <w:rsid w:val="00AB369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74ACB"/>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874ACB"/>
    <w:rPr>
      <w:rFonts w:ascii="Times New Roman" w:eastAsia="Times New Roman" w:hAnsi="Times New Roman" w:cs="Times New Roman"/>
      <w:b/>
      <w:bCs/>
      <w:sz w:val="27"/>
      <w:szCs w:val="27"/>
      <w:lang w:eastAsia="en-GB"/>
    </w:rPr>
  </w:style>
  <w:style w:type="paragraph" w:customStyle="1" w:styleId="msonormal0">
    <w:name w:val="msonormal"/>
    <w:basedOn w:val="Normal"/>
    <w:rsid w:val="00874AC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20B27"/>
    <w:rPr>
      <w:i/>
      <w:iCs/>
    </w:rPr>
  </w:style>
  <w:style w:type="character" w:customStyle="1" w:styleId="authors">
    <w:name w:val="authors"/>
    <w:basedOn w:val="DefaultParagraphFont"/>
    <w:rsid w:val="006948E0"/>
  </w:style>
  <w:style w:type="character" w:customStyle="1" w:styleId="Date1">
    <w:name w:val="Date1"/>
    <w:basedOn w:val="DefaultParagraphFont"/>
    <w:rsid w:val="006948E0"/>
  </w:style>
  <w:style w:type="character" w:customStyle="1" w:styleId="arttitle">
    <w:name w:val="art_title"/>
    <w:basedOn w:val="DefaultParagraphFont"/>
    <w:rsid w:val="006948E0"/>
  </w:style>
  <w:style w:type="character" w:customStyle="1" w:styleId="serialtitle">
    <w:name w:val="serial_title"/>
    <w:basedOn w:val="DefaultParagraphFont"/>
    <w:rsid w:val="006948E0"/>
  </w:style>
  <w:style w:type="character" w:customStyle="1" w:styleId="volumeissue">
    <w:name w:val="volume_issue"/>
    <w:basedOn w:val="DefaultParagraphFont"/>
    <w:rsid w:val="006948E0"/>
  </w:style>
  <w:style w:type="character" w:customStyle="1" w:styleId="pagerange">
    <w:name w:val="page_range"/>
    <w:basedOn w:val="DefaultParagraphFont"/>
    <w:rsid w:val="00694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3850">
      <w:bodyDiv w:val="1"/>
      <w:marLeft w:val="0"/>
      <w:marRight w:val="0"/>
      <w:marTop w:val="0"/>
      <w:marBottom w:val="0"/>
      <w:divBdr>
        <w:top w:val="none" w:sz="0" w:space="0" w:color="auto"/>
        <w:left w:val="none" w:sz="0" w:space="0" w:color="auto"/>
        <w:bottom w:val="none" w:sz="0" w:space="0" w:color="auto"/>
        <w:right w:val="none" w:sz="0" w:space="0" w:color="auto"/>
      </w:divBdr>
    </w:div>
    <w:div w:id="14818511">
      <w:bodyDiv w:val="1"/>
      <w:marLeft w:val="0"/>
      <w:marRight w:val="0"/>
      <w:marTop w:val="0"/>
      <w:marBottom w:val="0"/>
      <w:divBdr>
        <w:top w:val="none" w:sz="0" w:space="0" w:color="auto"/>
        <w:left w:val="none" w:sz="0" w:space="0" w:color="auto"/>
        <w:bottom w:val="none" w:sz="0" w:space="0" w:color="auto"/>
        <w:right w:val="none" w:sz="0" w:space="0" w:color="auto"/>
      </w:divBdr>
    </w:div>
    <w:div w:id="48310902">
      <w:bodyDiv w:val="1"/>
      <w:marLeft w:val="0"/>
      <w:marRight w:val="0"/>
      <w:marTop w:val="0"/>
      <w:marBottom w:val="0"/>
      <w:divBdr>
        <w:top w:val="none" w:sz="0" w:space="0" w:color="auto"/>
        <w:left w:val="none" w:sz="0" w:space="0" w:color="auto"/>
        <w:bottom w:val="none" w:sz="0" w:space="0" w:color="auto"/>
        <w:right w:val="none" w:sz="0" w:space="0" w:color="auto"/>
      </w:divBdr>
    </w:div>
    <w:div w:id="49621016">
      <w:bodyDiv w:val="1"/>
      <w:marLeft w:val="0"/>
      <w:marRight w:val="0"/>
      <w:marTop w:val="0"/>
      <w:marBottom w:val="0"/>
      <w:divBdr>
        <w:top w:val="none" w:sz="0" w:space="0" w:color="auto"/>
        <w:left w:val="none" w:sz="0" w:space="0" w:color="auto"/>
        <w:bottom w:val="none" w:sz="0" w:space="0" w:color="auto"/>
        <w:right w:val="none" w:sz="0" w:space="0" w:color="auto"/>
      </w:divBdr>
    </w:div>
    <w:div w:id="51738263">
      <w:bodyDiv w:val="1"/>
      <w:marLeft w:val="0"/>
      <w:marRight w:val="0"/>
      <w:marTop w:val="0"/>
      <w:marBottom w:val="0"/>
      <w:divBdr>
        <w:top w:val="none" w:sz="0" w:space="0" w:color="auto"/>
        <w:left w:val="none" w:sz="0" w:space="0" w:color="auto"/>
        <w:bottom w:val="none" w:sz="0" w:space="0" w:color="auto"/>
        <w:right w:val="none" w:sz="0" w:space="0" w:color="auto"/>
      </w:divBdr>
    </w:div>
    <w:div w:id="71122873">
      <w:bodyDiv w:val="1"/>
      <w:marLeft w:val="0"/>
      <w:marRight w:val="0"/>
      <w:marTop w:val="0"/>
      <w:marBottom w:val="0"/>
      <w:divBdr>
        <w:top w:val="none" w:sz="0" w:space="0" w:color="auto"/>
        <w:left w:val="none" w:sz="0" w:space="0" w:color="auto"/>
        <w:bottom w:val="none" w:sz="0" w:space="0" w:color="auto"/>
        <w:right w:val="none" w:sz="0" w:space="0" w:color="auto"/>
      </w:divBdr>
    </w:div>
    <w:div w:id="85421263">
      <w:bodyDiv w:val="1"/>
      <w:marLeft w:val="0"/>
      <w:marRight w:val="0"/>
      <w:marTop w:val="0"/>
      <w:marBottom w:val="0"/>
      <w:divBdr>
        <w:top w:val="none" w:sz="0" w:space="0" w:color="auto"/>
        <w:left w:val="none" w:sz="0" w:space="0" w:color="auto"/>
        <w:bottom w:val="none" w:sz="0" w:space="0" w:color="auto"/>
        <w:right w:val="none" w:sz="0" w:space="0" w:color="auto"/>
      </w:divBdr>
    </w:div>
    <w:div w:id="113526998">
      <w:bodyDiv w:val="1"/>
      <w:marLeft w:val="0"/>
      <w:marRight w:val="0"/>
      <w:marTop w:val="0"/>
      <w:marBottom w:val="0"/>
      <w:divBdr>
        <w:top w:val="none" w:sz="0" w:space="0" w:color="auto"/>
        <w:left w:val="none" w:sz="0" w:space="0" w:color="auto"/>
        <w:bottom w:val="none" w:sz="0" w:space="0" w:color="auto"/>
        <w:right w:val="none" w:sz="0" w:space="0" w:color="auto"/>
      </w:divBdr>
    </w:div>
    <w:div w:id="217983048">
      <w:bodyDiv w:val="1"/>
      <w:marLeft w:val="0"/>
      <w:marRight w:val="0"/>
      <w:marTop w:val="0"/>
      <w:marBottom w:val="0"/>
      <w:divBdr>
        <w:top w:val="none" w:sz="0" w:space="0" w:color="auto"/>
        <w:left w:val="none" w:sz="0" w:space="0" w:color="auto"/>
        <w:bottom w:val="none" w:sz="0" w:space="0" w:color="auto"/>
        <w:right w:val="none" w:sz="0" w:space="0" w:color="auto"/>
      </w:divBdr>
    </w:div>
    <w:div w:id="219635220">
      <w:bodyDiv w:val="1"/>
      <w:marLeft w:val="0"/>
      <w:marRight w:val="0"/>
      <w:marTop w:val="0"/>
      <w:marBottom w:val="0"/>
      <w:divBdr>
        <w:top w:val="none" w:sz="0" w:space="0" w:color="auto"/>
        <w:left w:val="none" w:sz="0" w:space="0" w:color="auto"/>
        <w:bottom w:val="none" w:sz="0" w:space="0" w:color="auto"/>
        <w:right w:val="none" w:sz="0" w:space="0" w:color="auto"/>
      </w:divBdr>
    </w:div>
    <w:div w:id="224025153">
      <w:bodyDiv w:val="1"/>
      <w:marLeft w:val="0"/>
      <w:marRight w:val="0"/>
      <w:marTop w:val="0"/>
      <w:marBottom w:val="0"/>
      <w:divBdr>
        <w:top w:val="none" w:sz="0" w:space="0" w:color="auto"/>
        <w:left w:val="none" w:sz="0" w:space="0" w:color="auto"/>
        <w:bottom w:val="none" w:sz="0" w:space="0" w:color="auto"/>
        <w:right w:val="none" w:sz="0" w:space="0" w:color="auto"/>
      </w:divBdr>
    </w:div>
    <w:div w:id="247082067">
      <w:bodyDiv w:val="1"/>
      <w:marLeft w:val="0"/>
      <w:marRight w:val="0"/>
      <w:marTop w:val="0"/>
      <w:marBottom w:val="0"/>
      <w:divBdr>
        <w:top w:val="none" w:sz="0" w:space="0" w:color="auto"/>
        <w:left w:val="none" w:sz="0" w:space="0" w:color="auto"/>
        <w:bottom w:val="none" w:sz="0" w:space="0" w:color="auto"/>
        <w:right w:val="none" w:sz="0" w:space="0" w:color="auto"/>
      </w:divBdr>
    </w:div>
    <w:div w:id="252978985">
      <w:bodyDiv w:val="1"/>
      <w:marLeft w:val="0"/>
      <w:marRight w:val="0"/>
      <w:marTop w:val="0"/>
      <w:marBottom w:val="0"/>
      <w:divBdr>
        <w:top w:val="none" w:sz="0" w:space="0" w:color="auto"/>
        <w:left w:val="none" w:sz="0" w:space="0" w:color="auto"/>
        <w:bottom w:val="none" w:sz="0" w:space="0" w:color="auto"/>
        <w:right w:val="none" w:sz="0" w:space="0" w:color="auto"/>
      </w:divBdr>
    </w:div>
    <w:div w:id="289020782">
      <w:bodyDiv w:val="1"/>
      <w:marLeft w:val="0"/>
      <w:marRight w:val="0"/>
      <w:marTop w:val="0"/>
      <w:marBottom w:val="0"/>
      <w:divBdr>
        <w:top w:val="none" w:sz="0" w:space="0" w:color="auto"/>
        <w:left w:val="none" w:sz="0" w:space="0" w:color="auto"/>
        <w:bottom w:val="none" w:sz="0" w:space="0" w:color="auto"/>
        <w:right w:val="none" w:sz="0" w:space="0" w:color="auto"/>
      </w:divBdr>
    </w:div>
    <w:div w:id="300812755">
      <w:bodyDiv w:val="1"/>
      <w:marLeft w:val="0"/>
      <w:marRight w:val="0"/>
      <w:marTop w:val="0"/>
      <w:marBottom w:val="0"/>
      <w:divBdr>
        <w:top w:val="none" w:sz="0" w:space="0" w:color="auto"/>
        <w:left w:val="none" w:sz="0" w:space="0" w:color="auto"/>
        <w:bottom w:val="none" w:sz="0" w:space="0" w:color="auto"/>
        <w:right w:val="none" w:sz="0" w:space="0" w:color="auto"/>
      </w:divBdr>
    </w:div>
    <w:div w:id="306931791">
      <w:bodyDiv w:val="1"/>
      <w:marLeft w:val="0"/>
      <w:marRight w:val="0"/>
      <w:marTop w:val="0"/>
      <w:marBottom w:val="0"/>
      <w:divBdr>
        <w:top w:val="none" w:sz="0" w:space="0" w:color="auto"/>
        <w:left w:val="none" w:sz="0" w:space="0" w:color="auto"/>
        <w:bottom w:val="none" w:sz="0" w:space="0" w:color="auto"/>
        <w:right w:val="none" w:sz="0" w:space="0" w:color="auto"/>
      </w:divBdr>
    </w:div>
    <w:div w:id="341203151">
      <w:bodyDiv w:val="1"/>
      <w:marLeft w:val="0"/>
      <w:marRight w:val="0"/>
      <w:marTop w:val="0"/>
      <w:marBottom w:val="0"/>
      <w:divBdr>
        <w:top w:val="none" w:sz="0" w:space="0" w:color="auto"/>
        <w:left w:val="none" w:sz="0" w:space="0" w:color="auto"/>
        <w:bottom w:val="none" w:sz="0" w:space="0" w:color="auto"/>
        <w:right w:val="none" w:sz="0" w:space="0" w:color="auto"/>
      </w:divBdr>
    </w:div>
    <w:div w:id="370109892">
      <w:bodyDiv w:val="1"/>
      <w:marLeft w:val="0"/>
      <w:marRight w:val="0"/>
      <w:marTop w:val="0"/>
      <w:marBottom w:val="0"/>
      <w:divBdr>
        <w:top w:val="none" w:sz="0" w:space="0" w:color="auto"/>
        <w:left w:val="none" w:sz="0" w:space="0" w:color="auto"/>
        <w:bottom w:val="none" w:sz="0" w:space="0" w:color="auto"/>
        <w:right w:val="none" w:sz="0" w:space="0" w:color="auto"/>
      </w:divBdr>
    </w:div>
    <w:div w:id="378749493">
      <w:bodyDiv w:val="1"/>
      <w:marLeft w:val="0"/>
      <w:marRight w:val="0"/>
      <w:marTop w:val="0"/>
      <w:marBottom w:val="0"/>
      <w:divBdr>
        <w:top w:val="none" w:sz="0" w:space="0" w:color="auto"/>
        <w:left w:val="none" w:sz="0" w:space="0" w:color="auto"/>
        <w:bottom w:val="none" w:sz="0" w:space="0" w:color="auto"/>
        <w:right w:val="none" w:sz="0" w:space="0" w:color="auto"/>
      </w:divBdr>
      <w:divsChild>
        <w:div w:id="13855240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2897188">
      <w:bodyDiv w:val="1"/>
      <w:marLeft w:val="0"/>
      <w:marRight w:val="0"/>
      <w:marTop w:val="0"/>
      <w:marBottom w:val="0"/>
      <w:divBdr>
        <w:top w:val="none" w:sz="0" w:space="0" w:color="auto"/>
        <w:left w:val="none" w:sz="0" w:space="0" w:color="auto"/>
        <w:bottom w:val="none" w:sz="0" w:space="0" w:color="auto"/>
        <w:right w:val="none" w:sz="0" w:space="0" w:color="auto"/>
      </w:divBdr>
    </w:div>
    <w:div w:id="400950341">
      <w:bodyDiv w:val="1"/>
      <w:marLeft w:val="0"/>
      <w:marRight w:val="0"/>
      <w:marTop w:val="0"/>
      <w:marBottom w:val="0"/>
      <w:divBdr>
        <w:top w:val="none" w:sz="0" w:space="0" w:color="auto"/>
        <w:left w:val="none" w:sz="0" w:space="0" w:color="auto"/>
        <w:bottom w:val="none" w:sz="0" w:space="0" w:color="auto"/>
        <w:right w:val="none" w:sz="0" w:space="0" w:color="auto"/>
      </w:divBdr>
    </w:div>
    <w:div w:id="415640695">
      <w:bodyDiv w:val="1"/>
      <w:marLeft w:val="0"/>
      <w:marRight w:val="0"/>
      <w:marTop w:val="0"/>
      <w:marBottom w:val="0"/>
      <w:divBdr>
        <w:top w:val="none" w:sz="0" w:space="0" w:color="auto"/>
        <w:left w:val="none" w:sz="0" w:space="0" w:color="auto"/>
        <w:bottom w:val="none" w:sz="0" w:space="0" w:color="auto"/>
        <w:right w:val="none" w:sz="0" w:space="0" w:color="auto"/>
      </w:divBdr>
    </w:div>
    <w:div w:id="434834322">
      <w:bodyDiv w:val="1"/>
      <w:marLeft w:val="0"/>
      <w:marRight w:val="0"/>
      <w:marTop w:val="0"/>
      <w:marBottom w:val="0"/>
      <w:divBdr>
        <w:top w:val="none" w:sz="0" w:space="0" w:color="auto"/>
        <w:left w:val="none" w:sz="0" w:space="0" w:color="auto"/>
        <w:bottom w:val="none" w:sz="0" w:space="0" w:color="auto"/>
        <w:right w:val="none" w:sz="0" w:space="0" w:color="auto"/>
      </w:divBdr>
    </w:div>
    <w:div w:id="436483701">
      <w:bodyDiv w:val="1"/>
      <w:marLeft w:val="0"/>
      <w:marRight w:val="0"/>
      <w:marTop w:val="0"/>
      <w:marBottom w:val="0"/>
      <w:divBdr>
        <w:top w:val="none" w:sz="0" w:space="0" w:color="auto"/>
        <w:left w:val="none" w:sz="0" w:space="0" w:color="auto"/>
        <w:bottom w:val="none" w:sz="0" w:space="0" w:color="auto"/>
        <w:right w:val="none" w:sz="0" w:space="0" w:color="auto"/>
      </w:divBdr>
    </w:div>
    <w:div w:id="455366754">
      <w:bodyDiv w:val="1"/>
      <w:marLeft w:val="0"/>
      <w:marRight w:val="0"/>
      <w:marTop w:val="0"/>
      <w:marBottom w:val="0"/>
      <w:divBdr>
        <w:top w:val="none" w:sz="0" w:space="0" w:color="auto"/>
        <w:left w:val="none" w:sz="0" w:space="0" w:color="auto"/>
        <w:bottom w:val="none" w:sz="0" w:space="0" w:color="auto"/>
        <w:right w:val="none" w:sz="0" w:space="0" w:color="auto"/>
      </w:divBdr>
    </w:div>
    <w:div w:id="483938415">
      <w:bodyDiv w:val="1"/>
      <w:marLeft w:val="0"/>
      <w:marRight w:val="0"/>
      <w:marTop w:val="0"/>
      <w:marBottom w:val="0"/>
      <w:divBdr>
        <w:top w:val="none" w:sz="0" w:space="0" w:color="auto"/>
        <w:left w:val="none" w:sz="0" w:space="0" w:color="auto"/>
        <w:bottom w:val="none" w:sz="0" w:space="0" w:color="auto"/>
        <w:right w:val="none" w:sz="0" w:space="0" w:color="auto"/>
      </w:divBdr>
      <w:divsChild>
        <w:div w:id="14717538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06335735">
      <w:bodyDiv w:val="1"/>
      <w:marLeft w:val="0"/>
      <w:marRight w:val="0"/>
      <w:marTop w:val="0"/>
      <w:marBottom w:val="0"/>
      <w:divBdr>
        <w:top w:val="none" w:sz="0" w:space="0" w:color="auto"/>
        <w:left w:val="none" w:sz="0" w:space="0" w:color="auto"/>
        <w:bottom w:val="none" w:sz="0" w:space="0" w:color="auto"/>
        <w:right w:val="none" w:sz="0" w:space="0" w:color="auto"/>
      </w:divBdr>
    </w:div>
    <w:div w:id="516961827">
      <w:bodyDiv w:val="1"/>
      <w:marLeft w:val="0"/>
      <w:marRight w:val="0"/>
      <w:marTop w:val="0"/>
      <w:marBottom w:val="0"/>
      <w:divBdr>
        <w:top w:val="none" w:sz="0" w:space="0" w:color="auto"/>
        <w:left w:val="none" w:sz="0" w:space="0" w:color="auto"/>
        <w:bottom w:val="none" w:sz="0" w:space="0" w:color="auto"/>
        <w:right w:val="none" w:sz="0" w:space="0" w:color="auto"/>
      </w:divBdr>
    </w:div>
    <w:div w:id="517355815">
      <w:bodyDiv w:val="1"/>
      <w:marLeft w:val="0"/>
      <w:marRight w:val="0"/>
      <w:marTop w:val="0"/>
      <w:marBottom w:val="0"/>
      <w:divBdr>
        <w:top w:val="none" w:sz="0" w:space="0" w:color="auto"/>
        <w:left w:val="none" w:sz="0" w:space="0" w:color="auto"/>
        <w:bottom w:val="none" w:sz="0" w:space="0" w:color="auto"/>
        <w:right w:val="none" w:sz="0" w:space="0" w:color="auto"/>
      </w:divBdr>
    </w:div>
    <w:div w:id="530187105">
      <w:bodyDiv w:val="1"/>
      <w:marLeft w:val="0"/>
      <w:marRight w:val="0"/>
      <w:marTop w:val="0"/>
      <w:marBottom w:val="0"/>
      <w:divBdr>
        <w:top w:val="none" w:sz="0" w:space="0" w:color="auto"/>
        <w:left w:val="none" w:sz="0" w:space="0" w:color="auto"/>
        <w:bottom w:val="none" w:sz="0" w:space="0" w:color="auto"/>
        <w:right w:val="none" w:sz="0" w:space="0" w:color="auto"/>
      </w:divBdr>
    </w:div>
    <w:div w:id="569997731">
      <w:bodyDiv w:val="1"/>
      <w:marLeft w:val="0"/>
      <w:marRight w:val="0"/>
      <w:marTop w:val="0"/>
      <w:marBottom w:val="0"/>
      <w:divBdr>
        <w:top w:val="none" w:sz="0" w:space="0" w:color="auto"/>
        <w:left w:val="none" w:sz="0" w:space="0" w:color="auto"/>
        <w:bottom w:val="none" w:sz="0" w:space="0" w:color="auto"/>
        <w:right w:val="none" w:sz="0" w:space="0" w:color="auto"/>
      </w:divBdr>
    </w:div>
    <w:div w:id="572469325">
      <w:bodyDiv w:val="1"/>
      <w:marLeft w:val="0"/>
      <w:marRight w:val="0"/>
      <w:marTop w:val="0"/>
      <w:marBottom w:val="0"/>
      <w:divBdr>
        <w:top w:val="none" w:sz="0" w:space="0" w:color="auto"/>
        <w:left w:val="none" w:sz="0" w:space="0" w:color="auto"/>
        <w:bottom w:val="none" w:sz="0" w:space="0" w:color="auto"/>
        <w:right w:val="none" w:sz="0" w:space="0" w:color="auto"/>
      </w:divBdr>
      <w:divsChild>
        <w:div w:id="10160351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78559136">
      <w:bodyDiv w:val="1"/>
      <w:marLeft w:val="0"/>
      <w:marRight w:val="0"/>
      <w:marTop w:val="0"/>
      <w:marBottom w:val="0"/>
      <w:divBdr>
        <w:top w:val="none" w:sz="0" w:space="0" w:color="auto"/>
        <w:left w:val="none" w:sz="0" w:space="0" w:color="auto"/>
        <w:bottom w:val="none" w:sz="0" w:space="0" w:color="auto"/>
        <w:right w:val="none" w:sz="0" w:space="0" w:color="auto"/>
      </w:divBdr>
    </w:div>
    <w:div w:id="581792869">
      <w:bodyDiv w:val="1"/>
      <w:marLeft w:val="0"/>
      <w:marRight w:val="0"/>
      <w:marTop w:val="0"/>
      <w:marBottom w:val="0"/>
      <w:divBdr>
        <w:top w:val="none" w:sz="0" w:space="0" w:color="auto"/>
        <w:left w:val="none" w:sz="0" w:space="0" w:color="auto"/>
        <w:bottom w:val="none" w:sz="0" w:space="0" w:color="auto"/>
        <w:right w:val="none" w:sz="0" w:space="0" w:color="auto"/>
      </w:divBdr>
    </w:div>
    <w:div w:id="585501322">
      <w:bodyDiv w:val="1"/>
      <w:marLeft w:val="0"/>
      <w:marRight w:val="0"/>
      <w:marTop w:val="0"/>
      <w:marBottom w:val="0"/>
      <w:divBdr>
        <w:top w:val="none" w:sz="0" w:space="0" w:color="auto"/>
        <w:left w:val="none" w:sz="0" w:space="0" w:color="auto"/>
        <w:bottom w:val="none" w:sz="0" w:space="0" w:color="auto"/>
        <w:right w:val="none" w:sz="0" w:space="0" w:color="auto"/>
      </w:divBdr>
    </w:div>
    <w:div w:id="586771964">
      <w:bodyDiv w:val="1"/>
      <w:marLeft w:val="0"/>
      <w:marRight w:val="0"/>
      <w:marTop w:val="0"/>
      <w:marBottom w:val="0"/>
      <w:divBdr>
        <w:top w:val="none" w:sz="0" w:space="0" w:color="auto"/>
        <w:left w:val="none" w:sz="0" w:space="0" w:color="auto"/>
        <w:bottom w:val="none" w:sz="0" w:space="0" w:color="auto"/>
        <w:right w:val="none" w:sz="0" w:space="0" w:color="auto"/>
      </w:divBdr>
    </w:div>
    <w:div w:id="602618098">
      <w:bodyDiv w:val="1"/>
      <w:marLeft w:val="0"/>
      <w:marRight w:val="0"/>
      <w:marTop w:val="0"/>
      <w:marBottom w:val="0"/>
      <w:divBdr>
        <w:top w:val="none" w:sz="0" w:space="0" w:color="auto"/>
        <w:left w:val="none" w:sz="0" w:space="0" w:color="auto"/>
        <w:bottom w:val="none" w:sz="0" w:space="0" w:color="auto"/>
        <w:right w:val="none" w:sz="0" w:space="0" w:color="auto"/>
      </w:divBdr>
    </w:div>
    <w:div w:id="631326426">
      <w:bodyDiv w:val="1"/>
      <w:marLeft w:val="0"/>
      <w:marRight w:val="0"/>
      <w:marTop w:val="0"/>
      <w:marBottom w:val="0"/>
      <w:divBdr>
        <w:top w:val="none" w:sz="0" w:space="0" w:color="auto"/>
        <w:left w:val="none" w:sz="0" w:space="0" w:color="auto"/>
        <w:bottom w:val="none" w:sz="0" w:space="0" w:color="auto"/>
        <w:right w:val="none" w:sz="0" w:space="0" w:color="auto"/>
      </w:divBdr>
    </w:div>
    <w:div w:id="632834421">
      <w:bodyDiv w:val="1"/>
      <w:marLeft w:val="0"/>
      <w:marRight w:val="0"/>
      <w:marTop w:val="0"/>
      <w:marBottom w:val="0"/>
      <w:divBdr>
        <w:top w:val="none" w:sz="0" w:space="0" w:color="auto"/>
        <w:left w:val="none" w:sz="0" w:space="0" w:color="auto"/>
        <w:bottom w:val="none" w:sz="0" w:space="0" w:color="auto"/>
        <w:right w:val="none" w:sz="0" w:space="0" w:color="auto"/>
      </w:divBdr>
    </w:div>
    <w:div w:id="634335691">
      <w:bodyDiv w:val="1"/>
      <w:marLeft w:val="0"/>
      <w:marRight w:val="0"/>
      <w:marTop w:val="0"/>
      <w:marBottom w:val="0"/>
      <w:divBdr>
        <w:top w:val="none" w:sz="0" w:space="0" w:color="auto"/>
        <w:left w:val="none" w:sz="0" w:space="0" w:color="auto"/>
        <w:bottom w:val="none" w:sz="0" w:space="0" w:color="auto"/>
        <w:right w:val="none" w:sz="0" w:space="0" w:color="auto"/>
      </w:divBdr>
    </w:div>
    <w:div w:id="645285456">
      <w:bodyDiv w:val="1"/>
      <w:marLeft w:val="0"/>
      <w:marRight w:val="0"/>
      <w:marTop w:val="0"/>
      <w:marBottom w:val="0"/>
      <w:divBdr>
        <w:top w:val="none" w:sz="0" w:space="0" w:color="auto"/>
        <w:left w:val="none" w:sz="0" w:space="0" w:color="auto"/>
        <w:bottom w:val="none" w:sz="0" w:space="0" w:color="auto"/>
        <w:right w:val="none" w:sz="0" w:space="0" w:color="auto"/>
      </w:divBdr>
    </w:div>
    <w:div w:id="658921839">
      <w:bodyDiv w:val="1"/>
      <w:marLeft w:val="0"/>
      <w:marRight w:val="0"/>
      <w:marTop w:val="0"/>
      <w:marBottom w:val="0"/>
      <w:divBdr>
        <w:top w:val="none" w:sz="0" w:space="0" w:color="auto"/>
        <w:left w:val="none" w:sz="0" w:space="0" w:color="auto"/>
        <w:bottom w:val="none" w:sz="0" w:space="0" w:color="auto"/>
        <w:right w:val="none" w:sz="0" w:space="0" w:color="auto"/>
      </w:divBdr>
    </w:div>
    <w:div w:id="677778441">
      <w:bodyDiv w:val="1"/>
      <w:marLeft w:val="0"/>
      <w:marRight w:val="0"/>
      <w:marTop w:val="0"/>
      <w:marBottom w:val="0"/>
      <w:divBdr>
        <w:top w:val="none" w:sz="0" w:space="0" w:color="auto"/>
        <w:left w:val="none" w:sz="0" w:space="0" w:color="auto"/>
        <w:bottom w:val="none" w:sz="0" w:space="0" w:color="auto"/>
        <w:right w:val="none" w:sz="0" w:space="0" w:color="auto"/>
      </w:divBdr>
    </w:div>
    <w:div w:id="680592883">
      <w:bodyDiv w:val="1"/>
      <w:marLeft w:val="0"/>
      <w:marRight w:val="0"/>
      <w:marTop w:val="0"/>
      <w:marBottom w:val="0"/>
      <w:divBdr>
        <w:top w:val="none" w:sz="0" w:space="0" w:color="auto"/>
        <w:left w:val="none" w:sz="0" w:space="0" w:color="auto"/>
        <w:bottom w:val="none" w:sz="0" w:space="0" w:color="auto"/>
        <w:right w:val="none" w:sz="0" w:space="0" w:color="auto"/>
      </w:divBdr>
    </w:div>
    <w:div w:id="731082836">
      <w:bodyDiv w:val="1"/>
      <w:marLeft w:val="0"/>
      <w:marRight w:val="0"/>
      <w:marTop w:val="0"/>
      <w:marBottom w:val="0"/>
      <w:divBdr>
        <w:top w:val="none" w:sz="0" w:space="0" w:color="auto"/>
        <w:left w:val="none" w:sz="0" w:space="0" w:color="auto"/>
        <w:bottom w:val="none" w:sz="0" w:space="0" w:color="auto"/>
        <w:right w:val="none" w:sz="0" w:space="0" w:color="auto"/>
      </w:divBdr>
      <w:divsChild>
        <w:div w:id="1529298517">
          <w:blockQuote w:val="1"/>
          <w:marLeft w:val="720"/>
          <w:marRight w:val="720"/>
          <w:marTop w:val="100"/>
          <w:marBottom w:val="100"/>
          <w:divBdr>
            <w:top w:val="none" w:sz="0" w:space="0" w:color="auto"/>
            <w:left w:val="none" w:sz="0" w:space="0" w:color="auto"/>
            <w:bottom w:val="none" w:sz="0" w:space="0" w:color="auto"/>
            <w:right w:val="none" w:sz="0" w:space="0" w:color="auto"/>
          </w:divBdr>
        </w:div>
        <w:div w:id="1669166991">
          <w:blockQuote w:val="1"/>
          <w:marLeft w:val="720"/>
          <w:marRight w:val="720"/>
          <w:marTop w:val="100"/>
          <w:marBottom w:val="100"/>
          <w:divBdr>
            <w:top w:val="none" w:sz="0" w:space="0" w:color="auto"/>
            <w:left w:val="none" w:sz="0" w:space="0" w:color="auto"/>
            <w:bottom w:val="none" w:sz="0" w:space="0" w:color="auto"/>
            <w:right w:val="none" w:sz="0" w:space="0" w:color="auto"/>
          </w:divBdr>
        </w:div>
        <w:div w:id="1679312695">
          <w:blockQuote w:val="1"/>
          <w:marLeft w:val="720"/>
          <w:marRight w:val="720"/>
          <w:marTop w:val="100"/>
          <w:marBottom w:val="100"/>
          <w:divBdr>
            <w:top w:val="none" w:sz="0" w:space="0" w:color="auto"/>
            <w:left w:val="none" w:sz="0" w:space="0" w:color="auto"/>
            <w:bottom w:val="none" w:sz="0" w:space="0" w:color="auto"/>
            <w:right w:val="none" w:sz="0" w:space="0" w:color="auto"/>
          </w:divBdr>
        </w:div>
        <w:div w:id="1532766558">
          <w:blockQuote w:val="1"/>
          <w:marLeft w:val="720"/>
          <w:marRight w:val="720"/>
          <w:marTop w:val="100"/>
          <w:marBottom w:val="100"/>
          <w:divBdr>
            <w:top w:val="none" w:sz="0" w:space="0" w:color="auto"/>
            <w:left w:val="none" w:sz="0" w:space="0" w:color="auto"/>
            <w:bottom w:val="none" w:sz="0" w:space="0" w:color="auto"/>
            <w:right w:val="none" w:sz="0" w:space="0" w:color="auto"/>
          </w:divBdr>
        </w:div>
        <w:div w:id="144902411">
          <w:blockQuote w:val="1"/>
          <w:marLeft w:val="720"/>
          <w:marRight w:val="720"/>
          <w:marTop w:val="100"/>
          <w:marBottom w:val="100"/>
          <w:divBdr>
            <w:top w:val="none" w:sz="0" w:space="0" w:color="auto"/>
            <w:left w:val="none" w:sz="0" w:space="0" w:color="auto"/>
            <w:bottom w:val="none" w:sz="0" w:space="0" w:color="auto"/>
            <w:right w:val="none" w:sz="0" w:space="0" w:color="auto"/>
          </w:divBdr>
        </w:div>
        <w:div w:id="1055199721">
          <w:blockQuote w:val="1"/>
          <w:marLeft w:val="720"/>
          <w:marRight w:val="720"/>
          <w:marTop w:val="100"/>
          <w:marBottom w:val="100"/>
          <w:divBdr>
            <w:top w:val="none" w:sz="0" w:space="0" w:color="auto"/>
            <w:left w:val="none" w:sz="0" w:space="0" w:color="auto"/>
            <w:bottom w:val="none" w:sz="0" w:space="0" w:color="auto"/>
            <w:right w:val="none" w:sz="0" w:space="0" w:color="auto"/>
          </w:divBdr>
        </w:div>
        <w:div w:id="651103017">
          <w:blockQuote w:val="1"/>
          <w:marLeft w:val="720"/>
          <w:marRight w:val="720"/>
          <w:marTop w:val="100"/>
          <w:marBottom w:val="100"/>
          <w:divBdr>
            <w:top w:val="none" w:sz="0" w:space="0" w:color="auto"/>
            <w:left w:val="none" w:sz="0" w:space="0" w:color="auto"/>
            <w:bottom w:val="none" w:sz="0" w:space="0" w:color="auto"/>
            <w:right w:val="none" w:sz="0" w:space="0" w:color="auto"/>
          </w:divBdr>
        </w:div>
        <w:div w:id="1204440801">
          <w:blockQuote w:val="1"/>
          <w:marLeft w:val="720"/>
          <w:marRight w:val="720"/>
          <w:marTop w:val="100"/>
          <w:marBottom w:val="100"/>
          <w:divBdr>
            <w:top w:val="none" w:sz="0" w:space="0" w:color="auto"/>
            <w:left w:val="none" w:sz="0" w:space="0" w:color="auto"/>
            <w:bottom w:val="none" w:sz="0" w:space="0" w:color="auto"/>
            <w:right w:val="none" w:sz="0" w:space="0" w:color="auto"/>
          </w:divBdr>
        </w:div>
        <w:div w:id="413554427">
          <w:blockQuote w:val="1"/>
          <w:marLeft w:val="720"/>
          <w:marRight w:val="720"/>
          <w:marTop w:val="100"/>
          <w:marBottom w:val="100"/>
          <w:divBdr>
            <w:top w:val="none" w:sz="0" w:space="0" w:color="auto"/>
            <w:left w:val="none" w:sz="0" w:space="0" w:color="auto"/>
            <w:bottom w:val="none" w:sz="0" w:space="0" w:color="auto"/>
            <w:right w:val="none" w:sz="0" w:space="0" w:color="auto"/>
          </w:divBdr>
        </w:div>
        <w:div w:id="1216159979">
          <w:blockQuote w:val="1"/>
          <w:marLeft w:val="720"/>
          <w:marRight w:val="720"/>
          <w:marTop w:val="100"/>
          <w:marBottom w:val="100"/>
          <w:divBdr>
            <w:top w:val="none" w:sz="0" w:space="0" w:color="auto"/>
            <w:left w:val="none" w:sz="0" w:space="0" w:color="auto"/>
            <w:bottom w:val="none" w:sz="0" w:space="0" w:color="auto"/>
            <w:right w:val="none" w:sz="0" w:space="0" w:color="auto"/>
          </w:divBdr>
        </w:div>
        <w:div w:id="554975146">
          <w:blockQuote w:val="1"/>
          <w:marLeft w:val="720"/>
          <w:marRight w:val="720"/>
          <w:marTop w:val="100"/>
          <w:marBottom w:val="100"/>
          <w:divBdr>
            <w:top w:val="none" w:sz="0" w:space="0" w:color="auto"/>
            <w:left w:val="none" w:sz="0" w:space="0" w:color="auto"/>
            <w:bottom w:val="none" w:sz="0" w:space="0" w:color="auto"/>
            <w:right w:val="none" w:sz="0" w:space="0" w:color="auto"/>
          </w:divBdr>
        </w:div>
        <w:div w:id="1237478148">
          <w:blockQuote w:val="1"/>
          <w:marLeft w:val="720"/>
          <w:marRight w:val="720"/>
          <w:marTop w:val="100"/>
          <w:marBottom w:val="100"/>
          <w:divBdr>
            <w:top w:val="none" w:sz="0" w:space="0" w:color="auto"/>
            <w:left w:val="none" w:sz="0" w:space="0" w:color="auto"/>
            <w:bottom w:val="none" w:sz="0" w:space="0" w:color="auto"/>
            <w:right w:val="none" w:sz="0" w:space="0" w:color="auto"/>
          </w:divBdr>
        </w:div>
        <w:div w:id="1657565104">
          <w:blockQuote w:val="1"/>
          <w:marLeft w:val="720"/>
          <w:marRight w:val="720"/>
          <w:marTop w:val="100"/>
          <w:marBottom w:val="100"/>
          <w:divBdr>
            <w:top w:val="none" w:sz="0" w:space="0" w:color="auto"/>
            <w:left w:val="none" w:sz="0" w:space="0" w:color="auto"/>
            <w:bottom w:val="none" w:sz="0" w:space="0" w:color="auto"/>
            <w:right w:val="none" w:sz="0" w:space="0" w:color="auto"/>
          </w:divBdr>
        </w:div>
        <w:div w:id="1415012292">
          <w:blockQuote w:val="1"/>
          <w:marLeft w:val="720"/>
          <w:marRight w:val="720"/>
          <w:marTop w:val="100"/>
          <w:marBottom w:val="100"/>
          <w:divBdr>
            <w:top w:val="none" w:sz="0" w:space="0" w:color="auto"/>
            <w:left w:val="none" w:sz="0" w:space="0" w:color="auto"/>
            <w:bottom w:val="none" w:sz="0" w:space="0" w:color="auto"/>
            <w:right w:val="none" w:sz="0" w:space="0" w:color="auto"/>
          </w:divBdr>
        </w:div>
        <w:div w:id="837114389">
          <w:blockQuote w:val="1"/>
          <w:marLeft w:val="720"/>
          <w:marRight w:val="720"/>
          <w:marTop w:val="100"/>
          <w:marBottom w:val="100"/>
          <w:divBdr>
            <w:top w:val="none" w:sz="0" w:space="0" w:color="auto"/>
            <w:left w:val="none" w:sz="0" w:space="0" w:color="auto"/>
            <w:bottom w:val="none" w:sz="0" w:space="0" w:color="auto"/>
            <w:right w:val="none" w:sz="0" w:space="0" w:color="auto"/>
          </w:divBdr>
        </w:div>
        <w:div w:id="1823888287">
          <w:blockQuote w:val="1"/>
          <w:marLeft w:val="720"/>
          <w:marRight w:val="720"/>
          <w:marTop w:val="100"/>
          <w:marBottom w:val="100"/>
          <w:divBdr>
            <w:top w:val="none" w:sz="0" w:space="0" w:color="auto"/>
            <w:left w:val="none" w:sz="0" w:space="0" w:color="auto"/>
            <w:bottom w:val="none" w:sz="0" w:space="0" w:color="auto"/>
            <w:right w:val="none" w:sz="0" w:space="0" w:color="auto"/>
          </w:divBdr>
        </w:div>
        <w:div w:id="2071729629">
          <w:blockQuote w:val="1"/>
          <w:marLeft w:val="720"/>
          <w:marRight w:val="720"/>
          <w:marTop w:val="100"/>
          <w:marBottom w:val="100"/>
          <w:divBdr>
            <w:top w:val="none" w:sz="0" w:space="0" w:color="auto"/>
            <w:left w:val="none" w:sz="0" w:space="0" w:color="auto"/>
            <w:bottom w:val="none" w:sz="0" w:space="0" w:color="auto"/>
            <w:right w:val="none" w:sz="0" w:space="0" w:color="auto"/>
          </w:divBdr>
        </w:div>
        <w:div w:id="1942955309">
          <w:blockQuote w:val="1"/>
          <w:marLeft w:val="720"/>
          <w:marRight w:val="720"/>
          <w:marTop w:val="100"/>
          <w:marBottom w:val="100"/>
          <w:divBdr>
            <w:top w:val="none" w:sz="0" w:space="0" w:color="auto"/>
            <w:left w:val="none" w:sz="0" w:space="0" w:color="auto"/>
            <w:bottom w:val="none" w:sz="0" w:space="0" w:color="auto"/>
            <w:right w:val="none" w:sz="0" w:space="0" w:color="auto"/>
          </w:divBdr>
        </w:div>
        <w:div w:id="1436709698">
          <w:blockQuote w:val="1"/>
          <w:marLeft w:val="720"/>
          <w:marRight w:val="720"/>
          <w:marTop w:val="100"/>
          <w:marBottom w:val="100"/>
          <w:divBdr>
            <w:top w:val="none" w:sz="0" w:space="0" w:color="auto"/>
            <w:left w:val="none" w:sz="0" w:space="0" w:color="auto"/>
            <w:bottom w:val="none" w:sz="0" w:space="0" w:color="auto"/>
            <w:right w:val="none" w:sz="0" w:space="0" w:color="auto"/>
          </w:divBdr>
        </w:div>
        <w:div w:id="2119400087">
          <w:blockQuote w:val="1"/>
          <w:marLeft w:val="720"/>
          <w:marRight w:val="720"/>
          <w:marTop w:val="100"/>
          <w:marBottom w:val="100"/>
          <w:divBdr>
            <w:top w:val="none" w:sz="0" w:space="0" w:color="auto"/>
            <w:left w:val="none" w:sz="0" w:space="0" w:color="auto"/>
            <w:bottom w:val="none" w:sz="0" w:space="0" w:color="auto"/>
            <w:right w:val="none" w:sz="0" w:space="0" w:color="auto"/>
          </w:divBdr>
        </w:div>
        <w:div w:id="1191995345">
          <w:blockQuote w:val="1"/>
          <w:marLeft w:val="720"/>
          <w:marRight w:val="720"/>
          <w:marTop w:val="100"/>
          <w:marBottom w:val="100"/>
          <w:divBdr>
            <w:top w:val="none" w:sz="0" w:space="0" w:color="auto"/>
            <w:left w:val="none" w:sz="0" w:space="0" w:color="auto"/>
            <w:bottom w:val="none" w:sz="0" w:space="0" w:color="auto"/>
            <w:right w:val="none" w:sz="0" w:space="0" w:color="auto"/>
          </w:divBdr>
        </w:div>
        <w:div w:id="1377268919">
          <w:blockQuote w:val="1"/>
          <w:marLeft w:val="720"/>
          <w:marRight w:val="720"/>
          <w:marTop w:val="100"/>
          <w:marBottom w:val="100"/>
          <w:divBdr>
            <w:top w:val="none" w:sz="0" w:space="0" w:color="auto"/>
            <w:left w:val="none" w:sz="0" w:space="0" w:color="auto"/>
            <w:bottom w:val="none" w:sz="0" w:space="0" w:color="auto"/>
            <w:right w:val="none" w:sz="0" w:space="0" w:color="auto"/>
          </w:divBdr>
        </w:div>
        <w:div w:id="1257713524">
          <w:blockQuote w:val="1"/>
          <w:marLeft w:val="720"/>
          <w:marRight w:val="720"/>
          <w:marTop w:val="100"/>
          <w:marBottom w:val="100"/>
          <w:divBdr>
            <w:top w:val="none" w:sz="0" w:space="0" w:color="auto"/>
            <w:left w:val="none" w:sz="0" w:space="0" w:color="auto"/>
            <w:bottom w:val="none" w:sz="0" w:space="0" w:color="auto"/>
            <w:right w:val="none" w:sz="0" w:space="0" w:color="auto"/>
          </w:divBdr>
        </w:div>
        <w:div w:id="47458546">
          <w:blockQuote w:val="1"/>
          <w:marLeft w:val="720"/>
          <w:marRight w:val="720"/>
          <w:marTop w:val="100"/>
          <w:marBottom w:val="100"/>
          <w:divBdr>
            <w:top w:val="none" w:sz="0" w:space="0" w:color="auto"/>
            <w:left w:val="none" w:sz="0" w:space="0" w:color="auto"/>
            <w:bottom w:val="none" w:sz="0" w:space="0" w:color="auto"/>
            <w:right w:val="none" w:sz="0" w:space="0" w:color="auto"/>
          </w:divBdr>
        </w:div>
        <w:div w:id="1575774275">
          <w:blockQuote w:val="1"/>
          <w:marLeft w:val="720"/>
          <w:marRight w:val="720"/>
          <w:marTop w:val="100"/>
          <w:marBottom w:val="100"/>
          <w:divBdr>
            <w:top w:val="none" w:sz="0" w:space="0" w:color="auto"/>
            <w:left w:val="none" w:sz="0" w:space="0" w:color="auto"/>
            <w:bottom w:val="none" w:sz="0" w:space="0" w:color="auto"/>
            <w:right w:val="none" w:sz="0" w:space="0" w:color="auto"/>
          </w:divBdr>
        </w:div>
        <w:div w:id="2136440442">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769329">
          <w:blockQuote w:val="1"/>
          <w:marLeft w:val="720"/>
          <w:marRight w:val="720"/>
          <w:marTop w:val="100"/>
          <w:marBottom w:val="100"/>
          <w:divBdr>
            <w:top w:val="none" w:sz="0" w:space="0" w:color="auto"/>
            <w:left w:val="none" w:sz="0" w:space="0" w:color="auto"/>
            <w:bottom w:val="none" w:sz="0" w:space="0" w:color="auto"/>
            <w:right w:val="none" w:sz="0" w:space="0" w:color="auto"/>
          </w:divBdr>
        </w:div>
        <w:div w:id="510878200">
          <w:blockQuote w:val="1"/>
          <w:marLeft w:val="720"/>
          <w:marRight w:val="720"/>
          <w:marTop w:val="100"/>
          <w:marBottom w:val="100"/>
          <w:divBdr>
            <w:top w:val="none" w:sz="0" w:space="0" w:color="auto"/>
            <w:left w:val="none" w:sz="0" w:space="0" w:color="auto"/>
            <w:bottom w:val="none" w:sz="0" w:space="0" w:color="auto"/>
            <w:right w:val="none" w:sz="0" w:space="0" w:color="auto"/>
          </w:divBdr>
        </w:div>
        <w:div w:id="913901753">
          <w:blockQuote w:val="1"/>
          <w:marLeft w:val="720"/>
          <w:marRight w:val="720"/>
          <w:marTop w:val="100"/>
          <w:marBottom w:val="100"/>
          <w:divBdr>
            <w:top w:val="none" w:sz="0" w:space="0" w:color="auto"/>
            <w:left w:val="none" w:sz="0" w:space="0" w:color="auto"/>
            <w:bottom w:val="none" w:sz="0" w:space="0" w:color="auto"/>
            <w:right w:val="none" w:sz="0" w:space="0" w:color="auto"/>
          </w:divBdr>
        </w:div>
        <w:div w:id="537931267">
          <w:blockQuote w:val="1"/>
          <w:marLeft w:val="720"/>
          <w:marRight w:val="720"/>
          <w:marTop w:val="100"/>
          <w:marBottom w:val="100"/>
          <w:divBdr>
            <w:top w:val="none" w:sz="0" w:space="0" w:color="auto"/>
            <w:left w:val="none" w:sz="0" w:space="0" w:color="auto"/>
            <w:bottom w:val="none" w:sz="0" w:space="0" w:color="auto"/>
            <w:right w:val="none" w:sz="0" w:space="0" w:color="auto"/>
          </w:divBdr>
        </w:div>
        <w:div w:id="1466973813">
          <w:blockQuote w:val="1"/>
          <w:marLeft w:val="720"/>
          <w:marRight w:val="720"/>
          <w:marTop w:val="100"/>
          <w:marBottom w:val="100"/>
          <w:divBdr>
            <w:top w:val="none" w:sz="0" w:space="0" w:color="auto"/>
            <w:left w:val="none" w:sz="0" w:space="0" w:color="auto"/>
            <w:bottom w:val="none" w:sz="0" w:space="0" w:color="auto"/>
            <w:right w:val="none" w:sz="0" w:space="0" w:color="auto"/>
          </w:divBdr>
        </w:div>
        <w:div w:id="988486448">
          <w:blockQuote w:val="1"/>
          <w:marLeft w:val="720"/>
          <w:marRight w:val="720"/>
          <w:marTop w:val="100"/>
          <w:marBottom w:val="100"/>
          <w:divBdr>
            <w:top w:val="none" w:sz="0" w:space="0" w:color="auto"/>
            <w:left w:val="none" w:sz="0" w:space="0" w:color="auto"/>
            <w:bottom w:val="none" w:sz="0" w:space="0" w:color="auto"/>
            <w:right w:val="none" w:sz="0" w:space="0" w:color="auto"/>
          </w:divBdr>
        </w:div>
        <w:div w:id="1425489072">
          <w:blockQuote w:val="1"/>
          <w:marLeft w:val="720"/>
          <w:marRight w:val="720"/>
          <w:marTop w:val="100"/>
          <w:marBottom w:val="100"/>
          <w:divBdr>
            <w:top w:val="none" w:sz="0" w:space="0" w:color="auto"/>
            <w:left w:val="none" w:sz="0" w:space="0" w:color="auto"/>
            <w:bottom w:val="none" w:sz="0" w:space="0" w:color="auto"/>
            <w:right w:val="none" w:sz="0" w:space="0" w:color="auto"/>
          </w:divBdr>
        </w:div>
        <w:div w:id="163207776">
          <w:blockQuote w:val="1"/>
          <w:marLeft w:val="720"/>
          <w:marRight w:val="720"/>
          <w:marTop w:val="100"/>
          <w:marBottom w:val="100"/>
          <w:divBdr>
            <w:top w:val="none" w:sz="0" w:space="0" w:color="auto"/>
            <w:left w:val="none" w:sz="0" w:space="0" w:color="auto"/>
            <w:bottom w:val="none" w:sz="0" w:space="0" w:color="auto"/>
            <w:right w:val="none" w:sz="0" w:space="0" w:color="auto"/>
          </w:divBdr>
        </w:div>
        <w:div w:id="2065248530">
          <w:blockQuote w:val="1"/>
          <w:marLeft w:val="720"/>
          <w:marRight w:val="720"/>
          <w:marTop w:val="100"/>
          <w:marBottom w:val="100"/>
          <w:divBdr>
            <w:top w:val="none" w:sz="0" w:space="0" w:color="auto"/>
            <w:left w:val="none" w:sz="0" w:space="0" w:color="auto"/>
            <w:bottom w:val="none" w:sz="0" w:space="0" w:color="auto"/>
            <w:right w:val="none" w:sz="0" w:space="0" w:color="auto"/>
          </w:divBdr>
        </w:div>
        <w:div w:id="976371394">
          <w:blockQuote w:val="1"/>
          <w:marLeft w:val="720"/>
          <w:marRight w:val="720"/>
          <w:marTop w:val="100"/>
          <w:marBottom w:val="100"/>
          <w:divBdr>
            <w:top w:val="none" w:sz="0" w:space="0" w:color="auto"/>
            <w:left w:val="none" w:sz="0" w:space="0" w:color="auto"/>
            <w:bottom w:val="none" w:sz="0" w:space="0" w:color="auto"/>
            <w:right w:val="none" w:sz="0" w:space="0" w:color="auto"/>
          </w:divBdr>
        </w:div>
        <w:div w:id="1550190994">
          <w:blockQuote w:val="1"/>
          <w:marLeft w:val="720"/>
          <w:marRight w:val="720"/>
          <w:marTop w:val="100"/>
          <w:marBottom w:val="100"/>
          <w:divBdr>
            <w:top w:val="none" w:sz="0" w:space="0" w:color="auto"/>
            <w:left w:val="none" w:sz="0" w:space="0" w:color="auto"/>
            <w:bottom w:val="none" w:sz="0" w:space="0" w:color="auto"/>
            <w:right w:val="none" w:sz="0" w:space="0" w:color="auto"/>
          </w:divBdr>
        </w:div>
        <w:div w:id="202375844">
          <w:blockQuote w:val="1"/>
          <w:marLeft w:val="720"/>
          <w:marRight w:val="720"/>
          <w:marTop w:val="100"/>
          <w:marBottom w:val="100"/>
          <w:divBdr>
            <w:top w:val="none" w:sz="0" w:space="0" w:color="auto"/>
            <w:left w:val="none" w:sz="0" w:space="0" w:color="auto"/>
            <w:bottom w:val="none" w:sz="0" w:space="0" w:color="auto"/>
            <w:right w:val="none" w:sz="0" w:space="0" w:color="auto"/>
          </w:divBdr>
        </w:div>
        <w:div w:id="327829224">
          <w:blockQuote w:val="1"/>
          <w:marLeft w:val="720"/>
          <w:marRight w:val="720"/>
          <w:marTop w:val="100"/>
          <w:marBottom w:val="100"/>
          <w:divBdr>
            <w:top w:val="none" w:sz="0" w:space="0" w:color="auto"/>
            <w:left w:val="none" w:sz="0" w:space="0" w:color="auto"/>
            <w:bottom w:val="none" w:sz="0" w:space="0" w:color="auto"/>
            <w:right w:val="none" w:sz="0" w:space="0" w:color="auto"/>
          </w:divBdr>
        </w:div>
        <w:div w:id="1862015871">
          <w:blockQuote w:val="1"/>
          <w:marLeft w:val="720"/>
          <w:marRight w:val="720"/>
          <w:marTop w:val="100"/>
          <w:marBottom w:val="100"/>
          <w:divBdr>
            <w:top w:val="none" w:sz="0" w:space="0" w:color="auto"/>
            <w:left w:val="none" w:sz="0" w:space="0" w:color="auto"/>
            <w:bottom w:val="none" w:sz="0" w:space="0" w:color="auto"/>
            <w:right w:val="none" w:sz="0" w:space="0" w:color="auto"/>
          </w:divBdr>
        </w:div>
        <w:div w:id="224030309">
          <w:blockQuote w:val="1"/>
          <w:marLeft w:val="720"/>
          <w:marRight w:val="720"/>
          <w:marTop w:val="100"/>
          <w:marBottom w:val="100"/>
          <w:divBdr>
            <w:top w:val="none" w:sz="0" w:space="0" w:color="auto"/>
            <w:left w:val="none" w:sz="0" w:space="0" w:color="auto"/>
            <w:bottom w:val="none" w:sz="0" w:space="0" w:color="auto"/>
            <w:right w:val="none" w:sz="0" w:space="0" w:color="auto"/>
          </w:divBdr>
        </w:div>
        <w:div w:id="557668721">
          <w:blockQuote w:val="1"/>
          <w:marLeft w:val="720"/>
          <w:marRight w:val="720"/>
          <w:marTop w:val="100"/>
          <w:marBottom w:val="100"/>
          <w:divBdr>
            <w:top w:val="none" w:sz="0" w:space="0" w:color="auto"/>
            <w:left w:val="none" w:sz="0" w:space="0" w:color="auto"/>
            <w:bottom w:val="none" w:sz="0" w:space="0" w:color="auto"/>
            <w:right w:val="none" w:sz="0" w:space="0" w:color="auto"/>
          </w:divBdr>
        </w:div>
        <w:div w:id="879322344">
          <w:blockQuote w:val="1"/>
          <w:marLeft w:val="720"/>
          <w:marRight w:val="720"/>
          <w:marTop w:val="100"/>
          <w:marBottom w:val="100"/>
          <w:divBdr>
            <w:top w:val="none" w:sz="0" w:space="0" w:color="auto"/>
            <w:left w:val="none" w:sz="0" w:space="0" w:color="auto"/>
            <w:bottom w:val="none" w:sz="0" w:space="0" w:color="auto"/>
            <w:right w:val="none" w:sz="0" w:space="0" w:color="auto"/>
          </w:divBdr>
        </w:div>
        <w:div w:id="674529241">
          <w:blockQuote w:val="1"/>
          <w:marLeft w:val="720"/>
          <w:marRight w:val="720"/>
          <w:marTop w:val="100"/>
          <w:marBottom w:val="100"/>
          <w:divBdr>
            <w:top w:val="none" w:sz="0" w:space="0" w:color="auto"/>
            <w:left w:val="none" w:sz="0" w:space="0" w:color="auto"/>
            <w:bottom w:val="none" w:sz="0" w:space="0" w:color="auto"/>
            <w:right w:val="none" w:sz="0" w:space="0" w:color="auto"/>
          </w:divBdr>
        </w:div>
        <w:div w:id="736051108">
          <w:blockQuote w:val="1"/>
          <w:marLeft w:val="720"/>
          <w:marRight w:val="720"/>
          <w:marTop w:val="100"/>
          <w:marBottom w:val="100"/>
          <w:divBdr>
            <w:top w:val="none" w:sz="0" w:space="0" w:color="auto"/>
            <w:left w:val="none" w:sz="0" w:space="0" w:color="auto"/>
            <w:bottom w:val="none" w:sz="0" w:space="0" w:color="auto"/>
            <w:right w:val="none" w:sz="0" w:space="0" w:color="auto"/>
          </w:divBdr>
        </w:div>
        <w:div w:id="662509534">
          <w:blockQuote w:val="1"/>
          <w:marLeft w:val="720"/>
          <w:marRight w:val="720"/>
          <w:marTop w:val="100"/>
          <w:marBottom w:val="100"/>
          <w:divBdr>
            <w:top w:val="none" w:sz="0" w:space="0" w:color="auto"/>
            <w:left w:val="none" w:sz="0" w:space="0" w:color="auto"/>
            <w:bottom w:val="none" w:sz="0" w:space="0" w:color="auto"/>
            <w:right w:val="none" w:sz="0" w:space="0" w:color="auto"/>
          </w:divBdr>
        </w:div>
        <w:div w:id="626355191">
          <w:blockQuote w:val="1"/>
          <w:marLeft w:val="720"/>
          <w:marRight w:val="720"/>
          <w:marTop w:val="100"/>
          <w:marBottom w:val="100"/>
          <w:divBdr>
            <w:top w:val="none" w:sz="0" w:space="0" w:color="auto"/>
            <w:left w:val="none" w:sz="0" w:space="0" w:color="auto"/>
            <w:bottom w:val="none" w:sz="0" w:space="0" w:color="auto"/>
            <w:right w:val="none" w:sz="0" w:space="0" w:color="auto"/>
          </w:divBdr>
        </w:div>
        <w:div w:id="1358505635">
          <w:blockQuote w:val="1"/>
          <w:marLeft w:val="720"/>
          <w:marRight w:val="720"/>
          <w:marTop w:val="100"/>
          <w:marBottom w:val="100"/>
          <w:divBdr>
            <w:top w:val="none" w:sz="0" w:space="0" w:color="auto"/>
            <w:left w:val="none" w:sz="0" w:space="0" w:color="auto"/>
            <w:bottom w:val="none" w:sz="0" w:space="0" w:color="auto"/>
            <w:right w:val="none" w:sz="0" w:space="0" w:color="auto"/>
          </w:divBdr>
        </w:div>
        <w:div w:id="1634094565">
          <w:blockQuote w:val="1"/>
          <w:marLeft w:val="720"/>
          <w:marRight w:val="720"/>
          <w:marTop w:val="100"/>
          <w:marBottom w:val="100"/>
          <w:divBdr>
            <w:top w:val="none" w:sz="0" w:space="0" w:color="auto"/>
            <w:left w:val="none" w:sz="0" w:space="0" w:color="auto"/>
            <w:bottom w:val="none" w:sz="0" w:space="0" w:color="auto"/>
            <w:right w:val="none" w:sz="0" w:space="0" w:color="auto"/>
          </w:divBdr>
        </w:div>
        <w:div w:id="1828669258">
          <w:blockQuote w:val="1"/>
          <w:marLeft w:val="720"/>
          <w:marRight w:val="720"/>
          <w:marTop w:val="100"/>
          <w:marBottom w:val="100"/>
          <w:divBdr>
            <w:top w:val="none" w:sz="0" w:space="0" w:color="auto"/>
            <w:left w:val="none" w:sz="0" w:space="0" w:color="auto"/>
            <w:bottom w:val="none" w:sz="0" w:space="0" w:color="auto"/>
            <w:right w:val="none" w:sz="0" w:space="0" w:color="auto"/>
          </w:divBdr>
        </w:div>
        <w:div w:id="197742899">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459261">
          <w:blockQuote w:val="1"/>
          <w:marLeft w:val="720"/>
          <w:marRight w:val="720"/>
          <w:marTop w:val="100"/>
          <w:marBottom w:val="100"/>
          <w:divBdr>
            <w:top w:val="none" w:sz="0" w:space="0" w:color="auto"/>
            <w:left w:val="none" w:sz="0" w:space="0" w:color="auto"/>
            <w:bottom w:val="none" w:sz="0" w:space="0" w:color="auto"/>
            <w:right w:val="none" w:sz="0" w:space="0" w:color="auto"/>
          </w:divBdr>
        </w:div>
        <w:div w:id="73402852">
          <w:blockQuote w:val="1"/>
          <w:marLeft w:val="720"/>
          <w:marRight w:val="720"/>
          <w:marTop w:val="100"/>
          <w:marBottom w:val="100"/>
          <w:divBdr>
            <w:top w:val="none" w:sz="0" w:space="0" w:color="auto"/>
            <w:left w:val="none" w:sz="0" w:space="0" w:color="auto"/>
            <w:bottom w:val="none" w:sz="0" w:space="0" w:color="auto"/>
            <w:right w:val="none" w:sz="0" w:space="0" w:color="auto"/>
          </w:divBdr>
        </w:div>
        <w:div w:id="2051027584">
          <w:blockQuote w:val="1"/>
          <w:marLeft w:val="720"/>
          <w:marRight w:val="720"/>
          <w:marTop w:val="100"/>
          <w:marBottom w:val="100"/>
          <w:divBdr>
            <w:top w:val="none" w:sz="0" w:space="0" w:color="auto"/>
            <w:left w:val="none" w:sz="0" w:space="0" w:color="auto"/>
            <w:bottom w:val="none" w:sz="0" w:space="0" w:color="auto"/>
            <w:right w:val="none" w:sz="0" w:space="0" w:color="auto"/>
          </w:divBdr>
        </w:div>
        <w:div w:id="20254247">
          <w:blockQuote w:val="1"/>
          <w:marLeft w:val="720"/>
          <w:marRight w:val="720"/>
          <w:marTop w:val="100"/>
          <w:marBottom w:val="100"/>
          <w:divBdr>
            <w:top w:val="none" w:sz="0" w:space="0" w:color="auto"/>
            <w:left w:val="none" w:sz="0" w:space="0" w:color="auto"/>
            <w:bottom w:val="none" w:sz="0" w:space="0" w:color="auto"/>
            <w:right w:val="none" w:sz="0" w:space="0" w:color="auto"/>
          </w:divBdr>
        </w:div>
        <w:div w:id="1603878550">
          <w:blockQuote w:val="1"/>
          <w:marLeft w:val="720"/>
          <w:marRight w:val="720"/>
          <w:marTop w:val="100"/>
          <w:marBottom w:val="100"/>
          <w:divBdr>
            <w:top w:val="none" w:sz="0" w:space="0" w:color="auto"/>
            <w:left w:val="none" w:sz="0" w:space="0" w:color="auto"/>
            <w:bottom w:val="none" w:sz="0" w:space="0" w:color="auto"/>
            <w:right w:val="none" w:sz="0" w:space="0" w:color="auto"/>
          </w:divBdr>
        </w:div>
        <w:div w:id="570510050">
          <w:blockQuote w:val="1"/>
          <w:marLeft w:val="720"/>
          <w:marRight w:val="720"/>
          <w:marTop w:val="100"/>
          <w:marBottom w:val="100"/>
          <w:divBdr>
            <w:top w:val="none" w:sz="0" w:space="0" w:color="auto"/>
            <w:left w:val="none" w:sz="0" w:space="0" w:color="auto"/>
            <w:bottom w:val="none" w:sz="0" w:space="0" w:color="auto"/>
            <w:right w:val="none" w:sz="0" w:space="0" w:color="auto"/>
          </w:divBdr>
        </w:div>
        <w:div w:id="1475638529">
          <w:blockQuote w:val="1"/>
          <w:marLeft w:val="720"/>
          <w:marRight w:val="720"/>
          <w:marTop w:val="100"/>
          <w:marBottom w:val="100"/>
          <w:divBdr>
            <w:top w:val="none" w:sz="0" w:space="0" w:color="auto"/>
            <w:left w:val="none" w:sz="0" w:space="0" w:color="auto"/>
            <w:bottom w:val="none" w:sz="0" w:space="0" w:color="auto"/>
            <w:right w:val="none" w:sz="0" w:space="0" w:color="auto"/>
          </w:divBdr>
        </w:div>
        <w:div w:id="2137486845">
          <w:blockQuote w:val="1"/>
          <w:marLeft w:val="720"/>
          <w:marRight w:val="720"/>
          <w:marTop w:val="100"/>
          <w:marBottom w:val="100"/>
          <w:divBdr>
            <w:top w:val="none" w:sz="0" w:space="0" w:color="auto"/>
            <w:left w:val="none" w:sz="0" w:space="0" w:color="auto"/>
            <w:bottom w:val="none" w:sz="0" w:space="0" w:color="auto"/>
            <w:right w:val="none" w:sz="0" w:space="0" w:color="auto"/>
          </w:divBdr>
        </w:div>
        <w:div w:id="636646249">
          <w:blockQuote w:val="1"/>
          <w:marLeft w:val="720"/>
          <w:marRight w:val="720"/>
          <w:marTop w:val="100"/>
          <w:marBottom w:val="100"/>
          <w:divBdr>
            <w:top w:val="none" w:sz="0" w:space="0" w:color="auto"/>
            <w:left w:val="none" w:sz="0" w:space="0" w:color="auto"/>
            <w:bottom w:val="none" w:sz="0" w:space="0" w:color="auto"/>
            <w:right w:val="none" w:sz="0" w:space="0" w:color="auto"/>
          </w:divBdr>
        </w:div>
        <w:div w:id="1376005385">
          <w:blockQuote w:val="1"/>
          <w:marLeft w:val="720"/>
          <w:marRight w:val="720"/>
          <w:marTop w:val="100"/>
          <w:marBottom w:val="100"/>
          <w:divBdr>
            <w:top w:val="none" w:sz="0" w:space="0" w:color="auto"/>
            <w:left w:val="none" w:sz="0" w:space="0" w:color="auto"/>
            <w:bottom w:val="none" w:sz="0" w:space="0" w:color="auto"/>
            <w:right w:val="none" w:sz="0" w:space="0" w:color="auto"/>
          </w:divBdr>
        </w:div>
        <w:div w:id="230043911">
          <w:blockQuote w:val="1"/>
          <w:marLeft w:val="720"/>
          <w:marRight w:val="720"/>
          <w:marTop w:val="100"/>
          <w:marBottom w:val="100"/>
          <w:divBdr>
            <w:top w:val="none" w:sz="0" w:space="0" w:color="auto"/>
            <w:left w:val="none" w:sz="0" w:space="0" w:color="auto"/>
            <w:bottom w:val="none" w:sz="0" w:space="0" w:color="auto"/>
            <w:right w:val="none" w:sz="0" w:space="0" w:color="auto"/>
          </w:divBdr>
        </w:div>
        <w:div w:id="2078168843">
          <w:blockQuote w:val="1"/>
          <w:marLeft w:val="720"/>
          <w:marRight w:val="720"/>
          <w:marTop w:val="100"/>
          <w:marBottom w:val="100"/>
          <w:divBdr>
            <w:top w:val="none" w:sz="0" w:space="0" w:color="auto"/>
            <w:left w:val="none" w:sz="0" w:space="0" w:color="auto"/>
            <w:bottom w:val="none" w:sz="0" w:space="0" w:color="auto"/>
            <w:right w:val="none" w:sz="0" w:space="0" w:color="auto"/>
          </w:divBdr>
        </w:div>
        <w:div w:id="1418599429">
          <w:blockQuote w:val="1"/>
          <w:marLeft w:val="720"/>
          <w:marRight w:val="720"/>
          <w:marTop w:val="100"/>
          <w:marBottom w:val="100"/>
          <w:divBdr>
            <w:top w:val="none" w:sz="0" w:space="0" w:color="auto"/>
            <w:left w:val="none" w:sz="0" w:space="0" w:color="auto"/>
            <w:bottom w:val="none" w:sz="0" w:space="0" w:color="auto"/>
            <w:right w:val="none" w:sz="0" w:space="0" w:color="auto"/>
          </w:divBdr>
        </w:div>
        <w:div w:id="1397555698">
          <w:blockQuote w:val="1"/>
          <w:marLeft w:val="720"/>
          <w:marRight w:val="720"/>
          <w:marTop w:val="100"/>
          <w:marBottom w:val="100"/>
          <w:divBdr>
            <w:top w:val="none" w:sz="0" w:space="0" w:color="auto"/>
            <w:left w:val="none" w:sz="0" w:space="0" w:color="auto"/>
            <w:bottom w:val="none" w:sz="0" w:space="0" w:color="auto"/>
            <w:right w:val="none" w:sz="0" w:space="0" w:color="auto"/>
          </w:divBdr>
        </w:div>
        <w:div w:id="388001038">
          <w:blockQuote w:val="1"/>
          <w:marLeft w:val="720"/>
          <w:marRight w:val="720"/>
          <w:marTop w:val="100"/>
          <w:marBottom w:val="100"/>
          <w:divBdr>
            <w:top w:val="none" w:sz="0" w:space="0" w:color="auto"/>
            <w:left w:val="none" w:sz="0" w:space="0" w:color="auto"/>
            <w:bottom w:val="none" w:sz="0" w:space="0" w:color="auto"/>
            <w:right w:val="none" w:sz="0" w:space="0" w:color="auto"/>
          </w:divBdr>
        </w:div>
        <w:div w:id="1711109505">
          <w:blockQuote w:val="1"/>
          <w:marLeft w:val="720"/>
          <w:marRight w:val="720"/>
          <w:marTop w:val="100"/>
          <w:marBottom w:val="100"/>
          <w:divBdr>
            <w:top w:val="none" w:sz="0" w:space="0" w:color="auto"/>
            <w:left w:val="none" w:sz="0" w:space="0" w:color="auto"/>
            <w:bottom w:val="none" w:sz="0" w:space="0" w:color="auto"/>
            <w:right w:val="none" w:sz="0" w:space="0" w:color="auto"/>
          </w:divBdr>
        </w:div>
        <w:div w:id="50731385">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654624">
          <w:blockQuote w:val="1"/>
          <w:marLeft w:val="720"/>
          <w:marRight w:val="720"/>
          <w:marTop w:val="100"/>
          <w:marBottom w:val="100"/>
          <w:divBdr>
            <w:top w:val="none" w:sz="0" w:space="0" w:color="auto"/>
            <w:left w:val="none" w:sz="0" w:space="0" w:color="auto"/>
            <w:bottom w:val="none" w:sz="0" w:space="0" w:color="auto"/>
            <w:right w:val="none" w:sz="0" w:space="0" w:color="auto"/>
          </w:divBdr>
        </w:div>
        <w:div w:id="1772167554">
          <w:blockQuote w:val="1"/>
          <w:marLeft w:val="720"/>
          <w:marRight w:val="720"/>
          <w:marTop w:val="100"/>
          <w:marBottom w:val="100"/>
          <w:divBdr>
            <w:top w:val="none" w:sz="0" w:space="0" w:color="auto"/>
            <w:left w:val="none" w:sz="0" w:space="0" w:color="auto"/>
            <w:bottom w:val="none" w:sz="0" w:space="0" w:color="auto"/>
            <w:right w:val="none" w:sz="0" w:space="0" w:color="auto"/>
          </w:divBdr>
        </w:div>
        <w:div w:id="2075202891">
          <w:blockQuote w:val="1"/>
          <w:marLeft w:val="720"/>
          <w:marRight w:val="720"/>
          <w:marTop w:val="100"/>
          <w:marBottom w:val="100"/>
          <w:divBdr>
            <w:top w:val="none" w:sz="0" w:space="0" w:color="auto"/>
            <w:left w:val="none" w:sz="0" w:space="0" w:color="auto"/>
            <w:bottom w:val="none" w:sz="0" w:space="0" w:color="auto"/>
            <w:right w:val="none" w:sz="0" w:space="0" w:color="auto"/>
          </w:divBdr>
        </w:div>
        <w:div w:id="1914731490">
          <w:blockQuote w:val="1"/>
          <w:marLeft w:val="720"/>
          <w:marRight w:val="720"/>
          <w:marTop w:val="100"/>
          <w:marBottom w:val="100"/>
          <w:divBdr>
            <w:top w:val="none" w:sz="0" w:space="0" w:color="auto"/>
            <w:left w:val="none" w:sz="0" w:space="0" w:color="auto"/>
            <w:bottom w:val="none" w:sz="0" w:space="0" w:color="auto"/>
            <w:right w:val="none" w:sz="0" w:space="0" w:color="auto"/>
          </w:divBdr>
        </w:div>
        <w:div w:id="770473144">
          <w:blockQuote w:val="1"/>
          <w:marLeft w:val="720"/>
          <w:marRight w:val="720"/>
          <w:marTop w:val="100"/>
          <w:marBottom w:val="100"/>
          <w:divBdr>
            <w:top w:val="none" w:sz="0" w:space="0" w:color="auto"/>
            <w:left w:val="none" w:sz="0" w:space="0" w:color="auto"/>
            <w:bottom w:val="none" w:sz="0" w:space="0" w:color="auto"/>
            <w:right w:val="none" w:sz="0" w:space="0" w:color="auto"/>
          </w:divBdr>
        </w:div>
        <w:div w:id="350423731">
          <w:blockQuote w:val="1"/>
          <w:marLeft w:val="720"/>
          <w:marRight w:val="720"/>
          <w:marTop w:val="100"/>
          <w:marBottom w:val="100"/>
          <w:divBdr>
            <w:top w:val="none" w:sz="0" w:space="0" w:color="auto"/>
            <w:left w:val="none" w:sz="0" w:space="0" w:color="auto"/>
            <w:bottom w:val="none" w:sz="0" w:space="0" w:color="auto"/>
            <w:right w:val="none" w:sz="0" w:space="0" w:color="auto"/>
          </w:divBdr>
        </w:div>
        <w:div w:id="456804471">
          <w:blockQuote w:val="1"/>
          <w:marLeft w:val="720"/>
          <w:marRight w:val="720"/>
          <w:marTop w:val="100"/>
          <w:marBottom w:val="100"/>
          <w:divBdr>
            <w:top w:val="none" w:sz="0" w:space="0" w:color="auto"/>
            <w:left w:val="none" w:sz="0" w:space="0" w:color="auto"/>
            <w:bottom w:val="none" w:sz="0" w:space="0" w:color="auto"/>
            <w:right w:val="none" w:sz="0" w:space="0" w:color="auto"/>
          </w:divBdr>
        </w:div>
        <w:div w:id="1878740833">
          <w:blockQuote w:val="1"/>
          <w:marLeft w:val="720"/>
          <w:marRight w:val="720"/>
          <w:marTop w:val="100"/>
          <w:marBottom w:val="100"/>
          <w:divBdr>
            <w:top w:val="none" w:sz="0" w:space="0" w:color="auto"/>
            <w:left w:val="none" w:sz="0" w:space="0" w:color="auto"/>
            <w:bottom w:val="none" w:sz="0" w:space="0" w:color="auto"/>
            <w:right w:val="none" w:sz="0" w:space="0" w:color="auto"/>
          </w:divBdr>
        </w:div>
        <w:div w:id="1993213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379889985">
          <w:blockQuote w:val="1"/>
          <w:marLeft w:val="720"/>
          <w:marRight w:val="720"/>
          <w:marTop w:val="100"/>
          <w:marBottom w:val="100"/>
          <w:divBdr>
            <w:top w:val="none" w:sz="0" w:space="0" w:color="auto"/>
            <w:left w:val="none" w:sz="0" w:space="0" w:color="auto"/>
            <w:bottom w:val="none" w:sz="0" w:space="0" w:color="auto"/>
            <w:right w:val="none" w:sz="0" w:space="0" w:color="auto"/>
          </w:divBdr>
        </w:div>
        <w:div w:id="545408244">
          <w:blockQuote w:val="1"/>
          <w:marLeft w:val="720"/>
          <w:marRight w:val="720"/>
          <w:marTop w:val="100"/>
          <w:marBottom w:val="100"/>
          <w:divBdr>
            <w:top w:val="none" w:sz="0" w:space="0" w:color="auto"/>
            <w:left w:val="none" w:sz="0" w:space="0" w:color="auto"/>
            <w:bottom w:val="none" w:sz="0" w:space="0" w:color="auto"/>
            <w:right w:val="none" w:sz="0" w:space="0" w:color="auto"/>
          </w:divBdr>
        </w:div>
        <w:div w:id="1403329779">
          <w:blockQuote w:val="1"/>
          <w:marLeft w:val="720"/>
          <w:marRight w:val="720"/>
          <w:marTop w:val="100"/>
          <w:marBottom w:val="100"/>
          <w:divBdr>
            <w:top w:val="none" w:sz="0" w:space="0" w:color="auto"/>
            <w:left w:val="none" w:sz="0" w:space="0" w:color="auto"/>
            <w:bottom w:val="none" w:sz="0" w:space="0" w:color="auto"/>
            <w:right w:val="none" w:sz="0" w:space="0" w:color="auto"/>
          </w:divBdr>
        </w:div>
        <w:div w:id="325861935">
          <w:blockQuote w:val="1"/>
          <w:marLeft w:val="720"/>
          <w:marRight w:val="720"/>
          <w:marTop w:val="100"/>
          <w:marBottom w:val="100"/>
          <w:divBdr>
            <w:top w:val="none" w:sz="0" w:space="0" w:color="auto"/>
            <w:left w:val="none" w:sz="0" w:space="0" w:color="auto"/>
            <w:bottom w:val="none" w:sz="0" w:space="0" w:color="auto"/>
            <w:right w:val="none" w:sz="0" w:space="0" w:color="auto"/>
          </w:divBdr>
        </w:div>
        <w:div w:id="1664508462">
          <w:blockQuote w:val="1"/>
          <w:marLeft w:val="720"/>
          <w:marRight w:val="720"/>
          <w:marTop w:val="100"/>
          <w:marBottom w:val="100"/>
          <w:divBdr>
            <w:top w:val="none" w:sz="0" w:space="0" w:color="auto"/>
            <w:left w:val="none" w:sz="0" w:space="0" w:color="auto"/>
            <w:bottom w:val="none" w:sz="0" w:space="0" w:color="auto"/>
            <w:right w:val="none" w:sz="0" w:space="0" w:color="auto"/>
          </w:divBdr>
        </w:div>
        <w:div w:id="1992517589">
          <w:blockQuote w:val="1"/>
          <w:marLeft w:val="720"/>
          <w:marRight w:val="720"/>
          <w:marTop w:val="100"/>
          <w:marBottom w:val="100"/>
          <w:divBdr>
            <w:top w:val="none" w:sz="0" w:space="0" w:color="auto"/>
            <w:left w:val="none" w:sz="0" w:space="0" w:color="auto"/>
            <w:bottom w:val="none" w:sz="0" w:space="0" w:color="auto"/>
            <w:right w:val="none" w:sz="0" w:space="0" w:color="auto"/>
          </w:divBdr>
        </w:div>
        <w:div w:id="1442726592">
          <w:blockQuote w:val="1"/>
          <w:marLeft w:val="720"/>
          <w:marRight w:val="720"/>
          <w:marTop w:val="100"/>
          <w:marBottom w:val="100"/>
          <w:divBdr>
            <w:top w:val="none" w:sz="0" w:space="0" w:color="auto"/>
            <w:left w:val="none" w:sz="0" w:space="0" w:color="auto"/>
            <w:bottom w:val="none" w:sz="0" w:space="0" w:color="auto"/>
            <w:right w:val="none" w:sz="0" w:space="0" w:color="auto"/>
          </w:divBdr>
        </w:div>
        <w:div w:id="392240319">
          <w:blockQuote w:val="1"/>
          <w:marLeft w:val="720"/>
          <w:marRight w:val="720"/>
          <w:marTop w:val="100"/>
          <w:marBottom w:val="100"/>
          <w:divBdr>
            <w:top w:val="none" w:sz="0" w:space="0" w:color="auto"/>
            <w:left w:val="none" w:sz="0" w:space="0" w:color="auto"/>
            <w:bottom w:val="none" w:sz="0" w:space="0" w:color="auto"/>
            <w:right w:val="none" w:sz="0" w:space="0" w:color="auto"/>
          </w:divBdr>
        </w:div>
        <w:div w:id="614748974">
          <w:blockQuote w:val="1"/>
          <w:marLeft w:val="720"/>
          <w:marRight w:val="720"/>
          <w:marTop w:val="100"/>
          <w:marBottom w:val="100"/>
          <w:divBdr>
            <w:top w:val="none" w:sz="0" w:space="0" w:color="auto"/>
            <w:left w:val="none" w:sz="0" w:space="0" w:color="auto"/>
            <w:bottom w:val="none" w:sz="0" w:space="0" w:color="auto"/>
            <w:right w:val="none" w:sz="0" w:space="0" w:color="auto"/>
          </w:divBdr>
        </w:div>
        <w:div w:id="5210140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5531790">
      <w:bodyDiv w:val="1"/>
      <w:marLeft w:val="0"/>
      <w:marRight w:val="0"/>
      <w:marTop w:val="0"/>
      <w:marBottom w:val="0"/>
      <w:divBdr>
        <w:top w:val="none" w:sz="0" w:space="0" w:color="auto"/>
        <w:left w:val="none" w:sz="0" w:space="0" w:color="auto"/>
        <w:bottom w:val="none" w:sz="0" w:space="0" w:color="auto"/>
        <w:right w:val="none" w:sz="0" w:space="0" w:color="auto"/>
      </w:divBdr>
    </w:div>
    <w:div w:id="835531246">
      <w:bodyDiv w:val="1"/>
      <w:marLeft w:val="0"/>
      <w:marRight w:val="0"/>
      <w:marTop w:val="0"/>
      <w:marBottom w:val="0"/>
      <w:divBdr>
        <w:top w:val="none" w:sz="0" w:space="0" w:color="auto"/>
        <w:left w:val="none" w:sz="0" w:space="0" w:color="auto"/>
        <w:bottom w:val="none" w:sz="0" w:space="0" w:color="auto"/>
        <w:right w:val="none" w:sz="0" w:space="0" w:color="auto"/>
      </w:divBdr>
    </w:div>
    <w:div w:id="855313285">
      <w:bodyDiv w:val="1"/>
      <w:marLeft w:val="0"/>
      <w:marRight w:val="0"/>
      <w:marTop w:val="0"/>
      <w:marBottom w:val="0"/>
      <w:divBdr>
        <w:top w:val="none" w:sz="0" w:space="0" w:color="auto"/>
        <w:left w:val="none" w:sz="0" w:space="0" w:color="auto"/>
        <w:bottom w:val="none" w:sz="0" w:space="0" w:color="auto"/>
        <w:right w:val="none" w:sz="0" w:space="0" w:color="auto"/>
      </w:divBdr>
    </w:div>
    <w:div w:id="861285582">
      <w:bodyDiv w:val="1"/>
      <w:marLeft w:val="0"/>
      <w:marRight w:val="0"/>
      <w:marTop w:val="0"/>
      <w:marBottom w:val="0"/>
      <w:divBdr>
        <w:top w:val="none" w:sz="0" w:space="0" w:color="auto"/>
        <w:left w:val="none" w:sz="0" w:space="0" w:color="auto"/>
        <w:bottom w:val="none" w:sz="0" w:space="0" w:color="auto"/>
        <w:right w:val="none" w:sz="0" w:space="0" w:color="auto"/>
      </w:divBdr>
    </w:div>
    <w:div w:id="970330303">
      <w:bodyDiv w:val="1"/>
      <w:marLeft w:val="0"/>
      <w:marRight w:val="0"/>
      <w:marTop w:val="0"/>
      <w:marBottom w:val="0"/>
      <w:divBdr>
        <w:top w:val="none" w:sz="0" w:space="0" w:color="auto"/>
        <w:left w:val="none" w:sz="0" w:space="0" w:color="auto"/>
        <w:bottom w:val="none" w:sz="0" w:space="0" w:color="auto"/>
        <w:right w:val="none" w:sz="0" w:space="0" w:color="auto"/>
      </w:divBdr>
    </w:div>
    <w:div w:id="988942756">
      <w:bodyDiv w:val="1"/>
      <w:marLeft w:val="0"/>
      <w:marRight w:val="0"/>
      <w:marTop w:val="0"/>
      <w:marBottom w:val="0"/>
      <w:divBdr>
        <w:top w:val="none" w:sz="0" w:space="0" w:color="auto"/>
        <w:left w:val="none" w:sz="0" w:space="0" w:color="auto"/>
        <w:bottom w:val="none" w:sz="0" w:space="0" w:color="auto"/>
        <w:right w:val="none" w:sz="0" w:space="0" w:color="auto"/>
      </w:divBdr>
      <w:divsChild>
        <w:div w:id="2080326302">
          <w:marLeft w:val="0"/>
          <w:marRight w:val="0"/>
          <w:marTop w:val="0"/>
          <w:marBottom w:val="0"/>
          <w:divBdr>
            <w:top w:val="none" w:sz="0" w:space="0" w:color="auto"/>
            <w:left w:val="none" w:sz="0" w:space="0" w:color="auto"/>
            <w:bottom w:val="none" w:sz="0" w:space="0" w:color="auto"/>
            <w:right w:val="none" w:sz="0" w:space="0" w:color="auto"/>
          </w:divBdr>
        </w:div>
      </w:divsChild>
    </w:div>
    <w:div w:id="1114404856">
      <w:bodyDiv w:val="1"/>
      <w:marLeft w:val="0"/>
      <w:marRight w:val="0"/>
      <w:marTop w:val="0"/>
      <w:marBottom w:val="0"/>
      <w:divBdr>
        <w:top w:val="none" w:sz="0" w:space="0" w:color="auto"/>
        <w:left w:val="none" w:sz="0" w:space="0" w:color="auto"/>
        <w:bottom w:val="none" w:sz="0" w:space="0" w:color="auto"/>
        <w:right w:val="none" w:sz="0" w:space="0" w:color="auto"/>
      </w:divBdr>
    </w:div>
    <w:div w:id="1115827298">
      <w:bodyDiv w:val="1"/>
      <w:marLeft w:val="0"/>
      <w:marRight w:val="0"/>
      <w:marTop w:val="0"/>
      <w:marBottom w:val="0"/>
      <w:divBdr>
        <w:top w:val="none" w:sz="0" w:space="0" w:color="auto"/>
        <w:left w:val="none" w:sz="0" w:space="0" w:color="auto"/>
        <w:bottom w:val="none" w:sz="0" w:space="0" w:color="auto"/>
        <w:right w:val="none" w:sz="0" w:space="0" w:color="auto"/>
      </w:divBdr>
    </w:div>
    <w:div w:id="1123420087">
      <w:bodyDiv w:val="1"/>
      <w:marLeft w:val="0"/>
      <w:marRight w:val="0"/>
      <w:marTop w:val="0"/>
      <w:marBottom w:val="0"/>
      <w:divBdr>
        <w:top w:val="none" w:sz="0" w:space="0" w:color="auto"/>
        <w:left w:val="none" w:sz="0" w:space="0" w:color="auto"/>
        <w:bottom w:val="none" w:sz="0" w:space="0" w:color="auto"/>
        <w:right w:val="none" w:sz="0" w:space="0" w:color="auto"/>
      </w:divBdr>
    </w:div>
    <w:div w:id="1157696113">
      <w:bodyDiv w:val="1"/>
      <w:marLeft w:val="0"/>
      <w:marRight w:val="0"/>
      <w:marTop w:val="0"/>
      <w:marBottom w:val="0"/>
      <w:divBdr>
        <w:top w:val="none" w:sz="0" w:space="0" w:color="auto"/>
        <w:left w:val="none" w:sz="0" w:space="0" w:color="auto"/>
        <w:bottom w:val="none" w:sz="0" w:space="0" w:color="auto"/>
        <w:right w:val="none" w:sz="0" w:space="0" w:color="auto"/>
      </w:divBdr>
    </w:div>
    <w:div w:id="1164971943">
      <w:bodyDiv w:val="1"/>
      <w:marLeft w:val="0"/>
      <w:marRight w:val="0"/>
      <w:marTop w:val="0"/>
      <w:marBottom w:val="0"/>
      <w:divBdr>
        <w:top w:val="none" w:sz="0" w:space="0" w:color="auto"/>
        <w:left w:val="none" w:sz="0" w:space="0" w:color="auto"/>
        <w:bottom w:val="none" w:sz="0" w:space="0" w:color="auto"/>
        <w:right w:val="none" w:sz="0" w:space="0" w:color="auto"/>
      </w:divBdr>
    </w:div>
    <w:div w:id="1190411045">
      <w:bodyDiv w:val="1"/>
      <w:marLeft w:val="0"/>
      <w:marRight w:val="0"/>
      <w:marTop w:val="0"/>
      <w:marBottom w:val="0"/>
      <w:divBdr>
        <w:top w:val="none" w:sz="0" w:space="0" w:color="auto"/>
        <w:left w:val="none" w:sz="0" w:space="0" w:color="auto"/>
        <w:bottom w:val="none" w:sz="0" w:space="0" w:color="auto"/>
        <w:right w:val="none" w:sz="0" w:space="0" w:color="auto"/>
      </w:divBdr>
    </w:div>
    <w:div w:id="1209954497">
      <w:bodyDiv w:val="1"/>
      <w:marLeft w:val="0"/>
      <w:marRight w:val="0"/>
      <w:marTop w:val="0"/>
      <w:marBottom w:val="0"/>
      <w:divBdr>
        <w:top w:val="none" w:sz="0" w:space="0" w:color="auto"/>
        <w:left w:val="none" w:sz="0" w:space="0" w:color="auto"/>
        <w:bottom w:val="none" w:sz="0" w:space="0" w:color="auto"/>
        <w:right w:val="none" w:sz="0" w:space="0" w:color="auto"/>
      </w:divBdr>
    </w:div>
    <w:div w:id="1225873157">
      <w:bodyDiv w:val="1"/>
      <w:marLeft w:val="0"/>
      <w:marRight w:val="0"/>
      <w:marTop w:val="0"/>
      <w:marBottom w:val="0"/>
      <w:divBdr>
        <w:top w:val="none" w:sz="0" w:space="0" w:color="auto"/>
        <w:left w:val="none" w:sz="0" w:space="0" w:color="auto"/>
        <w:bottom w:val="none" w:sz="0" w:space="0" w:color="auto"/>
        <w:right w:val="none" w:sz="0" w:space="0" w:color="auto"/>
      </w:divBdr>
    </w:div>
    <w:div w:id="1245189025">
      <w:bodyDiv w:val="1"/>
      <w:marLeft w:val="0"/>
      <w:marRight w:val="0"/>
      <w:marTop w:val="0"/>
      <w:marBottom w:val="0"/>
      <w:divBdr>
        <w:top w:val="none" w:sz="0" w:space="0" w:color="auto"/>
        <w:left w:val="none" w:sz="0" w:space="0" w:color="auto"/>
        <w:bottom w:val="none" w:sz="0" w:space="0" w:color="auto"/>
        <w:right w:val="none" w:sz="0" w:space="0" w:color="auto"/>
      </w:divBdr>
      <w:divsChild>
        <w:div w:id="19121537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2397685">
      <w:bodyDiv w:val="1"/>
      <w:marLeft w:val="0"/>
      <w:marRight w:val="0"/>
      <w:marTop w:val="0"/>
      <w:marBottom w:val="0"/>
      <w:divBdr>
        <w:top w:val="none" w:sz="0" w:space="0" w:color="auto"/>
        <w:left w:val="none" w:sz="0" w:space="0" w:color="auto"/>
        <w:bottom w:val="none" w:sz="0" w:space="0" w:color="auto"/>
        <w:right w:val="none" w:sz="0" w:space="0" w:color="auto"/>
      </w:divBdr>
    </w:div>
    <w:div w:id="1323124955">
      <w:bodyDiv w:val="1"/>
      <w:marLeft w:val="0"/>
      <w:marRight w:val="0"/>
      <w:marTop w:val="0"/>
      <w:marBottom w:val="0"/>
      <w:divBdr>
        <w:top w:val="none" w:sz="0" w:space="0" w:color="auto"/>
        <w:left w:val="none" w:sz="0" w:space="0" w:color="auto"/>
        <w:bottom w:val="none" w:sz="0" w:space="0" w:color="auto"/>
        <w:right w:val="none" w:sz="0" w:space="0" w:color="auto"/>
      </w:divBdr>
    </w:div>
    <w:div w:id="1337735217">
      <w:bodyDiv w:val="1"/>
      <w:marLeft w:val="0"/>
      <w:marRight w:val="0"/>
      <w:marTop w:val="0"/>
      <w:marBottom w:val="0"/>
      <w:divBdr>
        <w:top w:val="none" w:sz="0" w:space="0" w:color="auto"/>
        <w:left w:val="none" w:sz="0" w:space="0" w:color="auto"/>
        <w:bottom w:val="none" w:sz="0" w:space="0" w:color="auto"/>
        <w:right w:val="none" w:sz="0" w:space="0" w:color="auto"/>
      </w:divBdr>
      <w:divsChild>
        <w:div w:id="1027681458">
          <w:marLeft w:val="0"/>
          <w:marRight w:val="0"/>
          <w:marTop w:val="0"/>
          <w:marBottom w:val="225"/>
          <w:divBdr>
            <w:top w:val="none" w:sz="0" w:space="0" w:color="auto"/>
            <w:left w:val="none" w:sz="0" w:space="0" w:color="auto"/>
            <w:bottom w:val="none" w:sz="0" w:space="0" w:color="auto"/>
            <w:right w:val="none" w:sz="0" w:space="0" w:color="auto"/>
          </w:divBdr>
          <w:divsChild>
            <w:div w:id="1913616340">
              <w:marLeft w:val="0"/>
              <w:marRight w:val="0"/>
              <w:marTop w:val="0"/>
              <w:marBottom w:val="0"/>
              <w:divBdr>
                <w:top w:val="none" w:sz="0" w:space="0" w:color="auto"/>
                <w:left w:val="none" w:sz="0" w:space="0" w:color="auto"/>
                <w:bottom w:val="none" w:sz="0" w:space="0" w:color="auto"/>
                <w:right w:val="none" w:sz="0" w:space="0" w:color="auto"/>
              </w:divBdr>
            </w:div>
          </w:divsChild>
        </w:div>
        <w:div w:id="1619025897">
          <w:marLeft w:val="0"/>
          <w:marRight w:val="0"/>
          <w:marTop w:val="0"/>
          <w:marBottom w:val="225"/>
          <w:divBdr>
            <w:top w:val="none" w:sz="0" w:space="0" w:color="auto"/>
            <w:left w:val="none" w:sz="0" w:space="0" w:color="auto"/>
            <w:bottom w:val="none" w:sz="0" w:space="0" w:color="auto"/>
            <w:right w:val="none" w:sz="0" w:space="0" w:color="auto"/>
          </w:divBdr>
          <w:divsChild>
            <w:div w:id="1307248740">
              <w:marLeft w:val="0"/>
              <w:marRight w:val="0"/>
              <w:marTop w:val="0"/>
              <w:marBottom w:val="0"/>
              <w:divBdr>
                <w:top w:val="none" w:sz="0" w:space="0" w:color="auto"/>
                <w:left w:val="none" w:sz="0" w:space="0" w:color="auto"/>
                <w:bottom w:val="none" w:sz="0" w:space="0" w:color="auto"/>
                <w:right w:val="none" w:sz="0" w:space="0" w:color="auto"/>
              </w:divBdr>
            </w:div>
          </w:divsChild>
        </w:div>
        <w:div w:id="1657609110">
          <w:marLeft w:val="0"/>
          <w:marRight w:val="0"/>
          <w:marTop w:val="0"/>
          <w:marBottom w:val="225"/>
          <w:divBdr>
            <w:top w:val="none" w:sz="0" w:space="0" w:color="auto"/>
            <w:left w:val="none" w:sz="0" w:space="0" w:color="auto"/>
            <w:bottom w:val="none" w:sz="0" w:space="0" w:color="auto"/>
            <w:right w:val="none" w:sz="0" w:space="0" w:color="auto"/>
          </w:divBdr>
          <w:divsChild>
            <w:div w:id="49028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739066">
      <w:bodyDiv w:val="1"/>
      <w:marLeft w:val="0"/>
      <w:marRight w:val="0"/>
      <w:marTop w:val="0"/>
      <w:marBottom w:val="0"/>
      <w:divBdr>
        <w:top w:val="none" w:sz="0" w:space="0" w:color="auto"/>
        <w:left w:val="none" w:sz="0" w:space="0" w:color="auto"/>
        <w:bottom w:val="none" w:sz="0" w:space="0" w:color="auto"/>
        <w:right w:val="none" w:sz="0" w:space="0" w:color="auto"/>
      </w:divBdr>
    </w:div>
    <w:div w:id="1399790127">
      <w:bodyDiv w:val="1"/>
      <w:marLeft w:val="0"/>
      <w:marRight w:val="0"/>
      <w:marTop w:val="0"/>
      <w:marBottom w:val="0"/>
      <w:divBdr>
        <w:top w:val="none" w:sz="0" w:space="0" w:color="auto"/>
        <w:left w:val="none" w:sz="0" w:space="0" w:color="auto"/>
        <w:bottom w:val="none" w:sz="0" w:space="0" w:color="auto"/>
        <w:right w:val="none" w:sz="0" w:space="0" w:color="auto"/>
      </w:divBdr>
    </w:div>
    <w:div w:id="1421295418">
      <w:bodyDiv w:val="1"/>
      <w:marLeft w:val="0"/>
      <w:marRight w:val="0"/>
      <w:marTop w:val="0"/>
      <w:marBottom w:val="0"/>
      <w:divBdr>
        <w:top w:val="none" w:sz="0" w:space="0" w:color="auto"/>
        <w:left w:val="none" w:sz="0" w:space="0" w:color="auto"/>
        <w:bottom w:val="none" w:sz="0" w:space="0" w:color="auto"/>
        <w:right w:val="none" w:sz="0" w:space="0" w:color="auto"/>
      </w:divBdr>
    </w:div>
    <w:div w:id="1424648441">
      <w:bodyDiv w:val="1"/>
      <w:marLeft w:val="0"/>
      <w:marRight w:val="0"/>
      <w:marTop w:val="0"/>
      <w:marBottom w:val="0"/>
      <w:divBdr>
        <w:top w:val="none" w:sz="0" w:space="0" w:color="auto"/>
        <w:left w:val="none" w:sz="0" w:space="0" w:color="auto"/>
        <w:bottom w:val="none" w:sz="0" w:space="0" w:color="auto"/>
        <w:right w:val="none" w:sz="0" w:space="0" w:color="auto"/>
      </w:divBdr>
    </w:div>
    <w:div w:id="1428425762">
      <w:bodyDiv w:val="1"/>
      <w:marLeft w:val="0"/>
      <w:marRight w:val="0"/>
      <w:marTop w:val="0"/>
      <w:marBottom w:val="0"/>
      <w:divBdr>
        <w:top w:val="none" w:sz="0" w:space="0" w:color="auto"/>
        <w:left w:val="none" w:sz="0" w:space="0" w:color="auto"/>
        <w:bottom w:val="none" w:sz="0" w:space="0" w:color="auto"/>
        <w:right w:val="none" w:sz="0" w:space="0" w:color="auto"/>
      </w:divBdr>
    </w:div>
    <w:div w:id="1430151906">
      <w:bodyDiv w:val="1"/>
      <w:marLeft w:val="0"/>
      <w:marRight w:val="0"/>
      <w:marTop w:val="0"/>
      <w:marBottom w:val="0"/>
      <w:divBdr>
        <w:top w:val="none" w:sz="0" w:space="0" w:color="auto"/>
        <w:left w:val="none" w:sz="0" w:space="0" w:color="auto"/>
        <w:bottom w:val="none" w:sz="0" w:space="0" w:color="auto"/>
        <w:right w:val="none" w:sz="0" w:space="0" w:color="auto"/>
      </w:divBdr>
      <w:divsChild>
        <w:div w:id="8299503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2550845">
      <w:bodyDiv w:val="1"/>
      <w:marLeft w:val="0"/>
      <w:marRight w:val="0"/>
      <w:marTop w:val="0"/>
      <w:marBottom w:val="0"/>
      <w:divBdr>
        <w:top w:val="none" w:sz="0" w:space="0" w:color="auto"/>
        <w:left w:val="none" w:sz="0" w:space="0" w:color="auto"/>
        <w:bottom w:val="none" w:sz="0" w:space="0" w:color="auto"/>
        <w:right w:val="none" w:sz="0" w:space="0" w:color="auto"/>
      </w:divBdr>
    </w:div>
    <w:div w:id="1503277577">
      <w:bodyDiv w:val="1"/>
      <w:marLeft w:val="0"/>
      <w:marRight w:val="0"/>
      <w:marTop w:val="0"/>
      <w:marBottom w:val="0"/>
      <w:divBdr>
        <w:top w:val="none" w:sz="0" w:space="0" w:color="auto"/>
        <w:left w:val="none" w:sz="0" w:space="0" w:color="auto"/>
        <w:bottom w:val="none" w:sz="0" w:space="0" w:color="auto"/>
        <w:right w:val="none" w:sz="0" w:space="0" w:color="auto"/>
      </w:divBdr>
    </w:div>
    <w:div w:id="1531991540">
      <w:bodyDiv w:val="1"/>
      <w:marLeft w:val="0"/>
      <w:marRight w:val="0"/>
      <w:marTop w:val="0"/>
      <w:marBottom w:val="0"/>
      <w:divBdr>
        <w:top w:val="none" w:sz="0" w:space="0" w:color="auto"/>
        <w:left w:val="none" w:sz="0" w:space="0" w:color="auto"/>
        <w:bottom w:val="none" w:sz="0" w:space="0" w:color="auto"/>
        <w:right w:val="none" w:sz="0" w:space="0" w:color="auto"/>
      </w:divBdr>
    </w:div>
    <w:div w:id="1619530942">
      <w:bodyDiv w:val="1"/>
      <w:marLeft w:val="0"/>
      <w:marRight w:val="0"/>
      <w:marTop w:val="0"/>
      <w:marBottom w:val="0"/>
      <w:divBdr>
        <w:top w:val="none" w:sz="0" w:space="0" w:color="auto"/>
        <w:left w:val="none" w:sz="0" w:space="0" w:color="auto"/>
        <w:bottom w:val="none" w:sz="0" w:space="0" w:color="auto"/>
        <w:right w:val="none" w:sz="0" w:space="0" w:color="auto"/>
      </w:divBdr>
    </w:div>
    <w:div w:id="1629241213">
      <w:bodyDiv w:val="1"/>
      <w:marLeft w:val="0"/>
      <w:marRight w:val="0"/>
      <w:marTop w:val="0"/>
      <w:marBottom w:val="0"/>
      <w:divBdr>
        <w:top w:val="none" w:sz="0" w:space="0" w:color="auto"/>
        <w:left w:val="none" w:sz="0" w:space="0" w:color="auto"/>
        <w:bottom w:val="none" w:sz="0" w:space="0" w:color="auto"/>
        <w:right w:val="none" w:sz="0" w:space="0" w:color="auto"/>
      </w:divBdr>
    </w:div>
    <w:div w:id="1629822908">
      <w:bodyDiv w:val="1"/>
      <w:marLeft w:val="0"/>
      <w:marRight w:val="0"/>
      <w:marTop w:val="0"/>
      <w:marBottom w:val="0"/>
      <w:divBdr>
        <w:top w:val="none" w:sz="0" w:space="0" w:color="auto"/>
        <w:left w:val="none" w:sz="0" w:space="0" w:color="auto"/>
        <w:bottom w:val="none" w:sz="0" w:space="0" w:color="auto"/>
        <w:right w:val="none" w:sz="0" w:space="0" w:color="auto"/>
      </w:divBdr>
    </w:div>
    <w:div w:id="1632514786">
      <w:bodyDiv w:val="1"/>
      <w:marLeft w:val="0"/>
      <w:marRight w:val="0"/>
      <w:marTop w:val="0"/>
      <w:marBottom w:val="0"/>
      <w:divBdr>
        <w:top w:val="none" w:sz="0" w:space="0" w:color="auto"/>
        <w:left w:val="none" w:sz="0" w:space="0" w:color="auto"/>
        <w:bottom w:val="none" w:sz="0" w:space="0" w:color="auto"/>
        <w:right w:val="none" w:sz="0" w:space="0" w:color="auto"/>
      </w:divBdr>
    </w:div>
    <w:div w:id="1652061210">
      <w:bodyDiv w:val="1"/>
      <w:marLeft w:val="0"/>
      <w:marRight w:val="0"/>
      <w:marTop w:val="0"/>
      <w:marBottom w:val="0"/>
      <w:divBdr>
        <w:top w:val="none" w:sz="0" w:space="0" w:color="auto"/>
        <w:left w:val="none" w:sz="0" w:space="0" w:color="auto"/>
        <w:bottom w:val="none" w:sz="0" w:space="0" w:color="auto"/>
        <w:right w:val="none" w:sz="0" w:space="0" w:color="auto"/>
      </w:divBdr>
      <w:divsChild>
        <w:div w:id="16247708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7772652">
      <w:bodyDiv w:val="1"/>
      <w:marLeft w:val="0"/>
      <w:marRight w:val="0"/>
      <w:marTop w:val="0"/>
      <w:marBottom w:val="0"/>
      <w:divBdr>
        <w:top w:val="none" w:sz="0" w:space="0" w:color="auto"/>
        <w:left w:val="none" w:sz="0" w:space="0" w:color="auto"/>
        <w:bottom w:val="none" w:sz="0" w:space="0" w:color="auto"/>
        <w:right w:val="none" w:sz="0" w:space="0" w:color="auto"/>
      </w:divBdr>
    </w:div>
    <w:div w:id="1806390969">
      <w:bodyDiv w:val="1"/>
      <w:marLeft w:val="0"/>
      <w:marRight w:val="0"/>
      <w:marTop w:val="0"/>
      <w:marBottom w:val="0"/>
      <w:divBdr>
        <w:top w:val="none" w:sz="0" w:space="0" w:color="auto"/>
        <w:left w:val="none" w:sz="0" w:space="0" w:color="auto"/>
        <w:bottom w:val="none" w:sz="0" w:space="0" w:color="auto"/>
        <w:right w:val="none" w:sz="0" w:space="0" w:color="auto"/>
      </w:divBdr>
    </w:div>
    <w:div w:id="1807816129">
      <w:bodyDiv w:val="1"/>
      <w:marLeft w:val="0"/>
      <w:marRight w:val="0"/>
      <w:marTop w:val="0"/>
      <w:marBottom w:val="0"/>
      <w:divBdr>
        <w:top w:val="none" w:sz="0" w:space="0" w:color="auto"/>
        <w:left w:val="none" w:sz="0" w:space="0" w:color="auto"/>
        <w:bottom w:val="none" w:sz="0" w:space="0" w:color="auto"/>
        <w:right w:val="none" w:sz="0" w:space="0" w:color="auto"/>
      </w:divBdr>
    </w:div>
    <w:div w:id="1811361788">
      <w:bodyDiv w:val="1"/>
      <w:marLeft w:val="0"/>
      <w:marRight w:val="0"/>
      <w:marTop w:val="0"/>
      <w:marBottom w:val="0"/>
      <w:divBdr>
        <w:top w:val="none" w:sz="0" w:space="0" w:color="auto"/>
        <w:left w:val="none" w:sz="0" w:space="0" w:color="auto"/>
        <w:bottom w:val="none" w:sz="0" w:space="0" w:color="auto"/>
        <w:right w:val="none" w:sz="0" w:space="0" w:color="auto"/>
      </w:divBdr>
    </w:div>
    <w:div w:id="1867937331">
      <w:bodyDiv w:val="1"/>
      <w:marLeft w:val="0"/>
      <w:marRight w:val="0"/>
      <w:marTop w:val="0"/>
      <w:marBottom w:val="0"/>
      <w:divBdr>
        <w:top w:val="none" w:sz="0" w:space="0" w:color="auto"/>
        <w:left w:val="none" w:sz="0" w:space="0" w:color="auto"/>
        <w:bottom w:val="none" w:sz="0" w:space="0" w:color="auto"/>
        <w:right w:val="none" w:sz="0" w:space="0" w:color="auto"/>
      </w:divBdr>
    </w:div>
    <w:div w:id="1874266143">
      <w:bodyDiv w:val="1"/>
      <w:marLeft w:val="0"/>
      <w:marRight w:val="0"/>
      <w:marTop w:val="0"/>
      <w:marBottom w:val="0"/>
      <w:divBdr>
        <w:top w:val="none" w:sz="0" w:space="0" w:color="auto"/>
        <w:left w:val="none" w:sz="0" w:space="0" w:color="auto"/>
        <w:bottom w:val="none" w:sz="0" w:space="0" w:color="auto"/>
        <w:right w:val="none" w:sz="0" w:space="0" w:color="auto"/>
      </w:divBdr>
    </w:div>
    <w:div w:id="1983657303">
      <w:bodyDiv w:val="1"/>
      <w:marLeft w:val="0"/>
      <w:marRight w:val="0"/>
      <w:marTop w:val="0"/>
      <w:marBottom w:val="0"/>
      <w:divBdr>
        <w:top w:val="none" w:sz="0" w:space="0" w:color="auto"/>
        <w:left w:val="none" w:sz="0" w:space="0" w:color="auto"/>
        <w:bottom w:val="none" w:sz="0" w:space="0" w:color="auto"/>
        <w:right w:val="none" w:sz="0" w:space="0" w:color="auto"/>
      </w:divBdr>
    </w:div>
    <w:div w:id="1984116734">
      <w:bodyDiv w:val="1"/>
      <w:marLeft w:val="0"/>
      <w:marRight w:val="0"/>
      <w:marTop w:val="0"/>
      <w:marBottom w:val="0"/>
      <w:divBdr>
        <w:top w:val="none" w:sz="0" w:space="0" w:color="auto"/>
        <w:left w:val="none" w:sz="0" w:space="0" w:color="auto"/>
        <w:bottom w:val="none" w:sz="0" w:space="0" w:color="auto"/>
        <w:right w:val="none" w:sz="0" w:space="0" w:color="auto"/>
      </w:divBdr>
    </w:div>
    <w:div w:id="1984581214">
      <w:bodyDiv w:val="1"/>
      <w:marLeft w:val="0"/>
      <w:marRight w:val="0"/>
      <w:marTop w:val="0"/>
      <w:marBottom w:val="0"/>
      <w:divBdr>
        <w:top w:val="none" w:sz="0" w:space="0" w:color="auto"/>
        <w:left w:val="none" w:sz="0" w:space="0" w:color="auto"/>
        <w:bottom w:val="none" w:sz="0" w:space="0" w:color="auto"/>
        <w:right w:val="none" w:sz="0" w:space="0" w:color="auto"/>
      </w:divBdr>
    </w:div>
    <w:div w:id="2003771542">
      <w:bodyDiv w:val="1"/>
      <w:marLeft w:val="0"/>
      <w:marRight w:val="0"/>
      <w:marTop w:val="0"/>
      <w:marBottom w:val="0"/>
      <w:divBdr>
        <w:top w:val="none" w:sz="0" w:space="0" w:color="auto"/>
        <w:left w:val="none" w:sz="0" w:space="0" w:color="auto"/>
        <w:bottom w:val="none" w:sz="0" w:space="0" w:color="auto"/>
        <w:right w:val="none" w:sz="0" w:space="0" w:color="auto"/>
      </w:divBdr>
    </w:div>
    <w:div w:id="2026053262">
      <w:bodyDiv w:val="1"/>
      <w:marLeft w:val="0"/>
      <w:marRight w:val="0"/>
      <w:marTop w:val="0"/>
      <w:marBottom w:val="0"/>
      <w:divBdr>
        <w:top w:val="none" w:sz="0" w:space="0" w:color="auto"/>
        <w:left w:val="none" w:sz="0" w:space="0" w:color="auto"/>
        <w:bottom w:val="none" w:sz="0" w:space="0" w:color="auto"/>
        <w:right w:val="none" w:sz="0" w:space="0" w:color="auto"/>
      </w:divBdr>
    </w:div>
    <w:div w:id="2035225495">
      <w:bodyDiv w:val="1"/>
      <w:marLeft w:val="0"/>
      <w:marRight w:val="0"/>
      <w:marTop w:val="0"/>
      <w:marBottom w:val="0"/>
      <w:divBdr>
        <w:top w:val="none" w:sz="0" w:space="0" w:color="auto"/>
        <w:left w:val="none" w:sz="0" w:space="0" w:color="auto"/>
        <w:bottom w:val="none" w:sz="0" w:space="0" w:color="auto"/>
        <w:right w:val="none" w:sz="0" w:space="0" w:color="auto"/>
      </w:divBdr>
    </w:div>
    <w:div w:id="2051759301">
      <w:bodyDiv w:val="1"/>
      <w:marLeft w:val="0"/>
      <w:marRight w:val="0"/>
      <w:marTop w:val="0"/>
      <w:marBottom w:val="0"/>
      <w:divBdr>
        <w:top w:val="none" w:sz="0" w:space="0" w:color="auto"/>
        <w:left w:val="none" w:sz="0" w:space="0" w:color="auto"/>
        <w:bottom w:val="none" w:sz="0" w:space="0" w:color="auto"/>
        <w:right w:val="none" w:sz="0" w:space="0" w:color="auto"/>
      </w:divBdr>
    </w:div>
    <w:div w:id="2104494128">
      <w:bodyDiv w:val="1"/>
      <w:marLeft w:val="0"/>
      <w:marRight w:val="0"/>
      <w:marTop w:val="0"/>
      <w:marBottom w:val="0"/>
      <w:divBdr>
        <w:top w:val="none" w:sz="0" w:space="0" w:color="auto"/>
        <w:left w:val="none" w:sz="0" w:space="0" w:color="auto"/>
        <w:bottom w:val="none" w:sz="0" w:space="0" w:color="auto"/>
        <w:right w:val="none" w:sz="0" w:space="0" w:color="auto"/>
      </w:divBdr>
    </w:div>
    <w:div w:id="212607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cdaction.org.uk/wp-content/uploads/2019/12/employing_people_with_ocd_0916_1.pdf" TargetMode="External"/><Relationship Id="rId18" Type="http://schemas.openxmlformats.org/officeDocument/2006/relationships/hyperlink" Target="https://www.personneltoday.com/hr/disability-discrimination-pull-together-comment-employee-depression/" TargetMode="External"/><Relationship Id="rId26" Type="http://schemas.openxmlformats.org/officeDocument/2006/relationships/hyperlink" Target="https://kingstonuniversity-my.sharepoint.com/personal/ku62519_kingston_ac_uk/Documents/Desktop/UWTSD/Assignment%201%20-%20Inclusion/10.1037/prj0000304" TargetMode="External"/><Relationship Id="rId39" Type="http://schemas.openxmlformats.org/officeDocument/2006/relationships/hyperlink" Target="https://kingstonuniversity-my.sharepoint.com/personal/ku62519_kingston_ac_uk/Documents/Desktop/UWTSD/Assignment%201%20-%20Inclusion/10.1192/pb.25.4.121" TargetMode="External"/><Relationship Id="rId21" Type="http://schemas.openxmlformats.org/officeDocument/2006/relationships/hyperlink" Target="https://kingstonuniversity-my.sharepoint.com/personal/ku62519_kingston_ac_uk/Documents/Desktop/UWTSD/Assignment%201%20-%20Inclusion/10.1093/ije/dyt224" TargetMode="External"/><Relationship Id="rId34" Type="http://schemas.openxmlformats.org/officeDocument/2006/relationships/hyperlink" Target="https://www.mind.org.uk/workplace/mind-training/" TargetMode="External"/><Relationship Id="rId42" Type="http://schemas.openxmlformats.org/officeDocument/2006/relationships/hyperlink" Target="http://darwin-online.org.uk" TargetMode="External"/><Relationship Id="rId47" Type="http://schemas.openxmlformats.org/officeDocument/2006/relationships/hyperlink" Target="https://www.mind.org.uk/news-campaigns/legal-news/legal-newsletter-september-2018/"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ind.org.uk/workplace/mind-training/" TargetMode="External"/><Relationship Id="rId29" Type="http://schemas.openxmlformats.org/officeDocument/2006/relationships/hyperlink" Target="https://www.legislation.gov.uk/ukpga/1995/50/contents" TargetMode="External"/><Relationship Id="rId11" Type="http://schemas.openxmlformats.org/officeDocument/2006/relationships/hyperlink" Target="file:///C:\Users\supst\AppData\Local\Microsoft\Windows\INetCache\Content.Outlook\MXOZUHKP\.https:\www.centreformentalhealth.org.uk\sites\default\files\mental_health_and_social_exclusion.pdf" TargetMode="External"/><Relationship Id="rId24" Type="http://schemas.openxmlformats.org/officeDocument/2006/relationships/hyperlink" Target="https://www.towerhamlets.gov.uk/lgnl/health__social_care/public_health/mental_wellbeing.aspx" TargetMode="External"/><Relationship Id="rId32" Type="http://schemas.openxmlformats.org/officeDocument/2006/relationships/hyperlink" Target="https://kingstonuniversity-my.sharepoint.com/personal/ku62519_kingston_ac_uk/Documents/Desktop/UWTSD/Assignment%201%20-%20Inclusion/10.5042/mhrj.2010.0201" TargetMode="External"/><Relationship Id="rId37" Type="http://schemas.openxmlformats.org/officeDocument/2006/relationships/hyperlink" Target="https://www.tuc.org.uk/blogs/disabled-peoples-struggle-equality-and-human-rights" TargetMode="External"/><Relationship Id="rId40" Type="http://schemas.openxmlformats.org/officeDocument/2006/relationships/hyperlink" Target="https://www.personneltoday.com/hr/disability-discrimination-pull-together-comment-employee-depression/" TargetMode="External"/><Relationship Id="rId45" Type="http://schemas.openxmlformats.org/officeDocument/2006/relationships/hyperlink" Target="https://www.acas.org.uk/absence-from-work/time-off-because-of-a-mental-health-issue" TargetMode="External"/><Relationship Id="rId5" Type="http://schemas.openxmlformats.org/officeDocument/2006/relationships/webSettings" Target="webSettings.xml"/><Relationship Id="rId15" Type="http://schemas.openxmlformats.org/officeDocument/2006/relationships/hyperlink" Target="https://www.mind.org.uk/about-us/what-we-do/" TargetMode="External"/><Relationship Id="rId23" Type="http://schemas.openxmlformats.org/officeDocument/2006/relationships/hyperlink" Target="http://www.inclusionist.org/files/socialinclusionusa.pdf" TargetMode="External"/><Relationship Id="rId28" Type="http://schemas.openxmlformats.org/officeDocument/2006/relationships/hyperlink" Target="https://ocdaction.org.uk/wp-content/uploads/2019/12/employing_people_with_ocd_0916_1.pdf" TargetMode="External"/><Relationship Id="rId36" Type="http://schemas.openxmlformats.org/officeDocument/2006/relationships/hyperlink" Target="https://www.centreformentalhealth.org.uk/sites/default/files/mental_health_and_social_exclusion.pdf" TargetMode="External"/><Relationship Id="rId49" Type="http://schemas.openxmlformats.org/officeDocument/2006/relationships/fontTable" Target="fontTable.xml"/><Relationship Id="rId10" Type="http://schemas.openxmlformats.org/officeDocument/2006/relationships/hyperlink" Target="https://www.towerhamlets.gov.uk/lgnl/health__social_care/public_health/mental_wellbeing.aspx" TargetMode="External"/><Relationship Id="rId19" Type="http://schemas.openxmlformats.org/officeDocument/2006/relationships/hyperlink" Target="https://www.standard.co.uk/news/uk/london-stockbroker-sunrise-brokers-depression-tribunal-naughty-step-b927361.html" TargetMode="External"/><Relationship Id="rId31" Type="http://schemas.openxmlformats.org/officeDocument/2006/relationships/hyperlink" Target="https://kingstonuniversity-my.sharepoint.com/personal/ku62519_kingston_ac_uk/Documents/Desktop/UWTSD/Assignment%201%20-%20Inclusion/10.2307/2955424" TargetMode="External"/><Relationship Id="rId44" Type="http://schemas.openxmlformats.org/officeDocument/2006/relationships/hyperlink" Target="https://kingstonuniversity-my.sharepoint.com/personal/ku62519_kingston_ac_uk/Documents/Desktop/UWTSD/Assignment%201%20-%20Inclusion/10.1080/13639080902957913" TargetMode="External"/><Relationship Id="rId4" Type="http://schemas.openxmlformats.org/officeDocument/2006/relationships/settings" Target="settings.xml"/><Relationship Id="rId9" Type="http://schemas.openxmlformats.org/officeDocument/2006/relationships/hyperlink" Target="http://studymore.org.uk/mhhtim.htm" TargetMode="External"/><Relationship Id="rId14" Type="http://schemas.openxmlformats.org/officeDocument/2006/relationships/hyperlink" Target="https://www.acas.org.uk/absence-from-work/time-off-because-of-a-mental-health-issue" TargetMode="External"/><Relationship Id="rId22" Type="http://schemas.openxmlformats.org/officeDocument/2006/relationships/hyperlink" Target="https://www.bitc.org.uk/wp-content/uploads/2019/10/bitc-wellbeing-report-mhawmentalhealthworkfullreport2019-sept2019-2.pdf" TargetMode="External"/><Relationship Id="rId27" Type="http://schemas.openxmlformats.org/officeDocument/2006/relationships/hyperlink" Target="https://kingstonuniversity-my.sharepoint.com/personal/ku62519_kingston_ac_uk/Documents/Desktop/UWTSD/Assignment%201%20-%20Inclusion/10.1080/10410236.2016.1196423" TargetMode="External"/><Relationship Id="rId30" Type="http://schemas.openxmlformats.org/officeDocument/2006/relationships/hyperlink" Target="https://www.standard.co.uk/news/uk/london-stockbroker-sunrise-brokers-depression-tribunal-naughty-step-b927361.html" TargetMode="External"/><Relationship Id="rId35" Type="http://schemas.openxmlformats.org/officeDocument/2006/relationships/hyperlink" Target="https://www.mind.org.uk/about-us/what-we-do/" TargetMode="External"/><Relationship Id="rId43" Type="http://schemas.openxmlformats.org/officeDocument/2006/relationships/hyperlink" Target="http://pandora.nla.gov.au/" TargetMode="External"/><Relationship Id="rId48" Type="http://schemas.openxmlformats.org/officeDocument/2006/relationships/header" Target="header1.xml"/><Relationship Id="rId8" Type="http://schemas.openxmlformats.org/officeDocument/2006/relationships/hyperlink" Target="http://darwin-online.org.uk/content/frameset?viewtype=text&amp;itemID=F373&amp;pageseq=1" TargetMode="External"/><Relationship Id="rId3" Type="http://schemas.openxmlformats.org/officeDocument/2006/relationships/styles" Target="styles.xml"/><Relationship Id="rId12" Type="http://schemas.openxmlformats.org/officeDocument/2006/relationships/hyperlink" Target="http://www.tuc.org.uk" TargetMode="External"/><Relationship Id="rId17" Type="http://schemas.openxmlformats.org/officeDocument/2006/relationships/hyperlink" Target="https://www.mind.org.uk/news-campaigns/legal-news/legal-newsletter-december-2017/thriving-at-work-the-stevenson-farmer-review-of-mental-health-and-employers/" TargetMode="External"/><Relationship Id="rId25" Type="http://schemas.openxmlformats.org/officeDocument/2006/relationships/hyperlink" Target="https://assets.publishing.service.gov.uk/government/uploads/system/uploads/attachment_data/file/265721/title.pdf" TargetMode="External"/><Relationship Id="rId33" Type="http://schemas.openxmlformats.org/officeDocument/2006/relationships/hyperlink" Target="https://www.mind.org.uk/news-campaigns/legal-news/legal-newsletter-december-2017/thriving-at-work-the-stevenson-farmer-review-of-mental-health-and-employers/" TargetMode="External"/><Relationship Id="rId38" Type="http://schemas.openxmlformats.org/officeDocument/2006/relationships/hyperlink" Target="https://kingstonuniversity-my.sharepoint.com/personal/ku62519_kingston_ac_uk/Documents/Desktop/UWTSD/Assignment%201%20-%20Inclusion/" TargetMode="External"/><Relationship Id="rId46" Type="http://schemas.openxmlformats.org/officeDocument/2006/relationships/hyperlink" Target="https://www.equalityhumanrights.com/en/advice-and-guidance/commonly-used-terms-equal-rights" TargetMode="External"/><Relationship Id="rId20" Type="http://schemas.openxmlformats.org/officeDocument/2006/relationships/hyperlink" Target="https://www.bitc.org.uk/wp-content/uploads/2019/10/bitc-wellbeing-report-mhawmentalhealthworkfullreport2019-sept2019-2.pdf" TargetMode="External"/><Relationship Id="rId41" Type="http://schemas.openxmlformats.org/officeDocument/2006/relationships/hyperlink" Target="https://kingstonuniversity-my.sharepoint.com/personal/ku62519_kingston_ac_uk/Documents/Desktop/UWTSD/Assignment%201%20-%20Inclusion/10.1177/0004867412449060"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E7B8E3-C38B-E346-B2DB-8955032A3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5011</Words>
  <Characters>28564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Dhaliwal, Raghvir K</dc:creator>
  <cp:keywords/>
  <dc:description/>
  <cp:lastModifiedBy>Dhaliwal, Raghvir K</cp:lastModifiedBy>
  <cp:revision>2</cp:revision>
  <cp:lastPrinted>2023-01-23T16:41:00Z</cp:lastPrinted>
  <dcterms:created xsi:type="dcterms:W3CDTF">2023-01-30T17:59:00Z</dcterms:created>
  <dcterms:modified xsi:type="dcterms:W3CDTF">2023-01-30T17:59:00Z</dcterms:modified>
</cp:coreProperties>
</file>