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3E32A" w14:textId="7437C7DE" w:rsidR="00E96384" w:rsidRPr="006D3C06" w:rsidRDefault="00EA3047" w:rsidP="004F4E47">
      <w:pPr>
        <w:spacing w:line="360" w:lineRule="auto"/>
        <w:jc w:val="both"/>
        <w:rPr>
          <w:rFonts w:cstheme="minorHAnsi"/>
          <w:sz w:val="24"/>
          <w:szCs w:val="24"/>
        </w:rPr>
      </w:pPr>
      <w:r w:rsidRPr="006D3C06">
        <w:rPr>
          <w:rFonts w:cstheme="minorHAnsi"/>
          <w:noProof/>
          <w:sz w:val="24"/>
          <w:szCs w:val="24"/>
        </w:rPr>
        <w:drawing>
          <wp:inline distT="0" distB="0" distL="0" distR="0" wp14:anchorId="1AFB93E6" wp14:editId="2AB16F36">
            <wp:extent cx="2430780" cy="854679"/>
            <wp:effectExtent l="0" t="0" r="7620" b="3175"/>
            <wp:docPr id="254431471" name="Picture 1"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431471" name="Picture 1" descr="Prifysgol Cymru Y Drindod Dewi Sant University of Wales Trinity Saint ..."/>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441894" cy="858587"/>
                    </a:xfrm>
                    <a:prstGeom prst="rect">
                      <a:avLst/>
                    </a:prstGeom>
                    <a:noFill/>
                    <a:ln>
                      <a:noFill/>
                    </a:ln>
                  </pic:spPr>
                </pic:pic>
              </a:graphicData>
            </a:graphic>
          </wp:inline>
        </w:drawing>
      </w:r>
    </w:p>
    <w:p w14:paraId="5687C0BA" w14:textId="77777777" w:rsidR="00EA3047" w:rsidRPr="006D3C06" w:rsidRDefault="00EA3047" w:rsidP="004F4E47">
      <w:pPr>
        <w:spacing w:line="360" w:lineRule="auto"/>
        <w:jc w:val="both"/>
        <w:rPr>
          <w:rFonts w:cstheme="minorHAnsi"/>
          <w:sz w:val="24"/>
          <w:szCs w:val="24"/>
        </w:rPr>
      </w:pPr>
    </w:p>
    <w:p w14:paraId="7000C84D" w14:textId="77777777" w:rsidR="00EA3047" w:rsidRPr="006D3C06" w:rsidRDefault="00EA3047" w:rsidP="004F4E47">
      <w:pPr>
        <w:spacing w:line="360" w:lineRule="auto"/>
        <w:jc w:val="both"/>
        <w:rPr>
          <w:rFonts w:cstheme="minorHAnsi"/>
          <w:sz w:val="24"/>
          <w:szCs w:val="24"/>
        </w:rPr>
      </w:pPr>
    </w:p>
    <w:p w14:paraId="350999AD" w14:textId="77777777" w:rsidR="006D3C06" w:rsidRPr="006D3C06" w:rsidRDefault="006D3C06" w:rsidP="006D3C06">
      <w:pPr>
        <w:pStyle w:val="Default"/>
        <w:rPr>
          <w:color w:val="auto"/>
        </w:rPr>
      </w:pPr>
    </w:p>
    <w:p w14:paraId="4C59582A" w14:textId="6787D8AF" w:rsidR="006D3C06" w:rsidRPr="006D3C06" w:rsidRDefault="006D3C06" w:rsidP="006D3C06">
      <w:pPr>
        <w:pStyle w:val="Default"/>
        <w:rPr>
          <w:color w:val="auto"/>
          <w:sz w:val="48"/>
          <w:szCs w:val="48"/>
        </w:rPr>
      </w:pPr>
      <w:r w:rsidRPr="006D3C06">
        <w:rPr>
          <w:color w:val="auto"/>
        </w:rPr>
        <w:t xml:space="preserve"> </w:t>
      </w:r>
    </w:p>
    <w:p w14:paraId="1A9826B1" w14:textId="77777777" w:rsidR="006D3C06" w:rsidRPr="006D3C06" w:rsidRDefault="006D3C06" w:rsidP="006D3C06">
      <w:pPr>
        <w:pStyle w:val="Default"/>
        <w:jc w:val="right"/>
        <w:rPr>
          <w:rFonts w:asciiTheme="minorHAnsi" w:hAnsiTheme="minorHAnsi" w:cstheme="minorHAnsi"/>
          <w:b/>
          <w:bCs/>
          <w:color w:val="auto"/>
          <w:sz w:val="36"/>
          <w:szCs w:val="36"/>
        </w:rPr>
      </w:pPr>
      <w:r w:rsidRPr="006D3C06">
        <w:rPr>
          <w:rFonts w:asciiTheme="minorHAnsi" w:hAnsiTheme="minorHAnsi" w:cstheme="minorHAnsi"/>
          <w:b/>
          <w:bCs/>
          <w:color w:val="auto"/>
          <w:sz w:val="36"/>
          <w:szCs w:val="36"/>
        </w:rPr>
        <w:t xml:space="preserve">Management and Organisational Behaviour </w:t>
      </w:r>
    </w:p>
    <w:p w14:paraId="01AE6E45" w14:textId="058963DB" w:rsidR="006D3C06" w:rsidRPr="006D3C06" w:rsidRDefault="006D3C06" w:rsidP="006D3C06">
      <w:pPr>
        <w:pStyle w:val="Default"/>
        <w:jc w:val="right"/>
        <w:rPr>
          <w:rFonts w:asciiTheme="minorHAnsi" w:hAnsiTheme="minorHAnsi" w:cstheme="minorHAnsi"/>
          <w:b/>
          <w:bCs/>
          <w:color w:val="auto"/>
          <w:sz w:val="36"/>
          <w:szCs w:val="36"/>
        </w:rPr>
      </w:pPr>
      <w:r w:rsidRPr="006D3C06">
        <w:rPr>
          <w:rFonts w:asciiTheme="minorHAnsi" w:hAnsiTheme="minorHAnsi" w:cstheme="minorHAnsi"/>
          <w:b/>
          <w:bCs/>
          <w:color w:val="auto"/>
          <w:sz w:val="36"/>
          <w:szCs w:val="36"/>
        </w:rPr>
        <w:t xml:space="preserve">BMIH4008 </w:t>
      </w:r>
    </w:p>
    <w:p w14:paraId="5F11E509" w14:textId="77777777" w:rsidR="006D3C06" w:rsidRPr="006D3C06" w:rsidRDefault="006D3C06" w:rsidP="006D3C06">
      <w:pPr>
        <w:pStyle w:val="Default"/>
        <w:jc w:val="right"/>
        <w:rPr>
          <w:rFonts w:asciiTheme="minorHAnsi" w:hAnsiTheme="minorHAnsi" w:cstheme="minorHAnsi"/>
          <w:color w:val="auto"/>
          <w:sz w:val="36"/>
          <w:szCs w:val="36"/>
        </w:rPr>
      </w:pPr>
    </w:p>
    <w:p w14:paraId="5A9ACC82" w14:textId="77777777" w:rsidR="006D3C06" w:rsidRPr="006D3C06" w:rsidRDefault="006D3C06" w:rsidP="006D3C06">
      <w:pPr>
        <w:pStyle w:val="Default"/>
        <w:jc w:val="right"/>
        <w:rPr>
          <w:rFonts w:asciiTheme="minorHAnsi" w:hAnsiTheme="minorHAnsi" w:cstheme="minorHAnsi"/>
          <w:color w:val="auto"/>
          <w:sz w:val="36"/>
          <w:szCs w:val="36"/>
        </w:rPr>
      </w:pPr>
      <w:r w:rsidRPr="006D3C06">
        <w:rPr>
          <w:rFonts w:asciiTheme="minorHAnsi" w:hAnsiTheme="minorHAnsi" w:cstheme="minorHAnsi"/>
          <w:b/>
          <w:bCs/>
          <w:color w:val="auto"/>
          <w:sz w:val="36"/>
          <w:szCs w:val="36"/>
        </w:rPr>
        <w:t xml:space="preserve">Module Lead: </w:t>
      </w:r>
    </w:p>
    <w:p w14:paraId="7FA46F0A" w14:textId="77777777" w:rsidR="006D3C06" w:rsidRPr="006D3C06" w:rsidRDefault="006D3C06" w:rsidP="006D3C06">
      <w:pPr>
        <w:pStyle w:val="Default"/>
        <w:jc w:val="right"/>
        <w:rPr>
          <w:rFonts w:asciiTheme="minorHAnsi" w:hAnsiTheme="minorHAnsi" w:cstheme="minorHAnsi"/>
          <w:color w:val="auto"/>
          <w:sz w:val="36"/>
          <w:szCs w:val="36"/>
        </w:rPr>
      </w:pPr>
      <w:r w:rsidRPr="006D3C06">
        <w:rPr>
          <w:rFonts w:asciiTheme="minorHAnsi" w:hAnsiTheme="minorHAnsi" w:cstheme="minorHAnsi"/>
          <w:b/>
          <w:bCs/>
          <w:color w:val="auto"/>
          <w:sz w:val="36"/>
          <w:szCs w:val="36"/>
        </w:rPr>
        <w:t xml:space="preserve">Lola Villard-Coles </w:t>
      </w:r>
    </w:p>
    <w:p w14:paraId="6E48DED0" w14:textId="77777777" w:rsidR="00EA3047" w:rsidRPr="006D3C06" w:rsidRDefault="00EA3047" w:rsidP="006D3C06">
      <w:pPr>
        <w:spacing w:line="360" w:lineRule="auto"/>
        <w:jc w:val="right"/>
        <w:rPr>
          <w:rFonts w:cstheme="minorHAnsi"/>
          <w:sz w:val="36"/>
          <w:szCs w:val="36"/>
        </w:rPr>
      </w:pPr>
    </w:p>
    <w:p w14:paraId="092DB1FF" w14:textId="655EC6CE" w:rsidR="00EA3047" w:rsidRPr="006D3C06" w:rsidRDefault="00EA3047" w:rsidP="006D3C06">
      <w:pPr>
        <w:spacing w:line="360" w:lineRule="auto"/>
        <w:jc w:val="center"/>
        <w:rPr>
          <w:rFonts w:cstheme="minorHAnsi"/>
          <w:b/>
          <w:bCs/>
          <w:sz w:val="36"/>
          <w:szCs w:val="36"/>
        </w:rPr>
      </w:pPr>
      <w:r w:rsidRPr="006D3C06">
        <w:rPr>
          <w:rFonts w:cstheme="minorHAnsi"/>
          <w:b/>
          <w:bCs/>
          <w:sz w:val="36"/>
          <w:szCs w:val="36"/>
        </w:rPr>
        <w:t>BUSI</w:t>
      </w:r>
      <w:r w:rsidR="006F42A3" w:rsidRPr="006D3C06">
        <w:rPr>
          <w:rFonts w:cstheme="minorHAnsi"/>
          <w:b/>
          <w:bCs/>
          <w:sz w:val="36"/>
          <w:szCs w:val="36"/>
        </w:rPr>
        <w:t>N</w:t>
      </w:r>
      <w:r w:rsidRPr="006D3C06">
        <w:rPr>
          <w:rFonts w:cstheme="minorHAnsi"/>
          <w:b/>
          <w:bCs/>
          <w:sz w:val="36"/>
          <w:szCs w:val="36"/>
        </w:rPr>
        <w:t>ESS REPORT OF ACCOR HOTEL GROUP</w:t>
      </w:r>
    </w:p>
    <w:p w14:paraId="451D5C69" w14:textId="77777777" w:rsidR="006D3C06" w:rsidRPr="006D3C06" w:rsidRDefault="006D3C06" w:rsidP="006D3C06">
      <w:pPr>
        <w:spacing w:line="360" w:lineRule="auto"/>
        <w:jc w:val="center"/>
        <w:rPr>
          <w:rFonts w:cstheme="minorHAnsi"/>
          <w:b/>
          <w:bCs/>
          <w:sz w:val="36"/>
          <w:szCs w:val="36"/>
        </w:rPr>
      </w:pPr>
    </w:p>
    <w:p w14:paraId="03666F92" w14:textId="77777777" w:rsidR="006D3C06" w:rsidRPr="006D3C06" w:rsidRDefault="006D3C06" w:rsidP="006D3C06">
      <w:pPr>
        <w:spacing w:line="240" w:lineRule="auto"/>
        <w:jc w:val="right"/>
        <w:rPr>
          <w:rFonts w:cstheme="minorHAnsi"/>
          <w:b/>
          <w:bCs/>
          <w:sz w:val="36"/>
          <w:szCs w:val="36"/>
        </w:rPr>
      </w:pPr>
      <w:r w:rsidRPr="006D3C06">
        <w:rPr>
          <w:rFonts w:cstheme="minorHAnsi"/>
          <w:b/>
          <w:bCs/>
          <w:sz w:val="36"/>
          <w:szCs w:val="36"/>
        </w:rPr>
        <w:t>Constantin Mihaloiu</w:t>
      </w:r>
    </w:p>
    <w:p w14:paraId="29ABF958" w14:textId="3D5BBCCA" w:rsidR="006D3C06" w:rsidRPr="006D3C06" w:rsidRDefault="006D3C06" w:rsidP="006D3C06">
      <w:pPr>
        <w:spacing w:line="240" w:lineRule="auto"/>
        <w:jc w:val="right"/>
        <w:rPr>
          <w:rFonts w:cstheme="minorHAnsi"/>
          <w:b/>
          <w:bCs/>
          <w:sz w:val="36"/>
          <w:szCs w:val="36"/>
        </w:rPr>
      </w:pPr>
      <w:r w:rsidRPr="006D3C06">
        <w:rPr>
          <w:rFonts w:cstheme="minorHAnsi"/>
          <w:b/>
          <w:bCs/>
          <w:sz w:val="36"/>
          <w:szCs w:val="36"/>
        </w:rPr>
        <w:t>Student nr:  2113468</w:t>
      </w:r>
    </w:p>
    <w:p w14:paraId="44EBA0AD" w14:textId="77777777" w:rsidR="006D3C06" w:rsidRPr="006D3C06" w:rsidRDefault="006D3C06" w:rsidP="006D3C06">
      <w:pPr>
        <w:spacing w:line="360" w:lineRule="auto"/>
        <w:jc w:val="center"/>
        <w:rPr>
          <w:rFonts w:cstheme="minorHAnsi"/>
          <w:b/>
          <w:bCs/>
          <w:sz w:val="36"/>
          <w:szCs w:val="36"/>
        </w:rPr>
      </w:pPr>
    </w:p>
    <w:p w14:paraId="2E11E4F8" w14:textId="77777777" w:rsidR="006D3C06" w:rsidRPr="006D3C06" w:rsidRDefault="006D3C06" w:rsidP="006D3C06">
      <w:pPr>
        <w:spacing w:line="360" w:lineRule="auto"/>
        <w:jc w:val="center"/>
        <w:rPr>
          <w:rFonts w:cstheme="minorHAnsi"/>
          <w:b/>
          <w:bCs/>
          <w:sz w:val="36"/>
          <w:szCs w:val="36"/>
        </w:rPr>
      </w:pPr>
    </w:p>
    <w:p w14:paraId="57251C1A" w14:textId="77777777" w:rsidR="00EA3047" w:rsidRPr="006D3C06" w:rsidRDefault="00EA3047" w:rsidP="004F4E47">
      <w:pPr>
        <w:spacing w:line="360" w:lineRule="auto"/>
        <w:jc w:val="both"/>
        <w:rPr>
          <w:rFonts w:cstheme="minorHAnsi"/>
          <w:b/>
          <w:bCs/>
          <w:sz w:val="36"/>
          <w:szCs w:val="36"/>
        </w:rPr>
      </w:pPr>
    </w:p>
    <w:p w14:paraId="24F10331" w14:textId="77777777" w:rsidR="00EA3047" w:rsidRPr="006D3C06" w:rsidRDefault="00EA3047" w:rsidP="004F4E47">
      <w:pPr>
        <w:spacing w:line="360" w:lineRule="auto"/>
        <w:jc w:val="both"/>
        <w:rPr>
          <w:rFonts w:cstheme="minorHAnsi"/>
          <w:b/>
          <w:bCs/>
          <w:sz w:val="24"/>
          <w:szCs w:val="24"/>
        </w:rPr>
      </w:pPr>
    </w:p>
    <w:p w14:paraId="18D58B12" w14:textId="77777777" w:rsidR="00EA3047" w:rsidRPr="006D3C06" w:rsidRDefault="00EA3047" w:rsidP="004F4E47">
      <w:pPr>
        <w:spacing w:line="360" w:lineRule="auto"/>
        <w:jc w:val="both"/>
        <w:rPr>
          <w:rFonts w:cstheme="minorHAnsi"/>
          <w:b/>
          <w:bCs/>
          <w:sz w:val="24"/>
          <w:szCs w:val="24"/>
        </w:rPr>
      </w:pPr>
    </w:p>
    <w:p w14:paraId="584FA1D7" w14:textId="77777777" w:rsidR="00EA3047" w:rsidRPr="006D3C06" w:rsidRDefault="00EA3047" w:rsidP="004F4E47">
      <w:pPr>
        <w:spacing w:line="360" w:lineRule="auto"/>
        <w:jc w:val="both"/>
        <w:rPr>
          <w:rFonts w:cstheme="minorHAnsi"/>
          <w:b/>
          <w:bCs/>
          <w:sz w:val="24"/>
          <w:szCs w:val="24"/>
        </w:rPr>
      </w:pPr>
    </w:p>
    <w:p w14:paraId="4F3FFBBA" w14:textId="77777777" w:rsidR="00EA3047" w:rsidRPr="006D3C06" w:rsidRDefault="00EA3047" w:rsidP="004F4E47">
      <w:pPr>
        <w:spacing w:line="360" w:lineRule="auto"/>
        <w:jc w:val="both"/>
        <w:rPr>
          <w:rFonts w:cstheme="minorHAnsi"/>
          <w:b/>
          <w:bCs/>
          <w:sz w:val="24"/>
          <w:szCs w:val="24"/>
          <w:lang w:val="en-IN" w:bidi="hi-IN"/>
        </w:rPr>
      </w:pPr>
      <w:r w:rsidRPr="006D3C06">
        <w:rPr>
          <w:rFonts w:cstheme="minorHAnsi"/>
          <w:b/>
          <w:bCs/>
          <w:sz w:val="24"/>
          <w:szCs w:val="24"/>
          <w:lang w:val="en-IN" w:bidi="hi-IN"/>
        </w:rPr>
        <w:lastRenderedPageBreak/>
        <w:t>Executive Summary</w:t>
      </w:r>
    </w:p>
    <w:p w14:paraId="64A8EC9A"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This report performs a strategic audit of the Accor Hotel Group structurally, culturally and strategically, including those actions recently carried out by the group, recent strategic direction and current business performance. At the heart of every operation, Accor is one of the world's leading players in hospitality with a broad and diversified portfolio of more than 110 brands active in over 110 countries. The audit aims to critically evaluate the matrix organisational structure of Accor to assess whether it is effective and in line with corporate culture and strategic goals. The UK group's strengths in innovations and brand global diversification are identified, as well as weaknesses in the standardisation of all the global units.</w:t>
      </w:r>
    </w:p>
    <w:p w14:paraId="3F89CE93" w14:textId="0615EF6F"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It also loks at what can happen in recent change initiatives, digital transformation and sustainability, and how they can be implemented using the theories of change management, Lewin's Change Model and Kotter's Eight Steps. The outcomes of these initiatives have helped the company remain resilient and adaptable to the market, though stakeholders’ alignment and the pace of implementation remain a challenge.</w:t>
      </w:r>
    </w:p>
    <w:p w14:paraId="24C6B632"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The strategic direction of Accor and its business performance are also evaluated. Although the company's long-term strategic goals remain in line with the company's current performance, economic uncertainty and changing customer expectations are ongoing challenges. The recommendations of the report include practical ones to improve structural efficiency, change management processes, and strengthen strategic alignment.</w:t>
      </w:r>
    </w:p>
    <w:p w14:paraId="69E8F20D" w14:textId="77777777" w:rsidR="00EA3047" w:rsidRPr="006D3C06" w:rsidRDefault="00EA3047" w:rsidP="004F4E47">
      <w:pPr>
        <w:spacing w:line="360" w:lineRule="auto"/>
        <w:jc w:val="both"/>
        <w:rPr>
          <w:rFonts w:cstheme="minorHAnsi"/>
          <w:sz w:val="24"/>
          <w:szCs w:val="24"/>
          <w:lang w:val="en-IN" w:bidi="hi-IN"/>
        </w:rPr>
      </w:pPr>
    </w:p>
    <w:p w14:paraId="229095A5" w14:textId="77777777" w:rsidR="00EA3047" w:rsidRPr="006D3C06" w:rsidRDefault="00EA3047" w:rsidP="004F4E47">
      <w:pPr>
        <w:spacing w:line="360" w:lineRule="auto"/>
        <w:jc w:val="both"/>
        <w:rPr>
          <w:rFonts w:cstheme="minorHAnsi"/>
          <w:sz w:val="24"/>
          <w:szCs w:val="24"/>
          <w:lang w:val="en-IN" w:bidi="hi-IN"/>
        </w:rPr>
      </w:pPr>
    </w:p>
    <w:p w14:paraId="16C4BE5E" w14:textId="77777777" w:rsidR="00EA3047" w:rsidRPr="006D3C06" w:rsidRDefault="00EA3047" w:rsidP="004F4E47">
      <w:pPr>
        <w:spacing w:line="360" w:lineRule="auto"/>
        <w:jc w:val="both"/>
        <w:rPr>
          <w:rFonts w:cstheme="minorHAnsi"/>
          <w:sz w:val="24"/>
          <w:szCs w:val="24"/>
          <w:lang w:val="en-IN" w:bidi="hi-IN"/>
        </w:rPr>
      </w:pPr>
    </w:p>
    <w:p w14:paraId="523B2A5D" w14:textId="77777777" w:rsidR="00EA3047" w:rsidRPr="006D3C06" w:rsidRDefault="00EA3047" w:rsidP="004F4E47">
      <w:pPr>
        <w:spacing w:line="360" w:lineRule="auto"/>
        <w:jc w:val="both"/>
        <w:rPr>
          <w:rFonts w:cstheme="minorHAnsi"/>
          <w:sz w:val="24"/>
          <w:szCs w:val="24"/>
          <w:lang w:val="en-IN" w:bidi="hi-IN"/>
        </w:rPr>
      </w:pPr>
    </w:p>
    <w:p w14:paraId="76E4DDD6" w14:textId="77777777" w:rsidR="00EA3047" w:rsidRPr="006D3C06" w:rsidRDefault="00EA3047" w:rsidP="004F4E47">
      <w:pPr>
        <w:spacing w:line="360" w:lineRule="auto"/>
        <w:jc w:val="both"/>
        <w:rPr>
          <w:rFonts w:cstheme="minorHAnsi"/>
          <w:sz w:val="24"/>
          <w:szCs w:val="24"/>
          <w:lang w:val="en-IN" w:bidi="hi-IN"/>
        </w:rPr>
      </w:pPr>
    </w:p>
    <w:sdt>
      <w:sdtPr>
        <w:rPr>
          <w:rFonts w:asciiTheme="minorHAnsi" w:eastAsiaTheme="minorHAnsi" w:hAnsiTheme="minorHAnsi" w:cstheme="minorHAnsi"/>
          <w:color w:val="auto"/>
          <w:kern w:val="2"/>
          <w:sz w:val="24"/>
          <w:szCs w:val="24"/>
          <w:lang w:val="en-GB"/>
          <w14:ligatures w14:val="standardContextual"/>
        </w:rPr>
        <w:id w:val="429331486"/>
        <w:docPartObj>
          <w:docPartGallery w:val="Table of Contents"/>
          <w:docPartUnique/>
        </w:docPartObj>
      </w:sdtPr>
      <w:sdtEndPr>
        <w:rPr>
          <w:b/>
          <w:bCs/>
          <w:noProof/>
        </w:rPr>
      </w:sdtEndPr>
      <w:sdtContent>
        <w:p w14:paraId="1805E26F" w14:textId="77777777" w:rsidR="00EA3047" w:rsidRPr="006D3C06" w:rsidRDefault="00EA3047" w:rsidP="004F4E47">
          <w:pPr>
            <w:pStyle w:val="TOCHeading"/>
            <w:spacing w:line="360" w:lineRule="auto"/>
            <w:jc w:val="both"/>
            <w:rPr>
              <w:rFonts w:asciiTheme="minorHAnsi" w:eastAsiaTheme="minorHAnsi" w:hAnsiTheme="minorHAnsi" w:cstheme="minorHAnsi"/>
              <w:color w:val="auto"/>
              <w:sz w:val="24"/>
              <w:szCs w:val="24"/>
              <w:lang w:val="en-GB"/>
            </w:rPr>
          </w:pPr>
        </w:p>
        <w:p w14:paraId="0B051D09" w14:textId="08D2BF69" w:rsidR="00EA3047" w:rsidRPr="006D3C06" w:rsidRDefault="00EA3047" w:rsidP="004F4E47">
          <w:pPr>
            <w:pStyle w:val="TOCHeading"/>
            <w:spacing w:line="360" w:lineRule="auto"/>
            <w:jc w:val="both"/>
            <w:rPr>
              <w:rFonts w:asciiTheme="minorHAnsi" w:hAnsiTheme="minorHAnsi" w:cstheme="minorHAnsi"/>
              <w:b/>
              <w:bCs/>
              <w:color w:val="auto"/>
              <w:sz w:val="24"/>
              <w:szCs w:val="24"/>
            </w:rPr>
          </w:pPr>
          <w:r w:rsidRPr="006D3C06">
            <w:rPr>
              <w:rFonts w:asciiTheme="minorHAnsi" w:hAnsiTheme="minorHAnsi" w:cstheme="minorHAnsi"/>
              <w:b/>
              <w:bCs/>
              <w:color w:val="auto"/>
              <w:sz w:val="24"/>
              <w:szCs w:val="24"/>
            </w:rPr>
            <w:t>Table of Contents</w:t>
          </w:r>
        </w:p>
        <w:p w14:paraId="5E37985E" w14:textId="77777777" w:rsidR="00EA3047" w:rsidRPr="006D3C06" w:rsidRDefault="00EA3047" w:rsidP="004F4E47">
          <w:pPr>
            <w:pStyle w:val="TOC1"/>
            <w:tabs>
              <w:tab w:val="right" w:leader="dot" w:pos="9016"/>
            </w:tabs>
            <w:rPr>
              <w:rFonts w:asciiTheme="minorHAnsi" w:eastAsiaTheme="minorEastAsia" w:hAnsiTheme="minorHAnsi" w:cstheme="minorHAnsi"/>
              <w:noProof/>
              <w:kern w:val="2"/>
              <w:szCs w:val="24"/>
              <w:lang w:val="en-IN" w:eastAsia="en-IN"/>
              <w14:ligatures w14:val="standardContextual"/>
            </w:rPr>
          </w:pPr>
          <w:r w:rsidRPr="006D3C06">
            <w:rPr>
              <w:rFonts w:asciiTheme="minorHAnsi" w:hAnsiTheme="minorHAnsi" w:cstheme="minorHAnsi"/>
              <w:szCs w:val="24"/>
            </w:rPr>
            <w:fldChar w:fldCharType="begin"/>
          </w:r>
          <w:r w:rsidRPr="006D3C06">
            <w:rPr>
              <w:rFonts w:asciiTheme="minorHAnsi" w:hAnsiTheme="minorHAnsi" w:cstheme="minorHAnsi"/>
              <w:szCs w:val="24"/>
            </w:rPr>
            <w:instrText xml:space="preserve"> TOC \o "1-3" \h \z \u </w:instrText>
          </w:r>
          <w:r w:rsidRPr="006D3C06">
            <w:rPr>
              <w:rFonts w:asciiTheme="minorHAnsi" w:hAnsiTheme="minorHAnsi" w:cstheme="minorHAnsi"/>
              <w:szCs w:val="24"/>
            </w:rPr>
            <w:fldChar w:fldCharType="separate"/>
          </w:r>
          <w:hyperlink w:anchor="_Toc195879215" w:history="1">
            <w:r w:rsidRPr="006D3C06">
              <w:rPr>
                <w:rStyle w:val="Hyperlink"/>
                <w:rFonts w:asciiTheme="minorHAnsi" w:hAnsiTheme="minorHAnsi" w:cstheme="minorHAnsi"/>
                <w:noProof/>
                <w:color w:val="auto"/>
                <w:szCs w:val="24"/>
                <w:lang w:bidi="hi-IN"/>
              </w:rPr>
              <w:t>Introduction</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_Toc195879215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3</w:t>
            </w:r>
            <w:r w:rsidRPr="006D3C06">
              <w:rPr>
                <w:rFonts w:asciiTheme="minorHAnsi" w:hAnsiTheme="minorHAnsi" w:cstheme="minorHAnsi"/>
                <w:noProof/>
                <w:webHidden/>
                <w:szCs w:val="24"/>
              </w:rPr>
              <w:fldChar w:fldCharType="end"/>
            </w:r>
          </w:hyperlink>
        </w:p>
        <w:p w14:paraId="15DD2D89" w14:textId="77777777" w:rsidR="00EA3047" w:rsidRPr="006D3C06" w:rsidRDefault="00EA3047" w:rsidP="004F4E47">
          <w:pPr>
            <w:pStyle w:val="TOC1"/>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16" w:history="1">
            <w:r w:rsidRPr="006D3C06">
              <w:rPr>
                <w:rStyle w:val="Hyperlink"/>
                <w:rFonts w:asciiTheme="minorHAnsi" w:eastAsia="Times New Roman" w:hAnsiTheme="minorHAnsi" w:cstheme="minorHAnsi"/>
                <w:noProof/>
                <w:color w:val="auto"/>
                <w:szCs w:val="24"/>
                <w:lang w:bidi="hi-IN"/>
              </w:rPr>
              <w:t>Organisational Structure, Culture, and Goals</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_Toc195879216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4</w:t>
            </w:r>
            <w:r w:rsidRPr="006D3C06">
              <w:rPr>
                <w:rFonts w:asciiTheme="minorHAnsi" w:hAnsiTheme="minorHAnsi" w:cstheme="minorHAnsi"/>
                <w:noProof/>
                <w:webHidden/>
                <w:szCs w:val="24"/>
              </w:rPr>
              <w:fldChar w:fldCharType="end"/>
            </w:r>
          </w:hyperlink>
        </w:p>
        <w:p w14:paraId="61289D03"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17" w:history="1">
            <w:r w:rsidRPr="006D3C06">
              <w:rPr>
                <w:rStyle w:val="Hyperlink"/>
                <w:rFonts w:asciiTheme="minorHAnsi" w:hAnsiTheme="minorHAnsi" w:cstheme="minorHAnsi"/>
                <w:noProof/>
                <w:color w:val="auto"/>
                <w:szCs w:val="24"/>
                <w:lang w:bidi="hi-IN"/>
              </w:rPr>
              <w:t>Accor’s Organisational Structure and its Alignment with Corporate Culture and Goals</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_Toc195879217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4</w:t>
            </w:r>
            <w:r w:rsidRPr="006D3C06">
              <w:rPr>
                <w:rFonts w:asciiTheme="minorHAnsi" w:hAnsiTheme="minorHAnsi" w:cstheme="minorHAnsi"/>
                <w:noProof/>
                <w:webHidden/>
                <w:szCs w:val="24"/>
              </w:rPr>
              <w:fldChar w:fldCharType="end"/>
            </w:r>
          </w:hyperlink>
        </w:p>
        <w:p w14:paraId="6E1C576D"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18" w:history="1">
            <w:r w:rsidRPr="006D3C06">
              <w:rPr>
                <w:rStyle w:val="Hyperlink"/>
                <w:rFonts w:asciiTheme="minorHAnsi" w:hAnsiTheme="minorHAnsi" w:cstheme="minorHAnsi"/>
                <w:noProof/>
                <w:color w:val="auto"/>
                <w:szCs w:val="24"/>
                <w:lang w:bidi="hi-IN"/>
              </w:rPr>
              <w:t>Strengths and Weaknesses of the Structure</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_Toc195879218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6</w:t>
            </w:r>
            <w:r w:rsidRPr="006D3C06">
              <w:rPr>
                <w:rFonts w:asciiTheme="minorHAnsi" w:hAnsiTheme="minorHAnsi" w:cstheme="minorHAnsi"/>
                <w:noProof/>
                <w:webHidden/>
                <w:szCs w:val="24"/>
              </w:rPr>
              <w:fldChar w:fldCharType="end"/>
            </w:r>
          </w:hyperlink>
        </w:p>
        <w:p w14:paraId="5052DA8C"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19" w:history="1">
            <w:r w:rsidRPr="006D3C06">
              <w:rPr>
                <w:rStyle w:val="Hyperlink"/>
                <w:rFonts w:asciiTheme="minorHAnsi" w:hAnsiTheme="minorHAnsi" w:cstheme="minorHAnsi"/>
                <w:noProof/>
                <w:color w:val="auto"/>
                <w:szCs w:val="24"/>
                <w:lang w:bidi="hi-IN"/>
              </w:rPr>
              <w:t>Competitive Comparison</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_Toc195879219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7</w:t>
            </w:r>
            <w:r w:rsidRPr="006D3C06">
              <w:rPr>
                <w:rFonts w:asciiTheme="minorHAnsi" w:hAnsiTheme="minorHAnsi" w:cstheme="minorHAnsi"/>
                <w:noProof/>
                <w:webHidden/>
                <w:szCs w:val="24"/>
              </w:rPr>
              <w:fldChar w:fldCharType="end"/>
            </w:r>
          </w:hyperlink>
        </w:p>
        <w:p w14:paraId="159700B5" w14:textId="77777777" w:rsidR="00EA3047" w:rsidRPr="006D3C06" w:rsidRDefault="00EA3047" w:rsidP="004F4E47">
          <w:pPr>
            <w:pStyle w:val="TOC1"/>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0" w:history="1">
            <w:r w:rsidRPr="006D3C06">
              <w:rPr>
                <w:rStyle w:val="Hyperlink"/>
                <w:rFonts w:asciiTheme="minorHAnsi" w:eastAsia="Times New Roman" w:hAnsiTheme="minorHAnsi" w:cstheme="minorHAnsi"/>
                <w:noProof/>
                <w:color w:val="auto"/>
                <w:szCs w:val="24"/>
                <w:lang w:bidi="hi-IN"/>
              </w:rPr>
              <w:t>Recent Change Initiatives: Impact and Management</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_Toc195879220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7</w:t>
            </w:r>
            <w:r w:rsidRPr="006D3C06">
              <w:rPr>
                <w:rFonts w:asciiTheme="minorHAnsi" w:hAnsiTheme="minorHAnsi" w:cstheme="minorHAnsi"/>
                <w:noProof/>
                <w:webHidden/>
                <w:szCs w:val="24"/>
              </w:rPr>
              <w:fldChar w:fldCharType="end"/>
            </w:r>
          </w:hyperlink>
        </w:p>
        <w:p w14:paraId="5D02DD0B"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1" w:history="1">
            <w:r w:rsidRPr="006D3C06">
              <w:rPr>
                <w:rStyle w:val="Hyperlink"/>
                <w:rFonts w:asciiTheme="minorHAnsi" w:eastAsia="Times New Roman" w:hAnsiTheme="minorHAnsi" w:cstheme="minorHAnsi"/>
                <w:noProof/>
                <w:color w:val="auto"/>
                <w:szCs w:val="24"/>
                <w:lang w:bidi="hi-IN"/>
              </w:rPr>
              <w:t>Digital Transformation through ALL Platforms</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_Toc195879221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7</w:t>
            </w:r>
            <w:r w:rsidRPr="006D3C06">
              <w:rPr>
                <w:rFonts w:asciiTheme="minorHAnsi" w:hAnsiTheme="minorHAnsi" w:cstheme="minorHAnsi"/>
                <w:noProof/>
                <w:webHidden/>
                <w:szCs w:val="24"/>
              </w:rPr>
              <w:fldChar w:fldCharType="end"/>
            </w:r>
          </w:hyperlink>
        </w:p>
        <w:p w14:paraId="51E6DF2A"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2" w:history="1">
            <w:r w:rsidRPr="006D3C06">
              <w:rPr>
                <w:rStyle w:val="Hyperlink"/>
                <w:rFonts w:asciiTheme="minorHAnsi" w:hAnsiTheme="minorHAnsi" w:cstheme="minorHAnsi"/>
                <w:noProof/>
                <w:color w:val="auto"/>
                <w:szCs w:val="24"/>
                <w:lang w:bidi="hi-IN"/>
              </w:rPr>
              <w:t>Sustainability through Planet 21 Strategy</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_Toc195879222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8</w:t>
            </w:r>
            <w:r w:rsidRPr="006D3C06">
              <w:rPr>
                <w:rFonts w:asciiTheme="minorHAnsi" w:hAnsiTheme="minorHAnsi" w:cstheme="minorHAnsi"/>
                <w:noProof/>
                <w:webHidden/>
                <w:szCs w:val="24"/>
              </w:rPr>
              <w:fldChar w:fldCharType="end"/>
            </w:r>
          </w:hyperlink>
        </w:p>
        <w:p w14:paraId="210C24E1"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3" w:history="1">
            <w:r w:rsidRPr="006D3C06">
              <w:rPr>
                <w:rStyle w:val="Hyperlink"/>
                <w:rFonts w:asciiTheme="minorHAnsi" w:hAnsiTheme="minorHAnsi" w:cstheme="minorHAnsi"/>
                <w:noProof/>
                <w:color w:val="auto"/>
                <w:szCs w:val="24"/>
                <w:lang w:bidi="hi-IN"/>
              </w:rPr>
              <w:t>Application of Change Management Theories</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_Toc195879223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9</w:t>
            </w:r>
            <w:r w:rsidRPr="006D3C06">
              <w:rPr>
                <w:rFonts w:asciiTheme="minorHAnsi" w:hAnsiTheme="minorHAnsi" w:cstheme="minorHAnsi"/>
                <w:noProof/>
                <w:webHidden/>
                <w:szCs w:val="24"/>
              </w:rPr>
              <w:fldChar w:fldCharType="end"/>
            </w:r>
          </w:hyperlink>
        </w:p>
        <w:p w14:paraId="69EF7E50"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4" w:history="1">
            <w:r w:rsidRPr="006D3C06">
              <w:rPr>
                <w:rStyle w:val="Hyperlink"/>
                <w:rFonts w:asciiTheme="minorHAnsi" w:hAnsiTheme="minorHAnsi" w:cstheme="minorHAnsi"/>
                <w:noProof/>
                <w:color w:val="auto"/>
                <w:szCs w:val="24"/>
                <w:lang w:bidi="hi-IN"/>
              </w:rPr>
              <w:t>Implementation Challenges and Operational Impact</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_Toc195879224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9</w:t>
            </w:r>
            <w:r w:rsidRPr="006D3C06">
              <w:rPr>
                <w:rFonts w:asciiTheme="minorHAnsi" w:hAnsiTheme="minorHAnsi" w:cstheme="minorHAnsi"/>
                <w:noProof/>
                <w:webHidden/>
                <w:szCs w:val="24"/>
              </w:rPr>
              <w:fldChar w:fldCharType="end"/>
            </w:r>
          </w:hyperlink>
        </w:p>
        <w:p w14:paraId="23CDB435" w14:textId="77777777" w:rsidR="00EA3047" w:rsidRPr="006D3C06" w:rsidRDefault="00EA3047" w:rsidP="004F4E47">
          <w:pPr>
            <w:pStyle w:val="TOC1"/>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5" w:history="1">
            <w:r w:rsidRPr="006D3C06">
              <w:rPr>
                <w:rStyle w:val="Hyperlink"/>
                <w:rFonts w:asciiTheme="minorHAnsi" w:eastAsia="Times New Roman" w:hAnsiTheme="minorHAnsi" w:cstheme="minorHAnsi"/>
                <w:noProof/>
                <w:color w:val="auto"/>
                <w:szCs w:val="24"/>
                <w:lang w:bidi="hi-IN"/>
              </w:rPr>
              <w:t>Strategic Direction and Current Business Performance</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_Toc195879225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10</w:t>
            </w:r>
            <w:r w:rsidRPr="006D3C06">
              <w:rPr>
                <w:rFonts w:asciiTheme="minorHAnsi" w:hAnsiTheme="minorHAnsi" w:cstheme="minorHAnsi"/>
                <w:noProof/>
                <w:webHidden/>
                <w:szCs w:val="24"/>
              </w:rPr>
              <w:fldChar w:fldCharType="end"/>
            </w:r>
          </w:hyperlink>
        </w:p>
        <w:p w14:paraId="2587135F"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6" w:history="1">
            <w:r w:rsidRPr="006D3C06">
              <w:rPr>
                <w:rStyle w:val="Hyperlink"/>
                <w:rFonts w:asciiTheme="minorHAnsi" w:eastAsia="Times New Roman" w:hAnsiTheme="minorHAnsi" w:cstheme="minorHAnsi"/>
                <w:noProof/>
                <w:color w:val="auto"/>
                <w:szCs w:val="24"/>
                <w:lang w:bidi="hi-IN"/>
              </w:rPr>
              <w:t>Strategic Focus and Vision</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_Toc195879226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10</w:t>
            </w:r>
            <w:r w:rsidRPr="006D3C06">
              <w:rPr>
                <w:rFonts w:asciiTheme="minorHAnsi" w:hAnsiTheme="minorHAnsi" w:cstheme="minorHAnsi"/>
                <w:noProof/>
                <w:webHidden/>
                <w:szCs w:val="24"/>
              </w:rPr>
              <w:fldChar w:fldCharType="end"/>
            </w:r>
          </w:hyperlink>
        </w:p>
        <w:p w14:paraId="49FEED3E"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7" w:history="1">
            <w:r w:rsidRPr="006D3C06">
              <w:rPr>
                <w:rStyle w:val="Hyperlink"/>
                <w:rFonts w:asciiTheme="minorHAnsi" w:hAnsiTheme="minorHAnsi" w:cstheme="minorHAnsi"/>
                <w:noProof/>
                <w:color w:val="auto"/>
                <w:szCs w:val="24"/>
                <w:lang w:bidi="hi-IN"/>
              </w:rPr>
              <w:t>Key Performance Indicators and Metrics</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_Toc195879227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10</w:t>
            </w:r>
            <w:r w:rsidRPr="006D3C06">
              <w:rPr>
                <w:rFonts w:asciiTheme="minorHAnsi" w:hAnsiTheme="minorHAnsi" w:cstheme="minorHAnsi"/>
                <w:noProof/>
                <w:webHidden/>
                <w:szCs w:val="24"/>
              </w:rPr>
              <w:fldChar w:fldCharType="end"/>
            </w:r>
          </w:hyperlink>
        </w:p>
        <w:p w14:paraId="53E0332C" w14:textId="77777777" w:rsidR="00EA3047" w:rsidRPr="006D3C06" w:rsidRDefault="00EA3047" w:rsidP="004F4E47">
          <w:pPr>
            <w:pStyle w:val="TOC2"/>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8" w:history="1">
            <w:r w:rsidRPr="006D3C06">
              <w:rPr>
                <w:rStyle w:val="Hyperlink"/>
                <w:rFonts w:asciiTheme="minorHAnsi" w:hAnsiTheme="minorHAnsi" w:cstheme="minorHAnsi"/>
                <w:noProof/>
                <w:color w:val="auto"/>
                <w:szCs w:val="24"/>
                <w:lang w:bidi="hi-IN"/>
              </w:rPr>
              <w:t>Response to External Market Factors</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_Toc195879228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11</w:t>
            </w:r>
            <w:r w:rsidRPr="006D3C06">
              <w:rPr>
                <w:rFonts w:asciiTheme="minorHAnsi" w:hAnsiTheme="minorHAnsi" w:cstheme="minorHAnsi"/>
                <w:noProof/>
                <w:webHidden/>
                <w:szCs w:val="24"/>
              </w:rPr>
              <w:fldChar w:fldCharType="end"/>
            </w:r>
          </w:hyperlink>
        </w:p>
        <w:p w14:paraId="5B17FC0B" w14:textId="77777777" w:rsidR="00EA3047" w:rsidRPr="006D3C06" w:rsidRDefault="00EA3047" w:rsidP="004F4E47">
          <w:pPr>
            <w:pStyle w:val="TOC1"/>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29" w:history="1">
            <w:r w:rsidRPr="006D3C06">
              <w:rPr>
                <w:rStyle w:val="Hyperlink"/>
                <w:rFonts w:asciiTheme="minorHAnsi" w:hAnsiTheme="minorHAnsi" w:cstheme="minorHAnsi"/>
                <w:noProof/>
                <w:color w:val="auto"/>
                <w:szCs w:val="24"/>
                <w:lang w:bidi="hi-IN"/>
              </w:rPr>
              <w:t>Conclusion</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_Toc195879229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14</w:t>
            </w:r>
            <w:r w:rsidRPr="006D3C06">
              <w:rPr>
                <w:rFonts w:asciiTheme="minorHAnsi" w:hAnsiTheme="minorHAnsi" w:cstheme="minorHAnsi"/>
                <w:noProof/>
                <w:webHidden/>
                <w:szCs w:val="24"/>
              </w:rPr>
              <w:fldChar w:fldCharType="end"/>
            </w:r>
          </w:hyperlink>
        </w:p>
        <w:p w14:paraId="422D22C3" w14:textId="77777777" w:rsidR="00EA3047" w:rsidRPr="006D3C06" w:rsidRDefault="00EA3047" w:rsidP="004F4E47">
          <w:pPr>
            <w:pStyle w:val="TOC1"/>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30" w:history="1">
            <w:r w:rsidRPr="006D3C06">
              <w:rPr>
                <w:rStyle w:val="Hyperlink"/>
                <w:rFonts w:asciiTheme="minorHAnsi" w:hAnsiTheme="minorHAnsi" w:cstheme="minorHAnsi"/>
                <w:noProof/>
                <w:color w:val="auto"/>
                <w:szCs w:val="24"/>
                <w:lang w:bidi="hi-IN"/>
              </w:rPr>
              <w:t>Recommendations</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_Toc195879230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15</w:t>
            </w:r>
            <w:r w:rsidRPr="006D3C06">
              <w:rPr>
                <w:rFonts w:asciiTheme="minorHAnsi" w:hAnsiTheme="minorHAnsi" w:cstheme="minorHAnsi"/>
                <w:noProof/>
                <w:webHidden/>
                <w:szCs w:val="24"/>
              </w:rPr>
              <w:fldChar w:fldCharType="end"/>
            </w:r>
          </w:hyperlink>
        </w:p>
        <w:p w14:paraId="589B7AD7" w14:textId="77777777" w:rsidR="00EA3047" w:rsidRPr="006D3C06" w:rsidRDefault="00EA3047" w:rsidP="004F4E47">
          <w:pPr>
            <w:pStyle w:val="TOC1"/>
            <w:tabs>
              <w:tab w:val="right" w:leader="dot" w:pos="9016"/>
            </w:tabs>
            <w:rPr>
              <w:rFonts w:asciiTheme="minorHAnsi" w:eastAsiaTheme="minorEastAsia" w:hAnsiTheme="minorHAnsi" w:cstheme="minorHAnsi"/>
              <w:noProof/>
              <w:kern w:val="2"/>
              <w:szCs w:val="24"/>
              <w:lang w:val="en-IN" w:eastAsia="en-IN"/>
              <w14:ligatures w14:val="standardContextual"/>
            </w:rPr>
          </w:pPr>
          <w:hyperlink w:anchor="_Toc195879231" w:history="1">
            <w:r w:rsidRPr="006D3C06">
              <w:rPr>
                <w:rStyle w:val="Hyperlink"/>
                <w:rFonts w:asciiTheme="minorHAnsi" w:hAnsiTheme="minorHAnsi" w:cstheme="minorHAnsi"/>
                <w:noProof/>
                <w:color w:val="auto"/>
                <w:szCs w:val="24"/>
                <w:lang w:bidi="hi-IN"/>
              </w:rPr>
              <w:t>References</w:t>
            </w:r>
            <w:r w:rsidRPr="006D3C06">
              <w:rPr>
                <w:rFonts w:asciiTheme="minorHAnsi" w:hAnsiTheme="minorHAnsi" w:cstheme="minorHAnsi"/>
                <w:noProof/>
                <w:webHidden/>
                <w:szCs w:val="24"/>
              </w:rPr>
              <w:tab/>
            </w:r>
            <w:r w:rsidRPr="006D3C06">
              <w:rPr>
                <w:rFonts w:asciiTheme="minorHAnsi" w:hAnsiTheme="minorHAnsi" w:cstheme="minorHAnsi"/>
                <w:noProof/>
                <w:webHidden/>
                <w:szCs w:val="24"/>
              </w:rPr>
              <w:fldChar w:fldCharType="begin"/>
            </w:r>
            <w:r w:rsidRPr="006D3C06">
              <w:rPr>
                <w:rFonts w:asciiTheme="minorHAnsi" w:hAnsiTheme="minorHAnsi" w:cstheme="minorHAnsi"/>
                <w:noProof/>
                <w:webHidden/>
                <w:szCs w:val="24"/>
              </w:rPr>
              <w:instrText xml:space="preserve"> PAGEREF _Toc195879231 \h </w:instrText>
            </w:r>
            <w:r w:rsidRPr="006D3C06">
              <w:rPr>
                <w:rFonts w:asciiTheme="minorHAnsi" w:hAnsiTheme="minorHAnsi" w:cstheme="minorHAnsi"/>
                <w:noProof/>
                <w:webHidden/>
                <w:szCs w:val="24"/>
              </w:rPr>
            </w:r>
            <w:r w:rsidRPr="006D3C06">
              <w:rPr>
                <w:rFonts w:asciiTheme="minorHAnsi" w:hAnsiTheme="minorHAnsi" w:cstheme="minorHAnsi"/>
                <w:noProof/>
                <w:webHidden/>
                <w:szCs w:val="24"/>
              </w:rPr>
              <w:fldChar w:fldCharType="separate"/>
            </w:r>
            <w:r w:rsidRPr="006D3C06">
              <w:rPr>
                <w:rFonts w:asciiTheme="minorHAnsi" w:hAnsiTheme="minorHAnsi" w:cstheme="minorHAnsi"/>
                <w:noProof/>
                <w:webHidden/>
                <w:szCs w:val="24"/>
              </w:rPr>
              <w:t>16</w:t>
            </w:r>
            <w:r w:rsidRPr="006D3C06">
              <w:rPr>
                <w:rFonts w:asciiTheme="minorHAnsi" w:hAnsiTheme="minorHAnsi" w:cstheme="minorHAnsi"/>
                <w:noProof/>
                <w:webHidden/>
                <w:szCs w:val="24"/>
              </w:rPr>
              <w:fldChar w:fldCharType="end"/>
            </w:r>
          </w:hyperlink>
        </w:p>
        <w:p w14:paraId="5FC46870" w14:textId="77777777" w:rsidR="00EA3047" w:rsidRPr="006D3C06" w:rsidRDefault="00EA3047" w:rsidP="004F4E47">
          <w:pPr>
            <w:spacing w:line="360" w:lineRule="auto"/>
            <w:jc w:val="both"/>
            <w:rPr>
              <w:rFonts w:cstheme="minorHAnsi"/>
              <w:sz w:val="24"/>
              <w:szCs w:val="24"/>
            </w:rPr>
          </w:pPr>
          <w:r w:rsidRPr="006D3C06">
            <w:rPr>
              <w:rFonts w:cstheme="minorHAnsi"/>
              <w:b/>
              <w:bCs/>
              <w:noProof/>
              <w:sz w:val="24"/>
              <w:szCs w:val="24"/>
            </w:rPr>
            <w:fldChar w:fldCharType="end"/>
          </w:r>
        </w:p>
      </w:sdtContent>
    </w:sdt>
    <w:p w14:paraId="0CE784D4" w14:textId="77777777" w:rsidR="00EA3047" w:rsidRPr="006D3C06" w:rsidRDefault="00EA3047" w:rsidP="004F4E47">
      <w:pPr>
        <w:spacing w:line="360" w:lineRule="auto"/>
        <w:jc w:val="both"/>
        <w:rPr>
          <w:rFonts w:cstheme="minorHAnsi"/>
          <w:sz w:val="24"/>
          <w:szCs w:val="24"/>
          <w:lang w:val="en-IN" w:bidi="hi-IN"/>
        </w:rPr>
      </w:pPr>
    </w:p>
    <w:p w14:paraId="33422152" w14:textId="77777777" w:rsidR="00EA3047" w:rsidRPr="006D3C06" w:rsidRDefault="00EA3047" w:rsidP="004F4E47">
      <w:pPr>
        <w:spacing w:line="360" w:lineRule="auto"/>
        <w:jc w:val="both"/>
        <w:rPr>
          <w:rFonts w:cstheme="minorHAnsi"/>
          <w:sz w:val="24"/>
          <w:szCs w:val="24"/>
          <w:lang w:val="en-IN" w:bidi="hi-IN"/>
        </w:rPr>
      </w:pPr>
    </w:p>
    <w:p w14:paraId="76485901" w14:textId="77777777" w:rsidR="00EA3047" w:rsidRPr="006D3C06" w:rsidRDefault="00EA3047" w:rsidP="004F4E47">
      <w:pPr>
        <w:spacing w:line="360" w:lineRule="auto"/>
        <w:jc w:val="both"/>
        <w:rPr>
          <w:rFonts w:cstheme="minorHAnsi"/>
          <w:sz w:val="24"/>
          <w:szCs w:val="24"/>
          <w:lang w:val="en-IN" w:bidi="hi-IN"/>
        </w:rPr>
      </w:pPr>
    </w:p>
    <w:p w14:paraId="508B6815" w14:textId="77777777" w:rsidR="00EA3047" w:rsidRPr="006D3C06" w:rsidRDefault="00EA3047" w:rsidP="004F4E47">
      <w:pPr>
        <w:spacing w:line="360" w:lineRule="auto"/>
        <w:jc w:val="both"/>
        <w:rPr>
          <w:rFonts w:cstheme="minorHAnsi"/>
          <w:sz w:val="24"/>
          <w:szCs w:val="24"/>
          <w:lang w:val="en-IN" w:bidi="hi-IN"/>
        </w:rPr>
      </w:pPr>
    </w:p>
    <w:p w14:paraId="7BD343DA" w14:textId="77777777" w:rsidR="006D3C06" w:rsidRPr="006D3C06" w:rsidRDefault="006D3C06" w:rsidP="004F4E47">
      <w:pPr>
        <w:spacing w:line="360" w:lineRule="auto"/>
        <w:jc w:val="both"/>
        <w:rPr>
          <w:rFonts w:cstheme="minorHAnsi"/>
          <w:sz w:val="24"/>
          <w:szCs w:val="24"/>
          <w:lang w:val="en-IN" w:bidi="hi-IN"/>
        </w:rPr>
      </w:pPr>
    </w:p>
    <w:p w14:paraId="6CC59EE8" w14:textId="77777777" w:rsidR="006D3C06" w:rsidRPr="006D3C06" w:rsidRDefault="006D3C06" w:rsidP="004F4E47">
      <w:pPr>
        <w:spacing w:line="360" w:lineRule="auto"/>
        <w:jc w:val="both"/>
        <w:rPr>
          <w:rFonts w:cstheme="minorHAnsi"/>
          <w:sz w:val="24"/>
          <w:szCs w:val="24"/>
          <w:lang w:val="en-IN" w:bidi="hi-IN"/>
        </w:rPr>
      </w:pPr>
    </w:p>
    <w:p w14:paraId="4187FB18" w14:textId="5457C6E4" w:rsidR="00EA3047" w:rsidRPr="006D3C06" w:rsidRDefault="00EA3047" w:rsidP="004F4E47">
      <w:pPr>
        <w:pStyle w:val="Heading1"/>
        <w:spacing w:line="360" w:lineRule="auto"/>
        <w:jc w:val="both"/>
        <w:rPr>
          <w:rFonts w:asciiTheme="minorHAnsi" w:hAnsiTheme="minorHAnsi" w:cstheme="minorHAnsi"/>
          <w:color w:val="auto"/>
          <w:sz w:val="24"/>
          <w:szCs w:val="24"/>
        </w:rPr>
      </w:pPr>
      <w:r w:rsidRPr="006D3C06">
        <w:rPr>
          <w:rFonts w:asciiTheme="minorHAnsi" w:hAnsiTheme="minorHAnsi" w:cstheme="minorHAnsi"/>
          <w:color w:val="auto"/>
          <w:sz w:val="24"/>
          <w:szCs w:val="24"/>
        </w:rPr>
        <w:lastRenderedPageBreak/>
        <w:t xml:space="preserve">Introduction </w:t>
      </w:r>
    </w:p>
    <w:p w14:paraId="18B895B9"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This is a strategic audit of the Accor Hotel Group, in which a complete audit is conducted. The primary aim of this audit is to check the company's internal in addition to external environment based on three key aspects, namely, organisational structure, culture and goals; the recent change initiatives along with their respective management; and strategic direction and business performance (</w:t>
      </w:r>
      <w:r w:rsidRPr="006D3C06">
        <w:rPr>
          <w:rFonts w:cstheme="minorHAnsi"/>
          <w:sz w:val="24"/>
          <w:szCs w:val="24"/>
          <w:lang w:bidi="hi-IN"/>
        </w:rPr>
        <w:t>Demirçiftçi and Kızılırmak, 2016)</w:t>
      </w:r>
      <w:r w:rsidRPr="006D3C06">
        <w:rPr>
          <w:rFonts w:cstheme="minorHAnsi"/>
          <w:sz w:val="24"/>
          <w:szCs w:val="24"/>
          <w:lang w:val="en-IN" w:bidi="hi-IN"/>
        </w:rPr>
        <w:t>. The report undertakes an analysis aimed at identifying strengths, weaknesses, opportunities and threats faced by Accor to make actionable recommendations that would enhance Accor's strategic positioning and operational effectiveness. Accor Hotel Group, headquartered in France, is one of the leading hospitality groups in the world, representing 5,300 properties in over 110 countries. Accor is located in the economy segment to the luxury segment with a brand portfolio including Sofitel, Novotel, Mercure, Ibis, and Fairmont. Over the years, the company has used a dynamic strategy that relates to digital innovation, customer experience and sustainability. Through its vast network and brand ecosystem, it plays a very significant role in forming the face of global hospitality.</w:t>
      </w:r>
    </w:p>
    <w:p w14:paraId="7C54910D"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 xml:space="preserve">As more and more consumers are relying on the information they get online, as the environment is now becoming a core concern of consumers and businesses alike, Accor is adapting to the world we are living and working in by constantly transforming the way we operate, whether through the digital, the environmental, or consumer-related aspects. These shifts have led the group to rethink the old models and to come up with a more flexible and customer-focused one.  This paper is divided into six parts. This is followed by the main body of this paper that evaluates Accor’s organisational structure, corporate culture, and strategic goals. The next section investigates recent change initiatives, their motivations, management strategies, and operational impact. </w:t>
      </w:r>
    </w:p>
    <w:p w14:paraId="298EB9F0" w14:textId="2B761E37" w:rsidR="00EA3047" w:rsidRPr="006D3C06" w:rsidRDefault="00EA3047" w:rsidP="00D21FFA">
      <w:pPr>
        <w:spacing w:line="360" w:lineRule="auto"/>
        <w:jc w:val="center"/>
        <w:rPr>
          <w:rFonts w:cstheme="minorHAnsi"/>
          <w:sz w:val="24"/>
          <w:szCs w:val="24"/>
          <w:lang w:val="en-IN" w:bidi="hi-IN"/>
        </w:rPr>
      </w:pPr>
      <w:r w:rsidRPr="006D3C06">
        <w:rPr>
          <w:rFonts w:cstheme="minorHAnsi"/>
          <w:noProof/>
          <w:sz w:val="24"/>
          <w:szCs w:val="24"/>
        </w:rPr>
        <w:drawing>
          <wp:inline distT="0" distB="0" distL="0" distR="0" wp14:anchorId="6D71DB5A" wp14:editId="43F8EE73">
            <wp:extent cx="3009900" cy="1805940"/>
            <wp:effectExtent l="0" t="0" r="0" b="3810"/>
            <wp:docPr id="3844265" name="Picture 1" descr="Accor Joins GSTC | GST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cor Joins GSTC | GST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09900" cy="1805940"/>
                    </a:xfrm>
                    <a:prstGeom prst="rect">
                      <a:avLst/>
                    </a:prstGeom>
                    <a:noFill/>
                    <a:ln>
                      <a:noFill/>
                    </a:ln>
                  </pic:spPr>
                </pic:pic>
              </a:graphicData>
            </a:graphic>
          </wp:inline>
        </w:drawing>
      </w:r>
    </w:p>
    <w:p w14:paraId="26AEE32C" w14:textId="77777777" w:rsidR="00EA3047" w:rsidRPr="006D3C06" w:rsidRDefault="00EA3047" w:rsidP="004F4E47">
      <w:pPr>
        <w:spacing w:line="360" w:lineRule="auto"/>
        <w:jc w:val="both"/>
        <w:rPr>
          <w:rFonts w:cstheme="minorHAnsi"/>
          <w:sz w:val="24"/>
          <w:szCs w:val="24"/>
          <w:lang w:val="en-IN" w:bidi="hi-IN"/>
        </w:rPr>
      </w:pPr>
    </w:p>
    <w:p w14:paraId="7C2DE35E" w14:textId="77777777" w:rsidR="00EA3047" w:rsidRPr="006D3C06" w:rsidRDefault="00EA3047" w:rsidP="004F4E47">
      <w:pPr>
        <w:pStyle w:val="Caption"/>
        <w:spacing w:line="360" w:lineRule="auto"/>
        <w:rPr>
          <w:rFonts w:asciiTheme="minorHAnsi" w:hAnsiTheme="minorHAnsi" w:cstheme="minorHAnsi"/>
          <w:color w:val="auto"/>
          <w:sz w:val="24"/>
          <w:szCs w:val="24"/>
          <w:lang w:val="en-US"/>
        </w:rPr>
      </w:pPr>
      <w:r w:rsidRPr="006D3C06">
        <w:rPr>
          <w:rFonts w:asciiTheme="minorHAnsi" w:hAnsiTheme="minorHAnsi" w:cstheme="minorHAnsi"/>
          <w:color w:val="auto"/>
          <w:sz w:val="24"/>
          <w:szCs w:val="24"/>
        </w:rPr>
        <w:t xml:space="preserve">Figure </w:t>
      </w:r>
      <w:r w:rsidRPr="006D3C06">
        <w:rPr>
          <w:rFonts w:asciiTheme="minorHAnsi" w:hAnsiTheme="minorHAnsi" w:cstheme="minorHAnsi"/>
          <w:color w:val="auto"/>
          <w:sz w:val="24"/>
          <w:szCs w:val="24"/>
        </w:rPr>
        <w:fldChar w:fldCharType="begin"/>
      </w:r>
      <w:r w:rsidRPr="006D3C06">
        <w:rPr>
          <w:rFonts w:asciiTheme="minorHAnsi" w:hAnsiTheme="minorHAnsi" w:cstheme="minorHAnsi"/>
          <w:color w:val="auto"/>
          <w:sz w:val="24"/>
          <w:szCs w:val="24"/>
        </w:rPr>
        <w:instrText xml:space="preserve"> SEQ Figure \* ARABIC </w:instrText>
      </w:r>
      <w:r w:rsidRPr="006D3C06">
        <w:rPr>
          <w:rFonts w:asciiTheme="minorHAnsi" w:hAnsiTheme="minorHAnsi" w:cstheme="minorHAnsi"/>
          <w:color w:val="auto"/>
          <w:sz w:val="24"/>
          <w:szCs w:val="24"/>
        </w:rPr>
        <w:fldChar w:fldCharType="separate"/>
      </w:r>
      <w:r w:rsidRPr="006D3C06">
        <w:rPr>
          <w:rFonts w:asciiTheme="minorHAnsi" w:hAnsiTheme="minorHAnsi" w:cstheme="minorHAnsi"/>
          <w:noProof/>
          <w:color w:val="auto"/>
          <w:sz w:val="24"/>
          <w:szCs w:val="24"/>
        </w:rPr>
        <w:t>1</w:t>
      </w:r>
      <w:r w:rsidRPr="006D3C06">
        <w:rPr>
          <w:rFonts w:asciiTheme="minorHAnsi" w:hAnsiTheme="minorHAnsi" w:cstheme="minorHAnsi"/>
          <w:color w:val="auto"/>
          <w:sz w:val="24"/>
          <w:szCs w:val="24"/>
        </w:rPr>
        <w:fldChar w:fldCharType="end"/>
      </w:r>
      <w:r w:rsidRPr="006D3C06">
        <w:rPr>
          <w:rFonts w:asciiTheme="minorHAnsi" w:hAnsiTheme="minorHAnsi" w:cstheme="minorHAnsi"/>
          <w:color w:val="auto"/>
          <w:sz w:val="24"/>
          <w:szCs w:val="24"/>
          <w:lang w:val="en-US"/>
        </w:rPr>
        <w:t xml:space="preserve">(Logo: Accor Hotel Group) </w:t>
      </w:r>
    </w:p>
    <w:p w14:paraId="077898BE" w14:textId="77777777" w:rsidR="00EA3047" w:rsidRPr="006D3C06" w:rsidRDefault="00EA3047" w:rsidP="004F4E47">
      <w:pPr>
        <w:pStyle w:val="Caption"/>
        <w:spacing w:line="360" w:lineRule="auto"/>
        <w:rPr>
          <w:rFonts w:asciiTheme="minorHAnsi" w:hAnsiTheme="minorHAnsi" w:cstheme="minorHAnsi"/>
          <w:color w:val="auto"/>
          <w:sz w:val="24"/>
          <w:szCs w:val="24"/>
          <w:lang w:val="en-IN" w:bidi="hi-IN"/>
        </w:rPr>
      </w:pPr>
      <w:r w:rsidRPr="006D3C06">
        <w:rPr>
          <w:rFonts w:asciiTheme="minorHAnsi" w:hAnsiTheme="minorHAnsi" w:cstheme="minorHAnsi"/>
          <w:color w:val="auto"/>
          <w:sz w:val="24"/>
          <w:szCs w:val="24"/>
          <w:lang w:val="en-US"/>
        </w:rPr>
        <w:t>(Sources: Global Sustainable Tourism Council(GSTC))</w:t>
      </w:r>
    </w:p>
    <w:p w14:paraId="01269EA4" w14:textId="77777777" w:rsidR="00EA3047" w:rsidRPr="006D3C06" w:rsidRDefault="00EA3047" w:rsidP="004F4E47">
      <w:pPr>
        <w:pStyle w:val="Heading1"/>
        <w:spacing w:line="360" w:lineRule="auto"/>
        <w:jc w:val="both"/>
        <w:rPr>
          <w:rFonts w:asciiTheme="minorHAnsi" w:eastAsia="Times New Roman" w:hAnsiTheme="minorHAnsi" w:cstheme="minorHAnsi"/>
          <w:color w:val="auto"/>
          <w:sz w:val="24"/>
          <w:szCs w:val="24"/>
        </w:rPr>
      </w:pPr>
      <w:bookmarkStart w:id="0" w:name="_Toc195879216"/>
      <w:r w:rsidRPr="006D3C06">
        <w:rPr>
          <w:rFonts w:asciiTheme="minorHAnsi" w:eastAsia="Times New Roman" w:hAnsiTheme="minorHAnsi" w:cstheme="minorHAnsi"/>
          <w:color w:val="auto"/>
          <w:sz w:val="24"/>
          <w:szCs w:val="24"/>
        </w:rPr>
        <w:t>Organisational Structure, Culture, and Goals</w:t>
      </w:r>
      <w:bookmarkEnd w:id="0"/>
      <w:r w:rsidRPr="006D3C06">
        <w:rPr>
          <w:rFonts w:asciiTheme="minorHAnsi" w:eastAsia="Times New Roman" w:hAnsiTheme="minorHAnsi" w:cstheme="minorHAnsi"/>
          <w:color w:val="auto"/>
          <w:sz w:val="24"/>
          <w:szCs w:val="24"/>
        </w:rPr>
        <w:t xml:space="preserve"> </w:t>
      </w:r>
    </w:p>
    <w:p w14:paraId="41A0A569" w14:textId="77777777" w:rsidR="00EA3047" w:rsidRPr="006D3C06" w:rsidRDefault="00EA3047" w:rsidP="004F4E47">
      <w:pPr>
        <w:pStyle w:val="Heading2"/>
        <w:spacing w:line="360" w:lineRule="auto"/>
        <w:jc w:val="both"/>
        <w:rPr>
          <w:rFonts w:asciiTheme="minorHAnsi" w:hAnsiTheme="minorHAnsi" w:cstheme="minorHAnsi"/>
          <w:color w:val="auto"/>
          <w:sz w:val="24"/>
          <w:szCs w:val="24"/>
        </w:rPr>
      </w:pPr>
      <w:bookmarkStart w:id="1" w:name="_Toc195879217"/>
      <w:r w:rsidRPr="006D3C06">
        <w:rPr>
          <w:rFonts w:asciiTheme="minorHAnsi" w:hAnsiTheme="minorHAnsi" w:cstheme="minorHAnsi"/>
          <w:color w:val="auto"/>
          <w:sz w:val="24"/>
          <w:szCs w:val="24"/>
        </w:rPr>
        <w:t>Accor’s Organisational Structure and its Alignment with Corporate Culture and Goals</w:t>
      </w:r>
      <w:bookmarkEnd w:id="1"/>
      <w:r w:rsidRPr="006D3C06">
        <w:rPr>
          <w:rFonts w:asciiTheme="minorHAnsi" w:hAnsiTheme="minorHAnsi" w:cstheme="minorHAnsi"/>
          <w:color w:val="auto"/>
          <w:sz w:val="24"/>
          <w:szCs w:val="24"/>
        </w:rPr>
        <w:t xml:space="preserve"> </w:t>
      </w:r>
    </w:p>
    <w:p w14:paraId="4AF690F3" w14:textId="77777777" w:rsidR="00EA3047" w:rsidRPr="006D3C06" w:rsidRDefault="00EA3047" w:rsidP="004F4E47">
      <w:pPr>
        <w:spacing w:line="360" w:lineRule="auto"/>
        <w:jc w:val="both"/>
        <w:rPr>
          <w:rFonts w:cstheme="minorHAnsi"/>
          <w:b/>
          <w:bCs/>
          <w:sz w:val="24"/>
          <w:szCs w:val="24"/>
        </w:rPr>
      </w:pPr>
      <w:r w:rsidRPr="006D3C06">
        <w:rPr>
          <w:rFonts w:cstheme="minorHAnsi"/>
          <w:b/>
          <w:bCs/>
          <w:sz w:val="24"/>
          <w:szCs w:val="24"/>
        </w:rPr>
        <w:t xml:space="preserve">Overview of Organisational Structure </w:t>
      </w:r>
    </w:p>
    <w:p w14:paraId="70239D7B"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The matrix organisational structure is used by Accor, which integrates geographic regional divisions and brand-based management. The architecture aims at achieving effective local responsiveness in conjunction with global oversight. Under global brand categories of Luxury, Premium, Midscale and Economy, each brand (for example, Raffles, Sofitel, Novotel, Mercure, Ibis) follows a defined identity and strategy (</w:t>
      </w:r>
      <w:r w:rsidRPr="006D3C06">
        <w:rPr>
          <w:rFonts w:cstheme="minorHAnsi"/>
          <w:sz w:val="24"/>
          <w:szCs w:val="24"/>
          <w:lang w:bidi="hi-IN"/>
        </w:rPr>
        <w:t>Birkeland and Bito, 2024)</w:t>
      </w:r>
      <w:r w:rsidRPr="006D3C06">
        <w:rPr>
          <w:rFonts w:cstheme="minorHAnsi"/>
          <w:sz w:val="24"/>
          <w:szCs w:val="24"/>
          <w:lang w:val="en-IN" w:bidi="hi-IN"/>
        </w:rPr>
        <w:t>. At the same time, the group segments global operations into specific geographic regions (e.g., Europe &amp; North Africa, Asia-Pacific, Americas, Middle East &amp; Africa), which are led by each regional leader to adjust the strategies to local situations.</w:t>
      </w:r>
    </w:p>
    <w:p w14:paraId="215D6468"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 xml:space="preserve">Using this dual reporting system enables Accor to widely implement a local approach to market dynamics whilst keeping complete brand integrity and consistency across all its properties. For example, a Novotel in Tokyo can deliver the Japanese version of guest services while delivering what is still the Novotel Brand promise globally. </w:t>
      </w:r>
    </w:p>
    <w:p w14:paraId="16E1B2D7" w14:textId="77777777" w:rsidR="00EA3047" w:rsidRPr="006D3C06" w:rsidRDefault="00EA3047" w:rsidP="004F4E47">
      <w:pPr>
        <w:spacing w:line="360" w:lineRule="auto"/>
        <w:jc w:val="both"/>
        <w:rPr>
          <w:rFonts w:cstheme="minorHAnsi"/>
          <w:b/>
          <w:bCs/>
          <w:sz w:val="24"/>
          <w:szCs w:val="24"/>
        </w:rPr>
      </w:pPr>
      <w:r w:rsidRPr="006D3C06">
        <w:rPr>
          <w:rFonts w:cstheme="minorHAnsi"/>
          <w:b/>
          <w:bCs/>
          <w:sz w:val="24"/>
          <w:szCs w:val="24"/>
        </w:rPr>
        <w:t>Corporate Culture and Core Values</w:t>
      </w:r>
    </w:p>
    <w:p w14:paraId="6B969966"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As part of its values-driven corporate culture, Accor has practised inclusivity, service excellence, innovation and sustainability (</w:t>
      </w:r>
      <w:r w:rsidRPr="006D3C06">
        <w:rPr>
          <w:rFonts w:cstheme="minorHAnsi"/>
          <w:sz w:val="24"/>
          <w:szCs w:val="24"/>
          <w:lang w:bidi="hi-IN"/>
        </w:rPr>
        <w:t>Wilson et al., 2020)</w:t>
      </w:r>
      <w:r w:rsidRPr="006D3C06">
        <w:rPr>
          <w:rFonts w:cstheme="minorHAnsi"/>
          <w:sz w:val="24"/>
          <w:szCs w:val="24"/>
          <w:lang w:val="en-IN" w:bidi="hi-IN"/>
        </w:rPr>
        <w:t xml:space="preserve">. What are these values? More than aspirational, these values are reified in training, internal comms, L&amp;D models, and employee engagement. The ethos of the company’s “Heartiest” concept is our realisation that ‘heart’ and ‘artist’ combined make impressive service – empathic and skilful. Enforcing this philosophy urges them to trust their full emotional intelligence and to treat each guest interaction as a genuine and special one. Accor culture is also based on diversity and inclusion. There are some initiatives, such as the ‘Riise’, which is a global gender diversity network aimed </w:t>
      </w:r>
      <w:r w:rsidRPr="006D3C06">
        <w:rPr>
          <w:rFonts w:cstheme="minorHAnsi"/>
          <w:sz w:val="24"/>
          <w:szCs w:val="24"/>
          <w:lang w:val="en-IN" w:bidi="hi-IN"/>
        </w:rPr>
        <w:lastRenderedPageBreak/>
        <w:t>at increasing the number of women in leading roles, closing the pay gap and guaranteeing balanced coverage throughout the organisation (</w:t>
      </w:r>
      <w:r w:rsidRPr="006D3C06">
        <w:rPr>
          <w:rFonts w:cstheme="minorHAnsi"/>
          <w:sz w:val="24"/>
          <w:szCs w:val="24"/>
        </w:rPr>
        <w:t>Huczynski and Buchanan, 2016)</w:t>
      </w:r>
      <w:r w:rsidRPr="006D3C06">
        <w:rPr>
          <w:rFonts w:cstheme="minorHAnsi"/>
          <w:sz w:val="24"/>
          <w:szCs w:val="24"/>
          <w:lang w:val="en-IN" w:bidi="hi-IN"/>
        </w:rPr>
        <w:t xml:space="preserve">. </w:t>
      </w:r>
    </w:p>
    <w:p w14:paraId="0B87E035" w14:textId="77777777" w:rsidR="00EA3047" w:rsidRPr="006D3C06" w:rsidRDefault="00EA3047" w:rsidP="004F4E47">
      <w:pPr>
        <w:spacing w:line="360" w:lineRule="auto"/>
        <w:jc w:val="both"/>
        <w:rPr>
          <w:rFonts w:cstheme="minorHAnsi"/>
          <w:b/>
          <w:bCs/>
          <w:sz w:val="24"/>
          <w:szCs w:val="24"/>
        </w:rPr>
      </w:pPr>
      <w:r w:rsidRPr="006D3C06">
        <w:rPr>
          <w:rFonts w:cstheme="minorHAnsi"/>
          <w:b/>
          <w:bCs/>
          <w:sz w:val="24"/>
          <w:szCs w:val="24"/>
        </w:rPr>
        <w:t>Strategic Goals and Alignment</w:t>
      </w:r>
    </w:p>
    <w:p w14:paraId="76B1185C"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These strategic goals highlight the growth, sustainability, digital leadership and excellent services of Accor. The following areas are what its long-term transformation strategy captures these goals:</w:t>
      </w:r>
    </w:p>
    <w:p w14:paraId="030069BA" w14:textId="77777777" w:rsidR="00EA3047" w:rsidRPr="006D3C06" w:rsidRDefault="00EA3047" w:rsidP="004F4E47">
      <w:pPr>
        <w:pStyle w:val="ListParagraph"/>
        <w:numPr>
          <w:ilvl w:val="0"/>
          <w:numId w:val="1"/>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Expansion and Market Share: </w:t>
      </w:r>
      <w:r w:rsidRPr="006D3C06">
        <w:rPr>
          <w:rFonts w:cstheme="minorHAnsi"/>
          <w:sz w:val="24"/>
          <w:szCs w:val="24"/>
          <w:lang w:val="en-IN" w:bidi="hi-IN"/>
        </w:rPr>
        <w:t>To consolidate Accor's market position in places where it already has a presence, as well as entering new markets, fast-growing areas such as Southeast Asia, Africa and the Middle East are the focus of Accor’s international strategy (</w:t>
      </w:r>
      <w:r w:rsidRPr="006D3C06">
        <w:rPr>
          <w:rFonts w:cstheme="minorHAnsi"/>
          <w:sz w:val="24"/>
          <w:szCs w:val="24"/>
          <w:lang w:bidi="hi-IN"/>
        </w:rPr>
        <w:t>Cardoso, 2021)</w:t>
      </w:r>
      <w:r w:rsidRPr="006D3C06">
        <w:rPr>
          <w:rFonts w:cstheme="minorHAnsi"/>
          <w:sz w:val="24"/>
          <w:szCs w:val="24"/>
          <w:lang w:val="en-IN" w:bidi="hi-IN"/>
        </w:rPr>
        <w:t xml:space="preserve">. </w:t>
      </w:r>
    </w:p>
    <w:p w14:paraId="41E4B20D" w14:textId="77777777" w:rsidR="00EA3047" w:rsidRPr="006D3C06" w:rsidRDefault="00EA3047" w:rsidP="004F4E47">
      <w:pPr>
        <w:pStyle w:val="ListParagraph"/>
        <w:numPr>
          <w:ilvl w:val="0"/>
          <w:numId w:val="1"/>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Brand Strength and Loyalty: </w:t>
      </w:r>
      <w:r w:rsidRPr="006D3C06">
        <w:rPr>
          <w:rFonts w:cstheme="minorHAnsi"/>
          <w:sz w:val="24"/>
          <w:szCs w:val="24"/>
          <w:lang w:val="en-IN" w:bidi="hi-IN"/>
        </w:rPr>
        <w:t xml:space="preserve">From the inception of ALL – Accor Live Limitless loyalty programme, we have built long-term customer relationships and enhanced the service that we provide. </w:t>
      </w:r>
    </w:p>
    <w:p w14:paraId="7D8F8060" w14:textId="77777777" w:rsidR="00EA3047" w:rsidRPr="006D3C06" w:rsidRDefault="00EA3047" w:rsidP="004F4E47">
      <w:pPr>
        <w:pStyle w:val="ListParagraph"/>
        <w:numPr>
          <w:ilvl w:val="0"/>
          <w:numId w:val="1"/>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Operational Efficiency and Digital Transformation: </w:t>
      </w:r>
      <w:r w:rsidRPr="006D3C06">
        <w:rPr>
          <w:rFonts w:cstheme="minorHAnsi"/>
          <w:sz w:val="24"/>
          <w:szCs w:val="24"/>
          <w:lang w:val="en-IN" w:bidi="hi-IN"/>
        </w:rPr>
        <w:t xml:space="preserve">Accor’s strategy is focused on digital innovation. The investments in mobile apps, AI recommendations, automated check-ins and cloud operations are all made to speed up the guest journey and minimise the operational costs. </w:t>
      </w:r>
    </w:p>
    <w:p w14:paraId="053CEA0D" w14:textId="77777777" w:rsidR="00EA3047" w:rsidRPr="006D3C06" w:rsidRDefault="00EA3047" w:rsidP="004F4E47">
      <w:pPr>
        <w:pStyle w:val="ListParagraph"/>
        <w:numPr>
          <w:ilvl w:val="0"/>
          <w:numId w:val="1"/>
        </w:numPr>
        <w:spacing w:after="200" w:line="360" w:lineRule="auto"/>
        <w:jc w:val="both"/>
        <w:rPr>
          <w:rFonts w:cstheme="minorHAnsi"/>
          <w:sz w:val="24"/>
          <w:szCs w:val="24"/>
          <w:lang w:val="en-IN" w:bidi="hi-IN"/>
        </w:rPr>
      </w:pPr>
      <w:r w:rsidRPr="006D3C06">
        <w:rPr>
          <w:rFonts w:cstheme="minorHAnsi"/>
          <w:b/>
          <w:bCs/>
          <w:sz w:val="24"/>
          <w:szCs w:val="24"/>
          <w:lang w:val="en-IN" w:bidi="hi-IN"/>
        </w:rPr>
        <w:t xml:space="preserve">Sustainability and CSR: </w:t>
      </w:r>
      <w:r w:rsidRPr="006D3C06">
        <w:rPr>
          <w:rFonts w:cstheme="minorHAnsi"/>
          <w:sz w:val="24"/>
          <w:szCs w:val="24"/>
          <w:lang w:val="en-IN" w:bidi="hi-IN"/>
        </w:rPr>
        <w:t>Accor's strategic plan is embedded with environmental stewardship. For this reason, the group aims for net-zero carbon emissions by 2050, clean production and reduction of waste, and the reduction of single-use plastics (</w:t>
      </w:r>
      <w:r w:rsidRPr="006D3C06">
        <w:rPr>
          <w:rFonts w:cstheme="minorHAnsi"/>
          <w:sz w:val="24"/>
          <w:szCs w:val="24"/>
          <w:lang w:bidi="hi-IN"/>
        </w:rPr>
        <w:t>Nga, 2020)</w:t>
      </w:r>
      <w:r w:rsidRPr="006D3C06">
        <w:rPr>
          <w:rFonts w:cstheme="minorHAnsi"/>
          <w:sz w:val="24"/>
          <w:szCs w:val="24"/>
          <w:lang w:val="en-IN" w:bidi="hi-IN"/>
        </w:rPr>
        <w:t xml:space="preserve">. </w:t>
      </w:r>
    </w:p>
    <w:p w14:paraId="78C682EE" w14:textId="77777777" w:rsidR="00EA3047" w:rsidRPr="006D3C06" w:rsidRDefault="00EA3047" w:rsidP="004F4E47">
      <w:pPr>
        <w:pStyle w:val="Heading2"/>
        <w:spacing w:line="360" w:lineRule="auto"/>
        <w:jc w:val="both"/>
        <w:rPr>
          <w:rFonts w:asciiTheme="minorHAnsi" w:hAnsiTheme="minorHAnsi" w:cstheme="minorHAnsi"/>
          <w:color w:val="auto"/>
          <w:sz w:val="24"/>
          <w:szCs w:val="24"/>
        </w:rPr>
      </w:pPr>
      <w:bookmarkStart w:id="2" w:name="_Toc195879218"/>
      <w:r w:rsidRPr="006D3C06">
        <w:rPr>
          <w:rFonts w:asciiTheme="minorHAnsi" w:hAnsiTheme="minorHAnsi" w:cstheme="minorHAnsi"/>
          <w:color w:val="auto"/>
          <w:sz w:val="24"/>
          <w:szCs w:val="24"/>
        </w:rPr>
        <w:t>Strengths and Weaknesses of the Structure</w:t>
      </w:r>
      <w:bookmarkEnd w:id="2"/>
    </w:p>
    <w:p w14:paraId="7299D36D" w14:textId="77777777" w:rsidR="00EA3047" w:rsidRPr="006D3C06" w:rsidRDefault="00EA3047" w:rsidP="004F4E47">
      <w:pPr>
        <w:spacing w:line="360" w:lineRule="auto"/>
        <w:jc w:val="both"/>
        <w:rPr>
          <w:rFonts w:cstheme="minorHAnsi"/>
          <w:b/>
          <w:bCs/>
          <w:sz w:val="24"/>
          <w:szCs w:val="24"/>
          <w:lang w:val="en-IN" w:bidi="hi-IN"/>
        </w:rPr>
      </w:pPr>
      <w:r w:rsidRPr="006D3C06">
        <w:rPr>
          <w:rFonts w:cstheme="minorHAnsi"/>
          <w:b/>
          <w:bCs/>
          <w:sz w:val="24"/>
          <w:szCs w:val="24"/>
          <w:lang w:val="en-IN" w:bidi="hi-IN"/>
        </w:rPr>
        <w:t>Strengths:</w:t>
      </w:r>
    </w:p>
    <w:p w14:paraId="1250FD41" w14:textId="77777777" w:rsidR="00EA3047" w:rsidRPr="006D3C06" w:rsidRDefault="00EA3047" w:rsidP="004F4E47">
      <w:pPr>
        <w:pStyle w:val="ListParagraph"/>
        <w:numPr>
          <w:ilvl w:val="0"/>
          <w:numId w:val="3"/>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Flexibility and Responsiveness: </w:t>
      </w:r>
      <w:r w:rsidRPr="006D3C06">
        <w:rPr>
          <w:rFonts w:cstheme="minorHAnsi"/>
          <w:sz w:val="24"/>
          <w:szCs w:val="24"/>
          <w:lang w:val="en-IN" w:bidi="hi-IN"/>
        </w:rPr>
        <w:t xml:space="preserve">Accor’s matrix structure enables the company to rapidly adapt to market changes, regulatory shifts and guest preferences from a local level. </w:t>
      </w:r>
    </w:p>
    <w:p w14:paraId="48105571" w14:textId="77777777" w:rsidR="00EA3047" w:rsidRPr="006D3C06" w:rsidRDefault="00EA3047" w:rsidP="004F4E47">
      <w:pPr>
        <w:pStyle w:val="ListParagraph"/>
        <w:numPr>
          <w:ilvl w:val="0"/>
          <w:numId w:val="3"/>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Encourages Innovation: </w:t>
      </w:r>
      <w:r w:rsidRPr="006D3C06">
        <w:rPr>
          <w:rFonts w:cstheme="minorHAnsi"/>
          <w:sz w:val="24"/>
          <w:szCs w:val="24"/>
          <w:lang w:val="en-IN" w:bidi="hi-IN"/>
        </w:rPr>
        <w:t xml:space="preserve">By decentralising decisions, property-level managers can innovate. For example, Raffles Singapore can create local eco-initiatives together with </w:t>
      </w:r>
      <w:r w:rsidRPr="006D3C06">
        <w:rPr>
          <w:rFonts w:cstheme="minorHAnsi"/>
          <w:sz w:val="24"/>
          <w:szCs w:val="24"/>
          <w:lang w:val="en-IN" w:bidi="hi-IN"/>
        </w:rPr>
        <w:lastRenderedPageBreak/>
        <w:t>the property or the development of tailored guest experiences that are aligned with local tradition and environmental needs (</w:t>
      </w:r>
      <w:r w:rsidRPr="006D3C06">
        <w:rPr>
          <w:rFonts w:cstheme="minorHAnsi"/>
          <w:sz w:val="24"/>
          <w:szCs w:val="24"/>
          <w:lang w:bidi="hi-IN"/>
        </w:rPr>
        <w:t>van Doorn-Hoekveld et al., 2022)</w:t>
      </w:r>
      <w:r w:rsidRPr="006D3C06">
        <w:rPr>
          <w:rFonts w:cstheme="minorHAnsi"/>
          <w:sz w:val="24"/>
          <w:szCs w:val="24"/>
          <w:lang w:val="en-IN" w:bidi="hi-IN"/>
        </w:rPr>
        <w:t>.</w:t>
      </w:r>
    </w:p>
    <w:p w14:paraId="35AABE0C" w14:textId="77777777" w:rsidR="00EA3047" w:rsidRPr="006D3C06" w:rsidRDefault="00EA3047" w:rsidP="004F4E47">
      <w:pPr>
        <w:pStyle w:val="ListParagraph"/>
        <w:numPr>
          <w:ilvl w:val="0"/>
          <w:numId w:val="3"/>
        </w:numPr>
        <w:spacing w:after="200" w:line="360" w:lineRule="auto"/>
        <w:jc w:val="both"/>
        <w:rPr>
          <w:rFonts w:cstheme="minorHAnsi"/>
          <w:sz w:val="24"/>
          <w:szCs w:val="24"/>
          <w:lang w:val="en-IN" w:bidi="hi-IN"/>
        </w:rPr>
      </w:pPr>
      <w:r w:rsidRPr="006D3C06">
        <w:rPr>
          <w:rFonts w:cstheme="minorHAnsi"/>
          <w:b/>
          <w:bCs/>
          <w:sz w:val="24"/>
          <w:szCs w:val="24"/>
          <w:lang w:val="en-IN" w:bidi="hi-IN"/>
        </w:rPr>
        <w:t xml:space="preserve">Brand Autonomy: </w:t>
      </w:r>
      <w:r w:rsidRPr="006D3C06">
        <w:rPr>
          <w:rFonts w:cstheme="minorHAnsi"/>
          <w:sz w:val="24"/>
          <w:szCs w:val="24"/>
          <w:lang w:val="en-IN" w:bidi="hi-IN"/>
        </w:rPr>
        <w:t>Accor enables each brand to retain its identity while running in unison under a corporate roof for customer recognition and loyalty at both the budget and ultra-luxury ends.</w:t>
      </w:r>
    </w:p>
    <w:p w14:paraId="72499EB5" w14:textId="77777777" w:rsidR="00EA3047" w:rsidRPr="006D3C06" w:rsidRDefault="00EA3047" w:rsidP="004F4E47">
      <w:pPr>
        <w:spacing w:line="360" w:lineRule="auto"/>
        <w:jc w:val="both"/>
        <w:rPr>
          <w:rFonts w:cstheme="minorHAnsi"/>
          <w:b/>
          <w:bCs/>
          <w:sz w:val="24"/>
          <w:szCs w:val="24"/>
          <w:lang w:val="en-IN" w:bidi="hi-IN"/>
        </w:rPr>
      </w:pPr>
      <w:r w:rsidRPr="006D3C06">
        <w:rPr>
          <w:rFonts w:cstheme="minorHAnsi"/>
          <w:b/>
          <w:bCs/>
          <w:sz w:val="24"/>
          <w:szCs w:val="24"/>
          <w:lang w:val="en-IN" w:bidi="hi-IN"/>
        </w:rPr>
        <w:t>Weaknesses:</w:t>
      </w:r>
    </w:p>
    <w:p w14:paraId="0D5A897B" w14:textId="77777777" w:rsidR="00EA3047" w:rsidRPr="006D3C06" w:rsidRDefault="00EA3047" w:rsidP="004F4E47">
      <w:pPr>
        <w:pStyle w:val="ListParagraph"/>
        <w:numPr>
          <w:ilvl w:val="0"/>
          <w:numId w:val="2"/>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Coordination Complexity: </w:t>
      </w:r>
      <w:r w:rsidRPr="006D3C06">
        <w:rPr>
          <w:rFonts w:cstheme="minorHAnsi"/>
          <w:sz w:val="24"/>
          <w:szCs w:val="24"/>
          <w:lang w:val="en-IN" w:bidi="hi-IN"/>
        </w:rPr>
        <w:t>Dual reporting can cause role ambiguity, in which brand and regional leadership give conflicting directives to employees.</w:t>
      </w:r>
    </w:p>
    <w:p w14:paraId="6558F3BF" w14:textId="77777777" w:rsidR="00EA3047" w:rsidRPr="006D3C06" w:rsidRDefault="00EA3047" w:rsidP="004F4E47">
      <w:pPr>
        <w:pStyle w:val="ListParagraph"/>
        <w:numPr>
          <w:ilvl w:val="0"/>
          <w:numId w:val="2"/>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Communication Delays: </w:t>
      </w:r>
      <w:r w:rsidRPr="006D3C06">
        <w:rPr>
          <w:rFonts w:cstheme="minorHAnsi"/>
          <w:sz w:val="24"/>
          <w:szCs w:val="24"/>
          <w:lang w:val="en-IN" w:bidi="hi-IN"/>
        </w:rPr>
        <w:t>It may also lead to slow communication or misalignment between corporate and regional units, resulting in failing strategic initiatives (</w:t>
      </w:r>
      <w:r w:rsidRPr="006D3C06">
        <w:rPr>
          <w:rFonts w:cstheme="minorHAnsi"/>
          <w:sz w:val="24"/>
          <w:szCs w:val="24"/>
          <w:lang w:bidi="hi-IN"/>
        </w:rPr>
        <w:t>Oliveira, Argyres,  and Lumineau, 2022)</w:t>
      </w:r>
      <w:r w:rsidRPr="006D3C06">
        <w:rPr>
          <w:rFonts w:cstheme="minorHAnsi"/>
          <w:sz w:val="24"/>
          <w:szCs w:val="24"/>
          <w:lang w:val="en-IN" w:bidi="hi-IN"/>
        </w:rPr>
        <w:t>.</w:t>
      </w:r>
    </w:p>
    <w:p w14:paraId="208BCBD8" w14:textId="77777777" w:rsidR="00EA3047" w:rsidRPr="006D3C06" w:rsidRDefault="00EA3047" w:rsidP="004F4E47">
      <w:pPr>
        <w:pStyle w:val="ListParagraph"/>
        <w:numPr>
          <w:ilvl w:val="0"/>
          <w:numId w:val="2"/>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Inconsistent Implementation: </w:t>
      </w:r>
      <w:r w:rsidRPr="006D3C06">
        <w:rPr>
          <w:rFonts w:cstheme="minorHAnsi"/>
          <w:sz w:val="24"/>
          <w:szCs w:val="24"/>
          <w:lang w:val="en-IN" w:bidi="hi-IN"/>
        </w:rPr>
        <w:t xml:space="preserve">Corporately, we can roll out policies such as sustainability standards and digital tools (e.g., other than promotion or a marketing campaign), which, with autonomy in place, are subject to variability in the uptake across brands and hotels. </w:t>
      </w:r>
    </w:p>
    <w:p w14:paraId="2E17CEB3" w14:textId="77777777" w:rsidR="00EA3047" w:rsidRPr="006D3C06" w:rsidRDefault="00EA3047" w:rsidP="004F4E47">
      <w:pPr>
        <w:pStyle w:val="ListParagraph"/>
        <w:numPr>
          <w:ilvl w:val="0"/>
          <w:numId w:val="2"/>
        </w:numPr>
        <w:spacing w:after="200" w:line="360" w:lineRule="auto"/>
        <w:jc w:val="both"/>
        <w:rPr>
          <w:rFonts w:cstheme="minorHAnsi"/>
          <w:sz w:val="24"/>
          <w:szCs w:val="24"/>
          <w:lang w:val="en-IN" w:bidi="hi-IN"/>
        </w:rPr>
      </w:pPr>
      <w:r w:rsidRPr="006D3C06">
        <w:rPr>
          <w:rFonts w:cstheme="minorHAnsi"/>
          <w:b/>
          <w:bCs/>
          <w:sz w:val="24"/>
          <w:szCs w:val="24"/>
          <w:lang w:val="en-IN" w:bidi="hi-IN"/>
        </w:rPr>
        <w:t xml:space="preserve">Leadership Development: </w:t>
      </w:r>
      <w:r w:rsidRPr="006D3C06">
        <w:rPr>
          <w:rFonts w:cstheme="minorHAnsi"/>
          <w:sz w:val="24"/>
          <w:szCs w:val="24"/>
          <w:lang w:val="en-IN" w:bidi="hi-IN"/>
        </w:rPr>
        <w:t>This entails high leadership agility in structure, but there might be consistency problems in training and knowledge sharing from different regions, especially in newer or franchised markets.</w:t>
      </w:r>
    </w:p>
    <w:p w14:paraId="09FBA8E1" w14:textId="77777777" w:rsidR="00EA3047" w:rsidRPr="006D3C06" w:rsidRDefault="00EA3047" w:rsidP="004F4E47">
      <w:pPr>
        <w:pStyle w:val="ListParagraph"/>
        <w:numPr>
          <w:ilvl w:val="0"/>
          <w:numId w:val="2"/>
        </w:numPr>
        <w:spacing w:after="200" w:line="360" w:lineRule="auto"/>
        <w:jc w:val="both"/>
        <w:rPr>
          <w:rFonts w:cstheme="minorHAnsi"/>
          <w:sz w:val="24"/>
          <w:szCs w:val="24"/>
          <w:lang w:val="en-IN" w:bidi="hi-IN"/>
        </w:rPr>
      </w:pPr>
      <w:r w:rsidRPr="006D3C06">
        <w:rPr>
          <w:rFonts w:cstheme="minorHAnsi"/>
          <w:b/>
          <w:bCs/>
          <w:sz w:val="24"/>
          <w:szCs w:val="24"/>
          <w:lang w:val="en-IN" w:bidi="hi-IN"/>
        </w:rPr>
        <w:t xml:space="preserve">Leadership Development: </w:t>
      </w:r>
      <w:r w:rsidRPr="006D3C06">
        <w:rPr>
          <w:rFonts w:cstheme="minorHAnsi"/>
          <w:sz w:val="24"/>
          <w:szCs w:val="24"/>
          <w:lang w:val="en-IN" w:bidi="hi-IN"/>
        </w:rPr>
        <w:t>This entails high leadership agility in structure, but there might be consistency problems in training and knowledge sharing from different regions, especially in newer or franchised markets.</w:t>
      </w:r>
    </w:p>
    <w:p w14:paraId="168A70F8" w14:textId="77777777" w:rsidR="00EA3047" w:rsidRPr="006D3C06" w:rsidRDefault="00EA3047" w:rsidP="004F4E47">
      <w:pPr>
        <w:pStyle w:val="Heading2"/>
        <w:spacing w:line="360" w:lineRule="auto"/>
        <w:jc w:val="both"/>
        <w:rPr>
          <w:rFonts w:asciiTheme="minorHAnsi" w:hAnsiTheme="minorHAnsi" w:cstheme="minorHAnsi"/>
          <w:color w:val="auto"/>
          <w:sz w:val="24"/>
          <w:szCs w:val="24"/>
        </w:rPr>
      </w:pPr>
      <w:bookmarkStart w:id="3" w:name="_Toc195879219"/>
      <w:r w:rsidRPr="006D3C06">
        <w:rPr>
          <w:rFonts w:asciiTheme="minorHAnsi" w:hAnsiTheme="minorHAnsi" w:cstheme="minorHAnsi"/>
          <w:color w:val="auto"/>
          <w:sz w:val="24"/>
          <w:szCs w:val="24"/>
        </w:rPr>
        <w:t>Competitive Comparison</w:t>
      </w:r>
      <w:bookmarkEnd w:id="3"/>
    </w:p>
    <w:p w14:paraId="581C9A88"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Some obvious differences and opportunities versus some key in-market global benchmark competitors are highlighted when benchmarking Accor.</w:t>
      </w:r>
    </w:p>
    <w:p w14:paraId="5C613556" w14:textId="77777777" w:rsidR="00EA3047" w:rsidRPr="006D3C06" w:rsidRDefault="00EA3047" w:rsidP="004F4E47">
      <w:pPr>
        <w:pStyle w:val="ListParagraph"/>
        <w:numPr>
          <w:ilvl w:val="0"/>
          <w:numId w:val="4"/>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Marriott International: </w:t>
      </w:r>
      <w:r w:rsidRPr="006D3C06">
        <w:rPr>
          <w:rFonts w:cstheme="minorHAnsi"/>
          <w:sz w:val="24"/>
          <w:szCs w:val="24"/>
          <w:lang w:val="en-IN" w:bidi="hi-IN"/>
        </w:rPr>
        <w:t>Centralised management being a feature of Marriott's operations enables the organisation to offer consistent service delivery and operational efficiency to its portfolio (</w:t>
      </w:r>
      <w:r w:rsidRPr="006D3C06">
        <w:rPr>
          <w:rFonts w:cstheme="minorHAnsi"/>
          <w:sz w:val="24"/>
          <w:szCs w:val="24"/>
          <w:lang w:bidi="hi-IN"/>
        </w:rPr>
        <w:t>Eschenbrenner et al., 2023)</w:t>
      </w:r>
      <w:r w:rsidRPr="006D3C06">
        <w:rPr>
          <w:rFonts w:cstheme="minorHAnsi"/>
          <w:sz w:val="24"/>
          <w:szCs w:val="24"/>
          <w:lang w:val="en-IN" w:bidi="hi-IN"/>
        </w:rPr>
        <w:t xml:space="preserve">. </w:t>
      </w:r>
    </w:p>
    <w:p w14:paraId="18480D98" w14:textId="77777777" w:rsidR="00EA3047" w:rsidRPr="006D3C06" w:rsidRDefault="00EA3047" w:rsidP="004F4E47">
      <w:pPr>
        <w:pStyle w:val="ListParagraph"/>
        <w:numPr>
          <w:ilvl w:val="0"/>
          <w:numId w:val="4"/>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Hilton Hotels &amp; Resorts: </w:t>
      </w:r>
      <w:r w:rsidRPr="006D3C06">
        <w:rPr>
          <w:rFonts w:cstheme="minorHAnsi"/>
          <w:sz w:val="24"/>
          <w:szCs w:val="24"/>
        </w:rPr>
        <w:t xml:space="preserve">The structure combined, Hilton is a hybrid that centralises branding and technology, but decentralises operations and regional operations. Such </w:t>
      </w:r>
      <w:r w:rsidRPr="006D3C06">
        <w:rPr>
          <w:rFonts w:cstheme="minorHAnsi"/>
          <w:sz w:val="24"/>
          <w:szCs w:val="24"/>
        </w:rPr>
        <w:lastRenderedPageBreak/>
        <w:t xml:space="preserve">a balanced model enables Hilton to leverage innovation on a global scale while enabling regional leaders to take ownership of innovation. </w:t>
      </w:r>
    </w:p>
    <w:p w14:paraId="1F3E4288" w14:textId="77777777" w:rsidR="00EA3047" w:rsidRPr="006D3C06" w:rsidRDefault="00EA3047" w:rsidP="004F4E47">
      <w:pPr>
        <w:spacing w:line="360" w:lineRule="auto"/>
        <w:jc w:val="both"/>
        <w:rPr>
          <w:rFonts w:cstheme="minorHAnsi"/>
          <w:b/>
          <w:bCs/>
          <w:sz w:val="24"/>
          <w:szCs w:val="24"/>
          <w:lang w:val="en-IN" w:bidi="hi-IN"/>
        </w:rPr>
      </w:pPr>
      <w:r w:rsidRPr="006D3C06">
        <w:rPr>
          <w:rFonts w:cstheme="minorHAnsi"/>
          <w:b/>
          <w:bCs/>
          <w:sz w:val="24"/>
          <w:szCs w:val="24"/>
          <w:lang w:val="en-IN" w:bidi="hi-IN"/>
        </w:rPr>
        <w:t xml:space="preserve">IHG (InterContinental Hotels Group): </w:t>
      </w:r>
      <w:r w:rsidRPr="006D3C06">
        <w:rPr>
          <w:rFonts w:cstheme="minorHAnsi"/>
          <w:sz w:val="24"/>
          <w:szCs w:val="24"/>
          <w:lang w:val="en-IN" w:bidi="hi-IN"/>
        </w:rPr>
        <w:t>IHG is a franchise-based model that has strong brand guidelines. The strategy of Accor and IHG is very similar in that both are asset-light, where IHG, however, has more investment in centralised digital systems and global marketing, hence its strong online presence and consistency with its guest communications.</w:t>
      </w:r>
    </w:p>
    <w:p w14:paraId="328B2BBB" w14:textId="77777777" w:rsidR="00EA3047" w:rsidRPr="006D3C06" w:rsidRDefault="00EA3047" w:rsidP="004F4E47">
      <w:pPr>
        <w:pStyle w:val="Heading1"/>
        <w:spacing w:line="360" w:lineRule="auto"/>
        <w:jc w:val="both"/>
        <w:rPr>
          <w:rFonts w:asciiTheme="minorHAnsi" w:eastAsia="Times New Roman" w:hAnsiTheme="minorHAnsi" w:cstheme="minorHAnsi"/>
          <w:color w:val="auto"/>
          <w:sz w:val="24"/>
          <w:szCs w:val="24"/>
        </w:rPr>
      </w:pPr>
      <w:bookmarkStart w:id="4" w:name="_Toc195879220"/>
      <w:r w:rsidRPr="006D3C06">
        <w:rPr>
          <w:rFonts w:asciiTheme="minorHAnsi" w:eastAsia="Times New Roman" w:hAnsiTheme="minorHAnsi" w:cstheme="minorHAnsi"/>
          <w:color w:val="auto"/>
          <w:sz w:val="24"/>
          <w:szCs w:val="24"/>
        </w:rPr>
        <w:t>Recent Change Initiatives: Impact and Management</w:t>
      </w:r>
      <w:bookmarkEnd w:id="4"/>
      <w:r w:rsidRPr="006D3C06">
        <w:rPr>
          <w:rFonts w:asciiTheme="minorHAnsi" w:eastAsia="Times New Roman" w:hAnsiTheme="minorHAnsi" w:cstheme="minorHAnsi"/>
          <w:color w:val="auto"/>
          <w:sz w:val="24"/>
          <w:szCs w:val="24"/>
        </w:rPr>
        <w:t xml:space="preserve"> </w:t>
      </w:r>
    </w:p>
    <w:p w14:paraId="201973FC" w14:textId="77777777" w:rsidR="00EA3047" w:rsidRPr="006D3C06" w:rsidRDefault="00EA3047" w:rsidP="004F4E47">
      <w:pPr>
        <w:pStyle w:val="Heading2"/>
        <w:spacing w:line="360" w:lineRule="auto"/>
        <w:jc w:val="both"/>
        <w:rPr>
          <w:rFonts w:asciiTheme="minorHAnsi" w:eastAsia="Times New Roman" w:hAnsiTheme="minorHAnsi" w:cstheme="minorHAnsi"/>
          <w:color w:val="auto"/>
          <w:sz w:val="24"/>
          <w:szCs w:val="24"/>
        </w:rPr>
      </w:pPr>
      <w:bookmarkStart w:id="5" w:name="_Toc195879221"/>
      <w:r w:rsidRPr="006D3C06">
        <w:rPr>
          <w:rFonts w:asciiTheme="minorHAnsi" w:eastAsia="Times New Roman" w:hAnsiTheme="minorHAnsi" w:cstheme="minorHAnsi"/>
          <w:color w:val="auto"/>
          <w:sz w:val="24"/>
          <w:szCs w:val="24"/>
        </w:rPr>
        <w:t>Digital Transformation through ALL Platforms</w:t>
      </w:r>
      <w:bookmarkEnd w:id="5"/>
    </w:p>
    <w:p w14:paraId="6325938D" w14:textId="3367E6BD"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The launch of ALL (Accor Live Limitless) in 2019 was also a strategic pivot towards digital transformation and lifestyle integration (</w:t>
      </w:r>
      <w:r w:rsidRPr="006D3C06">
        <w:rPr>
          <w:rFonts w:cstheme="minorHAnsi"/>
          <w:sz w:val="24"/>
          <w:szCs w:val="24"/>
          <w:lang w:bidi="hi-IN"/>
        </w:rPr>
        <w:t>Bhakta et al., 2022)</w:t>
      </w:r>
      <w:r w:rsidRPr="006D3C06">
        <w:rPr>
          <w:rFonts w:cstheme="minorHAnsi"/>
          <w:sz w:val="24"/>
          <w:szCs w:val="24"/>
          <w:lang w:val="en-IN" w:bidi="hi-IN"/>
        </w:rPr>
        <w:t>. The ALL goes beyond a traditional hotel loyalty programme to serve as a multi-service platform to connect members to hotel bookings and discounts, as well as to exclusive lifestyle partnerships, entertainment, dining and wellness experiences. The rollout of this initiative underlines broader industry shifts towards platform-based ecosystems and that Accor is not just a hospitality provider, but a ‘lifestyle enabler’.</w:t>
      </w:r>
    </w:p>
    <w:p w14:paraId="339A6F06"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All consolidates customer touchpoints into a mobile app &amp; web interface for ease of managing services, access to real-time recommendations and personalised promotions. Using AI and machine learning, the platform works to understand customers' behaviour and predict their behaviour, personalises your marketing messages, and optimises room pricing according to demand patterns (</w:t>
      </w:r>
      <w:r w:rsidRPr="006D3C06">
        <w:rPr>
          <w:rFonts w:cstheme="minorHAnsi"/>
          <w:sz w:val="24"/>
          <w:szCs w:val="24"/>
        </w:rPr>
        <w:t>Armstrong, 2016)</w:t>
      </w:r>
      <w:r w:rsidRPr="006D3C06">
        <w:rPr>
          <w:rFonts w:cstheme="minorHAnsi"/>
          <w:sz w:val="24"/>
          <w:szCs w:val="24"/>
          <w:lang w:val="en-IN" w:bidi="hi-IN"/>
        </w:rPr>
        <w:t xml:space="preserve">. This initiative has had a very strong direct impact. A higher rate of direct bookings, coupled with the fact that we have reduced our dependence on OTAS and cleansed our margins, has stemmed from ALL. </w:t>
      </w:r>
    </w:p>
    <w:p w14:paraId="46A21B1C" w14:textId="77777777" w:rsidR="00EA3047" w:rsidRPr="006D3C06" w:rsidRDefault="00EA3047" w:rsidP="004F4E47">
      <w:pPr>
        <w:pStyle w:val="Heading2"/>
        <w:spacing w:line="360" w:lineRule="auto"/>
        <w:jc w:val="both"/>
        <w:rPr>
          <w:rFonts w:asciiTheme="minorHAnsi" w:hAnsiTheme="minorHAnsi" w:cstheme="minorHAnsi"/>
          <w:color w:val="auto"/>
          <w:sz w:val="24"/>
          <w:szCs w:val="24"/>
        </w:rPr>
      </w:pPr>
      <w:bookmarkStart w:id="6" w:name="_Toc195879222"/>
      <w:r w:rsidRPr="006D3C06">
        <w:rPr>
          <w:rFonts w:asciiTheme="minorHAnsi" w:hAnsiTheme="minorHAnsi" w:cstheme="minorHAnsi"/>
          <w:color w:val="auto"/>
          <w:sz w:val="24"/>
          <w:szCs w:val="24"/>
        </w:rPr>
        <w:t>Sustainability through Planet 21 Strategy</w:t>
      </w:r>
      <w:bookmarkEnd w:id="6"/>
    </w:p>
    <w:p w14:paraId="53F6EA85"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 xml:space="preserve">The core environmental and social responsibility strategy at Accor rests on the 2011-originating Planet 21 initiative, which the group later renamed Planet 21 – Acting Here. The framework consists of four major operational components: employee support, customer involvement, partner innovation and community support. Accor’s strategic implementation across its worldwide properties features various sustainable practices through its Planet 21 strategy. For example: </w:t>
      </w:r>
    </w:p>
    <w:p w14:paraId="428FD8FE" w14:textId="77777777" w:rsidR="00EA3047" w:rsidRPr="006D3C06" w:rsidRDefault="00EA3047" w:rsidP="004F4E47">
      <w:pPr>
        <w:pStyle w:val="ListParagraph"/>
        <w:numPr>
          <w:ilvl w:val="0"/>
          <w:numId w:val="5"/>
        </w:numPr>
        <w:spacing w:after="200" w:line="360" w:lineRule="auto"/>
        <w:jc w:val="both"/>
        <w:rPr>
          <w:rFonts w:cstheme="minorHAnsi"/>
          <w:sz w:val="24"/>
          <w:szCs w:val="24"/>
          <w:lang w:val="en-IN" w:bidi="hi-IN"/>
        </w:rPr>
      </w:pPr>
      <w:r w:rsidRPr="006D3C06">
        <w:rPr>
          <w:rFonts w:cstheme="minorHAnsi"/>
          <w:sz w:val="24"/>
          <w:szCs w:val="24"/>
          <w:lang w:val="en-IN" w:bidi="hi-IN"/>
        </w:rPr>
        <w:lastRenderedPageBreak/>
        <w:t>Accor has incorporated low-energy lighting solutions, which include LEDS coupled with motion sensors, into their properties.</w:t>
      </w:r>
    </w:p>
    <w:p w14:paraId="23845899" w14:textId="77777777" w:rsidR="00EA3047" w:rsidRPr="006D3C06" w:rsidRDefault="00EA3047" w:rsidP="004F4E47">
      <w:pPr>
        <w:pStyle w:val="ListParagraph"/>
        <w:numPr>
          <w:ilvl w:val="0"/>
          <w:numId w:val="5"/>
        </w:numPr>
        <w:spacing w:after="200" w:line="360" w:lineRule="auto"/>
        <w:jc w:val="both"/>
        <w:rPr>
          <w:rFonts w:cstheme="minorHAnsi"/>
          <w:sz w:val="24"/>
          <w:szCs w:val="24"/>
          <w:lang w:val="en-IN" w:bidi="hi-IN"/>
        </w:rPr>
      </w:pPr>
      <w:r w:rsidRPr="006D3C06">
        <w:rPr>
          <w:rFonts w:cstheme="minorHAnsi"/>
          <w:sz w:val="24"/>
          <w:szCs w:val="24"/>
          <w:lang w:val="en-IN" w:bidi="hi-IN"/>
        </w:rPr>
        <w:t>Implementation of water-saving technologies such as low-flow faucets and dual-flush toilets</w:t>
      </w:r>
    </w:p>
    <w:p w14:paraId="2747B4A2" w14:textId="77777777" w:rsidR="00EA3047" w:rsidRPr="006D3C06" w:rsidRDefault="00EA3047" w:rsidP="004F4E47">
      <w:pPr>
        <w:pStyle w:val="ListParagraph"/>
        <w:numPr>
          <w:ilvl w:val="0"/>
          <w:numId w:val="5"/>
        </w:numPr>
        <w:spacing w:after="200" w:line="360" w:lineRule="auto"/>
        <w:jc w:val="both"/>
        <w:rPr>
          <w:rFonts w:cstheme="minorHAnsi"/>
          <w:sz w:val="24"/>
          <w:szCs w:val="24"/>
          <w:lang w:val="en-IN" w:bidi="hi-IN"/>
        </w:rPr>
      </w:pPr>
      <w:r w:rsidRPr="006D3C06">
        <w:rPr>
          <w:rFonts w:cstheme="minorHAnsi"/>
          <w:sz w:val="24"/>
          <w:szCs w:val="24"/>
          <w:lang w:val="en-IN" w:bidi="hi-IN"/>
        </w:rPr>
        <w:t>The company implements numerous waste reduction strategies which focus on food waste management while enhancing recycling programs.</w:t>
      </w:r>
    </w:p>
    <w:p w14:paraId="04E97688" w14:textId="77777777" w:rsidR="00EA3047" w:rsidRPr="006D3C06" w:rsidRDefault="00EA3047" w:rsidP="004F4E47">
      <w:pPr>
        <w:pStyle w:val="ListParagraph"/>
        <w:numPr>
          <w:ilvl w:val="0"/>
          <w:numId w:val="5"/>
        </w:numPr>
        <w:spacing w:after="200" w:line="360" w:lineRule="auto"/>
        <w:jc w:val="both"/>
        <w:rPr>
          <w:rFonts w:cstheme="minorHAnsi"/>
          <w:sz w:val="24"/>
          <w:szCs w:val="24"/>
          <w:lang w:val="en-IN" w:bidi="hi-IN"/>
        </w:rPr>
      </w:pPr>
      <w:r w:rsidRPr="006D3C06">
        <w:rPr>
          <w:rFonts w:cstheme="minorHAnsi"/>
          <w:sz w:val="24"/>
          <w:szCs w:val="24"/>
          <w:lang w:val="en-IN" w:bidi="hi-IN"/>
        </w:rPr>
        <w:t>The hotel obtains its food from sustainable sources, which include ingredients from local regions and organic suppliers, and certifications.</w:t>
      </w:r>
    </w:p>
    <w:p w14:paraId="0B75046B" w14:textId="77777777" w:rsidR="00EA3047" w:rsidRPr="006D3C06" w:rsidRDefault="00EA3047" w:rsidP="004F4E47">
      <w:pPr>
        <w:pStyle w:val="ListParagraph"/>
        <w:numPr>
          <w:ilvl w:val="0"/>
          <w:numId w:val="6"/>
        </w:numPr>
        <w:spacing w:after="200" w:line="360" w:lineRule="auto"/>
        <w:jc w:val="both"/>
        <w:rPr>
          <w:rFonts w:cstheme="minorHAnsi"/>
          <w:sz w:val="24"/>
          <w:szCs w:val="24"/>
          <w:lang w:val="en-IN" w:bidi="hi-IN"/>
        </w:rPr>
      </w:pPr>
      <w:r w:rsidRPr="006D3C06">
        <w:rPr>
          <w:rFonts w:cstheme="minorHAnsi"/>
          <w:sz w:val="24"/>
          <w:szCs w:val="24"/>
          <w:lang w:val="en-IN" w:bidi="hi-IN"/>
        </w:rPr>
        <w:t>The company leads biodiversity protection through NGO partnerships, along with local conservation projects.</w:t>
      </w:r>
    </w:p>
    <w:p w14:paraId="23373B83"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Accor announced in 2022 its commitment to remove all plastics used in guest-serving operations as the company moves with Environmental Social Governance requirements and public opinion. The company dedicates its funds to constructing carbon-neutral buildings and conducts renovations based on LEED and BREEAM green construction standards. Planet 21 positions Accor as an organisation that uses responsible practices and develops sustainable features which contribute to increased tourism demand from environmentally sensitive consumers and investors. Planet 21 produces environmental consciousness among employees through training sessions and widespread campaigns at each property.</w:t>
      </w:r>
    </w:p>
    <w:p w14:paraId="39C43AC7" w14:textId="77777777" w:rsidR="00EA3047" w:rsidRPr="006D3C06" w:rsidRDefault="00EA3047" w:rsidP="004F4E47">
      <w:pPr>
        <w:pStyle w:val="Heading2"/>
        <w:spacing w:line="360" w:lineRule="auto"/>
        <w:jc w:val="both"/>
        <w:rPr>
          <w:rFonts w:asciiTheme="minorHAnsi" w:hAnsiTheme="minorHAnsi" w:cstheme="minorHAnsi"/>
          <w:color w:val="auto"/>
          <w:sz w:val="24"/>
          <w:szCs w:val="24"/>
        </w:rPr>
      </w:pPr>
      <w:bookmarkStart w:id="7" w:name="_Toc195879223"/>
      <w:r w:rsidRPr="006D3C06">
        <w:rPr>
          <w:rFonts w:asciiTheme="minorHAnsi" w:hAnsiTheme="minorHAnsi" w:cstheme="minorHAnsi"/>
          <w:color w:val="auto"/>
          <w:sz w:val="24"/>
          <w:szCs w:val="24"/>
        </w:rPr>
        <w:t>Application of Change Management Theories</w:t>
      </w:r>
      <w:bookmarkEnd w:id="7"/>
    </w:p>
    <w:p w14:paraId="380FB9C9"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Accor follows multiple classical change management approaches in its digital and sustainability initiatives implementation process.</w:t>
      </w:r>
    </w:p>
    <w:p w14:paraId="4E573786" w14:textId="77777777" w:rsidR="00EA3047" w:rsidRPr="006D3C06" w:rsidRDefault="00EA3047" w:rsidP="004F4E47">
      <w:pPr>
        <w:pStyle w:val="ListParagraph"/>
        <w:numPr>
          <w:ilvl w:val="0"/>
          <w:numId w:val="7"/>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Kotter’s Eight-Step Model: </w:t>
      </w:r>
      <w:r w:rsidRPr="006D3C06">
        <w:rPr>
          <w:rFonts w:cstheme="minorHAnsi"/>
          <w:sz w:val="24"/>
          <w:szCs w:val="24"/>
          <w:lang w:val="en-IN" w:bidi="hi-IN"/>
        </w:rPr>
        <w:t>Accor successfully built an urgent need for digital transformation, particularly after COVID-19 forced conventional hospitality businesses to change their operations (</w:t>
      </w:r>
      <w:r w:rsidRPr="006D3C06">
        <w:rPr>
          <w:rFonts w:cstheme="minorHAnsi"/>
          <w:sz w:val="24"/>
          <w:szCs w:val="24"/>
          <w:lang w:bidi="hi-IN"/>
        </w:rPr>
        <w:t>Equenot, 2024)</w:t>
      </w:r>
      <w:r w:rsidRPr="006D3C06">
        <w:rPr>
          <w:rFonts w:cstheme="minorHAnsi"/>
          <w:sz w:val="24"/>
          <w:szCs w:val="24"/>
          <w:lang w:val="en-IN" w:bidi="hi-IN"/>
        </w:rPr>
        <w:t xml:space="preserve">. The company established an influential guiding coalition that combined digital teams and brand leadership for implementation purposes. ALL platform early features initiated by the company produced immediate returns, which drove further system adoption throughout the organisation. </w:t>
      </w:r>
    </w:p>
    <w:p w14:paraId="02F9F1EA" w14:textId="77777777" w:rsidR="00EA3047" w:rsidRPr="006D3C06" w:rsidRDefault="00EA3047" w:rsidP="004F4E47">
      <w:pPr>
        <w:pStyle w:val="ListParagraph"/>
        <w:numPr>
          <w:ilvl w:val="0"/>
          <w:numId w:val="7"/>
        </w:numPr>
        <w:spacing w:after="200" w:line="360" w:lineRule="auto"/>
        <w:jc w:val="both"/>
        <w:rPr>
          <w:rFonts w:cstheme="minorHAnsi"/>
          <w:b/>
          <w:bCs/>
          <w:sz w:val="24"/>
          <w:szCs w:val="24"/>
          <w:lang w:val="en-IN" w:bidi="hi-IN"/>
        </w:rPr>
      </w:pPr>
      <w:r w:rsidRPr="006D3C06">
        <w:rPr>
          <w:rFonts w:cstheme="minorHAnsi"/>
          <w:b/>
          <w:bCs/>
          <w:sz w:val="24"/>
          <w:szCs w:val="24"/>
          <w:lang w:val="en-IN" w:bidi="hi-IN"/>
        </w:rPr>
        <w:t>Lewin’s Change Model:</w:t>
      </w:r>
    </w:p>
    <w:p w14:paraId="49C25681" w14:textId="77777777" w:rsidR="00EA3047" w:rsidRPr="006D3C06" w:rsidRDefault="00EA3047" w:rsidP="004F4E47">
      <w:pPr>
        <w:pStyle w:val="ListParagraph"/>
        <w:numPr>
          <w:ilvl w:val="0"/>
          <w:numId w:val="8"/>
        </w:numPr>
        <w:spacing w:after="200" w:line="360" w:lineRule="auto"/>
        <w:jc w:val="both"/>
        <w:rPr>
          <w:rFonts w:cstheme="minorHAnsi"/>
          <w:sz w:val="24"/>
          <w:szCs w:val="24"/>
          <w:lang w:val="en-IN" w:bidi="hi-IN"/>
        </w:rPr>
      </w:pPr>
      <w:r w:rsidRPr="006D3C06">
        <w:rPr>
          <w:rFonts w:cstheme="minorHAnsi"/>
          <w:b/>
          <w:bCs/>
          <w:sz w:val="24"/>
          <w:szCs w:val="24"/>
          <w:lang w:val="en-IN" w:bidi="hi-IN"/>
        </w:rPr>
        <w:t>Unfreeze:</w:t>
      </w:r>
      <w:r w:rsidRPr="006D3C06">
        <w:rPr>
          <w:rFonts w:cstheme="minorHAnsi"/>
          <w:sz w:val="24"/>
          <w:szCs w:val="24"/>
          <w:lang w:val="en-IN" w:bidi="hi-IN"/>
        </w:rPr>
        <w:t xml:space="preserve"> The company equipped staff members and stakeholders by hosting town halls, sending internal messages, and running platform test cases.</w:t>
      </w:r>
    </w:p>
    <w:p w14:paraId="3F7D6B0E" w14:textId="77777777" w:rsidR="00EA3047" w:rsidRPr="006D3C06" w:rsidRDefault="00EA3047" w:rsidP="004F4E47">
      <w:pPr>
        <w:pStyle w:val="ListParagraph"/>
        <w:numPr>
          <w:ilvl w:val="0"/>
          <w:numId w:val="8"/>
        </w:numPr>
        <w:spacing w:after="200" w:line="360" w:lineRule="auto"/>
        <w:jc w:val="both"/>
        <w:rPr>
          <w:rFonts w:cstheme="minorHAnsi"/>
          <w:b/>
          <w:bCs/>
          <w:sz w:val="24"/>
          <w:szCs w:val="24"/>
          <w:lang w:val="en-IN" w:bidi="hi-IN"/>
        </w:rPr>
      </w:pPr>
      <w:r w:rsidRPr="006D3C06">
        <w:rPr>
          <w:rFonts w:cstheme="minorHAnsi"/>
          <w:b/>
          <w:bCs/>
          <w:sz w:val="24"/>
          <w:szCs w:val="24"/>
          <w:lang w:val="en-IN" w:bidi="hi-IN"/>
        </w:rPr>
        <w:lastRenderedPageBreak/>
        <w:t xml:space="preserve">Change: </w:t>
      </w:r>
      <w:r w:rsidRPr="006D3C06">
        <w:rPr>
          <w:rFonts w:cstheme="minorHAnsi"/>
          <w:sz w:val="24"/>
          <w:szCs w:val="24"/>
          <w:lang w:val="en-IN" w:bidi="hi-IN"/>
        </w:rPr>
        <w:t>A combination of technological and sustainability initiatives received training programming which integrated local adjustments across platform deployment.</w:t>
      </w:r>
    </w:p>
    <w:p w14:paraId="4980E0E9" w14:textId="77777777" w:rsidR="00EA3047" w:rsidRPr="006D3C06" w:rsidRDefault="00EA3047" w:rsidP="004F4E47">
      <w:pPr>
        <w:pStyle w:val="ListParagraph"/>
        <w:numPr>
          <w:ilvl w:val="0"/>
          <w:numId w:val="8"/>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Refreeze: </w:t>
      </w:r>
      <w:r w:rsidRPr="006D3C06">
        <w:rPr>
          <w:rFonts w:cstheme="minorHAnsi"/>
          <w:sz w:val="24"/>
          <w:szCs w:val="24"/>
          <w:lang w:val="en-IN" w:bidi="hi-IN"/>
        </w:rPr>
        <w:t>New systems became operational parts of daily work as staff used KPIS and audits to monitor performance through feedback systems.</w:t>
      </w:r>
    </w:p>
    <w:p w14:paraId="704128E7" w14:textId="77777777" w:rsidR="00EA3047" w:rsidRPr="006D3C06" w:rsidRDefault="00EA3047" w:rsidP="004F4E47">
      <w:pPr>
        <w:pStyle w:val="ListParagraph"/>
        <w:numPr>
          <w:ilvl w:val="0"/>
          <w:numId w:val="9"/>
        </w:numPr>
        <w:spacing w:after="200" w:line="360" w:lineRule="auto"/>
        <w:jc w:val="both"/>
        <w:rPr>
          <w:rFonts w:cstheme="minorHAnsi"/>
          <w:b/>
          <w:bCs/>
          <w:sz w:val="24"/>
          <w:szCs w:val="24"/>
          <w:lang w:val="en-IN" w:bidi="hi-IN"/>
        </w:rPr>
      </w:pPr>
      <w:r w:rsidRPr="006D3C06">
        <w:rPr>
          <w:rFonts w:cstheme="minorHAnsi"/>
          <w:b/>
          <w:bCs/>
          <w:sz w:val="24"/>
          <w:szCs w:val="24"/>
          <w:lang w:val="en-IN" w:bidi="hi-IN"/>
        </w:rPr>
        <w:t xml:space="preserve">McKinsey 7-S Framework: </w:t>
      </w:r>
      <w:r w:rsidRPr="006D3C06">
        <w:rPr>
          <w:rFonts w:cstheme="minorHAnsi"/>
          <w:sz w:val="24"/>
          <w:szCs w:val="24"/>
          <w:lang w:val="en-IN" w:bidi="hi-IN"/>
        </w:rPr>
        <w:t>Accor's strategic modifications demonstrate full alignment among the 7 elements of its framework.</w:t>
      </w:r>
    </w:p>
    <w:p w14:paraId="0ECB1318" w14:textId="77777777" w:rsidR="00EA3047" w:rsidRPr="006D3C06" w:rsidRDefault="00EA3047" w:rsidP="004F4E47">
      <w:pPr>
        <w:pStyle w:val="ListParagraph"/>
        <w:numPr>
          <w:ilvl w:val="0"/>
          <w:numId w:val="10"/>
        </w:numPr>
        <w:spacing w:after="200" w:line="360" w:lineRule="auto"/>
        <w:jc w:val="both"/>
        <w:rPr>
          <w:rFonts w:cstheme="minorHAnsi"/>
          <w:sz w:val="24"/>
          <w:szCs w:val="24"/>
          <w:lang w:val="en-IN" w:bidi="hi-IN"/>
        </w:rPr>
      </w:pPr>
      <w:r w:rsidRPr="006D3C06">
        <w:rPr>
          <w:rFonts w:cstheme="minorHAnsi"/>
          <w:sz w:val="24"/>
          <w:szCs w:val="24"/>
          <w:lang w:val="en-IN" w:bidi="hi-IN"/>
        </w:rPr>
        <w:t>Strategy (digital growth and sustainability),</w:t>
      </w:r>
    </w:p>
    <w:p w14:paraId="1FA825DC" w14:textId="77777777" w:rsidR="00EA3047" w:rsidRPr="006D3C06" w:rsidRDefault="00EA3047" w:rsidP="004F4E47">
      <w:pPr>
        <w:pStyle w:val="ListParagraph"/>
        <w:numPr>
          <w:ilvl w:val="0"/>
          <w:numId w:val="10"/>
        </w:numPr>
        <w:spacing w:after="200" w:line="360" w:lineRule="auto"/>
        <w:jc w:val="both"/>
        <w:rPr>
          <w:rFonts w:cstheme="minorHAnsi"/>
          <w:sz w:val="24"/>
          <w:szCs w:val="24"/>
          <w:lang w:val="en-IN" w:bidi="hi-IN"/>
        </w:rPr>
      </w:pPr>
      <w:r w:rsidRPr="006D3C06">
        <w:rPr>
          <w:rFonts w:cstheme="minorHAnsi"/>
          <w:sz w:val="24"/>
          <w:szCs w:val="24"/>
          <w:lang w:val="en-IN" w:bidi="hi-IN"/>
        </w:rPr>
        <w:t>Structure (regional integration),</w:t>
      </w:r>
    </w:p>
    <w:p w14:paraId="10C12DDC" w14:textId="77777777" w:rsidR="00EA3047" w:rsidRPr="006D3C06" w:rsidRDefault="00EA3047" w:rsidP="004F4E47">
      <w:pPr>
        <w:pStyle w:val="ListParagraph"/>
        <w:numPr>
          <w:ilvl w:val="0"/>
          <w:numId w:val="10"/>
        </w:numPr>
        <w:spacing w:after="200" w:line="360" w:lineRule="auto"/>
        <w:jc w:val="both"/>
        <w:rPr>
          <w:rFonts w:cstheme="minorHAnsi"/>
          <w:sz w:val="24"/>
          <w:szCs w:val="24"/>
          <w:lang w:val="en-IN" w:bidi="hi-IN"/>
        </w:rPr>
      </w:pPr>
      <w:r w:rsidRPr="006D3C06">
        <w:rPr>
          <w:rFonts w:cstheme="minorHAnsi"/>
          <w:sz w:val="24"/>
          <w:szCs w:val="24"/>
          <w:lang w:val="en-IN" w:bidi="hi-IN"/>
        </w:rPr>
        <w:t>Systems (digital booking and eco-monitoring),</w:t>
      </w:r>
    </w:p>
    <w:p w14:paraId="5E090898" w14:textId="77777777" w:rsidR="00EA3047" w:rsidRPr="006D3C06" w:rsidRDefault="00EA3047" w:rsidP="004F4E47">
      <w:pPr>
        <w:pStyle w:val="ListParagraph"/>
        <w:numPr>
          <w:ilvl w:val="0"/>
          <w:numId w:val="10"/>
        </w:numPr>
        <w:spacing w:before="100" w:beforeAutospacing="1" w:after="100" w:afterAutospacing="1" w:line="360" w:lineRule="auto"/>
        <w:jc w:val="both"/>
        <w:rPr>
          <w:rFonts w:eastAsia="Times New Roman" w:cstheme="minorHAnsi"/>
          <w:sz w:val="24"/>
          <w:szCs w:val="24"/>
          <w:lang w:val="en-IN"/>
        </w:rPr>
      </w:pPr>
      <w:r w:rsidRPr="006D3C06">
        <w:rPr>
          <w:rFonts w:eastAsia="Times New Roman" w:cstheme="minorHAnsi"/>
          <w:sz w:val="24"/>
          <w:szCs w:val="24"/>
          <w:lang w:val="en-IN"/>
        </w:rPr>
        <w:t>Shared values (customer focus and responsibility),</w:t>
      </w:r>
    </w:p>
    <w:p w14:paraId="1B9B877D" w14:textId="77777777" w:rsidR="00EA3047" w:rsidRPr="006D3C06" w:rsidRDefault="00EA3047" w:rsidP="004F4E47">
      <w:pPr>
        <w:pStyle w:val="ListParagraph"/>
        <w:numPr>
          <w:ilvl w:val="0"/>
          <w:numId w:val="10"/>
        </w:numPr>
        <w:spacing w:after="200" w:line="360" w:lineRule="auto"/>
        <w:jc w:val="both"/>
        <w:rPr>
          <w:rFonts w:cstheme="minorHAnsi"/>
          <w:sz w:val="24"/>
          <w:szCs w:val="24"/>
          <w:lang w:val="en-IN" w:bidi="hi-IN"/>
        </w:rPr>
      </w:pPr>
      <w:r w:rsidRPr="006D3C06">
        <w:rPr>
          <w:rFonts w:cstheme="minorHAnsi"/>
          <w:sz w:val="24"/>
          <w:szCs w:val="24"/>
          <w:lang w:val="en-IN" w:bidi="hi-IN"/>
        </w:rPr>
        <w:t>Style (transformational leadership),</w:t>
      </w:r>
    </w:p>
    <w:p w14:paraId="38A978D6" w14:textId="77777777" w:rsidR="00EA3047" w:rsidRPr="006D3C06" w:rsidRDefault="00EA3047" w:rsidP="004F4E47">
      <w:pPr>
        <w:pStyle w:val="ListParagraph"/>
        <w:numPr>
          <w:ilvl w:val="0"/>
          <w:numId w:val="10"/>
        </w:numPr>
        <w:spacing w:after="200" w:line="360" w:lineRule="auto"/>
        <w:jc w:val="both"/>
        <w:rPr>
          <w:rFonts w:cstheme="minorHAnsi"/>
          <w:sz w:val="24"/>
          <w:szCs w:val="24"/>
          <w:lang w:val="en-IN" w:bidi="hi-IN"/>
        </w:rPr>
      </w:pPr>
      <w:r w:rsidRPr="006D3C06">
        <w:rPr>
          <w:rFonts w:cstheme="minorHAnsi"/>
          <w:sz w:val="24"/>
          <w:szCs w:val="24"/>
          <w:lang w:val="en-IN" w:bidi="hi-IN"/>
        </w:rPr>
        <w:t>Staff (upskilled workforce),</w:t>
      </w:r>
    </w:p>
    <w:p w14:paraId="588D8CF2" w14:textId="77777777" w:rsidR="00EA3047" w:rsidRPr="006D3C06" w:rsidRDefault="00EA3047" w:rsidP="004F4E47">
      <w:pPr>
        <w:pStyle w:val="ListParagraph"/>
        <w:numPr>
          <w:ilvl w:val="0"/>
          <w:numId w:val="10"/>
        </w:numPr>
        <w:spacing w:after="200" w:line="360" w:lineRule="auto"/>
        <w:jc w:val="both"/>
        <w:rPr>
          <w:rFonts w:cstheme="minorHAnsi"/>
          <w:sz w:val="24"/>
          <w:szCs w:val="24"/>
          <w:lang w:val="en-IN" w:bidi="hi-IN"/>
        </w:rPr>
      </w:pPr>
      <w:r w:rsidRPr="006D3C06">
        <w:rPr>
          <w:rFonts w:cstheme="minorHAnsi"/>
          <w:sz w:val="24"/>
          <w:szCs w:val="24"/>
          <w:lang w:val="en-IN" w:bidi="hi-IN"/>
        </w:rPr>
        <w:t>Skills (digital, sustainability, service excellence).</w:t>
      </w:r>
    </w:p>
    <w:p w14:paraId="49650CA2"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These theoretical frameworks successfully explain why Accor achieved notable business performance through its extensive modifications across various operational areas.</w:t>
      </w:r>
    </w:p>
    <w:p w14:paraId="44A29232" w14:textId="77777777" w:rsidR="00EA3047" w:rsidRPr="006D3C06" w:rsidRDefault="00EA3047" w:rsidP="004F4E47">
      <w:pPr>
        <w:pStyle w:val="Heading2"/>
        <w:spacing w:line="360" w:lineRule="auto"/>
        <w:jc w:val="both"/>
        <w:rPr>
          <w:rFonts w:asciiTheme="minorHAnsi" w:hAnsiTheme="minorHAnsi" w:cstheme="minorHAnsi"/>
          <w:color w:val="auto"/>
          <w:sz w:val="24"/>
          <w:szCs w:val="24"/>
        </w:rPr>
      </w:pPr>
      <w:bookmarkStart w:id="8" w:name="_Toc195879224"/>
      <w:r w:rsidRPr="006D3C06">
        <w:rPr>
          <w:rFonts w:asciiTheme="minorHAnsi" w:hAnsiTheme="minorHAnsi" w:cstheme="minorHAnsi"/>
          <w:color w:val="auto"/>
          <w:sz w:val="24"/>
          <w:szCs w:val="24"/>
        </w:rPr>
        <w:t>Implementation Challenges and Operational Impact</w:t>
      </w:r>
      <w:bookmarkEnd w:id="8"/>
    </w:p>
    <w:p w14:paraId="2BCF5EDC"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Despite strategic clarity and leadership support, the implementation phase of digital and sustainability programmes was not smooth for Accor (Susilo and Santos, 2023). Perhaps the biggest obstacle was franchisee resistance. Since there are many Accor properties, both franchised and many are also properties that are not owned, but rather owned, some owners feared investing in new technologies or retrofitting buildings to follow the compliance with sustainability standards. The first reason for it in the first place is cost constraints and short-term profitability concerns, especially in emerging markets or for smaller hotel operators.</w:t>
      </w:r>
    </w:p>
    <w:p w14:paraId="4D76D777" w14:textId="77777777" w:rsidR="00EA3047" w:rsidRPr="006D3C06" w:rsidRDefault="00EA3047" w:rsidP="004F4E47">
      <w:pPr>
        <w:spacing w:line="360" w:lineRule="auto"/>
        <w:jc w:val="both"/>
        <w:rPr>
          <w:rFonts w:cstheme="minorHAnsi"/>
          <w:sz w:val="24"/>
          <w:szCs w:val="24"/>
          <w:lang w:val="en-IN" w:bidi="hi-IN"/>
        </w:rPr>
      </w:pPr>
      <w:r w:rsidRPr="006D3C06">
        <w:rPr>
          <w:rFonts w:cstheme="minorHAnsi"/>
          <w:sz w:val="24"/>
          <w:szCs w:val="24"/>
          <w:lang w:val="en-IN" w:bidi="hi-IN"/>
        </w:rPr>
        <w:t xml:space="preserve">There was also a technological integration issue over a large diversity of the base property. However, some legacy IT systems were incompatible with newer ALL platform features, so additional time and capital were required to standardise. It still has an inconsistent implementation from a sustainability perspective. Some flagship hotels in Europe and North America are method leaders in green practices, while in other places, declining to enforce green practices due to a lack of resources, other hotels struggle to follow suit. </w:t>
      </w:r>
    </w:p>
    <w:p w14:paraId="6334DD40" w14:textId="77777777" w:rsidR="00EA3047" w:rsidRPr="006D3C06" w:rsidRDefault="00EA3047" w:rsidP="004F4E47">
      <w:pPr>
        <w:pStyle w:val="Heading1"/>
        <w:spacing w:line="360" w:lineRule="auto"/>
        <w:jc w:val="both"/>
        <w:rPr>
          <w:rFonts w:asciiTheme="minorHAnsi" w:eastAsia="Times New Roman" w:hAnsiTheme="minorHAnsi" w:cstheme="minorHAnsi"/>
          <w:color w:val="auto"/>
          <w:sz w:val="24"/>
          <w:szCs w:val="24"/>
        </w:rPr>
      </w:pPr>
      <w:bookmarkStart w:id="9" w:name="_Toc195879225"/>
      <w:r w:rsidRPr="006D3C06">
        <w:rPr>
          <w:rFonts w:asciiTheme="minorHAnsi" w:eastAsia="Times New Roman" w:hAnsiTheme="minorHAnsi" w:cstheme="minorHAnsi"/>
          <w:color w:val="auto"/>
          <w:sz w:val="24"/>
          <w:szCs w:val="24"/>
        </w:rPr>
        <w:lastRenderedPageBreak/>
        <w:t>Strategic Direction and Current Business Performance</w:t>
      </w:r>
      <w:bookmarkEnd w:id="9"/>
      <w:r w:rsidRPr="006D3C06">
        <w:rPr>
          <w:rFonts w:asciiTheme="minorHAnsi" w:eastAsia="Times New Roman" w:hAnsiTheme="minorHAnsi" w:cstheme="minorHAnsi"/>
          <w:color w:val="auto"/>
          <w:sz w:val="24"/>
          <w:szCs w:val="24"/>
        </w:rPr>
        <w:t xml:space="preserve"> </w:t>
      </w:r>
    </w:p>
    <w:p w14:paraId="7E18C51A" w14:textId="77777777" w:rsidR="00EA3047" w:rsidRPr="006D3C06" w:rsidRDefault="00EA3047" w:rsidP="004F4E47">
      <w:pPr>
        <w:pStyle w:val="Heading2"/>
        <w:spacing w:line="360" w:lineRule="auto"/>
        <w:jc w:val="both"/>
        <w:rPr>
          <w:rFonts w:asciiTheme="minorHAnsi" w:eastAsia="Times New Roman" w:hAnsiTheme="minorHAnsi" w:cstheme="minorHAnsi"/>
          <w:color w:val="auto"/>
          <w:sz w:val="24"/>
          <w:szCs w:val="24"/>
        </w:rPr>
      </w:pPr>
      <w:bookmarkStart w:id="10" w:name="_Toc195879226"/>
      <w:r w:rsidRPr="006D3C06">
        <w:rPr>
          <w:rFonts w:asciiTheme="minorHAnsi" w:eastAsia="Times New Roman" w:hAnsiTheme="minorHAnsi" w:cstheme="minorHAnsi"/>
          <w:color w:val="auto"/>
          <w:sz w:val="24"/>
          <w:szCs w:val="24"/>
        </w:rPr>
        <w:t>Strategic Focus and Vision</w:t>
      </w:r>
      <w:bookmarkEnd w:id="10"/>
    </w:p>
    <w:p w14:paraId="174E6305" w14:textId="77777777" w:rsidR="00EA3047" w:rsidRPr="006D3C06" w:rsidRDefault="00EA3047" w:rsidP="004F4E47">
      <w:pPr>
        <w:spacing w:line="360" w:lineRule="auto"/>
        <w:jc w:val="both"/>
        <w:rPr>
          <w:rFonts w:cstheme="minorHAnsi"/>
          <w:sz w:val="24"/>
          <w:szCs w:val="24"/>
        </w:rPr>
      </w:pPr>
      <w:r w:rsidRPr="006D3C06">
        <w:rPr>
          <w:rFonts w:cstheme="minorHAnsi"/>
          <w:sz w:val="24"/>
          <w:szCs w:val="24"/>
        </w:rPr>
        <w:t>Rather, the long-term vision of Accor is to be an ecosystem enabler, a global lifestyle ecosystem, not just a player in accommodation (</w:t>
      </w:r>
      <w:r w:rsidRPr="006D3C06">
        <w:rPr>
          <w:rFonts w:cstheme="minorHAnsi"/>
          <w:sz w:val="24"/>
          <w:szCs w:val="24"/>
          <w:lang w:bidi="hi-IN"/>
        </w:rPr>
        <w:t>Pozzobon, 2021)</w:t>
      </w:r>
      <w:r w:rsidRPr="006D3C06">
        <w:rPr>
          <w:rFonts w:cstheme="minorHAnsi"/>
          <w:sz w:val="24"/>
          <w:szCs w:val="24"/>
        </w:rPr>
        <w:t xml:space="preserve">. In recent years, the company has come to understand how this vision needs to evolve as the company itself has realised it needs to diversify its line of products to cater to the changing guests' needs. Coals has invested in strategic Wojo, a creative and flexible work brand that aims to seize the rising interest in hybrid work environments. This all fits nicely with the general theme of remote work and digital nomadism going forward. On top of Wojo, Accor has jumped into the luxury branded residences and private rental market, for example, through its association with One Fine Stay. This diversification doesn't just provide new revenue streams, it also nurtures the brand affinity with guests over their lifestyles because they can now interact with Accor in new and more ways. </w:t>
      </w:r>
    </w:p>
    <w:p w14:paraId="04F5BC30" w14:textId="77777777" w:rsidR="00EA3047" w:rsidRPr="006D3C06" w:rsidRDefault="00EA3047" w:rsidP="004F4E47">
      <w:pPr>
        <w:pStyle w:val="Heading2"/>
        <w:spacing w:line="360" w:lineRule="auto"/>
        <w:jc w:val="both"/>
        <w:rPr>
          <w:rFonts w:asciiTheme="minorHAnsi" w:hAnsiTheme="minorHAnsi" w:cstheme="minorHAnsi"/>
          <w:color w:val="auto"/>
          <w:sz w:val="24"/>
          <w:szCs w:val="24"/>
        </w:rPr>
      </w:pPr>
      <w:bookmarkStart w:id="11" w:name="_Toc195879227"/>
      <w:r w:rsidRPr="006D3C06">
        <w:rPr>
          <w:rFonts w:asciiTheme="minorHAnsi" w:hAnsiTheme="minorHAnsi" w:cstheme="minorHAnsi"/>
          <w:color w:val="auto"/>
          <w:sz w:val="24"/>
          <w:szCs w:val="24"/>
        </w:rPr>
        <w:t>Key Performance Indicators and Metrics</w:t>
      </w:r>
      <w:bookmarkEnd w:id="11"/>
    </w:p>
    <w:p w14:paraId="624124C6"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Accor uses a mix of financial and non-financial KPIS to measure the effectiveness of its strategic initiatives so that a comprehensive view of performance can be taken.</w:t>
      </w:r>
    </w:p>
    <w:p w14:paraId="782CA7A1"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The three core financial metrics are dominant on the financial side.</w:t>
      </w:r>
    </w:p>
    <w:p w14:paraId="6427B450" w14:textId="77777777" w:rsidR="00EA3047" w:rsidRPr="006D3C06" w:rsidRDefault="00EA3047" w:rsidP="004F4E47">
      <w:pPr>
        <w:pStyle w:val="ListParagraph"/>
        <w:numPr>
          <w:ilvl w:val="0"/>
          <w:numId w:val="11"/>
        </w:numPr>
        <w:spacing w:after="200" w:line="360" w:lineRule="auto"/>
        <w:jc w:val="both"/>
        <w:rPr>
          <w:rFonts w:cstheme="minorHAnsi"/>
          <w:b/>
          <w:bCs/>
          <w:sz w:val="24"/>
          <w:szCs w:val="24"/>
          <w:lang w:bidi="hi-IN"/>
        </w:rPr>
      </w:pPr>
      <w:r w:rsidRPr="006D3C06">
        <w:rPr>
          <w:rFonts w:cstheme="minorHAnsi"/>
          <w:b/>
          <w:bCs/>
          <w:sz w:val="24"/>
          <w:szCs w:val="24"/>
          <w:lang w:bidi="hi-IN"/>
        </w:rPr>
        <w:t>RevPAR (Revenue per Available Room):</w:t>
      </w:r>
      <w:r w:rsidRPr="006D3C06">
        <w:rPr>
          <w:rFonts w:cstheme="minorHAnsi"/>
          <w:sz w:val="24"/>
          <w:szCs w:val="24"/>
          <w:lang w:bidi="hi-IN"/>
        </w:rPr>
        <w:t xml:space="preserve"> A key indicator of overall profitability per room. Location-wise, Accor reported a strong performance in the Middle East, Europe and also in the Asia Pacific in 2023 as compared to 2019 pre-pandemic numbers, with a RevPAR growth of 13 per cent globally compared to 2019 levels.</w:t>
      </w:r>
    </w:p>
    <w:p w14:paraId="623D3F65" w14:textId="77777777" w:rsidR="00EA3047" w:rsidRPr="006D3C06" w:rsidRDefault="00EA3047" w:rsidP="004F4E47">
      <w:pPr>
        <w:pStyle w:val="ListParagraph"/>
        <w:numPr>
          <w:ilvl w:val="0"/>
          <w:numId w:val="11"/>
        </w:numPr>
        <w:spacing w:after="200" w:line="360" w:lineRule="auto"/>
        <w:jc w:val="both"/>
        <w:rPr>
          <w:rFonts w:cstheme="minorHAnsi"/>
          <w:sz w:val="24"/>
          <w:szCs w:val="24"/>
          <w:lang w:bidi="hi-IN"/>
        </w:rPr>
      </w:pPr>
      <w:r w:rsidRPr="006D3C06">
        <w:rPr>
          <w:rFonts w:cstheme="minorHAnsi"/>
          <w:b/>
          <w:bCs/>
          <w:sz w:val="24"/>
          <w:szCs w:val="24"/>
          <w:lang w:bidi="hi-IN"/>
        </w:rPr>
        <w:t>ADR (Average Daily Rate):</w:t>
      </w:r>
      <w:r w:rsidRPr="006D3C06">
        <w:rPr>
          <w:rFonts w:cstheme="minorHAnsi"/>
          <w:sz w:val="24"/>
          <w:szCs w:val="24"/>
          <w:lang w:bidi="hi-IN"/>
        </w:rPr>
        <w:t xml:space="preserve"> It was because it rose in response to inflationary pressures and the shift to premium brands.</w:t>
      </w:r>
    </w:p>
    <w:p w14:paraId="62B5F9D4" w14:textId="77777777" w:rsidR="00EA3047" w:rsidRPr="006D3C06" w:rsidRDefault="00EA3047" w:rsidP="004F4E47">
      <w:pPr>
        <w:pStyle w:val="ListParagraph"/>
        <w:numPr>
          <w:ilvl w:val="0"/>
          <w:numId w:val="11"/>
        </w:numPr>
        <w:spacing w:after="200" w:line="360" w:lineRule="auto"/>
        <w:jc w:val="both"/>
        <w:rPr>
          <w:rFonts w:cstheme="minorHAnsi"/>
          <w:b/>
          <w:bCs/>
          <w:sz w:val="24"/>
          <w:szCs w:val="24"/>
          <w:lang w:bidi="hi-IN"/>
        </w:rPr>
      </w:pPr>
      <w:r w:rsidRPr="006D3C06">
        <w:rPr>
          <w:rFonts w:cstheme="minorHAnsi"/>
          <w:b/>
          <w:bCs/>
          <w:sz w:val="24"/>
          <w:szCs w:val="24"/>
          <w:lang w:bidi="hi-IN"/>
        </w:rPr>
        <w:t xml:space="preserve">Occupancy Rate: </w:t>
      </w:r>
      <w:r w:rsidRPr="006D3C06">
        <w:rPr>
          <w:rFonts w:cstheme="minorHAnsi"/>
          <w:sz w:val="24"/>
          <w:szCs w:val="24"/>
          <w:lang w:bidi="hi-IN"/>
        </w:rPr>
        <w:t>By recovering from the pandemic steadily, it has been helped by the rebound in tourism and business travel.</w:t>
      </w:r>
    </w:p>
    <w:p w14:paraId="7A3E28AE"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As Accor comes in line with ESG principles and customer-centric strategies, the non-financial KPIS are rapidly becoming more important.</w:t>
      </w:r>
    </w:p>
    <w:p w14:paraId="3DABA647" w14:textId="77777777" w:rsidR="00EA3047" w:rsidRPr="006D3C06" w:rsidRDefault="00EA3047" w:rsidP="004F4E47">
      <w:pPr>
        <w:pStyle w:val="ListParagraph"/>
        <w:numPr>
          <w:ilvl w:val="0"/>
          <w:numId w:val="12"/>
        </w:numPr>
        <w:spacing w:after="200" w:line="360" w:lineRule="auto"/>
        <w:jc w:val="both"/>
        <w:rPr>
          <w:rFonts w:cstheme="minorHAnsi"/>
          <w:b/>
          <w:bCs/>
          <w:sz w:val="24"/>
          <w:szCs w:val="24"/>
          <w:lang w:bidi="hi-IN"/>
        </w:rPr>
      </w:pPr>
      <w:r w:rsidRPr="006D3C06">
        <w:rPr>
          <w:rFonts w:cstheme="minorHAnsi"/>
          <w:b/>
          <w:bCs/>
          <w:sz w:val="24"/>
          <w:szCs w:val="24"/>
          <w:lang w:bidi="hi-IN"/>
        </w:rPr>
        <w:t xml:space="preserve">Net Promoter Score (NPS): </w:t>
      </w:r>
      <w:r w:rsidRPr="006D3C06">
        <w:rPr>
          <w:rFonts w:cstheme="minorHAnsi"/>
          <w:sz w:val="24"/>
          <w:szCs w:val="24"/>
          <w:lang w:bidi="hi-IN"/>
        </w:rPr>
        <w:t xml:space="preserve">It shows the satisfaction of the guests and loyalty to the brand. Also, for most groups, lifestyle and premium brands tend to perform better on </w:t>
      </w:r>
      <w:r w:rsidRPr="006D3C06">
        <w:rPr>
          <w:rFonts w:cstheme="minorHAnsi"/>
          <w:sz w:val="24"/>
          <w:szCs w:val="24"/>
          <w:lang w:bidi="hi-IN"/>
        </w:rPr>
        <w:lastRenderedPageBreak/>
        <w:t>NPS based on the fact that they offer more personalised and immersive guest experiences.</w:t>
      </w:r>
    </w:p>
    <w:p w14:paraId="7D16D06D" w14:textId="77777777" w:rsidR="00EA3047" w:rsidRPr="006D3C06" w:rsidRDefault="00EA3047" w:rsidP="004F4E47">
      <w:pPr>
        <w:pStyle w:val="ListParagraph"/>
        <w:numPr>
          <w:ilvl w:val="0"/>
          <w:numId w:val="12"/>
        </w:numPr>
        <w:spacing w:after="200" w:line="360" w:lineRule="auto"/>
        <w:jc w:val="both"/>
        <w:rPr>
          <w:rFonts w:cstheme="minorHAnsi"/>
          <w:b/>
          <w:bCs/>
          <w:sz w:val="24"/>
          <w:szCs w:val="24"/>
          <w:lang w:bidi="hi-IN"/>
        </w:rPr>
      </w:pPr>
      <w:r w:rsidRPr="006D3C06">
        <w:rPr>
          <w:rFonts w:cstheme="minorHAnsi"/>
          <w:b/>
          <w:bCs/>
          <w:sz w:val="24"/>
          <w:szCs w:val="24"/>
          <w:lang w:bidi="hi-IN"/>
        </w:rPr>
        <w:t xml:space="preserve">ALL Loyalty Membership Growth: </w:t>
      </w:r>
      <w:r w:rsidRPr="006D3C06">
        <w:rPr>
          <w:rFonts w:cstheme="minorHAnsi"/>
          <w:sz w:val="24"/>
          <w:szCs w:val="24"/>
          <w:lang w:bidi="hi-IN"/>
        </w:rPr>
        <w:t>That means customer engagement has paid off through the ALL platform, as membership numbers went over 90 million globally.</w:t>
      </w:r>
    </w:p>
    <w:p w14:paraId="6F46CF3E" w14:textId="77777777" w:rsidR="00EA3047" w:rsidRPr="006D3C06" w:rsidRDefault="00EA3047" w:rsidP="004F4E47">
      <w:pPr>
        <w:pStyle w:val="ListParagraph"/>
        <w:numPr>
          <w:ilvl w:val="0"/>
          <w:numId w:val="12"/>
        </w:numPr>
        <w:spacing w:after="200" w:line="360" w:lineRule="auto"/>
        <w:jc w:val="both"/>
        <w:rPr>
          <w:rFonts w:cstheme="minorHAnsi"/>
          <w:b/>
          <w:bCs/>
          <w:sz w:val="24"/>
          <w:szCs w:val="24"/>
          <w:lang w:bidi="hi-IN"/>
        </w:rPr>
      </w:pPr>
      <w:r w:rsidRPr="006D3C06">
        <w:rPr>
          <w:rFonts w:cstheme="minorHAnsi"/>
          <w:b/>
          <w:bCs/>
          <w:sz w:val="24"/>
          <w:szCs w:val="24"/>
          <w:lang w:bidi="hi-IN"/>
        </w:rPr>
        <w:t xml:space="preserve">Sustainability Compliance Rates: </w:t>
      </w:r>
      <w:r w:rsidRPr="006D3C06">
        <w:rPr>
          <w:rFonts w:cstheme="minorHAnsi"/>
          <w:sz w:val="24"/>
          <w:szCs w:val="24"/>
          <w:lang w:bidi="hi-IN"/>
        </w:rPr>
        <w:t>Progress on these waste reduction, energy efficiency and carbon neutrality goals is tracked using internal audits and third-party certification (Bhatia et al., 2024).</w:t>
      </w:r>
    </w:p>
    <w:p w14:paraId="0A89823A"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All told, these indicators tell the story of a company that has not just weathered the pandemic, but one that can be seen as a forward thinker within an industry.</w:t>
      </w:r>
    </w:p>
    <w:p w14:paraId="5855928E" w14:textId="77777777" w:rsidR="00EA3047" w:rsidRPr="006D3C06" w:rsidRDefault="00EA3047" w:rsidP="004F4E47">
      <w:pPr>
        <w:pStyle w:val="Heading2"/>
        <w:spacing w:line="360" w:lineRule="auto"/>
        <w:jc w:val="both"/>
        <w:rPr>
          <w:rFonts w:asciiTheme="minorHAnsi" w:hAnsiTheme="minorHAnsi" w:cstheme="minorHAnsi"/>
          <w:color w:val="auto"/>
          <w:sz w:val="24"/>
          <w:szCs w:val="24"/>
        </w:rPr>
      </w:pPr>
      <w:bookmarkStart w:id="12" w:name="_Toc195879228"/>
      <w:r w:rsidRPr="006D3C06">
        <w:rPr>
          <w:rFonts w:asciiTheme="minorHAnsi" w:hAnsiTheme="minorHAnsi" w:cstheme="minorHAnsi"/>
          <w:color w:val="auto"/>
          <w:sz w:val="24"/>
          <w:szCs w:val="24"/>
        </w:rPr>
        <w:t>Response to External Market Factors</w:t>
      </w:r>
      <w:bookmarkEnd w:id="12"/>
    </w:p>
    <w:p w14:paraId="65E44739"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Strategic resilience is, to a degree, a function of the ability of Accor to react to changes in the external environment. Over the past five years, a suite of disruptions has impacted the hospitality sector, including health crises on a global scale, economic instability, geopolitical tensions and climate. Accor's response has been multi-faceted and proactive (Chen, Xie, and Liu, 2021).</w:t>
      </w:r>
    </w:p>
    <w:p w14:paraId="018D364B"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First of all, the company has been able to shield itself from regional slowdowns through geographic diversification. Unlike Marriott and Hilton, whose portfolios are very concentrated with activities mostly in North America, Accor has a balanced footprint in Europe, the Middle East, Africa, the Asia Pacific and South America, which means that it has the flexibility to concentrate on high-performing regions in the global shocks.</w:t>
      </w:r>
    </w:p>
    <w:p w14:paraId="216893E5"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 xml:space="preserve">Secondly, with the fast change in customer behaviour, Accor has taken faster steps to adopt technologies. Most properties have contactless check-in, mobile key access, AI pricing tools and digital concierge services. </w:t>
      </w:r>
    </w:p>
    <w:p w14:paraId="43FE77F5" w14:textId="77777777" w:rsidR="00EA3047" w:rsidRPr="006D3C06" w:rsidRDefault="00EA3047" w:rsidP="004F4E47">
      <w:pPr>
        <w:spacing w:line="360" w:lineRule="auto"/>
        <w:jc w:val="both"/>
        <w:rPr>
          <w:rFonts w:cstheme="minorHAnsi"/>
          <w:b/>
          <w:bCs/>
          <w:sz w:val="24"/>
          <w:szCs w:val="24"/>
        </w:rPr>
      </w:pPr>
      <w:r w:rsidRPr="006D3C06">
        <w:rPr>
          <w:rFonts w:cstheme="minorHAnsi"/>
          <w:b/>
          <w:bCs/>
          <w:sz w:val="24"/>
          <w:szCs w:val="24"/>
        </w:rPr>
        <w:t>Benchmarking Against Competitors</w:t>
      </w:r>
    </w:p>
    <w:p w14:paraId="144CC717"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 xml:space="preserve">Accor acts in a very competitive environment, to which giants such as Marriott International and Hilton Worldwide belong. Although the brands have stronger brand equity in North America, Accor is advantaged on other fronts, notably in Europe and the Asia Pacific region, where its heritage and localisation strategies are more relevant. Marriott’s more centralised and standardised operation helps ensure consistency in the delivery of service, though it can </w:t>
      </w:r>
      <w:r w:rsidRPr="006D3C06">
        <w:rPr>
          <w:rFonts w:cstheme="minorHAnsi"/>
          <w:sz w:val="24"/>
          <w:szCs w:val="24"/>
          <w:lang w:bidi="hi-IN"/>
        </w:rPr>
        <w:lastRenderedPageBreak/>
        <w:t>constrain local innovation (Wei, 2024). Accor’s model is more decentralised, which makes it more flexible and flexibility of brand to appeal to different market segments. Of course, this flexibility often leads to irregularities in the service quality between regions and brands.</w:t>
      </w:r>
    </w:p>
    <w:p w14:paraId="607E6750" w14:textId="77777777" w:rsidR="00EA3047" w:rsidRPr="006D3C06" w:rsidRDefault="00EA3047" w:rsidP="004F4E47">
      <w:pPr>
        <w:spacing w:line="360" w:lineRule="auto"/>
        <w:jc w:val="both"/>
        <w:rPr>
          <w:rFonts w:cstheme="minorHAnsi"/>
          <w:sz w:val="24"/>
          <w:szCs w:val="24"/>
          <w:lang w:bidi="hi-IN"/>
        </w:rPr>
      </w:pPr>
      <w:r w:rsidRPr="006D3C06">
        <w:rPr>
          <w:rFonts w:cstheme="minorHAnsi"/>
          <w:sz w:val="24"/>
          <w:szCs w:val="24"/>
          <w:lang w:bidi="hi-IN"/>
        </w:rPr>
        <w:t>Whereas, Hilton has moved to a more balanced structure by centralising control while leaving some autonomy with the regions — something that Accor could imitate more closely and greatly reduce the operations without sacrificing the localism. From the digital perspective, the ALL platform that Accor has created is a differentiating aspect as it allows access to the lifestyle perks and partnerships not only during the hotel stay. However, due to its complexity, it is still a work in progress when it comes to integration with all levels of the brand (</w:t>
      </w:r>
      <w:r w:rsidRPr="006D3C06">
        <w:rPr>
          <w:rFonts w:cstheme="minorHAnsi"/>
          <w:sz w:val="24"/>
          <w:szCs w:val="24"/>
        </w:rPr>
        <w:t>Mullins, 2013)</w:t>
      </w:r>
      <w:r w:rsidRPr="006D3C06">
        <w:rPr>
          <w:rFonts w:cstheme="minorHAnsi"/>
          <w:sz w:val="24"/>
          <w:szCs w:val="24"/>
          <w:lang w:bidi="hi-IN"/>
        </w:rPr>
        <w:t xml:space="preserve">. </w:t>
      </w:r>
    </w:p>
    <w:p w14:paraId="3DCFC99C" w14:textId="5B175F57" w:rsidR="00713B58" w:rsidRPr="006D3C06" w:rsidRDefault="00713B58" w:rsidP="006D3C06">
      <w:pPr>
        <w:pStyle w:val="Heading1"/>
        <w:spacing w:line="360" w:lineRule="auto"/>
        <w:rPr>
          <w:rFonts w:asciiTheme="minorHAnsi" w:hAnsiTheme="minorHAnsi" w:cstheme="minorHAnsi"/>
          <w:color w:val="auto"/>
          <w:sz w:val="24"/>
          <w:szCs w:val="24"/>
        </w:rPr>
      </w:pPr>
      <w:bookmarkStart w:id="13" w:name="_Toc195879229"/>
      <w:r w:rsidRPr="006D3C06">
        <w:rPr>
          <w:rFonts w:asciiTheme="minorHAnsi" w:hAnsiTheme="minorHAnsi" w:cstheme="minorHAnsi"/>
          <w:color w:val="auto"/>
          <w:sz w:val="24"/>
          <w:szCs w:val="24"/>
        </w:rPr>
        <w:t>Conclusion</w:t>
      </w:r>
      <w:bookmarkEnd w:id="13"/>
    </w:p>
    <w:p w14:paraId="67764547"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This review of the Accor Hotel Group develops its strategic strengths, operational weaknesses and prospects. The combination of Accor’s complex matrix organisational structure facilitates local responsiveness, as well as global coordination of branded operations. Now that its culture, based on innovation, empowerment and inclusivity, nicely fits strategic goals of digitalisation, sustainability and customer experience, it makes sense to change and join priorities across industries. The digital transformation through the ALL platform and the Planet 21 sustainability strategy demonstrates the willingness of Accor to innovate with the business and social trends of the industry. While they have positively influenced performance and brand perception, effectiveness varies depending on the region, as implementation challenges and stakeholder alignment issues pose problems.</w:t>
      </w:r>
    </w:p>
    <w:p w14:paraId="3F4CAC4E"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 xml:space="preserve">From a strategic point of view, Accor is in the perfect position to be readapted to the constantly changing landscape of the hospitality business. The difference between its competitors is that it identifies itself with its diversified brand portfolio and a focus on lifestyle and experience-based offerings. Post-pandemic, strong recovery metrics are the source of a return to stability and growth and promising signs of long-term profitability. However, it is encountering several imperatives, including inconsistent implementation of chosen strategic actions, internal coordination issues and external pressures from economic instability and other lodging providers. Furthermore, consumer preferences are evolving, and so are the operational costs, making constant innovation and agility an essential requirement. To </w:t>
      </w:r>
      <w:r w:rsidRPr="006D3C06">
        <w:rPr>
          <w:rFonts w:cstheme="minorHAnsi"/>
          <w:sz w:val="24"/>
          <w:szCs w:val="24"/>
          <w:lang w:bidi="hi-IN"/>
        </w:rPr>
        <w:lastRenderedPageBreak/>
        <w:t>continue progress and increase competitiveness, these issues will need to be addressed. Accor’s strategic direction is good and has a strong cultural and organisational base. To realise its potential, the company has to enhance unit change management and cohesion and accelerate the standardisation of best practices in various units. At the same time, investment in talent development and technology integration will be critical to remain resilient and successful in the global competitive market.</w:t>
      </w:r>
    </w:p>
    <w:p w14:paraId="7B7AFB4F" w14:textId="77777777" w:rsidR="00713B58" w:rsidRPr="006D3C06" w:rsidRDefault="00713B58" w:rsidP="004F4E47">
      <w:pPr>
        <w:spacing w:line="360" w:lineRule="auto"/>
        <w:jc w:val="both"/>
        <w:rPr>
          <w:rFonts w:cstheme="minorHAnsi"/>
          <w:sz w:val="24"/>
          <w:szCs w:val="24"/>
          <w:lang w:bidi="hi-IN"/>
        </w:rPr>
      </w:pPr>
    </w:p>
    <w:p w14:paraId="3807F0C6" w14:textId="77777777" w:rsidR="00713B58" w:rsidRPr="006D3C06" w:rsidRDefault="00713B58" w:rsidP="004F4E47">
      <w:pPr>
        <w:spacing w:line="360" w:lineRule="auto"/>
        <w:jc w:val="both"/>
        <w:rPr>
          <w:rFonts w:eastAsiaTheme="majorEastAsia" w:cstheme="minorHAnsi"/>
          <w:b/>
          <w:sz w:val="24"/>
          <w:szCs w:val="24"/>
          <w:lang w:val="en-IN" w:bidi="hi-IN"/>
        </w:rPr>
      </w:pPr>
      <w:r w:rsidRPr="006D3C06">
        <w:rPr>
          <w:rFonts w:cstheme="minorHAnsi"/>
          <w:sz w:val="24"/>
          <w:szCs w:val="24"/>
        </w:rPr>
        <w:br w:type="page"/>
      </w:r>
    </w:p>
    <w:p w14:paraId="23ACA523" w14:textId="77777777" w:rsidR="00713B58" w:rsidRPr="006D3C06" w:rsidRDefault="00713B58" w:rsidP="004F4E47">
      <w:pPr>
        <w:pStyle w:val="Heading1"/>
        <w:spacing w:line="360" w:lineRule="auto"/>
        <w:jc w:val="both"/>
        <w:rPr>
          <w:rFonts w:asciiTheme="minorHAnsi" w:hAnsiTheme="minorHAnsi" w:cstheme="minorHAnsi"/>
          <w:color w:val="auto"/>
          <w:sz w:val="24"/>
          <w:szCs w:val="24"/>
        </w:rPr>
      </w:pPr>
      <w:bookmarkStart w:id="14" w:name="_Toc195879230"/>
      <w:r w:rsidRPr="006D3C06">
        <w:rPr>
          <w:rFonts w:asciiTheme="minorHAnsi" w:hAnsiTheme="minorHAnsi" w:cstheme="minorHAnsi"/>
          <w:color w:val="auto"/>
          <w:sz w:val="24"/>
          <w:szCs w:val="24"/>
        </w:rPr>
        <w:lastRenderedPageBreak/>
        <w:t>Recommendations</w:t>
      </w:r>
      <w:bookmarkEnd w:id="14"/>
      <w:r w:rsidRPr="006D3C06">
        <w:rPr>
          <w:rFonts w:asciiTheme="minorHAnsi" w:hAnsiTheme="minorHAnsi" w:cstheme="minorHAnsi"/>
          <w:color w:val="auto"/>
          <w:sz w:val="24"/>
          <w:szCs w:val="24"/>
        </w:rPr>
        <w:t xml:space="preserve"> </w:t>
      </w:r>
    </w:p>
    <w:p w14:paraId="3147F4F3" w14:textId="77777777" w:rsidR="00713B58" w:rsidRPr="006D3C06" w:rsidRDefault="00713B58" w:rsidP="004F4E47">
      <w:pPr>
        <w:spacing w:line="360" w:lineRule="auto"/>
        <w:jc w:val="both"/>
        <w:rPr>
          <w:rFonts w:cstheme="minorHAnsi"/>
          <w:b/>
          <w:bCs/>
          <w:sz w:val="24"/>
          <w:szCs w:val="24"/>
          <w:lang w:bidi="hi-IN"/>
        </w:rPr>
      </w:pPr>
      <w:r w:rsidRPr="006D3C06">
        <w:rPr>
          <w:rFonts w:cstheme="minorHAnsi"/>
          <w:b/>
          <w:bCs/>
          <w:sz w:val="24"/>
          <w:szCs w:val="24"/>
          <w:lang w:bidi="hi-IN"/>
        </w:rPr>
        <w:t xml:space="preserve">Streamline Organisational Structure: </w:t>
      </w:r>
      <w:r w:rsidRPr="006D3C06">
        <w:rPr>
          <w:rFonts w:cstheme="minorHAnsi"/>
          <w:sz w:val="24"/>
          <w:szCs w:val="24"/>
          <w:lang w:bidi="hi-IN"/>
        </w:rPr>
        <w:t xml:space="preserve">Develop elements of the matrix model to diminish role replication and clarity in decision-making. Think of regional tactics that leverage the widest margin of innovation recognised by brands while staying aligned with global aspirations. </w:t>
      </w:r>
    </w:p>
    <w:p w14:paraId="308CE1D3" w14:textId="77777777" w:rsidR="00713B58" w:rsidRPr="006D3C06" w:rsidRDefault="00713B58" w:rsidP="004F4E47">
      <w:pPr>
        <w:spacing w:line="360" w:lineRule="auto"/>
        <w:jc w:val="both"/>
        <w:rPr>
          <w:rFonts w:cstheme="minorHAnsi"/>
          <w:b/>
          <w:bCs/>
          <w:sz w:val="24"/>
          <w:szCs w:val="24"/>
          <w:lang w:bidi="hi-IN"/>
        </w:rPr>
      </w:pPr>
      <w:r w:rsidRPr="006D3C06">
        <w:rPr>
          <w:rFonts w:cstheme="minorHAnsi"/>
          <w:b/>
          <w:bCs/>
          <w:sz w:val="24"/>
          <w:szCs w:val="24"/>
          <w:lang w:bidi="hi-IN"/>
        </w:rPr>
        <w:t>Enhance Change Management:</w:t>
      </w:r>
      <w:r w:rsidRPr="006D3C06">
        <w:rPr>
          <w:rFonts w:cstheme="minorHAnsi"/>
          <w:sz w:val="24"/>
          <w:szCs w:val="24"/>
          <w:lang w:bidi="hi-IN"/>
        </w:rPr>
        <w:t xml:space="preserve"> Set up structured change management frameworks in all units, from training loops, feedback loops, and performance metrics, to make smoother transitions. Instead, put your focus on the 'refreezing' phase, as this is where you can effectively embed new behaviours. </w:t>
      </w:r>
    </w:p>
    <w:p w14:paraId="27C0236F" w14:textId="77777777" w:rsidR="00713B58" w:rsidRPr="006D3C06" w:rsidRDefault="00713B58" w:rsidP="004F4E47">
      <w:pPr>
        <w:spacing w:line="360" w:lineRule="auto"/>
        <w:jc w:val="both"/>
        <w:rPr>
          <w:rFonts w:cstheme="minorHAnsi"/>
          <w:b/>
          <w:bCs/>
          <w:sz w:val="24"/>
          <w:szCs w:val="24"/>
          <w:lang w:bidi="hi-IN"/>
        </w:rPr>
      </w:pPr>
      <w:r w:rsidRPr="006D3C06">
        <w:rPr>
          <w:rFonts w:cstheme="minorHAnsi"/>
          <w:b/>
          <w:bCs/>
          <w:sz w:val="24"/>
          <w:szCs w:val="24"/>
          <w:lang w:bidi="hi-IN"/>
        </w:rPr>
        <w:t xml:space="preserve">Standardise Implementation of Strategic Initiatives: </w:t>
      </w:r>
      <w:r w:rsidRPr="006D3C06">
        <w:rPr>
          <w:rFonts w:cstheme="minorHAnsi"/>
          <w:sz w:val="24"/>
          <w:szCs w:val="24"/>
          <w:lang w:bidi="hi-IN"/>
        </w:rPr>
        <w:t>Define clear guidelines and benchmarks for treating digital transformation and sustainability practices. Periodically audit things so that usage is consistent across regions as well as on brands. Create a global task force to make the sharing of success stories and the revision of initiatives through local feedback.</w:t>
      </w:r>
    </w:p>
    <w:p w14:paraId="111C339E" w14:textId="77777777" w:rsidR="00713B58" w:rsidRPr="006D3C06" w:rsidRDefault="00713B58" w:rsidP="004F4E47">
      <w:pPr>
        <w:spacing w:line="360" w:lineRule="auto"/>
        <w:jc w:val="both"/>
        <w:rPr>
          <w:rFonts w:cstheme="minorHAnsi"/>
          <w:b/>
          <w:bCs/>
          <w:sz w:val="24"/>
          <w:szCs w:val="24"/>
          <w:lang w:bidi="hi-IN"/>
        </w:rPr>
      </w:pPr>
      <w:r w:rsidRPr="006D3C06">
        <w:rPr>
          <w:rFonts w:cstheme="minorHAnsi"/>
          <w:b/>
          <w:bCs/>
          <w:sz w:val="24"/>
          <w:szCs w:val="24"/>
          <w:lang w:bidi="hi-IN"/>
        </w:rPr>
        <w:t xml:space="preserve">Strengthen Communication and Leadership Alignment: </w:t>
      </w:r>
      <w:r w:rsidRPr="006D3C06">
        <w:rPr>
          <w:rFonts w:cstheme="minorHAnsi"/>
          <w:sz w:val="24"/>
          <w:szCs w:val="24"/>
          <w:lang w:bidi="hi-IN"/>
        </w:rPr>
        <w:t>Develop cross-regional leadership development programs for better cohesion and vision alignment. Cross-functional meetings and updates can keep you in cultural consistency and help you to understand goals. Transparency and alignment at the leadership forum, mentorship scheme and at all levels of organisation can be encouraged through leadership forums, mentorship schemes and digital communication platforms.</w:t>
      </w:r>
    </w:p>
    <w:p w14:paraId="01F4E328" w14:textId="77777777" w:rsidR="00713B58" w:rsidRPr="006D3C06" w:rsidRDefault="00713B58" w:rsidP="004F4E47">
      <w:pPr>
        <w:spacing w:line="360" w:lineRule="auto"/>
        <w:jc w:val="both"/>
        <w:rPr>
          <w:rFonts w:cstheme="minorHAnsi"/>
          <w:b/>
          <w:bCs/>
          <w:sz w:val="24"/>
          <w:szCs w:val="24"/>
          <w:lang w:bidi="hi-IN"/>
        </w:rPr>
      </w:pPr>
      <w:r w:rsidRPr="006D3C06">
        <w:rPr>
          <w:rFonts w:cstheme="minorHAnsi"/>
          <w:b/>
          <w:bCs/>
          <w:sz w:val="24"/>
          <w:szCs w:val="24"/>
          <w:lang w:bidi="hi-IN"/>
        </w:rPr>
        <w:t xml:space="preserve">Leverage Data Analytics: </w:t>
      </w:r>
      <w:r w:rsidRPr="006D3C06">
        <w:rPr>
          <w:rFonts w:cstheme="minorHAnsi"/>
          <w:sz w:val="24"/>
          <w:szCs w:val="24"/>
          <w:lang w:bidi="hi-IN"/>
        </w:rPr>
        <w:t>Apply data analytics to expand to personalise customer experiences, predict demand and optimise resource allocation. It will improve strategic decision-making and operational efficiency. Invest in predictive analytics, real-time dashboards and AI-driven customer profiling tools to create a better service which could be predicted and anticipated.</w:t>
      </w:r>
    </w:p>
    <w:p w14:paraId="2ABB3632" w14:textId="77777777" w:rsidR="00713B58" w:rsidRPr="006D3C06" w:rsidRDefault="00713B58" w:rsidP="004F4E47">
      <w:pPr>
        <w:spacing w:line="360" w:lineRule="auto"/>
        <w:jc w:val="both"/>
        <w:rPr>
          <w:rFonts w:cstheme="minorHAnsi"/>
          <w:sz w:val="24"/>
          <w:szCs w:val="24"/>
          <w:lang w:bidi="hi-IN"/>
        </w:rPr>
      </w:pPr>
      <w:r w:rsidRPr="006D3C06">
        <w:rPr>
          <w:rFonts w:cstheme="minorHAnsi"/>
          <w:b/>
          <w:bCs/>
          <w:sz w:val="24"/>
          <w:szCs w:val="24"/>
          <w:lang w:bidi="hi-IN"/>
        </w:rPr>
        <w:t xml:space="preserve">Monitor Competitor Strategies: </w:t>
      </w:r>
      <w:r w:rsidRPr="006D3C06">
        <w:rPr>
          <w:rFonts w:cstheme="minorHAnsi"/>
          <w:sz w:val="24"/>
          <w:szCs w:val="24"/>
          <w:lang w:bidi="hi-IN"/>
        </w:rPr>
        <w:t>Keep continuously measuring against key competitors in terms of gaps and opportunities. With these insights, adjust pricing, branding and customer engagement strategies. Strategic foresight and proactive planning can be supported through participation in industry forums, reading annual reports, and conducting competitive SWOTs analyses.</w:t>
      </w:r>
    </w:p>
    <w:p w14:paraId="6B1AECA3" w14:textId="77777777" w:rsidR="00713B58" w:rsidRPr="006D3C06" w:rsidRDefault="00713B58" w:rsidP="004F4E47">
      <w:pPr>
        <w:spacing w:line="360" w:lineRule="auto"/>
        <w:jc w:val="both"/>
        <w:rPr>
          <w:rFonts w:cstheme="minorHAnsi"/>
          <w:sz w:val="24"/>
          <w:szCs w:val="24"/>
          <w:lang w:bidi="hi-IN"/>
        </w:rPr>
      </w:pPr>
    </w:p>
    <w:p w14:paraId="24766AEC" w14:textId="77777777" w:rsidR="00713B58" w:rsidRPr="006D3C06" w:rsidRDefault="00713B58" w:rsidP="004F4E47">
      <w:pPr>
        <w:pStyle w:val="Heading1"/>
        <w:spacing w:line="360" w:lineRule="auto"/>
        <w:jc w:val="both"/>
        <w:rPr>
          <w:rFonts w:asciiTheme="minorHAnsi" w:hAnsiTheme="minorHAnsi" w:cstheme="minorHAnsi"/>
          <w:color w:val="auto"/>
          <w:sz w:val="24"/>
          <w:szCs w:val="24"/>
        </w:rPr>
      </w:pPr>
      <w:bookmarkStart w:id="15" w:name="_Toc195879231"/>
      <w:r w:rsidRPr="006D3C06">
        <w:rPr>
          <w:rFonts w:asciiTheme="minorHAnsi" w:hAnsiTheme="minorHAnsi" w:cstheme="minorHAnsi"/>
          <w:color w:val="auto"/>
          <w:sz w:val="24"/>
          <w:szCs w:val="24"/>
        </w:rPr>
        <w:lastRenderedPageBreak/>
        <w:t>References</w:t>
      </w:r>
      <w:bookmarkEnd w:id="15"/>
    </w:p>
    <w:p w14:paraId="6DF09D66" w14:textId="77777777" w:rsidR="00713B58" w:rsidRPr="006D3C06" w:rsidRDefault="00713B58" w:rsidP="004F4E47">
      <w:pPr>
        <w:spacing w:line="360" w:lineRule="auto"/>
        <w:jc w:val="both"/>
        <w:rPr>
          <w:rFonts w:cstheme="minorHAnsi"/>
          <w:sz w:val="24"/>
          <w:szCs w:val="24"/>
        </w:rPr>
      </w:pPr>
      <w:r w:rsidRPr="006D3C06">
        <w:rPr>
          <w:rFonts w:cstheme="minorHAnsi"/>
          <w:sz w:val="24"/>
          <w:szCs w:val="24"/>
        </w:rPr>
        <w:t xml:space="preserve">Armstrong, M. (2016) Armstrong’s Handbook of Management and Leadership (3rd Ed), London: Kogan Page. </w:t>
      </w:r>
    </w:p>
    <w:p w14:paraId="42D33EB3"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Bhakta, J., Charreton, A., de Rooij, A.A., Lee, M., Sangster, H. and Wang, Y., (2022). Future of Virtual Reality and Metaverse in Hospitality and Tourism Management: An Industry Perspective. </w:t>
      </w:r>
      <w:r w:rsidRPr="006D3C06">
        <w:rPr>
          <w:rFonts w:cstheme="minorHAnsi"/>
          <w:i/>
          <w:iCs/>
          <w:sz w:val="24"/>
          <w:szCs w:val="24"/>
          <w:lang w:bidi="hi-IN"/>
        </w:rPr>
        <w:t>Journal of Smart Tourism</w:t>
      </w:r>
      <w:r w:rsidRPr="006D3C06">
        <w:rPr>
          <w:rFonts w:cstheme="minorHAnsi"/>
          <w:sz w:val="24"/>
          <w:szCs w:val="24"/>
          <w:lang w:bidi="hi-IN"/>
        </w:rPr>
        <w:t>, </w:t>
      </w:r>
      <w:r w:rsidRPr="006D3C06">
        <w:rPr>
          <w:rFonts w:cstheme="minorHAnsi"/>
          <w:i/>
          <w:iCs/>
          <w:sz w:val="24"/>
          <w:szCs w:val="24"/>
          <w:lang w:bidi="hi-IN"/>
        </w:rPr>
        <w:t>2</w:t>
      </w:r>
      <w:r w:rsidRPr="006D3C06">
        <w:rPr>
          <w:rFonts w:cstheme="minorHAnsi"/>
          <w:sz w:val="24"/>
          <w:szCs w:val="24"/>
          <w:lang w:bidi="hi-IN"/>
        </w:rPr>
        <w:t>(4), pp.25-34.</w:t>
      </w:r>
    </w:p>
    <w:p w14:paraId="3D19418E"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Bhatia, M., Meenakshi, N., Kaur, P. and Dhir, A., (2024). Digital technologies and carbon neutrality goals: An in-depth investigation of drivers, barriers, and risk mitigation strategies. </w:t>
      </w:r>
      <w:r w:rsidRPr="006D3C06">
        <w:rPr>
          <w:rFonts w:cstheme="minorHAnsi"/>
          <w:i/>
          <w:iCs/>
          <w:sz w:val="24"/>
          <w:szCs w:val="24"/>
          <w:lang w:bidi="hi-IN"/>
        </w:rPr>
        <w:t>Journal of Cleaner Production</w:t>
      </w:r>
      <w:r w:rsidRPr="006D3C06">
        <w:rPr>
          <w:rFonts w:cstheme="minorHAnsi"/>
          <w:sz w:val="24"/>
          <w:szCs w:val="24"/>
          <w:lang w:bidi="hi-IN"/>
        </w:rPr>
        <w:t>, </w:t>
      </w:r>
      <w:r w:rsidRPr="006D3C06">
        <w:rPr>
          <w:rFonts w:cstheme="minorHAnsi"/>
          <w:i/>
          <w:iCs/>
          <w:sz w:val="24"/>
          <w:szCs w:val="24"/>
          <w:lang w:bidi="hi-IN"/>
        </w:rPr>
        <w:t>451</w:t>
      </w:r>
      <w:r w:rsidRPr="006D3C06">
        <w:rPr>
          <w:rFonts w:cstheme="minorHAnsi"/>
          <w:sz w:val="24"/>
          <w:szCs w:val="24"/>
          <w:lang w:bidi="hi-IN"/>
        </w:rPr>
        <w:t>, p.141946.</w:t>
      </w:r>
    </w:p>
    <w:p w14:paraId="0CF4A6FA"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Birkeland, K.M. and Bito, K.K., (2024). </w:t>
      </w:r>
      <w:r w:rsidRPr="006D3C06">
        <w:rPr>
          <w:rFonts w:cstheme="minorHAnsi"/>
          <w:i/>
          <w:iCs/>
          <w:sz w:val="24"/>
          <w:szCs w:val="24"/>
          <w:lang w:bidi="hi-IN"/>
        </w:rPr>
        <w:t>Leveraging Insights from Established Wine Regions to Empower Emerging Wine Regions</w:t>
      </w:r>
      <w:r w:rsidRPr="006D3C06">
        <w:rPr>
          <w:rFonts w:cstheme="minorHAnsi"/>
          <w:sz w:val="24"/>
          <w:szCs w:val="24"/>
          <w:lang w:bidi="hi-IN"/>
        </w:rPr>
        <w:t> (Master's thesis, University of Agder).</w:t>
      </w:r>
    </w:p>
    <w:p w14:paraId="20B675C0"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Cardoso, L.E., (2021). </w:t>
      </w:r>
      <w:r w:rsidRPr="006D3C06">
        <w:rPr>
          <w:rFonts w:cstheme="minorHAnsi"/>
          <w:i/>
          <w:iCs/>
          <w:sz w:val="24"/>
          <w:szCs w:val="24"/>
          <w:lang w:bidi="hi-IN"/>
        </w:rPr>
        <w:t>Hilton Worldwide Holdings in Travel &amp; Tourism Industry</w:t>
      </w:r>
      <w:r w:rsidRPr="006D3C06">
        <w:rPr>
          <w:rFonts w:cstheme="minorHAnsi"/>
          <w:sz w:val="24"/>
          <w:szCs w:val="24"/>
          <w:lang w:bidi="hi-IN"/>
        </w:rPr>
        <w:t> (Master's thesis, Universidade NOVA de Lisboa (Portugal)).</w:t>
      </w:r>
    </w:p>
    <w:p w14:paraId="12D011AE"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Chen, R., Xie, Y. and Liu, Y., (2021). Defining, conceptualising, and measuring organisational resilience: A multiple case study. </w:t>
      </w:r>
      <w:r w:rsidRPr="006D3C06">
        <w:rPr>
          <w:rFonts w:cstheme="minorHAnsi"/>
          <w:i/>
          <w:iCs/>
          <w:sz w:val="24"/>
          <w:szCs w:val="24"/>
          <w:lang w:bidi="hi-IN"/>
        </w:rPr>
        <w:t>Sustainability</w:t>
      </w:r>
      <w:r w:rsidRPr="006D3C06">
        <w:rPr>
          <w:rFonts w:cstheme="minorHAnsi"/>
          <w:sz w:val="24"/>
          <w:szCs w:val="24"/>
          <w:lang w:bidi="hi-IN"/>
        </w:rPr>
        <w:t>, </w:t>
      </w:r>
      <w:r w:rsidRPr="006D3C06">
        <w:rPr>
          <w:rFonts w:cstheme="minorHAnsi"/>
          <w:i/>
          <w:iCs/>
          <w:sz w:val="24"/>
          <w:szCs w:val="24"/>
          <w:lang w:bidi="hi-IN"/>
        </w:rPr>
        <w:t>13</w:t>
      </w:r>
      <w:r w:rsidRPr="006D3C06">
        <w:rPr>
          <w:rFonts w:cstheme="minorHAnsi"/>
          <w:sz w:val="24"/>
          <w:szCs w:val="24"/>
          <w:lang w:bidi="hi-IN"/>
        </w:rPr>
        <w:t>(5), p.2517.</w:t>
      </w:r>
    </w:p>
    <w:p w14:paraId="53430C43"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Demirçiftçi, T. and Kızılırmak, I., (2016). Strategic branding in hospitality: Case of Accor Hotels. </w:t>
      </w:r>
      <w:r w:rsidRPr="006D3C06">
        <w:rPr>
          <w:rFonts w:cstheme="minorHAnsi"/>
          <w:i/>
          <w:iCs/>
          <w:sz w:val="24"/>
          <w:szCs w:val="24"/>
          <w:lang w:bidi="hi-IN"/>
        </w:rPr>
        <w:t>Journal of Tourismology</w:t>
      </w:r>
      <w:r w:rsidRPr="006D3C06">
        <w:rPr>
          <w:rFonts w:cstheme="minorHAnsi"/>
          <w:sz w:val="24"/>
          <w:szCs w:val="24"/>
          <w:lang w:bidi="hi-IN"/>
        </w:rPr>
        <w:t>, </w:t>
      </w:r>
      <w:r w:rsidRPr="006D3C06">
        <w:rPr>
          <w:rFonts w:cstheme="minorHAnsi"/>
          <w:i/>
          <w:iCs/>
          <w:sz w:val="24"/>
          <w:szCs w:val="24"/>
          <w:lang w:bidi="hi-IN"/>
        </w:rPr>
        <w:t>2</w:t>
      </w:r>
      <w:r w:rsidRPr="006D3C06">
        <w:rPr>
          <w:rFonts w:cstheme="minorHAnsi"/>
          <w:sz w:val="24"/>
          <w:szCs w:val="24"/>
          <w:lang w:bidi="hi-IN"/>
        </w:rPr>
        <w:t>(1), pp.50-64.</w:t>
      </w:r>
    </w:p>
    <w:p w14:paraId="4E3A4E31"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Equenot, T., (2024). </w:t>
      </w:r>
      <w:r w:rsidRPr="006D3C06">
        <w:rPr>
          <w:rFonts w:cstheme="minorHAnsi"/>
          <w:i/>
          <w:iCs/>
          <w:sz w:val="24"/>
          <w:szCs w:val="24"/>
          <w:lang w:bidi="hi-IN"/>
        </w:rPr>
        <w:t>Change management dynamics applied to the fast-evolving luxury hotel industry</w:t>
      </w:r>
      <w:r w:rsidRPr="006D3C06">
        <w:rPr>
          <w:rFonts w:cstheme="minorHAnsi"/>
          <w:sz w:val="24"/>
          <w:szCs w:val="24"/>
          <w:lang w:bidi="hi-IN"/>
        </w:rPr>
        <w:t> (Master's thesis, T. Equenot).</w:t>
      </w:r>
    </w:p>
    <w:p w14:paraId="2DD67E33"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Eschenbrenner, B., Zlatic, A., Bechtel, M., Collins, B., Straley, C. and Gubbels, G., (2023). Marriott International: A Managerial Strategic Audit.</w:t>
      </w:r>
    </w:p>
    <w:p w14:paraId="18B4408C" w14:textId="77777777" w:rsidR="00713B58" w:rsidRPr="006D3C06" w:rsidRDefault="00713B58" w:rsidP="004F4E47">
      <w:pPr>
        <w:spacing w:line="360" w:lineRule="auto"/>
        <w:jc w:val="both"/>
        <w:rPr>
          <w:rFonts w:cstheme="minorHAnsi"/>
          <w:sz w:val="24"/>
          <w:szCs w:val="24"/>
        </w:rPr>
      </w:pPr>
      <w:r w:rsidRPr="006D3C06">
        <w:rPr>
          <w:rFonts w:cstheme="minorHAnsi"/>
          <w:sz w:val="24"/>
          <w:szCs w:val="24"/>
        </w:rPr>
        <w:t xml:space="preserve">Huczynski, A. &amp; Buchanan, D. (2016) Organisational Behaviour (9th Ed), Harlow: Pearson </w:t>
      </w:r>
    </w:p>
    <w:p w14:paraId="561D026A" w14:textId="77777777" w:rsidR="00713B58" w:rsidRPr="006D3C06" w:rsidRDefault="00713B58" w:rsidP="004F4E47">
      <w:pPr>
        <w:spacing w:line="360" w:lineRule="auto"/>
        <w:jc w:val="both"/>
        <w:rPr>
          <w:rFonts w:cstheme="minorHAnsi"/>
          <w:sz w:val="24"/>
          <w:szCs w:val="24"/>
        </w:rPr>
      </w:pPr>
      <w:r w:rsidRPr="006D3C06">
        <w:rPr>
          <w:rFonts w:cstheme="minorHAnsi"/>
          <w:sz w:val="24"/>
          <w:szCs w:val="24"/>
        </w:rPr>
        <w:t xml:space="preserve">Mullins, L. (2013) Organisational Behaviour in the workplace </w:t>
      </w:r>
      <w:r w:rsidRPr="006D3C06">
        <w:rPr>
          <w:rFonts w:cstheme="minorHAnsi"/>
          <w:i/>
          <w:iCs/>
          <w:sz w:val="24"/>
          <w:szCs w:val="24"/>
        </w:rPr>
        <w:t>(</w:t>
      </w:r>
      <w:r w:rsidRPr="006D3C06">
        <w:rPr>
          <w:rFonts w:cstheme="minorHAnsi"/>
          <w:sz w:val="24"/>
          <w:szCs w:val="24"/>
        </w:rPr>
        <w:t xml:space="preserve">12th edition) Harlow: Pearson Education Ltd. </w:t>
      </w:r>
    </w:p>
    <w:p w14:paraId="31F28842"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Nga, M.N.T.T., (2020). Corporate social responsibility: a case study of Accor Hotels Group. </w:t>
      </w:r>
      <w:r w:rsidRPr="006D3C06">
        <w:rPr>
          <w:rFonts w:cstheme="minorHAnsi"/>
          <w:i/>
          <w:iCs/>
          <w:sz w:val="24"/>
          <w:szCs w:val="24"/>
          <w:lang w:bidi="hi-IN"/>
        </w:rPr>
        <w:t>Sustainable tourism: Shaping a Better Future</w:t>
      </w:r>
      <w:r w:rsidRPr="006D3C06">
        <w:rPr>
          <w:rFonts w:cstheme="minorHAnsi"/>
          <w:sz w:val="24"/>
          <w:szCs w:val="24"/>
          <w:lang w:bidi="hi-IN"/>
        </w:rPr>
        <w:t>, </w:t>
      </w:r>
      <w:r w:rsidRPr="006D3C06">
        <w:rPr>
          <w:rFonts w:cstheme="minorHAnsi"/>
          <w:i/>
          <w:iCs/>
          <w:sz w:val="24"/>
          <w:szCs w:val="24"/>
          <w:lang w:bidi="hi-IN"/>
        </w:rPr>
        <w:t>203</w:t>
      </w:r>
      <w:r w:rsidRPr="006D3C06">
        <w:rPr>
          <w:rFonts w:cstheme="minorHAnsi"/>
          <w:sz w:val="24"/>
          <w:szCs w:val="24"/>
          <w:lang w:bidi="hi-IN"/>
        </w:rPr>
        <w:t>.</w:t>
      </w:r>
    </w:p>
    <w:p w14:paraId="40620718"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lastRenderedPageBreak/>
        <w:t>Oliveira, N., Argyres, N. and Lumineau, F., (2022). The role of communication style in adaptation to interorganizational project disruptions. </w:t>
      </w:r>
      <w:r w:rsidRPr="006D3C06">
        <w:rPr>
          <w:rFonts w:cstheme="minorHAnsi"/>
          <w:i/>
          <w:iCs/>
          <w:sz w:val="24"/>
          <w:szCs w:val="24"/>
          <w:lang w:bidi="hi-IN"/>
        </w:rPr>
        <w:t>Journal of Operations Management</w:t>
      </w:r>
      <w:r w:rsidRPr="006D3C06">
        <w:rPr>
          <w:rFonts w:cstheme="minorHAnsi"/>
          <w:sz w:val="24"/>
          <w:szCs w:val="24"/>
          <w:lang w:bidi="hi-IN"/>
        </w:rPr>
        <w:t>, </w:t>
      </w:r>
      <w:r w:rsidRPr="006D3C06">
        <w:rPr>
          <w:rFonts w:cstheme="minorHAnsi"/>
          <w:i/>
          <w:iCs/>
          <w:sz w:val="24"/>
          <w:szCs w:val="24"/>
          <w:lang w:bidi="hi-IN"/>
        </w:rPr>
        <w:t>68</w:t>
      </w:r>
      <w:r w:rsidRPr="006D3C06">
        <w:rPr>
          <w:rFonts w:cstheme="minorHAnsi"/>
          <w:sz w:val="24"/>
          <w:szCs w:val="24"/>
          <w:lang w:bidi="hi-IN"/>
        </w:rPr>
        <w:t>(4), pp.353-384.</w:t>
      </w:r>
    </w:p>
    <w:p w14:paraId="0BB709A0"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Pozzobon, F., (2021). Consistency of non-financial risk disclosure in Integrated Reports and Business Models (Hospitality industry).</w:t>
      </w:r>
    </w:p>
    <w:p w14:paraId="07F8F3CE" w14:textId="77777777" w:rsidR="00713B58" w:rsidRPr="006D3C06" w:rsidRDefault="00713B58" w:rsidP="004F4E47">
      <w:pPr>
        <w:spacing w:line="360" w:lineRule="auto"/>
        <w:jc w:val="both"/>
        <w:rPr>
          <w:rFonts w:cstheme="minorHAnsi"/>
          <w:sz w:val="24"/>
          <w:szCs w:val="24"/>
          <w:lang w:val="en-IN" w:bidi="hi-IN"/>
        </w:rPr>
      </w:pPr>
      <w:r w:rsidRPr="006D3C06">
        <w:rPr>
          <w:rFonts w:cstheme="minorHAnsi"/>
          <w:sz w:val="24"/>
          <w:szCs w:val="24"/>
          <w:lang w:val="en-IN" w:bidi="hi-IN"/>
        </w:rPr>
        <w:t>Susilo, D. and Santos, M.C.K., (2023). Digital marketing communication sustainable hotel practice of the accor group in social media. International Journal of Economic, Business, Accounting, Agriculture Management and Sharia Administration (IJEBAS), 3(3), pp.730-743.</w:t>
      </w:r>
    </w:p>
    <w:p w14:paraId="74ADCD8C"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van Doorn-Hoekveld, W.J., Gilissen, H.K., Groothuijse, F.A.G. and Van Rijswick, H.F.M.W., (2022). Adaptation to climate change in Dutch flood risk management: Innovative approaches and related challenges. </w:t>
      </w:r>
      <w:r w:rsidRPr="006D3C06">
        <w:rPr>
          <w:rFonts w:cstheme="minorHAnsi"/>
          <w:i/>
          <w:iCs/>
          <w:sz w:val="24"/>
          <w:szCs w:val="24"/>
          <w:lang w:bidi="hi-IN"/>
        </w:rPr>
        <w:t>Utrecht Law Review</w:t>
      </w:r>
      <w:r w:rsidRPr="006D3C06">
        <w:rPr>
          <w:rFonts w:cstheme="minorHAnsi"/>
          <w:sz w:val="24"/>
          <w:szCs w:val="24"/>
          <w:lang w:bidi="hi-IN"/>
        </w:rPr>
        <w:t>, </w:t>
      </w:r>
      <w:r w:rsidRPr="006D3C06">
        <w:rPr>
          <w:rFonts w:cstheme="minorHAnsi"/>
          <w:i/>
          <w:iCs/>
          <w:sz w:val="24"/>
          <w:szCs w:val="24"/>
          <w:lang w:bidi="hi-IN"/>
        </w:rPr>
        <w:t>18</w:t>
      </w:r>
      <w:r w:rsidRPr="006D3C06">
        <w:rPr>
          <w:rFonts w:cstheme="minorHAnsi"/>
          <w:sz w:val="24"/>
          <w:szCs w:val="24"/>
          <w:lang w:bidi="hi-IN"/>
        </w:rPr>
        <w:t>(2).</w:t>
      </w:r>
    </w:p>
    <w:p w14:paraId="4AB3580A" w14:textId="77777777" w:rsidR="00713B58" w:rsidRPr="006D3C06" w:rsidRDefault="00713B58" w:rsidP="004F4E47">
      <w:pPr>
        <w:spacing w:line="360" w:lineRule="auto"/>
        <w:jc w:val="both"/>
        <w:rPr>
          <w:rFonts w:cstheme="minorHAnsi"/>
          <w:sz w:val="24"/>
          <w:szCs w:val="24"/>
          <w:lang w:val="en-IN" w:bidi="hi-IN"/>
        </w:rPr>
      </w:pPr>
      <w:r w:rsidRPr="006D3C06">
        <w:rPr>
          <w:rFonts w:cstheme="minorHAnsi"/>
          <w:sz w:val="24"/>
          <w:szCs w:val="24"/>
          <w:lang w:bidi="hi-IN"/>
        </w:rPr>
        <w:t>Wei, W., (2024). </w:t>
      </w:r>
      <w:r w:rsidRPr="006D3C06">
        <w:rPr>
          <w:rFonts w:cstheme="minorHAnsi"/>
          <w:i/>
          <w:iCs/>
          <w:sz w:val="24"/>
          <w:szCs w:val="24"/>
          <w:lang w:bidi="hi-IN"/>
        </w:rPr>
        <w:t>Operational Variations in State-Owned Hotels and International Branded Hotels in China: A Qualitative Analysis of Practitioners' Perspectives and Implications</w:t>
      </w:r>
      <w:r w:rsidRPr="006D3C06">
        <w:rPr>
          <w:rFonts w:cstheme="minorHAnsi"/>
          <w:sz w:val="24"/>
          <w:szCs w:val="24"/>
          <w:lang w:bidi="hi-IN"/>
        </w:rPr>
        <w:t> (Doctoral dissertation, University of South Florida).</w:t>
      </w:r>
    </w:p>
    <w:p w14:paraId="5D454BED" w14:textId="77777777" w:rsidR="00713B58" w:rsidRPr="006D3C06" w:rsidRDefault="00713B58" w:rsidP="004F4E47">
      <w:pPr>
        <w:spacing w:line="360" w:lineRule="auto"/>
        <w:jc w:val="both"/>
        <w:rPr>
          <w:rFonts w:cstheme="minorHAnsi"/>
          <w:sz w:val="24"/>
          <w:szCs w:val="24"/>
          <w:lang w:bidi="hi-IN"/>
        </w:rPr>
      </w:pPr>
      <w:r w:rsidRPr="006D3C06">
        <w:rPr>
          <w:rFonts w:cstheme="minorHAnsi"/>
          <w:sz w:val="24"/>
          <w:szCs w:val="24"/>
          <w:lang w:bidi="hi-IN"/>
        </w:rPr>
        <w:t>Wilson, A., Zeithaml, V., Bitner, M.J. and Gremler, D., (2020). </w:t>
      </w:r>
      <w:r w:rsidRPr="006D3C06">
        <w:rPr>
          <w:rFonts w:cstheme="minorHAnsi"/>
          <w:i/>
          <w:iCs/>
          <w:sz w:val="24"/>
          <w:szCs w:val="24"/>
          <w:lang w:bidi="hi-IN"/>
        </w:rPr>
        <w:t>EBK: Services marketing: Integrating customer service across the firm 4e</w:t>
      </w:r>
      <w:r w:rsidRPr="006D3C06">
        <w:rPr>
          <w:rFonts w:cstheme="minorHAnsi"/>
          <w:sz w:val="24"/>
          <w:szCs w:val="24"/>
          <w:lang w:bidi="hi-IN"/>
        </w:rPr>
        <w:t>. McGraw Hill.</w:t>
      </w:r>
    </w:p>
    <w:p w14:paraId="467EAA33" w14:textId="77777777" w:rsidR="00713B58" w:rsidRPr="006D3C06" w:rsidRDefault="00713B58" w:rsidP="004F4E47">
      <w:pPr>
        <w:spacing w:line="360" w:lineRule="auto"/>
        <w:jc w:val="both"/>
        <w:rPr>
          <w:rFonts w:cstheme="minorHAnsi"/>
          <w:sz w:val="24"/>
          <w:szCs w:val="24"/>
        </w:rPr>
      </w:pPr>
    </w:p>
    <w:p w14:paraId="04543DF9" w14:textId="77777777" w:rsidR="00713B58" w:rsidRPr="006D3C06" w:rsidRDefault="00713B58" w:rsidP="004F4E47">
      <w:pPr>
        <w:spacing w:line="360" w:lineRule="auto"/>
        <w:jc w:val="both"/>
        <w:rPr>
          <w:rFonts w:cstheme="minorHAnsi"/>
          <w:sz w:val="24"/>
          <w:szCs w:val="24"/>
        </w:rPr>
      </w:pPr>
    </w:p>
    <w:p w14:paraId="2EDA2BF6" w14:textId="77777777" w:rsidR="00713B58" w:rsidRPr="006D3C06" w:rsidRDefault="00713B58" w:rsidP="004F4E47">
      <w:pPr>
        <w:spacing w:line="360" w:lineRule="auto"/>
        <w:jc w:val="both"/>
        <w:rPr>
          <w:rFonts w:cstheme="minorHAnsi"/>
          <w:sz w:val="24"/>
          <w:szCs w:val="24"/>
          <w:lang w:bidi="hi-IN"/>
        </w:rPr>
      </w:pPr>
    </w:p>
    <w:p w14:paraId="352A962B" w14:textId="77777777" w:rsidR="00713B58" w:rsidRPr="006D3C06" w:rsidRDefault="00713B58" w:rsidP="004F4E47">
      <w:pPr>
        <w:spacing w:line="360" w:lineRule="auto"/>
        <w:jc w:val="both"/>
        <w:rPr>
          <w:rFonts w:cstheme="minorHAnsi"/>
          <w:sz w:val="24"/>
          <w:szCs w:val="24"/>
          <w:lang w:bidi="hi-IN"/>
        </w:rPr>
      </w:pPr>
    </w:p>
    <w:p w14:paraId="6C4E5D79" w14:textId="77777777" w:rsidR="00EA3047" w:rsidRPr="006D3C06" w:rsidRDefault="00EA3047" w:rsidP="004F4E47">
      <w:pPr>
        <w:spacing w:line="360" w:lineRule="auto"/>
        <w:jc w:val="both"/>
        <w:rPr>
          <w:rFonts w:cstheme="minorHAnsi"/>
          <w:sz w:val="24"/>
          <w:szCs w:val="24"/>
          <w:lang w:bidi="hi-IN"/>
        </w:rPr>
      </w:pPr>
    </w:p>
    <w:p w14:paraId="1564DD00" w14:textId="77777777" w:rsidR="00EA3047" w:rsidRPr="006D3C06" w:rsidRDefault="00EA3047" w:rsidP="004F4E47">
      <w:pPr>
        <w:spacing w:line="360" w:lineRule="auto"/>
        <w:jc w:val="both"/>
        <w:rPr>
          <w:rFonts w:cstheme="minorHAnsi"/>
          <w:sz w:val="24"/>
          <w:szCs w:val="24"/>
          <w:lang w:bidi="hi-IN"/>
        </w:rPr>
      </w:pPr>
    </w:p>
    <w:p w14:paraId="597F0E28" w14:textId="77777777" w:rsidR="00EA3047" w:rsidRPr="006D3C06" w:rsidRDefault="00EA3047" w:rsidP="004F4E47">
      <w:pPr>
        <w:spacing w:line="360" w:lineRule="auto"/>
        <w:jc w:val="both"/>
        <w:rPr>
          <w:rFonts w:cstheme="minorHAnsi"/>
          <w:sz w:val="24"/>
          <w:szCs w:val="24"/>
          <w:lang w:bidi="hi-IN"/>
        </w:rPr>
      </w:pPr>
    </w:p>
    <w:p w14:paraId="2BDE8FDD" w14:textId="18F2E4BD" w:rsidR="00EA3047" w:rsidRPr="006D3C06" w:rsidRDefault="00EA3047" w:rsidP="004F4E47">
      <w:pPr>
        <w:spacing w:line="360" w:lineRule="auto"/>
        <w:jc w:val="both"/>
        <w:rPr>
          <w:rFonts w:cstheme="minorHAnsi"/>
          <w:sz w:val="24"/>
          <w:szCs w:val="24"/>
          <w:lang w:val="en-IN" w:bidi="hi-IN"/>
        </w:rPr>
      </w:pPr>
    </w:p>
    <w:p w14:paraId="63800427" w14:textId="77777777" w:rsidR="00EA3047" w:rsidRPr="006D3C06" w:rsidRDefault="00EA3047" w:rsidP="004F4E47">
      <w:pPr>
        <w:spacing w:line="360" w:lineRule="auto"/>
        <w:jc w:val="both"/>
        <w:rPr>
          <w:rFonts w:cstheme="minorHAnsi"/>
          <w:sz w:val="24"/>
          <w:szCs w:val="24"/>
          <w:lang w:val="en-IN" w:bidi="hi-IN"/>
        </w:rPr>
      </w:pPr>
    </w:p>
    <w:p w14:paraId="6000698B" w14:textId="77777777" w:rsidR="00EA3047" w:rsidRPr="006D3C06" w:rsidRDefault="00EA3047" w:rsidP="004F4E47">
      <w:pPr>
        <w:spacing w:line="360" w:lineRule="auto"/>
        <w:jc w:val="both"/>
        <w:rPr>
          <w:rFonts w:cstheme="minorHAnsi"/>
          <w:b/>
          <w:bCs/>
          <w:sz w:val="24"/>
          <w:szCs w:val="24"/>
        </w:rPr>
      </w:pPr>
    </w:p>
    <w:sectPr w:rsidR="00EA3047" w:rsidRPr="006D3C0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F3414" w14:textId="77777777" w:rsidR="003C108A" w:rsidRDefault="003C108A" w:rsidP="00D21FFA">
      <w:pPr>
        <w:spacing w:after="0" w:line="240" w:lineRule="auto"/>
      </w:pPr>
      <w:r>
        <w:separator/>
      </w:r>
    </w:p>
  </w:endnote>
  <w:endnote w:type="continuationSeparator" w:id="0">
    <w:p w14:paraId="10807A12" w14:textId="77777777" w:rsidR="003C108A" w:rsidRDefault="003C108A" w:rsidP="00D21F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ECB05" w14:textId="77777777" w:rsidR="00D21FFA" w:rsidRDefault="00D21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3616962"/>
      <w:docPartObj>
        <w:docPartGallery w:val="Page Numbers (Bottom of Page)"/>
        <w:docPartUnique/>
      </w:docPartObj>
    </w:sdtPr>
    <w:sdtEndPr>
      <w:rPr>
        <w:noProof/>
      </w:rPr>
    </w:sdtEndPr>
    <w:sdtContent>
      <w:p w14:paraId="3F483101" w14:textId="1BE94187" w:rsidR="00D21FFA" w:rsidRDefault="00D21F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AA65D7" w14:textId="77777777" w:rsidR="00D21FFA" w:rsidRDefault="00D21F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324D0" w14:textId="77777777" w:rsidR="00D21FFA" w:rsidRDefault="00D21F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AEAA0" w14:textId="77777777" w:rsidR="003C108A" w:rsidRDefault="003C108A" w:rsidP="00D21FFA">
      <w:pPr>
        <w:spacing w:after="0" w:line="240" w:lineRule="auto"/>
      </w:pPr>
      <w:r>
        <w:separator/>
      </w:r>
    </w:p>
  </w:footnote>
  <w:footnote w:type="continuationSeparator" w:id="0">
    <w:p w14:paraId="5FD0AA81" w14:textId="77777777" w:rsidR="003C108A" w:rsidRDefault="003C108A" w:rsidP="00D21F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3B6522" w14:textId="77777777" w:rsidR="00D21FFA" w:rsidRDefault="00D21F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5C901F" w14:textId="77777777" w:rsidR="00D21FFA" w:rsidRDefault="00D21F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CC784" w14:textId="77777777" w:rsidR="00D21FFA" w:rsidRDefault="00D21F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F7A19"/>
    <w:multiLevelType w:val="hybridMultilevel"/>
    <w:tmpl w:val="EBEC8210"/>
    <w:lvl w:ilvl="0" w:tplc="F2F8C8DC">
      <w:start w:val="1"/>
      <w:numFmt w:val="bullet"/>
      <w:lvlText w:val=""/>
      <w:lvlJc w:val="left"/>
      <w:pPr>
        <w:ind w:left="360" w:hanging="360"/>
      </w:pPr>
      <w:rPr>
        <w:rFonts w:ascii="Symbol" w:hAnsi="Symbol" w:hint="default"/>
      </w:rPr>
    </w:lvl>
    <w:lvl w:ilvl="1" w:tplc="45E24E3A" w:tentative="1">
      <w:start w:val="1"/>
      <w:numFmt w:val="bullet"/>
      <w:lvlText w:val="o"/>
      <w:lvlJc w:val="left"/>
      <w:pPr>
        <w:ind w:left="1080" w:hanging="360"/>
      </w:pPr>
      <w:rPr>
        <w:rFonts w:ascii="Courier New" w:hAnsi="Courier New" w:cs="Courier New" w:hint="default"/>
      </w:rPr>
    </w:lvl>
    <w:lvl w:ilvl="2" w:tplc="5B0420EA" w:tentative="1">
      <w:start w:val="1"/>
      <w:numFmt w:val="bullet"/>
      <w:lvlText w:val=""/>
      <w:lvlJc w:val="left"/>
      <w:pPr>
        <w:ind w:left="1800" w:hanging="360"/>
      </w:pPr>
      <w:rPr>
        <w:rFonts w:ascii="Wingdings" w:hAnsi="Wingdings" w:hint="default"/>
      </w:rPr>
    </w:lvl>
    <w:lvl w:ilvl="3" w:tplc="39086DD8" w:tentative="1">
      <w:start w:val="1"/>
      <w:numFmt w:val="bullet"/>
      <w:lvlText w:val=""/>
      <w:lvlJc w:val="left"/>
      <w:pPr>
        <w:ind w:left="2520" w:hanging="360"/>
      </w:pPr>
      <w:rPr>
        <w:rFonts w:ascii="Symbol" w:hAnsi="Symbol" w:hint="default"/>
      </w:rPr>
    </w:lvl>
    <w:lvl w:ilvl="4" w:tplc="7C96E408" w:tentative="1">
      <w:start w:val="1"/>
      <w:numFmt w:val="bullet"/>
      <w:lvlText w:val="o"/>
      <w:lvlJc w:val="left"/>
      <w:pPr>
        <w:ind w:left="3240" w:hanging="360"/>
      </w:pPr>
      <w:rPr>
        <w:rFonts w:ascii="Courier New" w:hAnsi="Courier New" w:cs="Courier New" w:hint="default"/>
      </w:rPr>
    </w:lvl>
    <w:lvl w:ilvl="5" w:tplc="C3F2A78C" w:tentative="1">
      <w:start w:val="1"/>
      <w:numFmt w:val="bullet"/>
      <w:lvlText w:val=""/>
      <w:lvlJc w:val="left"/>
      <w:pPr>
        <w:ind w:left="3960" w:hanging="360"/>
      </w:pPr>
      <w:rPr>
        <w:rFonts w:ascii="Wingdings" w:hAnsi="Wingdings" w:hint="default"/>
      </w:rPr>
    </w:lvl>
    <w:lvl w:ilvl="6" w:tplc="1774FEC6" w:tentative="1">
      <w:start w:val="1"/>
      <w:numFmt w:val="bullet"/>
      <w:lvlText w:val=""/>
      <w:lvlJc w:val="left"/>
      <w:pPr>
        <w:ind w:left="4680" w:hanging="360"/>
      </w:pPr>
      <w:rPr>
        <w:rFonts w:ascii="Symbol" w:hAnsi="Symbol" w:hint="default"/>
      </w:rPr>
    </w:lvl>
    <w:lvl w:ilvl="7" w:tplc="9CF27F48" w:tentative="1">
      <w:start w:val="1"/>
      <w:numFmt w:val="bullet"/>
      <w:lvlText w:val="o"/>
      <w:lvlJc w:val="left"/>
      <w:pPr>
        <w:ind w:left="5400" w:hanging="360"/>
      </w:pPr>
      <w:rPr>
        <w:rFonts w:ascii="Courier New" w:hAnsi="Courier New" w:cs="Courier New" w:hint="default"/>
      </w:rPr>
    </w:lvl>
    <w:lvl w:ilvl="8" w:tplc="933E50D0" w:tentative="1">
      <w:start w:val="1"/>
      <w:numFmt w:val="bullet"/>
      <w:lvlText w:val=""/>
      <w:lvlJc w:val="left"/>
      <w:pPr>
        <w:ind w:left="6120" w:hanging="360"/>
      </w:pPr>
      <w:rPr>
        <w:rFonts w:ascii="Wingdings" w:hAnsi="Wingdings" w:hint="default"/>
      </w:rPr>
    </w:lvl>
  </w:abstractNum>
  <w:abstractNum w:abstractNumId="1" w15:restartNumberingAfterBreak="0">
    <w:nsid w:val="0E254305"/>
    <w:multiLevelType w:val="hybridMultilevel"/>
    <w:tmpl w:val="D27210F6"/>
    <w:lvl w:ilvl="0" w:tplc="36BC2480">
      <w:start w:val="1"/>
      <w:numFmt w:val="bullet"/>
      <w:lvlText w:val="o"/>
      <w:lvlJc w:val="left"/>
      <w:pPr>
        <w:ind w:left="720" w:hanging="360"/>
      </w:pPr>
      <w:rPr>
        <w:rFonts w:ascii="Courier New" w:hAnsi="Courier New" w:cs="Courier New" w:hint="default"/>
      </w:rPr>
    </w:lvl>
    <w:lvl w:ilvl="1" w:tplc="9ABCC90C" w:tentative="1">
      <w:start w:val="1"/>
      <w:numFmt w:val="bullet"/>
      <w:lvlText w:val="o"/>
      <w:lvlJc w:val="left"/>
      <w:pPr>
        <w:ind w:left="1440" w:hanging="360"/>
      </w:pPr>
      <w:rPr>
        <w:rFonts w:ascii="Courier New" w:hAnsi="Courier New" w:cs="Courier New" w:hint="default"/>
      </w:rPr>
    </w:lvl>
    <w:lvl w:ilvl="2" w:tplc="669A9C0E" w:tentative="1">
      <w:start w:val="1"/>
      <w:numFmt w:val="bullet"/>
      <w:lvlText w:val=""/>
      <w:lvlJc w:val="left"/>
      <w:pPr>
        <w:ind w:left="2160" w:hanging="360"/>
      </w:pPr>
      <w:rPr>
        <w:rFonts w:ascii="Wingdings" w:hAnsi="Wingdings" w:hint="default"/>
      </w:rPr>
    </w:lvl>
    <w:lvl w:ilvl="3" w:tplc="3790E91E" w:tentative="1">
      <w:start w:val="1"/>
      <w:numFmt w:val="bullet"/>
      <w:lvlText w:val=""/>
      <w:lvlJc w:val="left"/>
      <w:pPr>
        <w:ind w:left="2880" w:hanging="360"/>
      </w:pPr>
      <w:rPr>
        <w:rFonts w:ascii="Symbol" w:hAnsi="Symbol" w:hint="default"/>
      </w:rPr>
    </w:lvl>
    <w:lvl w:ilvl="4" w:tplc="A254EE82" w:tentative="1">
      <w:start w:val="1"/>
      <w:numFmt w:val="bullet"/>
      <w:lvlText w:val="o"/>
      <w:lvlJc w:val="left"/>
      <w:pPr>
        <w:ind w:left="3600" w:hanging="360"/>
      </w:pPr>
      <w:rPr>
        <w:rFonts w:ascii="Courier New" w:hAnsi="Courier New" w:cs="Courier New" w:hint="default"/>
      </w:rPr>
    </w:lvl>
    <w:lvl w:ilvl="5" w:tplc="7C2C07C2" w:tentative="1">
      <w:start w:val="1"/>
      <w:numFmt w:val="bullet"/>
      <w:lvlText w:val=""/>
      <w:lvlJc w:val="left"/>
      <w:pPr>
        <w:ind w:left="4320" w:hanging="360"/>
      </w:pPr>
      <w:rPr>
        <w:rFonts w:ascii="Wingdings" w:hAnsi="Wingdings" w:hint="default"/>
      </w:rPr>
    </w:lvl>
    <w:lvl w:ilvl="6" w:tplc="F266EF78" w:tentative="1">
      <w:start w:val="1"/>
      <w:numFmt w:val="bullet"/>
      <w:lvlText w:val=""/>
      <w:lvlJc w:val="left"/>
      <w:pPr>
        <w:ind w:left="5040" w:hanging="360"/>
      </w:pPr>
      <w:rPr>
        <w:rFonts w:ascii="Symbol" w:hAnsi="Symbol" w:hint="default"/>
      </w:rPr>
    </w:lvl>
    <w:lvl w:ilvl="7" w:tplc="5E0EC514" w:tentative="1">
      <w:start w:val="1"/>
      <w:numFmt w:val="bullet"/>
      <w:lvlText w:val="o"/>
      <w:lvlJc w:val="left"/>
      <w:pPr>
        <w:ind w:left="5760" w:hanging="360"/>
      </w:pPr>
      <w:rPr>
        <w:rFonts w:ascii="Courier New" w:hAnsi="Courier New" w:cs="Courier New" w:hint="default"/>
      </w:rPr>
    </w:lvl>
    <w:lvl w:ilvl="8" w:tplc="1D2C7464" w:tentative="1">
      <w:start w:val="1"/>
      <w:numFmt w:val="bullet"/>
      <w:lvlText w:val=""/>
      <w:lvlJc w:val="left"/>
      <w:pPr>
        <w:ind w:left="6480" w:hanging="360"/>
      </w:pPr>
      <w:rPr>
        <w:rFonts w:ascii="Wingdings" w:hAnsi="Wingdings" w:hint="default"/>
      </w:rPr>
    </w:lvl>
  </w:abstractNum>
  <w:abstractNum w:abstractNumId="2" w15:restartNumberingAfterBreak="0">
    <w:nsid w:val="228D3BA2"/>
    <w:multiLevelType w:val="hybridMultilevel"/>
    <w:tmpl w:val="EFF67A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9AA1C9A"/>
    <w:multiLevelType w:val="hybridMultilevel"/>
    <w:tmpl w:val="E9C604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9DB1C16"/>
    <w:multiLevelType w:val="hybridMultilevel"/>
    <w:tmpl w:val="7E866906"/>
    <w:lvl w:ilvl="0" w:tplc="AFB09DAA">
      <w:start w:val="1"/>
      <w:numFmt w:val="bullet"/>
      <w:lvlText w:val="o"/>
      <w:lvlJc w:val="left"/>
      <w:pPr>
        <w:ind w:left="720" w:hanging="360"/>
      </w:pPr>
      <w:rPr>
        <w:rFonts w:ascii="Courier New" w:hAnsi="Courier New" w:cs="Courier New" w:hint="default"/>
      </w:rPr>
    </w:lvl>
    <w:lvl w:ilvl="1" w:tplc="1A22DE7C" w:tentative="1">
      <w:start w:val="1"/>
      <w:numFmt w:val="bullet"/>
      <w:lvlText w:val="o"/>
      <w:lvlJc w:val="left"/>
      <w:pPr>
        <w:ind w:left="1440" w:hanging="360"/>
      </w:pPr>
      <w:rPr>
        <w:rFonts w:ascii="Courier New" w:hAnsi="Courier New" w:cs="Courier New" w:hint="default"/>
      </w:rPr>
    </w:lvl>
    <w:lvl w:ilvl="2" w:tplc="D660A284" w:tentative="1">
      <w:start w:val="1"/>
      <w:numFmt w:val="bullet"/>
      <w:lvlText w:val=""/>
      <w:lvlJc w:val="left"/>
      <w:pPr>
        <w:ind w:left="2160" w:hanging="360"/>
      </w:pPr>
      <w:rPr>
        <w:rFonts w:ascii="Wingdings" w:hAnsi="Wingdings" w:hint="default"/>
      </w:rPr>
    </w:lvl>
    <w:lvl w:ilvl="3" w:tplc="0D2E0ED4" w:tentative="1">
      <w:start w:val="1"/>
      <w:numFmt w:val="bullet"/>
      <w:lvlText w:val=""/>
      <w:lvlJc w:val="left"/>
      <w:pPr>
        <w:ind w:left="2880" w:hanging="360"/>
      </w:pPr>
      <w:rPr>
        <w:rFonts w:ascii="Symbol" w:hAnsi="Symbol" w:hint="default"/>
      </w:rPr>
    </w:lvl>
    <w:lvl w:ilvl="4" w:tplc="5F245CA0" w:tentative="1">
      <w:start w:val="1"/>
      <w:numFmt w:val="bullet"/>
      <w:lvlText w:val="o"/>
      <w:lvlJc w:val="left"/>
      <w:pPr>
        <w:ind w:left="3600" w:hanging="360"/>
      </w:pPr>
      <w:rPr>
        <w:rFonts w:ascii="Courier New" w:hAnsi="Courier New" w:cs="Courier New" w:hint="default"/>
      </w:rPr>
    </w:lvl>
    <w:lvl w:ilvl="5" w:tplc="E48E9CE2" w:tentative="1">
      <w:start w:val="1"/>
      <w:numFmt w:val="bullet"/>
      <w:lvlText w:val=""/>
      <w:lvlJc w:val="left"/>
      <w:pPr>
        <w:ind w:left="4320" w:hanging="360"/>
      </w:pPr>
      <w:rPr>
        <w:rFonts w:ascii="Wingdings" w:hAnsi="Wingdings" w:hint="default"/>
      </w:rPr>
    </w:lvl>
    <w:lvl w:ilvl="6" w:tplc="F2926C92" w:tentative="1">
      <w:start w:val="1"/>
      <w:numFmt w:val="bullet"/>
      <w:lvlText w:val=""/>
      <w:lvlJc w:val="left"/>
      <w:pPr>
        <w:ind w:left="5040" w:hanging="360"/>
      </w:pPr>
      <w:rPr>
        <w:rFonts w:ascii="Symbol" w:hAnsi="Symbol" w:hint="default"/>
      </w:rPr>
    </w:lvl>
    <w:lvl w:ilvl="7" w:tplc="AF8650BE" w:tentative="1">
      <w:start w:val="1"/>
      <w:numFmt w:val="bullet"/>
      <w:lvlText w:val="o"/>
      <w:lvlJc w:val="left"/>
      <w:pPr>
        <w:ind w:left="5760" w:hanging="360"/>
      </w:pPr>
      <w:rPr>
        <w:rFonts w:ascii="Courier New" w:hAnsi="Courier New" w:cs="Courier New" w:hint="default"/>
      </w:rPr>
    </w:lvl>
    <w:lvl w:ilvl="8" w:tplc="15FA6218" w:tentative="1">
      <w:start w:val="1"/>
      <w:numFmt w:val="bullet"/>
      <w:lvlText w:val=""/>
      <w:lvlJc w:val="left"/>
      <w:pPr>
        <w:ind w:left="6480" w:hanging="360"/>
      </w:pPr>
      <w:rPr>
        <w:rFonts w:ascii="Wingdings" w:hAnsi="Wingdings" w:hint="default"/>
      </w:rPr>
    </w:lvl>
  </w:abstractNum>
  <w:abstractNum w:abstractNumId="5" w15:restartNumberingAfterBreak="0">
    <w:nsid w:val="57F761DF"/>
    <w:multiLevelType w:val="hybridMultilevel"/>
    <w:tmpl w:val="03703E5E"/>
    <w:lvl w:ilvl="0" w:tplc="E6CE2C50">
      <w:start w:val="1"/>
      <w:numFmt w:val="bullet"/>
      <w:lvlText w:val=""/>
      <w:lvlJc w:val="left"/>
      <w:pPr>
        <w:ind w:left="720" w:hanging="360"/>
      </w:pPr>
      <w:rPr>
        <w:rFonts w:ascii="Symbol" w:hAnsi="Symbol" w:hint="default"/>
      </w:rPr>
    </w:lvl>
    <w:lvl w:ilvl="1" w:tplc="79B21D8A" w:tentative="1">
      <w:start w:val="1"/>
      <w:numFmt w:val="bullet"/>
      <w:lvlText w:val="o"/>
      <w:lvlJc w:val="left"/>
      <w:pPr>
        <w:ind w:left="1440" w:hanging="360"/>
      </w:pPr>
      <w:rPr>
        <w:rFonts w:ascii="Courier New" w:hAnsi="Courier New" w:cs="Courier New" w:hint="default"/>
      </w:rPr>
    </w:lvl>
    <w:lvl w:ilvl="2" w:tplc="BD9E0496" w:tentative="1">
      <w:start w:val="1"/>
      <w:numFmt w:val="bullet"/>
      <w:lvlText w:val=""/>
      <w:lvlJc w:val="left"/>
      <w:pPr>
        <w:ind w:left="2160" w:hanging="360"/>
      </w:pPr>
      <w:rPr>
        <w:rFonts w:ascii="Wingdings" w:hAnsi="Wingdings" w:hint="default"/>
      </w:rPr>
    </w:lvl>
    <w:lvl w:ilvl="3" w:tplc="694C1856" w:tentative="1">
      <w:start w:val="1"/>
      <w:numFmt w:val="bullet"/>
      <w:lvlText w:val=""/>
      <w:lvlJc w:val="left"/>
      <w:pPr>
        <w:ind w:left="2880" w:hanging="360"/>
      </w:pPr>
      <w:rPr>
        <w:rFonts w:ascii="Symbol" w:hAnsi="Symbol" w:hint="default"/>
      </w:rPr>
    </w:lvl>
    <w:lvl w:ilvl="4" w:tplc="069292C6" w:tentative="1">
      <w:start w:val="1"/>
      <w:numFmt w:val="bullet"/>
      <w:lvlText w:val="o"/>
      <w:lvlJc w:val="left"/>
      <w:pPr>
        <w:ind w:left="3600" w:hanging="360"/>
      </w:pPr>
      <w:rPr>
        <w:rFonts w:ascii="Courier New" w:hAnsi="Courier New" w:cs="Courier New" w:hint="default"/>
      </w:rPr>
    </w:lvl>
    <w:lvl w:ilvl="5" w:tplc="61D0D808" w:tentative="1">
      <w:start w:val="1"/>
      <w:numFmt w:val="bullet"/>
      <w:lvlText w:val=""/>
      <w:lvlJc w:val="left"/>
      <w:pPr>
        <w:ind w:left="4320" w:hanging="360"/>
      </w:pPr>
      <w:rPr>
        <w:rFonts w:ascii="Wingdings" w:hAnsi="Wingdings" w:hint="default"/>
      </w:rPr>
    </w:lvl>
    <w:lvl w:ilvl="6" w:tplc="287EBE42" w:tentative="1">
      <w:start w:val="1"/>
      <w:numFmt w:val="bullet"/>
      <w:lvlText w:val=""/>
      <w:lvlJc w:val="left"/>
      <w:pPr>
        <w:ind w:left="5040" w:hanging="360"/>
      </w:pPr>
      <w:rPr>
        <w:rFonts w:ascii="Symbol" w:hAnsi="Symbol" w:hint="default"/>
      </w:rPr>
    </w:lvl>
    <w:lvl w:ilvl="7" w:tplc="98B4DAD4" w:tentative="1">
      <w:start w:val="1"/>
      <w:numFmt w:val="bullet"/>
      <w:lvlText w:val="o"/>
      <w:lvlJc w:val="left"/>
      <w:pPr>
        <w:ind w:left="5760" w:hanging="360"/>
      </w:pPr>
      <w:rPr>
        <w:rFonts w:ascii="Courier New" w:hAnsi="Courier New" w:cs="Courier New" w:hint="default"/>
      </w:rPr>
    </w:lvl>
    <w:lvl w:ilvl="8" w:tplc="8EF8595E" w:tentative="1">
      <w:start w:val="1"/>
      <w:numFmt w:val="bullet"/>
      <w:lvlText w:val=""/>
      <w:lvlJc w:val="left"/>
      <w:pPr>
        <w:ind w:left="6480" w:hanging="360"/>
      </w:pPr>
      <w:rPr>
        <w:rFonts w:ascii="Wingdings" w:hAnsi="Wingdings" w:hint="default"/>
      </w:rPr>
    </w:lvl>
  </w:abstractNum>
  <w:abstractNum w:abstractNumId="6" w15:restartNumberingAfterBreak="0">
    <w:nsid w:val="632D0D0E"/>
    <w:multiLevelType w:val="hybridMultilevel"/>
    <w:tmpl w:val="02CA7E10"/>
    <w:lvl w:ilvl="0" w:tplc="26921DC2">
      <w:start w:val="1"/>
      <w:numFmt w:val="bullet"/>
      <w:lvlText w:val=""/>
      <w:lvlJc w:val="left"/>
      <w:pPr>
        <w:ind w:left="360" w:hanging="360"/>
      </w:pPr>
      <w:rPr>
        <w:rFonts w:ascii="Symbol" w:hAnsi="Symbol" w:hint="default"/>
      </w:rPr>
    </w:lvl>
    <w:lvl w:ilvl="1" w:tplc="23D029EA" w:tentative="1">
      <w:start w:val="1"/>
      <w:numFmt w:val="bullet"/>
      <w:lvlText w:val="o"/>
      <w:lvlJc w:val="left"/>
      <w:pPr>
        <w:ind w:left="1080" w:hanging="360"/>
      </w:pPr>
      <w:rPr>
        <w:rFonts w:ascii="Courier New" w:hAnsi="Courier New" w:cs="Courier New" w:hint="default"/>
      </w:rPr>
    </w:lvl>
    <w:lvl w:ilvl="2" w:tplc="676ABF86" w:tentative="1">
      <w:start w:val="1"/>
      <w:numFmt w:val="bullet"/>
      <w:lvlText w:val=""/>
      <w:lvlJc w:val="left"/>
      <w:pPr>
        <w:ind w:left="1800" w:hanging="360"/>
      </w:pPr>
      <w:rPr>
        <w:rFonts w:ascii="Wingdings" w:hAnsi="Wingdings" w:hint="default"/>
      </w:rPr>
    </w:lvl>
    <w:lvl w:ilvl="3" w:tplc="1614753A" w:tentative="1">
      <w:start w:val="1"/>
      <w:numFmt w:val="bullet"/>
      <w:lvlText w:val=""/>
      <w:lvlJc w:val="left"/>
      <w:pPr>
        <w:ind w:left="2520" w:hanging="360"/>
      </w:pPr>
      <w:rPr>
        <w:rFonts w:ascii="Symbol" w:hAnsi="Symbol" w:hint="default"/>
      </w:rPr>
    </w:lvl>
    <w:lvl w:ilvl="4" w:tplc="B27EFF46" w:tentative="1">
      <w:start w:val="1"/>
      <w:numFmt w:val="bullet"/>
      <w:lvlText w:val="o"/>
      <w:lvlJc w:val="left"/>
      <w:pPr>
        <w:ind w:left="3240" w:hanging="360"/>
      </w:pPr>
      <w:rPr>
        <w:rFonts w:ascii="Courier New" w:hAnsi="Courier New" w:cs="Courier New" w:hint="default"/>
      </w:rPr>
    </w:lvl>
    <w:lvl w:ilvl="5" w:tplc="C6C62F36" w:tentative="1">
      <w:start w:val="1"/>
      <w:numFmt w:val="bullet"/>
      <w:lvlText w:val=""/>
      <w:lvlJc w:val="left"/>
      <w:pPr>
        <w:ind w:left="3960" w:hanging="360"/>
      </w:pPr>
      <w:rPr>
        <w:rFonts w:ascii="Wingdings" w:hAnsi="Wingdings" w:hint="default"/>
      </w:rPr>
    </w:lvl>
    <w:lvl w:ilvl="6" w:tplc="84ECFAB4" w:tentative="1">
      <w:start w:val="1"/>
      <w:numFmt w:val="bullet"/>
      <w:lvlText w:val=""/>
      <w:lvlJc w:val="left"/>
      <w:pPr>
        <w:ind w:left="4680" w:hanging="360"/>
      </w:pPr>
      <w:rPr>
        <w:rFonts w:ascii="Symbol" w:hAnsi="Symbol" w:hint="default"/>
      </w:rPr>
    </w:lvl>
    <w:lvl w:ilvl="7" w:tplc="92986A3E" w:tentative="1">
      <w:start w:val="1"/>
      <w:numFmt w:val="bullet"/>
      <w:lvlText w:val="o"/>
      <w:lvlJc w:val="left"/>
      <w:pPr>
        <w:ind w:left="5400" w:hanging="360"/>
      </w:pPr>
      <w:rPr>
        <w:rFonts w:ascii="Courier New" w:hAnsi="Courier New" w:cs="Courier New" w:hint="default"/>
      </w:rPr>
    </w:lvl>
    <w:lvl w:ilvl="8" w:tplc="6A4EA044" w:tentative="1">
      <w:start w:val="1"/>
      <w:numFmt w:val="bullet"/>
      <w:lvlText w:val=""/>
      <w:lvlJc w:val="left"/>
      <w:pPr>
        <w:ind w:left="6120" w:hanging="360"/>
      </w:pPr>
      <w:rPr>
        <w:rFonts w:ascii="Wingdings" w:hAnsi="Wingdings" w:hint="default"/>
      </w:rPr>
    </w:lvl>
  </w:abstractNum>
  <w:abstractNum w:abstractNumId="7" w15:restartNumberingAfterBreak="0">
    <w:nsid w:val="667438BF"/>
    <w:multiLevelType w:val="hybridMultilevel"/>
    <w:tmpl w:val="5E9E30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C302AE3"/>
    <w:multiLevelType w:val="hybridMultilevel"/>
    <w:tmpl w:val="F7A2CC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0BA5976"/>
    <w:multiLevelType w:val="hybridMultilevel"/>
    <w:tmpl w:val="7F660064"/>
    <w:lvl w:ilvl="0" w:tplc="D1BA65C2">
      <w:start w:val="1"/>
      <w:numFmt w:val="bullet"/>
      <w:lvlText w:val=""/>
      <w:lvlJc w:val="left"/>
      <w:pPr>
        <w:ind w:left="720" w:hanging="360"/>
      </w:pPr>
      <w:rPr>
        <w:rFonts w:ascii="Symbol" w:hAnsi="Symbol" w:hint="default"/>
      </w:rPr>
    </w:lvl>
    <w:lvl w:ilvl="1" w:tplc="5D003502" w:tentative="1">
      <w:start w:val="1"/>
      <w:numFmt w:val="bullet"/>
      <w:lvlText w:val="o"/>
      <w:lvlJc w:val="left"/>
      <w:pPr>
        <w:ind w:left="1440" w:hanging="360"/>
      </w:pPr>
      <w:rPr>
        <w:rFonts w:ascii="Courier New" w:hAnsi="Courier New" w:cs="Courier New" w:hint="default"/>
      </w:rPr>
    </w:lvl>
    <w:lvl w:ilvl="2" w:tplc="F4723E42" w:tentative="1">
      <w:start w:val="1"/>
      <w:numFmt w:val="bullet"/>
      <w:lvlText w:val=""/>
      <w:lvlJc w:val="left"/>
      <w:pPr>
        <w:ind w:left="2160" w:hanging="360"/>
      </w:pPr>
      <w:rPr>
        <w:rFonts w:ascii="Wingdings" w:hAnsi="Wingdings" w:hint="default"/>
      </w:rPr>
    </w:lvl>
    <w:lvl w:ilvl="3" w:tplc="EAB0F82C" w:tentative="1">
      <w:start w:val="1"/>
      <w:numFmt w:val="bullet"/>
      <w:lvlText w:val=""/>
      <w:lvlJc w:val="left"/>
      <w:pPr>
        <w:ind w:left="2880" w:hanging="360"/>
      </w:pPr>
      <w:rPr>
        <w:rFonts w:ascii="Symbol" w:hAnsi="Symbol" w:hint="default"/>
      </w:rPr>
    </w:lvl>
    <w:lvl w:ilvl="4" w:tplc="681E9ED2" w:tentative="1">
      <w:start w:val="1"/>
      <w:numFmt w:val="bullet"/>
      <w:lvlText w:val="o"/>
      <w:lvlJc w:val="left"/>
      <w:pPr>
        <w:ind w:left="3600" w:hanging="360"/>
      </w:pPr>
      <w:rPr>
        <w:rFonts w:ascii="Courier New" w:hAnsi="Courier New" w:cs="Courier New" w:hint="default"/>
      </w:rPr>
    </w:lvl>
    <w:lvl w:ilvl="5" w:tplc="7EBC6C6E" w:tentative="1">
      <w:start w:val="1"/>
      <w:numFmt w:val="bullet"/>
      <w:lvlText w:val=""/>
      <w:lvlJc w:val="left"/>
      <w:pPr>
        <w:ind w:left="4320" w:hanging="360"/>
      </w:pPr>
      <w:rPr>
        <w:rFonts w:ascii="Wingdings" w:hAnsi="Wingdings" w:hint="default"/>
      </w:rPr>
    </w:lvl>
    <w:lvl w:ilvl="6" w:tplc="37A623D6" w:tentative="1">
      <w:start w:val="1"/>
      <w:numFmt w:val="bullet"/>
      <w:lvlText w:val=""/>
      <w:lvlJc w:val="left"/>
      <w:pPr>
        <w:ind w:left="5040" w:hanging="360"/>
      </w:pPr>
      <w:rPr>
        <w:rFonts w:ascii="Symbol" w:hAnsi="Symbol" w:hint="default"/>
      </w:rPr>
    </w:lvl>
    <w:lvl w:ilvl="7" w:tplc="45AE78B8" w:tentative="1">
      <w:start w:val="1"/>
      <w:numFmt w:val="bullet"/>
      <w:lvlText w:val="o"/>
      <w:lvlJc w:val="left"/>
      <w:pPr>
        <w:ind w:left="5760" w:hanging="360"/>
      </w:pPr>
      <w:rPr>
        <w:rFonts w:ascii="Courier New" w:hAnsi="Courier New" w:cs="Courier New" w:hint="default"/>
      </w:rPr>
    </w:lvl>
    <w:lvl w:ilvl="8" w:tplc="AA26018A" w:tentative="1">
      <w:start w:val="1"/>
      <w:numFmt w:val="bullet"/>
      <w:lvlText w:val=""/>
      <w:lvlJc w:val="left"/>
      <w:pPr>
        <w:ind w:left="6480" w:hanging="360"/>
      </w:pPr>
      <w:rPr>
        <w:rFonts w:ascii="Wingdings" w:hAnsi="Wingdings" w:hint="default"/>
      </w:rPr>
    </w:lvl>
  </w:abstractNum>
  <w:abstractNum w:abstractNumId="10" w15:restartNumberingAfterBreak="0">
    <w:nsid w:val="7BC3495B"/>
    <w:multiLevelType w:val="hybridMultilevel"/>
    <w:tmpl w:val="B914A318"/>
    <w:lvl w:ilvl="0" w:tplc="A0FEC2FC">
      <w:start w:val="1"/>
      <w:numFmt w:val="bullet"/>
      <w:lvlText w:val=""/>
      <w:lvlJc w:val="left"/>
      <w:pPr>
        <w:ind w:left="720" w:hanging="360"/>
      </w:pPr>
      <w:rPr>
        <w:rFonts w:ascii="Symbol" w:hAnsi="Symbol" w:hint="default"/>
      </w:rPr>
    </w:lvl>
    <w:lvl w:ilvl="1" w:tplc="E2CE8838" w:tentative="1">
      <w:start w:val="1"/>
      <w:numFmt w:val="bullet"/>
      <w:lvlText w:val="o"/>
      <w:lvlJc w:val="left"/>
      <w:pPr>
        <w:ind w:left="1440" w:hanging="360"/>
      </w:pPr>
      <w:rPr>
        <w:rFonts w:ascii="Courier New" w:hAnsi="Courier New" w:cs="Courier New" w:hint="default"/>
      </w:rPr>
    </w:lvl>
    <w:lvl w:ilvl="2" w:tplc="3D5E911C" w:tentative="1">
      <w:start w:val="1"/>
      <w:numFmt w:val="bullet"/>
      <w:lvlText w:val=""/>
      <w:lvlJc w:val="left"/>
      <w:pPr>
        <w:ind w:left="2160" w:hanging="360"/>
      </w:pPr>
      <w:rPr>
        <w:rFonts w:ascii="Wingdings" w:hAnsi="Wingdings" w:hint="default"/>
      </w:rPr>
    </w:lvl>
    <w:lvl w:ilvl="3" w:tplc="51106850" w:tentative="1">
      <w:start w:val="1"/>
      <w:numFmt w:val="bullet"/>
      <w:lvlText w:val=""/>
      <w:lvlJc w:val="left"/>
      <w:pPr>
        <w:ind w:left="2880" w:hanging="360"/>
      </w:pPr>
      <w:rPr>
        <w:rFonts w:ascii="Symbol" w:hAnsi="Symbol" w:hint="default"/>
      </w:rPr>
    </w:lvl>
    <w:lvl w:ilvl="4" w:tplc="1BBE9AFA" w:tentative="1">
      <w:start w:val="1"/>
      <w:numFmt w:val="bullet"/>
      <w:lvlText w:val="o"/>
      <w:lvlJc w:val="left"/>
      <w:pPr>
        <w:ind w:left="3600" w:hanging="360"/>
      </w:pPr>
      <w:rPr>
        <w:rFonts w:ascii="Courier New" w:hAnsi="Courier New" w:cs="Courier New" w:hint="default"/>
      </w:rPr>
    </w:lvl>
    <w:lvl w:ilvl="5" w:tplc="03AC4334" w:tentative="1">
      <w:start w:val="1"/>
      <w:numFmt w:val="bullet"/>
      <w:lvlText w:val=""/>
      <w:lvlJc w:val="left"/>
      <w:pPr>
        <w:ind w:left="4320" w:hanging="360"/>
      </w:pPr>
      <w:rPr>
        <w:rFonts w:ascii="Wingdings" w:hAnsi="Wingdings" w:hint="default"/>
      </w:rPr>
    </w:lvl>
    <w:lvl w:ilvl="6" w:tplc="867CB2B8" w:tentative="1">
      <w:start w:val="1"/>
      <w:numFmt w:val="bullet"/>
      <w:lvlText w:val=""/>
      <w:lvlJc w:val="left"/>
      <w:pPr>
        <w:ind w:left="5040" w:hanging="360"/>
      </w:pPr>
      <w:rPr>
        <w:rFonts w:ascii="Symbol" w:hAnsi="Symbol" w:hint="default"/>
      </w:rPr>
    </w:lvl>
    <w:lvl w:ilvl="7" w:tplc="D390C440" w:tentative="1">
      <w:start w:val="1"/>
      <w:numFmt w:val="bullet"/>
      <w:lvlText w:val="o"/>
      <w:lvlJc w:val="left"/>
      <w:pPr>
        <w:ind w:left="5760" w:hanging="360"/>
      </w:pPr>
      <w:rPr>
        <w:rFonts w:ascii="Courier New" w:hAnsi="Courier New" w:cs="Courier New" w:hint="default"/>
      </w:rPr>
    </w:lvl>
    <w:lvl w:ilvl="8" w:tplc="73AE3B7A" w:tentative="1">
      <w:start w:val="1"/>
      <w:numFmt w:val="bullet"/>
      <w:lvlText w:val=""/>
      <w:lvlJc w:val="left"/>
      <w:pPr>
        <w:ind w:left="6480" w:hanging="360"/>
      </w:pPr>
      <w:rPr>
        <w:rFonts w:ascii="Wingdings" w:hAnsi="Wingdings" w:hint="default"/>
      </w:rPr>
    </w:lvl>
  </w:abstractNum>
  <w:abstractNum w:abstractNumId="11" w15:restartNumberingAfterBreak="0">
    <w:nsid w:val="7BE96B65"/>
    <w:multiLevelType w:val="hybridMultilevel"/>
    <w:tmpl w:val="2AAEABEA"/>
    <w:lvl w:ilvl="0" w:tplc="5DE81EF8">
      <w:start w:val="1"/>
      <w:numFmt w:val="bullet"/>
      <w:lvlText w:val=""/>
      <w:lvlJc w:val="left"/>
      <w:pPr>
        <w:ind w:left="720" w:hanging="360"/>
      </w:pPr>
      <w:rPr>
        <w:rFonts w:ascii="Symbol" w:hAnsi="Symbol" w:hint="default"/>
      </w:rPr>
    </w:lvl>
    <w:lvl w:ilvl="1" w:tplc="50BEDE60" w:tentative="1">
      <w:start w:val="1"/>
      <w:numFmt w:val="bullet"/>
      <w:lvlText w:val="o"/>
      <w:lvlJc w:val="left"/>
      <w:pPr>
        <w:ind w:left="1440" w:hanging="360"/>
      </w:pPr>
      <w:rPr>
        <w:rFonts w:ascii="Courier New" w:hAnsi="Courier New" w:cs="Courier New" w:hint="default"/>
      </w:rPr>
    </w:lvl>
    <w:lvl w:ilvl="2" w:tplc="CA4C51D2" w:tentative="1">
      <w:start w:val="1"/>
      <w:numFmt w:val="bullet"/>
      <w:lvlText w:val=""/>
      <w:lvlJc w:val="left"/>
      <w:pPr>
        <w:ind w:left="2160" w:hanging="360"/>
      </w:pPr>
      <w:rPr>
        <w:rFonts w:ascii="Wingdings" w:hAnsi="Wingdings" w:hint="default"/>
      </w:rPr>
    </w:lvl>
    <w:lvl w:ilvl="3" w:tplc="550C14FA" w:tentative="1">
      <w:start w:val="1"/>
      <w:numFmt w:val="bullet"/>
      <w:lvlText w:val=""/>
      <w:lvlJc w:val="left"/>
      <w:pPr>
        <w:ind w:left="2880" w:hanging="360"/>
      </w:pPr>
      <w:rPr>
        <w:rFonts w:ascii="Symbol" w:hAnsi="Symbol" w:hint="default"/>
      </w:rPr>
    </w:lvl>
    <w:lvl w:ilvl="4" w:tplc="197860F6" w:tentative="1">
      <w:start w:val="1"/>
      <w:numFmt w:val="bullet"/>
      <w:lvlText w:val="o"/>
      <w:lvlJc w:val="left"/>
      <w:pPr>
        <w:ind w:left="3600" w:hanging="360"/>
      </w:pPr>
      <w:rPr>
        <w:rFonts w:ascii="Courier New" w:hAnsi="Courier New" w:cs="Courier New" w:hint="default"/>
      </w:rPr>
    </w:lvl>
    <w:lvl w:ilvl="5" w:tplc="2B92CD80" w:tentative="1">
      <w:start w:val="1"/>
      <w:numFmt w:val="bullet"/>
      <w:lvlText w:val=""/>
      <w:lvlJc w:val="left"/>
      <w:pPr>
        <w:ind w:left="4320" w:hanging="360"/>
      </w:pPr>
      <w:rPr>
        <w:rFonts w:ascii="Wingdings" w:hAnsi="Wingdings" w:hint="default"/>
      </w:rPr>
    </w:lvl>
    <w:lvl w:ilvl="6" w:tplc="31388E3E" w:tentative="1">
      <w:start w:val="1"/>
      <w:numFmt w:val="bullet"/>
      <w:lvlText w:val=""/>
      <w:lvlJc w:val="left"/>
      <w:pPr>
        <w:ind w:left="5040" w:hanging="360"/>
      </w:pPr>
      <w:rPr>
        <w:rFonts w:ascii="Symbol" w:hAnsi="Symbol" w:hint="default"/>
      </w:rPr>
    </w:lvl>
    <w:lvl w:ilvl="7" w:tplc="8C8C5356" w:tentative="1">
      <w:start w:val="1"/>
      <w:numFmt w:val="bullet"/>
      <w:lvlText w:val="o"/>
      <w:lvlJc w:val="left"/>
      <w:pPr>
        <w:ind w:left="5760" w:hanging="360"/>
      </w:pPr>
      <w:rPr>
        <w:rFonts w:ascii="Courier New" w:hAnsi="Courier New" w:cs="Courier New" w:hint="default"/>
      </w:rPr>
    </w:lvl>
    <w:lvl w:ilvl="8" w:tplc="78745D1A" w:tentative="1">
      <w:start w:val="1"/>
      <w:numFmt w:val="bullet"/>
      <w:lvlText w:val=""/>
      <w:lvlJc w:val="left"/>
      <w:pPr>
        <w:ind w:left="6480" w:hanging="360"/>
      </w:pPr>
      <w:rPr>
        <w:rFonts w:ascii="Wingdings" w:hAnsi="Wingdings" w:hint="default"/>
      </w:rPr>
    </w:lvl>
  </w:abstractNum>
  <w:num w:numId="1" w16cid:durableId="1083643126">
    <w:abstractNumId w:val="7"/>
  </w:num>
  <w:num w:numId="2" w16cid:durableId="1335493762">
    <w:abstractNumId w:val="3"/>
  </w:num>
  <w:num w:numId="3" w16cid:durableId="649599987">
    <w:abstractNumId w:val="8"/>
  </w:num>
  <w:num w:numId="4" w16cid:durableId="721486921">
    <w:abstractNumId w:val="2"/>
  </w:num>
  <w:num w:numId="5" w16cid:durableId="88308523">
    <w:abstractNumId w:val="10"/>
  </w:num>
  <w:num w:numId="6" w16cid:durableId="489643256">
    <w:abstractNumId w:val="9"/>
  </w:num>
  <w:num w:numId="7" w16cid:durableId="1230506730">
    <w:abstractNumId w:val="6"/>
  </w:num>
  <w:num w:numId="8" w16cid:durableId="598216781">
    <w:abstractNumId w:val="1"/>
  </w:num>
  <w:num w:numId="9" w16cid:durableId="1794136506">
    <w:abstractNumId w:val="0"/>
  </w:num>
  <w:num w:numId="10" w16cid:durableId="2117631212">
    <w:abstractNumId w:val="4"/>
  </w:num>
  <w:num w:numId="11" w16cid:durableId="1341348109">
    <w:abstractNumId w:val="11"/>
  </w:num>
  <w:num w:numId="12" w16cid:durableId="1451692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047"/>
    <w:rsid w:val="000C4F8A"/>
    <w:rsid w:val="0023207E"/>
    <w:rsid w:val="003A0754"/>
    <w:rsid w:val="003C108A"/>
    <w:rsid w:val="003E1DB8"/>
    <w:rsid w:val="004F4E47"/>
    <w:rsid w:val="005972B6"/>
    <w:rsid w:val="006D3C06"/>
    <w:rsid w:val="006F42A3"/>
    <w:rsid w:val="00713B58"/>
    <w:rsid w:val="007F1C7A"/>
    <w:rsid w:val="00822A78"/>
    <w:rsid w:val="00843E99"/>
    <w:rsid w:val="009262E0"/>
    <w:rsid w:val="00AE6C27"/>
    <w:rsid w:val="00BE1B08"/>
    <w:rsid w:val="00D21FFA"/>
    <w:rsid w:val="00E96384"/>
    <w:rsid w:val="00EA3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BF7C7"/>
  <w15:chartTrackingRefBased/>
  <w15:docId w15:val="{20B16C71-F3DA-4D71-A063-85965B678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04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A304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304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304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304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3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04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A304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A304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304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304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3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047"/>
    <w:rPr>
      <w:rFonts w:eastAsiaTheme="majorEastAsia" w:cstheme="majorBidi"/>
      <w:color w:val="272727" w:themeColor="text1" w:themeTint="D8"/>
    </w:rPr>
  </w:style>
  <w:style w:type="paragraph" w:styleId="Title">
    <w:name w:val="Title"/>
    <w:basedOn w:val="Normal"/>
    <w:next w:val="Normal"/>
    <w:link w:val="TitleChar"/>
    <w:uiPriority w:val="10"/>
    <w:qFormat/>
    <w:rsid w:val="00EA3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047"/>
    <w:pPr>
      <w:spacing w:before="160"/>
      <w:jc w:val="center"/>
    </w:pPr>
    <w:rPr>
      <w:i/>
      <w:iCs/>
      <w:color w:val="404040" w:themeColor="text1" w:themeTint="BF"/>
    </w:rPr>
  </w:style>
  <w:style w:type="character" w:customStyle="1" w:styleId="QuoteChar">
    <w:name w:val="Quote Char"/>
    <w:basedOn w:val="DefaultParagraphFont"/>
    <w:link w:val="Quote"/>
    <w:uiPriority w:val="29"/>
    <w:rsid w:val="00EA3047"/>
    <w:rPr>
      <w:i/>
      <w:iCs/>
      <w:color w:val="404040" w:themeColor="text1" w:themeTint="BF"/>
    </w:rPr>
  </w:style>
  <w:style w:type="paragraph" w:styleId="ListParagraph">
    <w:name w:val="List Paragraph"/>
    <w:basedOn w:val="Normal"/>
    <w:uiPriority w:val="34"/>
    <w:qFormat/>
    <w:rsid w:val="00EA3047"/>
    <w:pPr>
      <w:ind w:left="720"/>
      <w:contextualSpacing/>
    </w:pPr>
  </w:style>
  <w:style w:type="character" w:styleId="IntenseEmphasis">
    <w:name w:val="Intense Emphasis"/>
    <w:basedOn w:val="DefaultParagraphFont"/>
    <w:uiPriority w:val="21"/>
    <w:qFormat/>
    <w:rsid w:val="00EA3047"/>
    <w:rPr>
      <w:i/>
      <w:iCs/>
      <w:color w:val="2F5496" w:themeColor="accent1" w:themeShade="BF"/>
    </w:rPr>
  </w:style>
  <w:style w:type="paragraph" w:styleId="IntenseQuote">
    <w:name w:val="Intense Quote"/>
    <w:basedOn w:val="Normal"/>
    <w:next w:val="Normal"/>
    <w:link w:val="IntenseQuoteChar"/>
    <w:uiPriority w:val="30"/>
    <w:qFormat/>
    <w:rsid w:val="00EA30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3047"/>
    <w:rPr>
      <w:i/>
      <w:iCs/>
      <w:color w:val="2F5496" w:themeColor="accent1" w:themeShade="BF"/>
    </w:rPr>
  </w:style>
  <w:style w:type="character" w:styleId="IntenseReference">
    <w:name w:val="Intense Reference"/>
    <w:basedOn w:val="DefaultParagraphFont"/>
    <w:uiPriority w:val="32"/>
    <w:qFormat/>
    <w:rsid w:val="00EA3047"/>
    <w:rPr>
      <w:b/>
      <w:bCs/>
      <w:smallCaps/>
      <w:color w:val="2F5496" w:themeColor="accent1" w:themeShade="BF"/>
      <w:spacing w:val="5"/>
    </w:rPr>
  </w:style>
  <w:style w:type="paragraph" w:styleId="TOCHeading">
    <w:name w:val="TOC Heading"/>
    <w:basedOn w:val="Heading1"/>
    <w:next w:val="Normal"/>
    <w:uiPriority w:val="39"/>
    <w:unhideWhenUsed/>
    <w:qFormat/>
    <w:rsid w:val="00EA304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A3047"/>
    <w:pPr>
      <w:spacing w:after="100" w:line="360" w:lineRule="auto"/>
      <w:jc w:val="both"/>
    </w:pPr>
    <w:rPr>
      <w:rFonts w:ascii="Times New Roman" w:hAnsi="Times New Roman"/>
      <w:kern w:val="0"/>
      <w:sz w:val="24"/>
      <w14:ligatures w14:val="none"/>
    </w:rPr>
  </w:style>
  <w:style w:type="paragraph" w:styleId="TOC2">
    <w:name w:val="toc 2"/>
    <w:basedOn w:val="Normal"/>
    <w:next w:val="Normal"/>
    <w:autoRedefine/>
    <w:uiPriority w:val="39"/>
    <w:unhideWhenUsed/>
    <w:rsid w:val="00EA3047"/>
    <w:pPr>
      <w:spacing w:after="100" w:line="360" w:lineRule="auto"/>
      <w:ind w:left="240"/>
      <w:jc w:val="both"/>
    </w:pPr>
    <w:rPr>
      <w:rFonts w:ascii="Times New Roman" w:hAnsi="Times New Roman"/>
      <w:kern w:val="0"/>
      <w:sz w:val="24"/>
      <w14:ligatures w14:val="none"/>
    </w:rPr>
  </w:style>
  <w:style w:type="character" w:styleId="Hyperlink">
    <w:name w:val="Hyperlink"/>
    <w:basedOn w:val="DefaultParagraphFont"/>
    <w:uiPriority w:val="99"/>
    <w:unhideWhenUsed/>
    <w:rsid w:val="00EA3047"/>
    <w:rPr>
      <w:color w:val="0563C1" w:themeColor="hyperlink"/>
      <w:u w:val="single"/>
    </w:rPr>
  </w:style>
  <w:style w:type="paragraph" w:styleId="Caption">
    <w:name w:val="caption"/>
    <w:basedOn w:val="Normal"/>
    <w:next w:val="Normal"/>
    <w:uiPriority w:val="35"/>
    <w:unhideWhenUsed/>
    <w:qFormat/>
    <w:rsid w:val="00EA3047"/>
    <w:pPr>
      <w:spacing w:after="200" w:line="240" w:lineRule="auto"/>
      <w:jc w:val="both"/>
    </w:pPr>
    <w:rPr>
      <w:rFonts w:ascii="Times New Roman" w:hAnsi="Times New Roman"/>
      <w:i/>
      <w:iCs/>
      <w:color w:val="44546A" w:themeColor="text2"/>
      <w:kern w:val="0"/>
      <w:sz w:val="18"/>
      <w:szCs w:val="18"/>
      <w14:ligatures w14:val="none"/>
    </w:rPr>
  </w:style>
  <w:style w:type="paragraph" w:styleId="Header">
    <w:name w:val="header"/>
    <w:basedOn w:val="Normal"/>
    <w:link w:val="HeaderChar"/>
    <w:uiPriority w:val="99"/>
    <w:unhideWhenUsed/>
    <w:rsid w:val="00D21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FFA"/>
  </w:style>
  <w:style w:type="paragraph" w:styleId="Footer">
    <w:name w:val="footer"/>
    <w:basedOn w:val="Normal"/>
    <w:link w:val="FooterChar"/>
    <w:uiPriority w:val="99"/>
    <w:unhideWhenUsed/>
    <w:rsid w:val="00D21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FFA"/>
  </w:style>
  <w:style w:type="paragraph" w:customStyle="1" w:styleId="Default">
    <w:name w:val="Default"/>
    <w:rsid w:val="006D3C06"/>
    <w:pPr>
      <w:autoSpaceDE w:val="0"/>
      <w:autoSpaceDN w:val="0"/>
      <w:adjustRightInd w:val="0"/>
      <w:spacing w:after="0" w:line="240" w:lineRule="auto"/>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966</TotalTime>
  <Pages>17</Pages>
  <Words>4546</Words>
  <Characters>25918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costamihaloiu@gmail.com</dc:creator>
  <cp:keywords/>
  <dc:description/>
  <cp:lastModifiedBy>costamihaloiu@gmail.com</cp:lastModifiedBy>
  <cp:revision>8</cp:revision>
  <dcterms:created xsi:type="dcterms:W3CDTF">2025-03-12T12:34:00Z</dcterms:created>
  <dcterms:modified xsi:type="dcterms:W3CDTF">2025-05-16T21:00:00Z</dcterms:modified>
</cp:coreProperties>
</file>