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7DAF2" w14:textId="77777777" w:rsidR="00050C76" w:rsidRDefault="00050C76" w:rsidP="00B705A4">
      <w:pPr>
        <w:rPr>
          <w:b/>
          <w:bCs/>
          <w:sz w:val="36"/>
          <w:szCs w:val="32"/>
          <w:lang w:val="en-I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97"/>
        <w:gridCol w:w="5787"/>
      </w:tblGrid>
      <w:tr w:rsidR="00B705A4" w:rsidRPr="00B705A4" w14:paraId="73A972EE" w14:textId="77777777">
        <w:tc>
          <w:tcPr>
            <w:tcW w:w="0" w:type="auto"/>
            <w:hideMark/>
          </w:tcPr>
          <w:p w14:paraId="51E74051" w14:textId="77777777" w:rsidR="00B705A4" w:rsidRPr="00B705A4" w:rsidRDefault="00B705A4" w:rsidP="00B705A4">
            <w:pPr>
              <w:rPr>
                <w:b/>
                <w:bCs/>
                <w:sz w:val="28"/>
                <w:szCs w:val="24"/>
                <w:lang w:val="en-IN"/>
              </w:rPr>
            </w:pPr>
            <w:r w:rsidRPr="00B705A4">
              <w:rPr>
                <w:b/>
                <w:bCs/>
                <w:sz w:val="28"/>
                <w:szCs w:val="24"/>
                <w:lang w:val="en-IN"/>
              </w:rPr>
              <w:t>Student Name</w:t>
            </w:r>
          </w:p>
        </w:tc>
        <w:tc>
          <w:tcPr>
            <w:tcW w:w="0" w:type="auto"/>
            <w:hideMark/>
          </w:tcPr>
          <w:p w14:paraId="2F9B4B6D" w14:textId="77777777" w:rsidR="00B705A4" w:rsidRPr="00B705A4" w:rsidRDefault="00B705A4" w:rsidP="00B705A4">
            <w:pPr>
              <w:rPr>
                <w:b/>
                <w:bCs/>
                <w:sz w:val="28"/>
                <w:szCs w:val="24"/>
                <w:lang w:val="en-IN"/>
              </w:rPr>
            </w:pPr>
            <w:r w:rsidRPr="00B705A4">
              <w:rPr>
                <w:b/>
                <w:bCs/>
                <w:sz w:val="28"/>
                <w:szCs w:val="24"/>
                <w:lang w:val="en-IN"/>
              </w:rPr>
              <w:t>Jaykumar Thakor</w:t>
            </w:r>
          </w:p>
        </w:tc>
      </w:tr>
      <w:tr w:rsidR="00B705A4" w:rsidRPr="00B705A4" w14:paraId="02F6AFF5" w14:textId="77777777">
        <w:tc>
          <w:tcPr>
            <w:tcW w:w="0" w:type="auto"/>
            <w:hideMark/>
          </w:tcPr>
          <w:p w14:paraId="46AB089A" w14:textId="77777777" w:rsidR="00B705A4" w:rsidRPr="00B705A4" w:rsidRDefault="00B705A4" w:rsidP="00B705A4">
            <w:pPr>
              <w:rPr>
                <w:b/>
                <w:bCs/>
                <w:sz w:val="28"/>
                <w:szCs w:val="24"/>
                <w:lang w:val="en-IN"/>
              </w:rPr>
            </w:pPr>
            <w:r w:rsidRPr="00B705A4">
              <w:rPr>
                <w:b/>
                <w:bCs/>
                <w:sz w:val="28"/>
                <w:szCs w:val="24"/>
                <w:lang w:val="en-IN"/>
              </w:rPr>
              <w:t>Student ID Number</w:t>
            </w:r>
          </w:p>
        </w:tc>
        <w:tc>
          <w:tcPr>
            <w:tcW w:w="0" w:type="auto"/>
            <w:hideMark/>
          </w:tcPr>
          <w:p w14:paraId="2A75C441" w14:textId="77777777" w:rsidR="00B705A4" w:rsidRPr="00B705A4" w:rsidRDefault="00B705A4" w:rsidP="00B705A4">
            <w:pPr>
              <w:rPr>
                <w:b/>
                <w:bCs/>
                <w:sz w:val="28"/>
                <w:szCs w:val="24"/>
                <w:lang w:val="en-IN"/>
              </w:rPr>
            </w:pPr>
            <w:r w:rsidRPr="00B705A4">
              <w:rPr>
                <w:b/>
                <w:bCs/>
                <w:sz w:val="28"/>
                <w:szCs w:val="24"/>
                <w:lang w:val="en-IN"/>
              </w:rPr>
              <w:t>2432485</w:t>
            </w:r>
          </w:p>
        </w:tc>
      </w:tr>
      <w:tr w:rsidR="00B705A4" w:rsidRPr="00B705A4" w14:paraId="1A26F175" w14:textId="77777777">
        <w:tc>
          <w:tcPr>
            <w:tcW w:w="0" w:type="auto"/>
            <w:hideMark/>
          </w:tcPr>
          <w:p w14:paraId="4CC90246" w14:textId="77777777" w:rsidR="00B705A4" w:rsidRPr="00B705A4" w:rsidRDefault="00B705A4" w:rsidP="00B705A4">
            <w:pPr>
              <w:rPr>
                <w:b/>
                <w:bCs/>
                <w:sz w:val="28"/>
                <w:szCs w:val="24"/>
                <w:lang w:val="en-IN"/>
              </w:rPr>
            </w:pPr>
            <w:r w:rsidRPr="00B705A4">
              <w:rPr>
                <w:b/>
                <w:bCs/>
                <w:sz w:val="28"/>
                <w:szCs w:val="24"/>
                <w:lang w:val="en-IN"/>
              </w:rPr>
              <w:t>Programme</w:t>
            </w:r>
          </w:p>
        </w:tc>
        <w:tc>
          <w:tcPr>
            <w:tcW w:w="0" w:type="auto"/>
            <w:hideMark/>
          </w:tcPr>
          <w:p w14:paraId="56692114" w14:textId="77777777" w:rsidR="00B705A4" w:rsidRPr="00B705A4" w:rsidRDefault="00B705A4" w:rsidP="00B705A4">
            <w:pPr>
              <w:rPr>
                <w:b/>
                <w:bCs/>
                <w:sz w:val="28"/>
                <w:szCs w:val="24"/>
                <w:lang w:val="en-IN"/>
              </w:rPr>
            </w:pPr>
            <w:r w:rsidRPr="00B705A4">
              <w:rPr>
                <w:b/>
                <w:bCs/>
                <w:sz w:val="28"/>
                <w:szCs w:val="24"/>
                <w:lang w:val="en-IN"/>
              </w:rPr>
              <w:t>MSc Public Health and Social Care in Practice</w:t>
            </w:r>
          </w:p>
        </w:tc>
      </w:tr>
      <w:tr w:rsidR="00B705A4" w:rsidRPr="00B705A4" w14:paraId="2043DC24" w14:textId="77777777">
        <w:tc>
          <w:tcPr>
            <w:tcW w:w="0" w:type="auto"/>
            <w:hideMark/>
          </w:tcPr>
          <w:p w14:paraId="6309CC46" w14:textId="77777777" w:rsidR="00B705A4" w:rsidRPr="00B705A4" w:rsidRDefault="00B705A4" w:rsidP="00B705A4">
            <w:pPr>
              <w:rPr>
                <w:b/>
                <w:bCs/>
                <w:sz w:val="28"/>
                <w:szCs w:val="24"/>
                <w:lang w:val="en-IN"/>
              </w:rPr>
            </w:pPr>
            <w:r w:rsidRPr="00B705A4">
              <w:rPr>
                <w:b/>
                <w:bCs/>
                <w:sz w:val="28"/>
                <w:szCs w:val="24"/>
                <w:lang w:val="en-IN"/>
              </w:rPr>
              <w:t>Module</w:t>
            </w:r>
          </w:p>
        </w:tc>
        <w:tc>
          <w:tcPr>
            <w:tcW w:w="0" w:type="auto"/>
            <w:hideMark/>
          </w:tcPr>
          <w:p w14:paraId="09EE912B" w14:textId="77777777" w:rsidR="00B705A4" w:rsidRPr="00B705A4" w:rsidRDefault="00B705A4" w:rsidP="00B705A4">
            <w:pPr>
              <w:rPr>
                <w:b/>
                <w:bCs/>
                <w:sz w:val="28"/>
                <w:szCs w:val="24"/>
                <w:lang w:val="en-IN"/>
              </w:rPr>
            </w:pPr>
            <w:r w:rsidRPr="00B705A4">
              <w:rPr>
                <w:b/>
                <w:bCs/>
                <w:sz w:val="28"/>
                <w:szCs w:val="24"/>
                <w:lang w:val="en-IN"/>
              </w:rPr>
              <w:t>Quality Assurance and Service Improvements</w:t>
            </w:r>
          </w:p>
        </w:tc>
      </w:tr>
      <w:tr w:rsidR="00B705A4" w:rsidRPr="00B705A4" w14:paraId="0430D943" w14:textId="77777777">
        <w:tc>
          <w:tcPr>
            <w:tcW w:w="0" w:type="auto"/>
            <w:hideMark/>
          </w:tcPr>
          <w:p w14:paraId="6661096C" w14:textId="77777777" w:rsidR="00B705A4" w:rsidRPr="00B705A4" w:rsidRDefault="00B705A4" w:rsidP="00B705A4">
            <w:pPr>
              <w:rPr>
                <w:b/>
                <w:bCs/>
                <w:sz w:val="28"/>
                <w:szCs w:val="24"/>
                <w:lang w:val="en-IN"/>
              </w:rPr>
            </w:pPr>
            <w:r w:rsidRPr="00B705A4">
              <w:rPr>
                <w:b/>
                <w:bCs/>
                <w:sz w:val="28"/>
                <w:szCs w:val="24"/>
                <w:lang w:val="en-IN"/>
              </w:rPr>
              <w:t>Module Code</w:t>
            </w:r>
          </w:p>
        </w:tc>
        <w:tc>
          <w:tcPr>
            <w:tcW w:w="0" w:type="auto"/>
            <w:hideMark/>
          </w:tcPr>
          <w:p w14:paraId="33B364DA" w14:textId="77777777" w:rsidR="00B705A4" w:rsidRPr="00B705A4" w:rsidRDefault="00B705A4" w:rsidP="00B705A4">
            <w:pPr>
              <w:rPr>
                <w:b/>
                <w:bCs/>
                <w:sz w:val="28"/>
                <w:szCs w:val="24"/>
                <w:lang w:val="en-IN"/>
              </w:rPr>
            </w:pPr>
            <w:r w:rsidRPr="00B705A4">
              <w:rPr>
                <w:b/>
                <w:bCs/>
                <w:sz w:val="28"/>
                <w:szCs w:val="24"/>
                <w:lang w:val="en-IN"/>
              </w:rPr>
              <w:t>LCHS7006</w:t>
            </w:r>
          </w:p>
        </w:tc>
      </w:tr>
      <w:tr w:rsidR="00B705A4" w:rsidRPr="00B705A4" w14:paraId="6D007162" w14:textId="77777777">
        <w:tc>
          <w:tcPr>
            <w:tcW w:w="0" w:type="auto"/>
            <w:hideMark/>
          </w:tcPr>
          <w:p w14:paraId="610B9F8D" w14:textId="77777777" w:rsidR="00B705A4" w:rsidRPr="00B705A4" w:rsidRDefault="00B705A4" w:rsidP="00B705A4">
            <w:pPr>
              <w:rPr>
                <w:b/>
                <w:bCs/>
                <w:sz w:val="28"/>
                <w:szCs w:val="24"/>
                <w:lang w:val="en-IN"/>
              </w:rPr>
            </w:pPr>
            <w:r w:rsidRPr="00B705A4">
              <w:rPr>
                <w:b/>
                <w:bCs/>
                <w:sz w:val="28"/>
                <w:szCs w:val="24"/>
                <w:lang w:val="en-IN"/>
              </w:rPr>
              <w:t>Assignment Title</w:t>
            </w:r>
          </w:p>
        </w:tc>
        <w:tc>
          <w:tcPr>
            <w:tcW w:w="0" w:type="auto"/>
            <w:hideMark/>
          </w:tcPr>
          <w:p w14:paraId="15F4D79D" w14:textId="77777777" w:rsidR="00B705A4" w:rsidRPr="00B705A4" w:rsidRDefault="00B705A4" w:rsidP="00B705A4">
            <w:pPr>
              <w:rPr>
                <w:b/>
                <w:bCs/>
                <w:sz w:val="28"/>
                <w:szCs w:val="24"/>
                <w:lang w:val="en-IN"/>
              </w:rPr>
            </w:pPr>
            <w:r w:rsidRPr="00B705A4">
              <w:rPr>
                <w:b/>
                <w:bCs/>
                <w:sz w:val="28"/>
                <w:szCs w:val="24"/>
                <w:lang w:val="en-IN"/>
              </w:rPr>
              <w:t>Component 2</w:t>
            </w:r>
          </w:p>
        </w:tc>
      </w:tr>
      <w:tr w:rsidR="00B705A4" w:rsidRPr="00B705A4" w14:paraId="23DACA97" w14:textId="77777777">
        <w:tc>
          <w:tcPr>
            <w:tcW w:w="0" w:type="auto"/>
            <w:hideMark/>
          </w:tcPr>
          <w:p w14:paraId="450AA427" w14:textId="77777777" w:rsidR="00B705A4" w:rsidRPr="00B705A4" w:rsidRDefault="00B705A4" w:rsidP="00B705A4">
            <w:pPr>
              <w:rPr>
                <w:b/>
                <w:bCs/>
                <w:sz w:val="28"/>
                <w:szCs w:val="24"/>
                <w:lang w:val="en-IN"/>
              </w:rPr>
            </w:pPr>
            <w:r w:rsidRPr="00B705A4">
              <w:rPr>
                <w:b/>
                <w:bCs/>
                <w:sz w:val="28"/>
                <w:szCs w:val="24"/>
                <w:lang w:val="en-IN"/>
              </w:rPr>
              <w:t>Lecturer</w:t>
            </w:r>
          </w:p>
        </w:tc>
        <w:tc>
          <w:tcPr>
            <w:tcW w:w="0" w:type="auto"/>
            <w:hideMark/>
          </w:tcPr>
          <w:p w14:paraId="4448470E" w14:textId="77777777" w:rsidR="00B705A4" w:rsidRPr="00B705A4" w:rsidRDefault="00B705A4" w:rsidP="00B705A4">
            <w:pPr>
              <w:rPr>
                <w:b/>
                <w:bCs/>
                <w:sz w:val="28"/>
                <w:szCs w:val="24"/>
                <w:lang w:val="en-IN"/>
              </w:rPr>
            </w:pPr>
            <w:r w:rsidRPr="00B705A4">
              <w:rPr>
                <w:b/>
                <w:bCs/>
                <w:sz w:val="28"/>
                <w:szCs w:val="24"/>
                <w:lang w:val="en-IN"/>
              </w:rPr>
              <w:t>Dr Fahad Khan</w:t>
            </w:r>
          </w:p>
        </w:tc>
      </w:tr>
      <w:tr w:rsidR="00B705A4" w:rsidRPr="00B705A4" w14:paraId="418C0B7F" w14:textId="77777777">
        <w:tc>
          <w:tcPr>
            <w:tcW w:w="0" w:type="auto"/>
            <w:hideMark/>
          </w:tcPr>
          <w:p w14:paraId="1B9AC8EA" w14:textId="5CF12FF0" w:rsidR="00B705A4" w:rsidRPr="00B705A4" w:rsidRDefault="00B705A4" w:rsidP="00B705A4">
            <w:pPr>
              <w:rPr>
                <w:b/>
                <w:bCs/>
                <w:sz w:val="28"/>
                <w:szCs w:val="24"/>
                <w:lang w:val="en-IN"/>
              </w:rPr>
            </w:pPr>
            <w:r w:rsidRPr="00B705A4">
              <w:rPr>
                <w:b/>
                <w:bCs/>
                <w:sz w:val="28"/>
                <w:szCs w:val="24"/>
                <w:lang w:val="en-IN"/>
              </w:rPr>
              <w:t>Internal Verifier</w:t>
            </w:r>
          </w:p>
        </w:tc>
        <w:tc>
          <w:tcPr>
            <w:tcW w:w="0" w:type="auto"/>
            <w:hideMark/>
          </w:tcPr>
          <w:p w14:paraId="1C1A8C7B" w14:textId="77777777" w:rsidR="00B705A4" w:rsidRPr="00B705A4" w:rsidRDefault="00B705A4" w:rsidP="00B705A4">
            <w:pPr>
              <w:rPr>
                <w:b/>
                <w:bCs/>
                <w:sz w:val="28"/>
                <w:szCs w:val="24"/>
                <w:lang w:val="en-IN"/>
              </w:rPr>
            </w:pPr>
            <w:r w:rsidRPr="00B705A4">
              <w:rPr>
                <w:b/>
                <w:bCs/>
                <w:sz w:val="28"/>
                <w:szCs w:val="24"/>
                <w:lang w:val="en-IN"/>
              </w:rPr>
              <w:t>Dr Hamdi Hussain</w:t>
            </w:r>
          </w:p>
        </w:tc>
      </w:tr>
    </w:tbl>
    <w:p w14:paraId="34A1E58C" w14:textId="77777777" w:rsidR="008C26A1" w:rsidRPr="008C26A1" w:rsidRDefault="008C26A1" w:rsidP="008C26A1">
      <w:pPr>
        <w:rPr>
          <w:b/>
          <w:bCs/>
          <w:sz w:val="36"/>
          <w:szCs w:val="32"/>
          <w:lang w:val="en-IN"/>
        </w:rPr>
      </w:pPr>
    </w:p>
    <w:p w14:paraId="41F0009A" w14:textId="77777777" w:rsidR="008C26A1" w:rsidRPr="008C26A1" w:rsidRDefault="008C26A1" w:rsidP="008C26A1">
      <w:pPr>
        <w:jc w:val="center"/>
        <w:rPr>
          <w:b/>
          <w:bCs/>
          <w:sz w:val="36"/>
          <w:szCs w:val="32"/>
          <w:lang w:val="en-IN"/>
        </w:rPr>
      </w:pPr>
      <w:r w:rsidRPr="008C26A1">
        <w:rPr>
          <w:b/>
          <w:bCs/>
          <w:sz w:val="36"/>
          <w:szCs w:val="32"/>
          <w:lang w:val="en-IN"/>
        </w:rPr>
        <w:tab/>
      </w:r>
    </w:p>
    <w:p w14:paraId="2F53FE7F" w14:textId="77777777" w:rsidR="00B54A0D" w:rsidRDefault="00B54A0D">
      <w:pPr>
        <w:spacing w:after="0"/>
        <w:rPr>
          <w:b/>
          <w:bCs/>
          <w:lang w:val="en-IN"/>
        </w:rPr>
      </w:pPr>
      <w:r>
        <w:rPr>
          <w:b/>
          <w:bCs/>
          <w:lang w:val="en-IN"/>
        </w:rPr>
        <w:br w:type="page"/>
      </w:r>
    </w:p>
    <w:p w14:paraId="44570CDA" w14:textId="77777777" w:rsidR="000D1D96" w:rsidRDefault="000D1D96">
      <w:pPr>
        <w:pStyle w:val="TOCHeading"/>
      </w:pPr>
      <w:r>
        <w:t>Table of Contents</w:t>
      </w:r>
    </w:p>
    <w:p w14:paraId="5A94E24F" w14:textId="77777777" w:rsidR="00A46A7A" w:rsidRDefault="000D1D96">
      <w:pPr>
        <w:pStyle w:val="TOC1"/>
        <w:tabs>
          <w:tab w:val="right" w:leader="dot" w:pos="9016"/>
        </w:tabs>
        <w:rPr>
          <w:rFonts w:ascii="Calibri" w:eastAsia="Times New Roman" w:hAnsi="Calibri"/>
          <w:noProof/>
          <w:szCs w:val="24"/>
          <w:lang w:val="en-IN" w:eastAsia="en-IN"/>
        </w:rPr>
      </w:pPr>
      <w:r>
        <w:fldChar w:fldCharType="begin"/>
      </w:r>
      <w:r>
        <w:instrText xml:space="preserve"> TOC \o "1-3" \h \z \u </w:instrText>
      </w:r>
      <w:r>
        <w:fldChar w:fldCharType="separate"/>
      </w:r>
      <w:hyperlink w:anchor="_Toc215146857" w:history="1">
        <w:r w:rsidR="00A46A7A" w:rsidRPr="00E55CEA">
          <w:rPr>
            <w:rStyle w:val="Hyperlink"/>
            <w:noProof/>
            <w:lang w:val="en-IN"/>
          </w:rPr>
          <w:t>Introduction</w:t>
        </w:r>
        <w:r w:rsidR="00A46A7A">
          <w:rPr>
            <w:noProof/>
            <w:webHidden/>
          </w:rPr>
          <w:tab/>
        </w:r>
        <w:r w:rsidR="00A46A7A">
          <w:rPr>
            <w:noProof/>
            <w:webHidden/>
          </w:rPr>
          <w:fldChar w:fldCharType="begin"/>
        </w:r>
        <w:r w:rsidR="00A46A7A">
          <w:rPr>
            <w:noProof/>
            <w:webHidden/>
          </w:rPr>
          <w:instrText xml:space="preserve"> PAGEREF _Toc215146857 \h </w:instrText>
        </w:r>
        <w:r w:rsidR="00A46A7A">
          <w:rPr>
            <w:noProof/>
            <w:webHidden/>
          </w:rPr>
        </w:r>
        <w:r w:rsidR="00A46A7A">
          <w:rPr>
            <w:noProof/>
            <w:webHidden/>
          </w:rPr>
          <w:fldChar w:fldCharType="separate"/>
        </w:r>
        <w:r w:rsidR="00A46A7A">
          <w:rPr>
            <w:noProof/>
            <w:webHidden/>
          </w:rPr>
          <w:t>3</w:t>
        </w:r>
        <w:r w:rsidR="00A46A7A">
          <w:rPr>
            <w:noProof/>
            <w:webHidden/>
          </w:rPr>
          <w:fldChar w:fldCharType="end"/>
        </w:r>
      </w:hyperlink>
    </w:p>
    <w:p w14:paraId="1CBAC5BF" w14:textId="77777777" w:rsidR="00A46A7A" w:rsidRDefault="00A46A7A">
      <w:pPr>
        <w:pStyle w:val="TOC1"/>
        <w:tabs>
          <w:tab w:val="right" w:leader="dot" w:pos="9016"/>
        </w:tabs>
        <w:rPr>
          <w:rFonts w:ascii="Calibri" w:eastAsia="Times New Roman" w:hAnsi="Calibri"/>
          <w:noProof/>
          <w:szCs w:val="24"/>
          <w:lang w:val="en-IN" w:eastAsia="en-IN"/>
        </w:rPr>
      </w:pPr>
      <w:hyperlink w:anchor="_Toc215146858" w:history="1">
        <w:r w:rsidRPr="00E55CEA">
          <w:rPr>
            <w:rStyle w:val="Hyperlink"/>
            <w:noProof/>
            <w:lang w:val="en-IN"/>
          </w:rPr>
          <w:t>Main Body</w:t>
        </w:r>
        <w:r>
          <w:rPr>
            <w:noProof/>
            <w:webHidden/>
          </w:rPr>
          <w:tab/>
        </w:r>
        <w:r>
          <w:rPr>
            <w:noProof/>
            <w:webHidden/>
          </w:rPr>
          <w:fldChar w:fldCharType="begin"/>
        </w:r>
        <w:r>
          <w:rPr>
            <w:noProof/>
            <w:webHidden/>
          </w:rPr>
          <w:instrText xml:space="preserve"> PAGEREF _Toc215146858 \h </w:instrText>
        </w:r>
        <w:r>
          <w:rPr>
            <w:noProof/>
            <w:webHidden/>
          </w:rPr>
        </w:r>
        <w:r>
          <w:rPr>
            <w:noProof/>
            <w:webHidden/>
          </w:rPr>
          <w:fldChar w:fldCharType="separate"/>
        </w:r>
        <w:r>
          <w:rPr>
            <w:noProof/>
            <w:webHidden/>
          </w:rPr>
          <w:t>5</w:t>
        </w:r>
        <w:r>
          <w:rPr>
            <w:noProof/>
            <w:webHidden/>
          </w:rPr>
          <w:fldChar w:fldCharType="end"/>
        </w:r>
      </w:hyperlink>
    </w:p>
    <w:p w14:paraId="4440EA15"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59" w:history="1">
        <w:r w:rsidRPr="00E55CEA">
          <w:rPr>
            <w:rStyle w:val="Hyperlink"/>
            <w:noProof/>
            <w:lang w:val="en-IN"/>
          </w:rPr>
          <w:t>1. Donabedian Model</w:t>
        </w:r>
        <w:r>
          <w:rPr>
            <w:noProof/>
            <w:webHidden/>
          </w:rPr>
          <w:tab/>
        </w:r>
        <w:r>
          <w:rPr>
            <w:noProof/>
            <w:webHidden/>
          </w:rPr>
          <w:fldChar w:fldCharType="begin"/>
        </w:r>
        <w:r>
          <w:rPr>
            <w:noProof/>
            <w:webHidden/>
          </w:rPr>
          <w:instrText xml:space="preserve"> PAGEREF _Toc215146859 \h </w:instrText>
        </w:r>
        <w:r>
          <w:rPr>
            <w:noProof/>
            <w:webHidden/>
          </w:rPr>
        </w:r>
        <w:r>
          <w:rPr>
            <w:noProof/>
            <w:webHidden/>
          </w:rPr>
          <w:fldChar w:fldCharType="separate"/>
        </w:r>
        <w:r>
          <w:rPr>
            <w:noProof/>
            <w:webHidden/>
          </w:rPr>
          <w:t>5</w:t>
        </w:r>
        <w:r>
          <w:rPr>
            <w:noProof/>
            <w:webHidden/>
          </w:rPr>
          <w:fldChar w:fldCharType="end"/>
        </w:r>
      </w:hyperlink>
    </w:p>
    <w:p w14:paraId="0960FC3A"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60" w:history="1">
        <w:r w:rsidRPr="00E55CEA">
          <w:rPr>
            <w:rStyle w:val="Hyperlink"/>
            <w:noProof/>
            <w:lang w:val="en-IN"/>
          </w:rPr>
          <w:t>2. Fishbone Diagram</w:t>
        </w:r>
        <w:r>
          <w:rPr>
            <w:noProof/>
            <w:webHidden/>
          </w:rPr>
          <w:tab/>
        </w:r>
        <w:r>
          <w:rPr>
            <w:noProof/>
            <w:webHidden/>
          </w:rPr>
          <w:fldChar w:fldCharType="begin"/>
        </w:r>
        <w:r>
          <w:rPr>
            <w:noProof/>
            <w:webHidden/>
          </w:rPr>
          <w:instrText xml:space="preserve"> PAGEREF _Toc215146860 \h </w:instrText>
        </w:r>
        <w:r>
          <w:rPr>
            <w:noProof/>
            <w:webHidden/>
          </w:rPr>
        </w:r>
        <w:r>
          <w:rPr>
            <w:noProof/>
            <w:webHidden/>
          </w:rPr>
          <w:fldChar w:fldCharType="separate"/>
        </w:r>
        <w:r>
          <w:rPr>
            <w:noProof/>
            <w:webHidden/>
          </w:rPr>
          <w:t>7</w:t>
        </w:r>
        <w:r>
          <w:rPr>
            <w:noProof/>
            <w:webHidden/>
          </w:rPr>
          <w:fldChar w:fldCharType="end"/>
        </w:r>
      </w:hyperlink>
    </w:p>
    <w:p w14:paraId="68B8F351"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61" w:history="1">
        <w:r w:rsidRPr="00E55CEA">
          <w:rPr>
            <w:rStyle w:val="Hyperlink"/>
            <w:noProof/>
            <w:lang w:val="en-IN"/>
          </w:rPr>
          <w:t>3. SWOT Analysis</w:t>
        </w:r>
        <w:r>
          <w:rPr>
            <w:noProof/>
            <w:webHidden/>
          </w:rPr>
          <w:tab/>
        </w:r>
        <w:r>
          <w:rPr>
            <w:noProof/>
            <w:webHidden/>
          </w:rPr>
          <w:fldChar w:fldCharType="begin"/>
        </w:r>
        <w:r>
          <w:rPr>
            <w:noProof/>
            <w:webHidden/>
          </w:rPr>
          <w:instrText xml:space="preserve"> PAGEREF _Toc215146861 \h </w:instrText>
        </w:r>
        <w:r>
          <w:rPr>
            <w:noProof/>
            <w:webHidden/>
          </w:rPr>
        </w:r>
        <w:r>
          <w:rPr>
            <w:noProof/>
            <w:webHidden/>
          </w:rPr>
          <w:fldChar w:fldCharType="separate"/>
        </w:r>
        <w:r>
          <w:rPr>
            <w:noProof/>
            <w:webHidden/>
          </w:rPr>
          <w:t>8</w:t>
        </w:r>
        <w:r>
          <w:rPr>
            <w:noProof/>
            <w:webHidden/>
          </w:rPr>
          <w:fldChar w:fldCharType="end"/>
        </w:r>
      </w:hyperlink>
    </w:p>
    <w:p w14:paraId="1A5B57C0"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62" w:history="1">
        <w:r w:rsidRPr="00E55CEA">
          <w:rPr>
            <w:rStyle w:val="Hyperlink"/>
            <w:noProof/>
            <w:lang w:val="en-IN"/>
          </w:rPr>
          <w:t>4. PDSA Cycle for Implementation</w:t>
        </w:r>
        <w:r>
          <w:rPr>
            <w:noProof/>
            <w:webHidden/>
          </w:rPr>
          <w:tab/>
        </w:r>
        <w:r>
          <w:rPr>
            <w:noProof/>
            <w:webHidden/>
          </w:rPr>
          <w:fldChar w:fldCharType="begin"/>
        </w:r>
        <w:r>
          <w:rPr>
            <w:noProof/>
            <w:webHidden/>
          </w:rPr>
          <w:instrText xml:space="preserve"> PAGEREF _Toc215146862 \h </w:instrText>
        </w:r>
        <w:r>
          <w:rPr>
            <w:noProof/>
            <w:webHidden/>
          </w:rPr>
        </w:r>
        <w:r>
          <w:rPr>
            <w:noProof/>
            <w:webHidden/>
          </w:rPr>
          <w:fldChar w:fldCharType="separate"/>
        </w:r>
        <w:r>
          <w:rPr>
            <w:noProof/>
            <w:webHidden/>
          </w:rPr>
          <w:t>9</w:t>
        </w:r>
        <w:r>
          <w:rPr>
            <w:noProof/>
            <w:webHidden/>
          </w:rPr>
          <w:fldChar w:fldCharType="end"/>
        </w:r>
      </w:hyperlink>
    </w:p>
    <w:p w14:paraId="3D4214C0"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63" w:history="1">
        <w:r w:rsidRPr="00E55CEA">
          <w:rPr>
            <w:rStyle w:val="Hyperlink"/>
            <w:noProof/>
            <w:lang w:val="en-IN"/>
          </w:rPr>
          <w:t>5. Kotter’s 8-Step Change Model</w:t>
        </w:r>
        <w:r>
          <w:rPr>
            <w:noProof/>
            <w:webHidden/>
          </w:rPr>
          <w:tab/>
        </w:r>
        <w:r>
          <w:rPr>
            <w:noProof/>
            <w:webHidden/>
          </w:rPr>
          <w:fldChar w:fldCharType="begin"/>
        </w:r>
        <w:r>
          <w:rPr>
            <w:noProof/>
            <w:webHidden/>
          </w:rPr>
          <w:instrText xml:space="preserve"> PAGEREF _Toc215146863 \h </w:instrText>
        </w:r>
        <w:r>
          <w:rPr>
            <w:noProof/>
            <w:webHidden/>
          </w:rPr>
        </w:r>
        <w:r>
          <w:rPr>
            <w:noProof/>
            <w:webHidden/>
          </w:rPr>
          <w:fldChar w:fldCharType="separate"/>
        </w:r>
        <w:r>
          <w:rPr>
            <w:noProof/>
            <w:webHidden/>
          </w:rPr>
          <w:t>10</w:t>
        </w:r>
        <w:r>
          <w:rPr>
            <w:noProof/>
            <w:webHidden/>
          </w:rPr>
          <w:fldChar w:fldCharType="end"/>
        </w:r>
      </w:hyperlink>
    </w:p>
    <w:p w14:paraId="2B22E5D7" w14:textId="77777777" w:rsidR="00A46A7A" w:rsidRDefault="00A46A7A">
      <w:pPr>
        <w:pStyle w:val="TOC1"/>
        <w:tabs>
          <w:tab w:val="right" w:leader="dot" w:pos="9016"/>
        </w:tabs>
        <w:rPr>
          <w:rFonts w:ascii="Calibri" w:eastAsia="Times New Roman" w:hAnsi="Calibri"/>
          <w:noProof/>
          <w:szCs w:val="24"/>
          <w:lang w:val="en-IN" w:eastAsia="en-IN"/>
        </w:rPr>
      </w:pPr>
      <w:hyperlink w:anchor="_Toc215146864" w:history="1">
        <w:r w:rsidRPr="00E55CEA">
          <w:rPr>
            <w:rStyle w:val="Hyperlink"/>
            <w:noProof/>
            <w:lang w:val="en-IN"/>
          </w:rPr>
          <w:t>Recommendation</w:t>
        </w:r>
        <w:r>
          <w:rPr>
            <w:noProof/>
            <w:webHidden/>
          </w:rPr>
          <w:tab/>
        </w:r>
        <w:r>
          <w:rPr>
            <w:noProof/>
            <w:webHidden/>
          </w:rPr>
          <w:fldChar w:fldCharType="begin"/>
        </w:r>
        <w:r>
          <w:rPr>
            <w:noProof/>
            <w:webHidden/>
          </w:rPr>
          <w:instrText xml:space="preserve"> PAGEREF _Toc215146864 \h </w:instrText>
        </w:r>
        <w:r>
          <w:rPr>
            <w:noProof/>
            <w:webHidden/>
          </w:rPr>
        </w:r>
        <w:r>
          <w:rPr>
            <w:noProof/>
            <w:webHidden/>
          </w:rPr>
          <w:fldChar w:fldCharType="separate"/>
        </w:r>
        <w:r>
          <w:rPr>
            <w:noProof/>
            <w:webHidden/>
          </w:rPr>
          <w:t>12</w:t>
        </w:r>
        <w:r>
          <w:rPr>
            <w:noProof/>
            <w:webHidden/>
          </w:rPr>
          <w:fldChar w:fldCharType="end"/>
        </w:r>
      </w:hyperlink>
    </w:p>
    <w:p w14:paraId="74D825A5" w14:textId="77777777" w:rsidR="00A46A7A" w:rsidRDefault="00A46A7A">
      <w:pPr>
        <w:pStyle w:val="TOC1"/>
        <w:tabs>
          <w:tab w:val="right" w:leader="dot" w:pos="9016"/>
        </w:tabs>
        <w:rPr>
          <w:rFonts w:ascii="Calibri" w:eastAsia="Times New Roman" w:hAnsi="Calibri"/>
          <w:noProof/>
          <w:szCs w:val="24"/>
          <w:lang w:val="en-IN" w:eastAsia="en-IN"/>
        </w:rPr>
      </w:pPr>
      <w:hyperlink w:anchor="_Toc215146865" w:history="1">
        <w:r w:rsidRPr="00E55CEA">
          <w:rPr>
            <w:rStyle w:val="Hyperlink"/>
            <w:noProof/>
            <w:lang w:val="en-IN"/>
          </w:rPr>
          <w:t>Benchmarking</w:t>
        </w:r>
        <w:r>
          <w:rPr>
            <w:noProof/>
            <w:webHidden/>
          </w:rPr>
          <w:tab/>
        </w:r>
        <w:r>
          <w:rPr>
            <w:noProof/>
            <w:webHidden/>
          </w:rPr>
          <w:fldChar w:fldCharType="begin"/>
        </w:r>
        <w:r>
          <w:rPr>
            <w:noProof/>
            <w:webHidden/>
          </w:rPr>
          <w:instrText xml:space="preserve"> PAGEREF _Toc215146865 \h </w:instrText>
        </w:r>
        <w:r>
          <w:rPr>
            <w:noProof/>
            <w:webHidden/>
          </w:rPr>
        </w:r>
        <w:r>
          <w:rPr>
            <w:noProof/>
            <w:webHidden/>
          </w:rPr>
          <w:fldChar w:fldCharType="separate"/>
        </w:r>
        <w:r>
          <w:rPr>
            <w:noProof/>
            <w:webHidden/>
          </w:rPr>
          <w:t>12</w:t>
        </w:r>
        <w:r>
          <w:rPr>
            <w:noProof/>
            <w:webHidden/>
          </w:rPr>
          <w:fldChar w:fldCharType="end"/>
        </w:r>
      </w:hyperlink>
    </w:p>
    <w:p w14:paraId="23292228" w14:textId="77777777" w:rsidR="00A46A7A" w:rsidRDefault="00A46A7A">
      <w:pPr>
        <w:pStyle w:val="TOC2"/>
        <w:tabs>
          <w:tab w:val="right" w:leader="dot" w:pos="9016"/>
        </w:tabs>
        <w:rPr>
          <w:rFonts w:ascii="Calibri" w:eastAsia="Times New Roman" w:hAnsi="Calibri"/>
          <w:noProof/>
          <w:szCs w:val="24"/>
          <w:lang w:val="en-IN" w:eastAsia="en-IN"/>
        </w:rPr>
      </w:pPr>
      <w:hyperlink w:anchor="_Toc215146866" w:history="1">
        <w:r w:rsidRPr="00E55CEA">
          <w:rPr>
            <w:rStyle w:val="Hyperlink"/>
            <w:noProof/>
            <w:lang w:val="en-IN"/>
          </w:rPr>
          <w:t>Benchmark Table</w:t>
        </w:r>
        <w:r>
          <w:rPr>
            <w:noProof/>
            <w:webHidden/>
          </w:rPr>
          <w:tab/>
        </w:r>
        <w:r>
          <w:rPr>
            <w:noProof/>
            <w:webHidden/>
          </w:rPr>
          <w:fldChar w:fldCharType="begin"/>
        </w:r>
        <w:r>
          <w:rPr>
            <w:noProof/>
            <w:webHidden/>
          </w:rPr>
          <w:instrText xml:space="preserve"> PAGEREF _Toc215146866 \h </w:instrText>
        </w:r>
        <w:r>
          <w:rPr>
            <w:noProof/>
            <w:webHidden/>
          </w:rPr>
        </w:r>
        <w:r>
          <w:rPr>
            <w:noProof/>
            <w:webHidden/>
          </w:rPr>
          <w:fldChar w:fldCharType="separate"/>
        </w:r>
        <w:r>
          <w:rPr>
            <w:noProof/>
            <w:webHidden/>
          </w:rPr>
          <w:t>12</w:t>
        </w:r>
        <w:r>
          <w:rPr>
            <w:noProof/>
            <w:webHidden/>
          </w:rPr>
          <w:fldChar w:fldCharType="end"/>
        </w:r>
      </w:hyperlink>
    </w:p>
    <w:p w14:paraId="7C100BB4" w14:textId="77777777" w:rsidR="00A46A7A" w:rsidRDefault="00A46A7A">
      <w:pPr>
        <w:pStyle w:val="TOC1"/>
        <w:tabs>
          <w:tab w:val="right" w:leader="dot" w:pos="9016"/>
        </w:tabs>
        <w:rPr>
          <w:rFonts w:ascii="Calibri" w:eastAsia="Times New Roman" w:hAnsi="Calibri"/>
          <w:noProof/>
          <w:szCs w:val="24"/>
          <w:lang w:val="en-IN" w:eastAsia="en-IN"/>
        </w:rPr>
      </w:pPr>
      <w:hyperlink w:anchor="_Toc215146867" w:history="1">
        <w:r w:rsidRPr="00E55CEA">
          <w:rPr>
            <w:rStyle w:val="Hyperlink"/>
            <w:noProof/>
            <w:lang w:val="en-IN"/>
          </w:rPr>
          <w:t>Conclusion</w:t>
        </w:r>
        <w:r>
          <w:rPr>
            <w:noProof/>
            <w:webHidden/>
          </w:rPr>
          <w:tab/>
        </w:r>
        <w:r>
          <w:rPr>
            <w:noProof/>
            <w:webHidden/>
          </w:rPr>
          <w:fldChar w:fldCharType="begin"/>
        </w:r>
        <w:r>
          <w:rPr>
            <w:noProof/>
            <w:webHidden/>
          </w:rPr>
          <w:instrText xml:space="preserve"> PAGEREF _Toc215146867 \h </w:instrText>
        </w:r>
        <w:r>
          <w:rPr>
            <w:noProof/>
            <w:webHidden/>
          </w:rPr>
        </w:r>
        <w:r>
          <w:rPr>
            <w:noProof/>
            <w:webHidden/>
          </w:rPr>
          <w:fldChar w:fldCharType="separate"/>
        </w:r>
        <w:r>
          <w:rPr>
            <w:noProof/>
            <w:webHidden/>
          </w:rPr>
          <w:t>15</w:t>
        </w:r>
        <w:r>
          <w:rPr>
            <w:noProof/>
            <w:webHidden/>
          </w:rPr>
          <w:fldChar w:fldCharType="end"/>
        </w:r>
      </w:hyperlink>
    </w:p>
    <w:p w14:paraId="0E9DFAEB" w14:textId="77777777" w:rsidR="00A46A7A" w:rsidRDefault="00A46A7A">
      <w:pPr>
        <w:pStyle w:val="TOC1"/>
        <w:tabs>
          <w:tab w:val="right" w:leader="dot" w:pos="9016"/>
        </w:tabs>
        <w:rPr>
          <w:rFonts w:ascii="Calibri" w:eastAsia="Times New Roman" w:hAnsi="Calibri"/>
          <w:noProof/>
          <w:szCs w:val="24"/>
          <w:lang w:val="en-IN" w:eastAsia="en-IN"/>
        </w:rPr>
      </w:pPr>
      <w:hyperlink w:anchor="_Toc215146868" w:history="1">
        <w:r w:rsidRPr="00E55CEA">
          <w:rPr>
            <w:rStyle w:val="Hyperlink"/>
            <w:noProof/>
            <w:lang w:val="en-IN"/>
          </w:rPr>
          <w:t>Reference list</w:t>
        </w:r>
        <w:r>
          <w:rPr>
            <w:noProof/>
            <w:webHidden/>
          </w:rPr>
          <w:tab/>
        </w:r>
        <w:r>
          <w:rPr>
            <w:noProof/>
            <w:webHidden/>
          </w:rPr>
          <w:fldChar w:fldCharType="begin"/>
        </w:r>
        <w:r>
          <w:rPr>
            <w:noProof/>
            <w:webHidden/>
          </w:rPr>
          <w:instrText xml:space="preserve"> PAGEREF _Toc215146868 \h </w:instrText>
        </w:r>
        <w:r>
          <w:rPr>
            <w:noProof/>
            <w:webHidden/>
          </w:rPr>
        </w:r>
        <w:r>
          <w:rPr>
            <w:noProof/>
            <w:webHidden/>
          </w:rPr>
          <w:fldChar w:fldCharType="separate"/>
        </w:r>
        <w:r>
          <w:rPr>
            <w:noProof/>
            <w:webHidden/>
          </w:rPr>
          <w:t>16</w:t>
        </w:r>
        <w:r>
          <w:rPr>
            <w:noProof/>
            <w:webHidden/>
          </w:rPr>
          <w:fldChar w:fldCharType="end"/>
        </w:r>
      </w:hyperlink>
    </w:p>
    <w:p w14:paraId="5DAFCCE1" w14:textId="77777777" w:rsidR="000D1D96" w:rsidRDefault="000D1D96">
      <w:r>
        <w:rPr>
          <w:b/>
          <w:bCs/>
          <w:noProof/>
        </w:rPr>
        <w:fldChar w:fldCharType="end"/>
      </w:r>
    </w:p>
    <w:p w14:paraId="3C53C6D4" w14:textId="77777777" w:rsidR="00050C76" w:rsidRDefault="00050C76">
      <w:pPr>
        <w:spacing w:after="0"/>
        <w:rPr>
          <w:b/>
          <w:bCs/>
          <w:lang w:val="en-IN"/>
        </w:rPr>
      </w:pPr>
    </w:p>
    <w:p w14:paraId="74FF8CDA" w14:textId="77777777" w:rsidR="00B54A0D" w:rsidRPr="00B54A0D" w:rsidRDefault="00BB454E" w:rsidP="00050C76">
      <w:pPr>
        <w:pStyle w:val="Heading1"/>
        <w:rPr>
          <w:lang w:val="en-IN"/>
        </w:rPr>
      </w:pPr>
      <w:r>
        <w:rPr>
          <w:lang w:val="en-IN"/>
        </w:rPr>
        <w:br w:type="page"/>
      </w:r>
      <w:bookmarkStart w:id="0" w:name="_Toc215146857"/>
      <w:r w:rsidR="00B54A0D" w:rsidRPr="00B54A0D">
        <w:rPr>
          <w:lang w:val="en-IN"/>
        </w:rPr>
        <w:t>Introduction</w:t>
      </w:r>
      <w:bookmarkEnd w:id="0"/>
    </w:p>
    <w:p w14:paraId="0ACB7F3C" w14:textId="119540C4" w:rsidR="002E5E7D" w:rsidRPr="00593A1B" w:rsidRDefault="002E5E7D" w:rsidP="00B54A0D">
      <w:pPr>
        <w:rPr>
          <w:rFonts w:ascii="Arial" w:hAnsi="Arial" w:cs="Arial"/>
          <w:lang w:val="en-IN"/>
        </w:rPr>
      </w:pPr>
      <w:r w:rsidRPr="00593A1B">
        <w:rPr>
          <w:rFonts w:ascii="Arial" w:hAnsi="Arial" w:cs="Arial"/>
          <w:lang w:val="en-IN"/>
        </w:rPr>
        <w:t xml:space="preserve">The Bristol Royal Infirmary paediatric cardiac surgery scandal that took place between 1984 and 1995, is a historic fault in the UK healthcare system that brought major gaps in quality assurance, clinical governance and patient safety that led to avoidable deaths of children and the long-term damage of families (Kennedy, 2001). This investigation, which was led by Professor Sir Ian Kennedy, looked into the management of complex heart surgical services to children in the Bristol Royal Infirmary and the Bristol Royal Hospital of Sick Children and found a trend of insufficient care, which resulted in mortality rates many times higher than those on the national average (Dyer, 2001). </w:t>
      </w:r>
      <w:r w:rsidR="00A7688A" w:rsidRPr="00593A1B">
        <w:rPr>
          <w:rFonts w:ascii="Arial" w:hAnsi="Arial" w:cs="Arial"/>
          <w:lang w:val="en-IN"/>
        </w:rPr>
        <w:t>It needs a closer study since it was not only a testimony to systemic failures as well as a contribute factor in the deaths of about 30-35 children under the age of one year in 199195 but also acted as a spring board to a series of wholesale changes in healthcare in clinical governance, patient safety, and regulatory controls that could help to alleviate the cause of grief in the lives of a number of children in the years to come (Kennedy, 2001).</w:t>
      </w:r>
      <w:r w:rsidR="007115BF" w:rsidRPr="00593A1B">
        <w:rPr>
          <w:rFonts w:ascii="Arial" w:hAnsi="Arial" w:cs="Arial"/>
          <w:lang w:val="en-IN"/>
        </w:rPr>
        <w:t xml:space="preserve"> </w:t>
      </w:r>
      <w:r w:rsidRPr="00593A1B">
        <w:rPr>
          <w:rFonts w:ascii="Arial" w:hAnsi="Arial" w:cs="Arial"/>
          <w:lang w:val="en-IN"/>
        </w:rPr>
        <w:t xml:space="preserve">In particular, the comparison of routinely collected data during 1984-1996 found that Bristol was an outlier as mortality from open-heart surgery in children under one year old in Bristol was found to be about two times those of other, contributing to death toll of about 30-35 more than those reported during the 1991-1995 (Aylin et al., 2001). </w:t>
      </w:r>
      <w:r w:rsidR="007115BF" w:rsidRPr="00593A1B">
        <w:rPr>
          <w:rFonts w:ascii="Arial" w:hAnsi="Arial" w:cs="Arial"/>
          <w:lang w:val="en-IN"/>
        </w:rPr>
        <w:t xml:space="preserve">In certain surgery cases, artificial death rates were as high as 52.6% (20 out of 38) in the case of arterial switch operations and 60% (9 out of 15) by the case of the atrio-ventricular septal defect repair, which is significantly above the national mortality rate of 10-15% (Kennedy, 2001; Aylin et al., 2001). </w:t>
      </w:r>
      <w:r w:rsidRPr="00593A1B">
        <w:rPr>
          <w:rFonts w:ascii="Arial" w:hAnsi="Arial" w:cs="Arial"/>
          <w:lang w:val="en-IN"/>
        </w:rPr>
        <w:t>Two surgeons, Mr. James Wisheart and Mr. Janardan Dhasmana, whose surgeries, including atrio-ventricular septal defect surgeries, arterial switch surgeries, had high mortality rates, were involved in the scandal, 9 deaths in the main periods and 20 deaths in the main periods respectively (BBC, 2025).</w:t>
      </w:r>
    </w:p>
    <w:p w14:paraId="3BDCD3D3" w14:textId="25E2651D" w:rsidR="002E5E7D" w:rsidRPr="00593A1B" w:rsidRDefault="002E5E7D" w:rsidP="00B54A0D">
      <w:pPr>
        <w:rPr>
          <w:rFonts w:ascii="Arial" w:hAnsi="Arial" w:cs="Arial"/>
          <w:lang w:val="en-IN"/>
        </w:rPr>
      </w:pPr>
      <w:r w:rsidRPr="00593A1B">
        <w:rPr>
          <w:rFonts w:ascii="Arial" w:hAnsi="Arial" w:cs="Arial"/>
          <w:lang w:val="en-IN"/>
        </w:rPr>
        <w:t>The root of the problem was an inefficient model of service delivery where there was split-site operation with the separation of surgical operation and post-operative care that created inefficiencies and risk of patients transfer (Butler, 2002). The investigation revealed that there was a "club culture of clinicians, whereby hierarchical lines of power suppressed the issues of the staff, and the leadership continued to ignore the complaints of staff like a whistleblower, an anaesthetist, Dr. Stephen Bolsin, who had raised concerns over the high mortality rates at the hospital (</w:t>
      </w:r>
      <w:proofErr w:type="spellStart"/>
      <w:r w:rsidRPr="00593A1B">
        <w:rPr>
          <w:rFonts w:ascii="Arial" w:hAnsi="Arial" w:cs="Arial"/>
          <w:lang w:val="en-IN"/>
        </w:rPr>
        <w:t>Bolsin</w:t>
      </w:r>
      <w:proofErr w:type="spellEnd"/>
      <w:r w:rsidRPr="00593A1B">
        <w:rPr>
          <w:rFonts w:ascii="Arial" w:hAnsi="Arial" w:cs="Arial"/>
          <w:lang w:val="en-IN"/>
        </w:rPr>
        <w:t xml:space="preserve">, 2002). Inadequate communication, absence of informed consent, disregard of their concerns were reported by the families reinforcing the psychological trauma and making them distrust the system (Coulter, 2002). These did not go </w:t>
      </w:r>
      <w:r w:rsidR="00670F5F" w:rsidRPr="00593A1B">
        <w:rPr>
          <w:rFonts w:ascii="Arial" w:hAnsi="Arial" w:cs="Arial"/>
          <w:lang w:val="en-IN"/>
        </w:rPr>
        <w:t>uncompensated</w:t>
      </w:r>
      <w:r w:rsidRPr="00593A1B">
        <w:rPr>
          <w:rFonts w:ascii="Arial" w:hAnsi="Arial" w:cs="Arial"/>
          <w:lang w:val="en-IN"/>
        </w:rPr>
        <w:t xml:space="preserve"> by the general policy failures of the pre-1998 NHS period in which reform required was based on cost efficiencies and internal market rather than clinical quality monitoring with no mandatory audit of national standards of specialist services such as paediatric cardiac surgery (Price et al., 2020).</w:t>
      </w:r>
    </w:p>
    <w:p w14:paraId="21B713E1" w14:textId="794DCF11" w:rsidR="002E5E7D" w:rsidRPr="00593A1B" w:rsidRDefault="002E5E7D" w:rsidP="00B54A0D">
      <w:pPr>
        <w:rPr>
          <w:rFonts w:ascii="Arial" w:hAnsi="Arial" w:cs="Arial"/>
          <w:lang w:val="en-IN"/>
        </w:rPr>
      </w:pPr>
      <w:r w:rsidRPr="00593A1B">
        <w:rPr>
          <w:rFonts w:ascii="Arial" w:hAnsi="Arial" w:cs="Arial"/>
          <w:lang w:val="en-IN"/>
        </w:rPr>
        <w:t>Their effects were manifold: a compromise in quality of care due to lack of proper monitoring and safety, preventable morbidity in the survivors, including brain damage; lack of efficiency in terms of resources wasted, extended operations, and repeated errors without learning; a lack of equity as infants particularly the vulnerable who represent various socio-economic groups bore a disproportionate effect, as a result of uneven access and prioritization (Murphy, 2012). The Kennedy Report of 2001 proved to be a trigger to systems changes with clinical governance and compulsory audits, with further regulation exerting influence on contemporary models such as those of the Care Quality Commission (The Health Foundation, 2001). Going back 20 years, it remains clear that regulatory coordination and patient safety issues had been encountered and continue to be a challenge to date, requiring the need to have these issues mitigated sustainably (PSA, 2025).</w:t>
      </w:r>
    </w:p>
    <w:p w14:paraId="07826A7F" w14:textId="390DAE98" w:rsidR="00B54A0D" w:rsidRPr="00593A1B" w:rsidRDefault="002E5E7D">
      <w:pPr>
        <w:spacing w:after="0"/>
        <w:rPr>
          <w:rFonts w:ascii="Arial" w:hAnsi="Arial" w:cs="Arial"/>
          <w:lang w:val="en-IN"/>
        </w:rPr>
      </w:pPr>
      <w:r w:rsidRPr="00593A1B">
        <w:rPr>
          <w:rFonts w:ascii="Arial" w:hAnsi="Arial" w:cs="Arial"/>
          <w:lang w:val="en-IN"/>
        </w:rPr>
        <w:t>This report builds upon the analysis in Component 1 by first slicing root causes and building suggestions to improve the service. It employs the Donabedian Model in the assessment of structure, process, and outcomes; the Fishbone Diagram in the classification of contributory factors; and SWOT analysis to strategize (Harrison et al., 2021). The policy issues are thoroughly discussed basing on the evidence of the inquiry and the current research. Suggestions include the 8- Step Change Model of Kotter, on the cultural transformation and PDSA cycle of the repetition of the improvements, setting the benchmarks based on the current quality initiatives in paediatric cardiothoracic care (Hu et al., 2024; Golden et al., 2025). It is hoped that this will show how these tools can be used to build a sustainable, patient-</w:t>
      </w:r>
      <w:proofErr w:type="spellStart"/>
      <w:r w:rsidRPr="00593A1B">
        <w:rPr>
          <w:rFonts w:ascii="Arial" w:hAnsi="Arial" w:cs="Arial"/>
          <w:lang w:val="en-IN"/>
        </w:rPr>
        <w:t>centered</w:t>
      </w:r>
      <w:proofErr w:type="spellEnd"/>
      <w:r w:rsidRPr="00593A1B">
        <w:rPr>
          <w:rFonts w:ascii="Arial" w:hAnsi="Arial" w:cs="Arial"/>
          <w:lang w:val="en-IN"/>
        </w:rPr>
        <w:t xml:space="preserve"> health service that will avoid future tragedies such as Bristol.</w:t>
      </w:r>
      <w:r w:rsidR="00B54A0D" w:rsidRPr="00593A1B">
        <w:rPr>
          <w:rFonts w:ascii="Arial" w:hAnsi="Arial" w:cs="Arial"/>
          <w:lang w:val="en-IN"/>
        </w:rPr>
        <w:br w:type="page"/>
      </w:r>
    </w:p>
    <w:p w14:paraId="313C2FC1" w14:textId="77777777" w:rsidR="00B54A0D" w:rsidRPr="00593A1B" w:rsidRDefault="00E97ECB" w:rsidP="00A64B56">
      <w:pPr>
        <w:pStyle w:val="Heading1"/>
        <w:rPr>
          <w:rFonts w:ascii="Arial" w:hAnsi="Arial" w:cs="Arial"/>
          <w:lang w:val="en-IN"/>
        </w:rPr>
      </w:pPr>
      <w:bookmarkStart w:id="1" w:name="_Toc215146858"/>
      <w:r w:rsidRPr="00593A1B">
        <w:rPr>
          <w:rFonts w:ascii="Arial" w:hAnsi="Arial" w:cs="Arial"/>
          <w:lang w:val="en-IN"/>
        </w:rPr>
        <w:t>Main Body</w:t>
      </w:r>
      <w:bookmarkEnd w:id="1"/>
    </w:p>
    <w:p w14:paraId="6D00B9A1" w14:textId="77777777" w:rsidR="00E97ECB" w:rsidRPr="00593A1B" w:rsidRDefault="00BF40DD" w:rsidP="00E97ECB">
      <w:pPr>
        <w:pStyle w:val="Heading2"/>
        <w:rPr>
          <w:rFonts w:ascii="Arial" w:hAnsi="Arial" w:cs="Arial"/>
          <w:lang w:val="en-IN"/>
        </w:rPr>
      </w:pPr>
      <w:bookmarkStart w:id="2" w:name="_Toc215146859"/>
      <w:r w:rsidRPr="00593A1B">
        <w:rPr>
          <w:rFonts w:ascii="Arial" w:hAnsi="Arial" w:cs="Arial"/>
          <w:lang w:val="en-IN"/>
        </w:rPr>
        <w:t xml:space="preserve">1. </w:t>
      </w:r>
      <w:r w:rsidR="00E97ECB" w:rsidRPr="00593A1B">
        <w:rPr>
          <w:rFonts w:ascii="Arial" w:hAnsi="Arial" w:cs="Arial"/>
          <w:lang w:val="en-IN"/>
        </w:rPr>
        <w:t>Donabedian Model</w:t>
      </w:r>
      <w:bookmarkEnd w:id="2"/>
    </w:p>
    <w:p w14:paraId="4FDE505F" w14:textId="5CEFDAF4" w:rsidR="002E5E7D" w:rsidRPr="00593A1B" w:rsidRDefault="00057F03" w:rsidP="00B54A0D">
      <w:pPr>
        <w:rPr>
          <w:rFonts w:ascii="Arial" w:hAnsi="Arial" w:cs="Arial"/>
          <w:lang w:val="en-IN"/>
        </w:rPr>
      </w:pPr>
      <w:proofErr w:type="spellStart"/>
      <w:r w:rsidRPr="00593A1B">
        <w:rPr>
          <w:rFonts w:ascii="Arial" w:hAnsi="Arial" w:cs="Arial"/>
          <w:lang w:val="en-IN"/>
        </w:rPr>
        <w:t>Donabedian</w:t>
      </w:r>
      <w:proofErr w:type="spellEnd"/>
      <w:r w:rsidRPr="00593A1B">
        <w:rPr>
          <w:rFonts w:ascii="Arial" w:hAnsi="Arial" w:cs="Arial"/>
          <w:lang w:val="en-IN"/>
        </w:rPr>
        <w:t xml:space="preserve"> Model is an example expressed in a rather basic form in 1988 and then it has become the cornerstone of how to evaluate quality of healthcare through interconnection of aspects of structure, process and outcome, which gives a framework of how to assess deficiencies in service and ways to improve it systematically (Murphy, 2012). Its use to explain the Bristol scandal explicates the interrelationship between failures on any of these contributing factors that continued with poor quality paediatric cardiac surgery, and gives practical lessons in current-day quality assurance (Harrison et al., 2021).</w:t>
      </w:r>
    </w:p>
    <w:p w14:paraId="1EBE2228" w14:textId="77777777" w:rsidR="00B54A0D" w:rsidRPr="00593A1B" w:rsidRDefault="00B54A0D" w:rsidP="00B54A0D">
      <w:pPr>
        <w:rPr>
          <w:rFonts w:ascii="Arial" w:hAnsi="Arial" w:cs="Arial"/>
          <w:b/>
          <w:bCs/>
          <w:lang w:val="en-IN"/>
        </w:rPr>
      </w:pPr>
      <w:r w:rsidRPr="00593A1B">
        <w:rPr>
          <w:rFonts w:ascii="Arial" w:hAnsi="Arial" w:cs="Arial"/>
          <w:b/>
          <w:bCs/>
          <w:lang w:val="en-IN"/>
        </w:rPr>
        <w:t>Structure</w:t>
      </w:r>
    </w:p>
    <w:p w14:paraId="7F31239B" w14:textId="78AFA565" w:rsidR="00057F03" w:rsidRPr="00593A1B" w:rsidRDefault="00057F03" w:rsidP="00B54A0D">
      <w:pPr>
        <w:rPr>
          <w:rFonts w:ascii="Arial" w:hAnsi="Arial" w:cs="Arial"/>
          <w:lang w:val="en-IN"/>
        </w:rPr>
      </w:pPr>
      <w:r w:rsidRPr="00593A1B">
        <w:rPr>
          <w:rFonts w:ascii="Arial" w:hAnsi="Arial" w:cs="Arial"/>
          <w:lang w:val="en-IN"/>
        </w:rPr>
        <w:t>Structure will include the organizational and resource base of care provision. At Bristol, structural deficits were seen in the split-site system, where the patients were operated at the Royal Infirmary and the transfer of patients to intensive care was unsafe; and the multidisciplinary teams were divided (Kennedy, 2001). The shortcomings of staffing were the shortage of specialized paediatric nurses and cardiologists where only two senior cardiologists were available at the beginning and were way below the recommended figures on high-risk procedures (</w:t>
      </w:r>
      <w:proofErr w:type="spellStart"/>
      <w:r w:rsidRPr="00593A1B">
        <w:rPr>
          <w:rFonts w:ascii="Arial" w:hAnsi="Arial" w:cs="Arial"/>
          <w:lang w:val="en-IN"/>
        </w:rPr>
        <w:t>Bolsin</w:t>
      </w:r>
      <w:proofErr w:type="spellEnd"/>
      <w:r w:rsidRPr="00593A1B">
        <w:rPr>
          <w:rFonts w:ascii="Arial" w:hAnsi="Arial" w:cs="Arial"/>
          <w:lang w:val="en-IN"/>
        </w:rPr>
        <w:t xml:space="preserve">, 2002). </w:t>
      </w:r>
      <w:r w:rsidR="00BC4A10" w:rsidRPr="00593A1B">
        <w:rPr>
          <w:rFonts w:ascii="Arial" w:hAnsi="Arial" w:cs="Arial"/>
          <w:lang w:val="en-IN"/>
        </w:rPr>
        <w:t xml:space="preserve">NHS standards and the Kennedy Report suggested that paediatric cardiac units needed three senior cardiologists with junior assistance to maintain decent coverage, yet Bristol had two at first with no trainees, a situation which was unacceptable in the eyes of organizations such as the British Medical Association (Kennedy, 2001). In the case of the nursing, the ICU had the bed number divided between the 5.4 whole-time equivalent (WTE) and the 6.4 recommended bed divided between the two RSCNs but there were less than two RSCNs working on the wards compared to the recommended 24-hours that were required per the environment with children only (Kennedy, 2001) just the same recommendations are shown in reference to the nursing staff. </w:t>
      </w:r>
      <w:r w:rsidRPr="00593A1B">
        <w:rPr>
          <w:rFonts w:ascii="Arial" w:hAnsi="Arial" w:cs="Arial"/>
          <w:lang w:val="en-IN"/>
        </w:rPr>
        <w:t xml:space="preserve">In addition, the lack of specific paediatric facilities and equipment also added to the inefficiencies leading to unequal allocation of resources to adult services due to the national financial limitation in the budget (Butler, 2002). The absence of any volume requirements, since Bristol made less than 50 open-heart operations a year in under-ones and 80-100 to qualify as a proficient provider, were latent weaknesses in the policy; it was not the performance that increased Bristol to the status of a supra-regional </w:t>
      </w:r>
      <w:proofErr w:type="spellStart"/>
      <w:r w:rsidRPr="00593A1B">
        <w:rPr>
          <w:rFonts w:ascii="Arial" w:hAnsi="Arial" w:cs="Arial"/>
          <w:lang w:val="en-IN"/>
        </w:rPr>
        <w:t>center</w:t>
      </w:r>
      <w:proofErr w:type="spellEnd"/>
      <w:r w:rsidRPr="00593A1B">
        <w:rPr>
          <w:rFonts w:ascii="Arial" w:hAnsi="Arial" w:cs="Arial"/>
          <w:lang w:val="en-IN"/>
        </w:rPr>
        <w:t>, but its location (Aylin et al., 2001). Modern standard requirements like prioritizing the minimum volume of cases served to minimize death rates indicate these gaps and guide transformations such as centralizing the services (</w:t>
      </w:r>
      <w:proofErr w:type="spellStart"/>
      <w:r w:rsidRPr="00593A1B">
        <w:rPr>
          <w:rFonts w:ascii="Arial" w:hAnsi="Arial" w:cs="Arial"/>
          <w:lang w:val="en-IN"/>
        </w:rPr>
        <w:t>Suseeladevi</w:t>
      </w:r>
      <w:proofErr w:type="spellEnd"/>
      <w:r w:rsidRPr="00593A1B">
        <w:rPr>
          <w:rFonts w:ascii="Arial" w:hAnsi="Arial" w:cs="Arial"/>
          <w:lang w:val="en-IN"/>
        </w:rPr>
        <w:t xml:space="preserve"> et al., 2025).</w:t>
      </w:r>
    </w:p>
    <w:p w14:paraId="1B2FF1AA" w14:textId="77777777" w:rsidR="00B54A0D" w:rsidRPr="00593A1B" w:rsidRDefault="00B54A0D" w:rsidP="00B54A0D">
      <w:pPr>
        <w:rPr>
          <w:rFonts w:ascii="Arial" w:hAnsi="Arial" w:cs="Arial"/>
          <w:b/>
          <w:bCs/>
          <w:lang w:val="en-IN"/>
        </w:rPr>
      </w:pPr>
      <w:r w:rsidRPr="00593A1B">
        <w:rPr>
          <w:rFonts w:ascii="Arial" w:hAnsi="Arial" w:cs="Arial"/>
          <w:b/>
          <w:bCs/>
          <w:lang w:val="en-IN"/>
        </w:rPr>
        <w:t>Process</w:t>
      </w:r>
    </w:p>
    <w:p w14:paraId="1956C015" w14:textId="0568FCF8" w:rsidR="00057F03" w:rsidRPr="00593A1B" w:rsidRDefault="00057F03" w:rsidP="00B54A0D">
      <w:pPr>
        <w:rPr>
          <w:rFonts w:ascii="Arial" w:hAnsi="Arial" w:cs="Arial"/>
          <w:lang w:val="en-IN"/>
        </w:rPr>
      </w:pPr>
      <w:r w:rsidRPr="00593A1B">
        <w:rPr>
          <w:rFonts w:ascii="Arial" w:hAnsi="Arial" w:cs="Arial"/>
          <w:lang w:val="en-IN"/>
        </w:rPr>
        <w:t xml:space="preserve">Process entails the care providing mechanisms such as clinical practices and coordination. Bristol processes were affected by ineffective surgical procedures, lack of regular audits and ignoring the concerns of whistleblowers leading to high mortality rates going unaddressed (Dyer, 2001). As an example, there was historical inaccuracy when submitting the data to the registries and failure to follow the emerging clinical guidelines or multidisciplinary reviews that led to lengthy operations and errors that went unchecked (BBC, 2025). Breakdown of communication was high: families were being given incomplete risk information, which was against the principle of informed consent, as well as internal hierarchies withheld the warning signals of all Employees including Dr. </w:t>
      </w:r>
      <w:proofErr w:type="spellStart"/>
      <w:r w:rsidRPr="00593A1B">
        <w:rPr>
          <w:rFonts w:ascii="Arial" w:hAnsi="Arial" w:cs="Arial"/>
          <w:lang w:val="en-IN"/>
        </w:rPr>
        <w:t>Bolsin</w:t>
      </w:r>
      <w:proofErr w:type="spellEnd"/>
      <w:r w:rsidRPr="00593A1B">
        <w:rPr>
          <w:rFonts w:ascii="Arial" w:hAnsi="Arial" w:cs="Arial"/>
          <w:lang w:val="en-IN"/>
        </w:rPr>
        <w:t xml:space="preserve"> (Coulter, 2002). In its Clinical Case Note Review of 80 cases that was conducted by the inquiry revealed inadequacies during all the stages of steps one took to diagnose and the other after the operations, where one-third of under-one deaths was ruled to have been averted (Kennedy, 2001). This is contrary to the best practice in high-performing units where systematic morbidity meetings and peer reviews curbed the risks with Bristol going out of the national norms (NICE, 2002).</w:t>
      </w:r>
    </w:p>
    <w:p w14:paraId="30139762" w14:textId="77777777" w:rsidR="00B54A0D" w:rsidRPr="00593A1B" w:rsidRDefault="00B54A0D" w:rsidP="00B54A0D">
      <w:pPr>
        <w:rPr>
          <w:rFonts w:ascii="Arial" w:hAnsi="Arial" w:cs="Arial"/>
          <w:b/>
          <w:bCs/>
          <w:lang w:val="en-IN"/>
        </w:rPr>
      </w:pPr>
      <w:r w:rsidRPr="00593A1B">
        <w:rPr>
          <w:rFonts w:ascii="Arial" w:hAnsi="Arial" w:cs="Arial"/>
          <w:b/>
          <w:bCs/>
          <w:lang w:val="en-IN"/>
        </w:rPr>
        <w:t>Outcome</w:t>
      </w:r>
    </w:p>
    <w:p w14:paraId="7AA35574" w14:textId="27BD7184" w:rsidR="00057F03" w:rsidRPr="00593A1B" w:rsidRDefault="00057F03" w:rsidP="00B54A0D">
      <w:pPr>
        <w:rPr>
          <w:rFonts w:ascii="Arial" w:hAnsi="Arial" w:cs="Arial"/>
          <w:lang w:val="en-IN"/>
        </w:rPr>
      </w:pPr>
      <w:r w:rsidRPr="00593A1B">
        <w:rPr>
          <w:rFonts w:ascii="Arial" w:hAnsi="Arial" w:cs="Arial"/>
          <w:lang w:val="en-IN"/>
        </w:rPr>
        <w:t xml:space="preserve">Outcome measures final outcomes such as the survival and morbidity rates. In Bristol, the results were disastrous: the mortality rates in the arterial switch operations under Mr. Dhasmana were 52.6% (20/38), and in the AVSD repair under Mr. </w:t>
      </w:r>
      <w:proofErr w:type="spellStart"/>
      <w:r w:rsidRPr="00593A1B">
        <w:rPr>
          <w:rFonts w:ascii="Arial" w:hAnsi="Arial" w:cs="Arial"/>
          <w:lang w:val="en-IN"/>
        </w:rPr>
        <w:t>Wisheart</w:t>
      </w:r>
      <w:proofErr w:type="spellEnd"/>
      <w:r w:rsidRPr="00593A1B">
        <w:rPr>
          <w:rFonts w:ascii="Arial" w:hAnsi="Arial" w:cs="Arial"/>
          <w:lang w:val="en-IN"/>
        </w:rPr>
        <w:t xml:space="preserve"> 60% (9/15), which were much higher than the national figures, 10-15% (Aylin et al., 2001). In short, in each case of long term morbidity, such as neurological damage on the survivors, excess deaths were 30-35 among under-ones in 1991-1995 (</w:t>
      </w:r>
      <w:proofErr w:type="spellStart"/>
      <w:r w:rsidRPr="00593A1B">
        <w:rPr>
          <w:rFonts w:ascii="Arial" w:hAnsi="Arial" w:cs="Arial"/>
          <w:lang w:val="en-IN"/>
        </w:rPr>
        <w:t>Bolsin</w:t>
      </w:r>
      <w:proofErr w:type="spellEnd"/>
      <w:r w:rsidRPr="00593A1B">
        <w:rPr>
          <w:rFonts w:ascii="Arial" w:hAnsi="Arial" w:cs="Arial"/>
          <w:lang w:val="en-IN"/>
        </w:rPr>
        <w:t>, 2002). There is a cause-effect relationship in the model: processes of weak structures resulted in poor outcomes due to the post-mortem results of the presence of unsuspected abnormalities in 80 percent of cases (Kennedy, 2001). Importantly, Donabedian can be best used in retrospective analysis though its shortcomings in dynamic interdependency analysis imply its combination with other tools such as Fishbone to support root cause identification entirely, which can be applicable to the post-Bristol stresses on integrated governance (Price et al., 2020).</w:t>
      </w:r>
    </w:p>
    <w:p w14:paraId="67122E96" w14:textId="77777777" w:rsidR="00A64B56" w:rsidRPr="00593A1B" w:rsidRDefault="00A64B56">
      <w:pPr>
        <w:spacing w:after="0"/>
        <w:rPr>
          <w:rFonts w:ascii="Arial" w:eastAsia="Times New Roman" w:hAnsi="Arial" w:cs="Arial"/>
          <w:b/>
          <w:color w:val="4472C4"/>
          <w:szCs w:val="26"/>
          <w:lang w:val="en-IN"/>
        </w:rPr>
      </w:pPr>
    </w:p>
    <w:p w14:paraId="3F921C77" w14:textId="77777777" w:rsidR="00B54A0D" w:rsidRPr="00593A1B" w:rsidRDefault="008D1C8D" w:rsidP="008D1C8D">
      <w:pPr>
        <w:pStyle w:val="Heading2"/>
        <w:rPr>
          <w:rFonts w:ascii="Arial" w:hAnsi="Arial" w:cs="Arial"/>
          <w:lang w:val="en-IN"/>
        </w:rPr>
      </w:pPr>
      <w:bookmarkStart w:id="3" w:name="_Toc215146860"/>
      <w:r w:rsidRPr="00593A1B">
        <w:rPr>
          <w:rFonts w:ascii="Arial" w:hAnsi="Arial" w:cs="Arial"/>
          <w:lang w:val="en-IN"/>
        </w:rPr>
        <w:t>2</w:t>
      </w:r>
      <w:r w:rsidR="00A64B56" w:rsidRPr="00593A1B">
        <w:rPr>
          <w:rFonts w:ascii="Arial" w:hAnsi="Arial" w:cs="Arial"/>
          <w:lang w:val="en-IN"/>
        </w:rPr>
        <w:t>.</w:t>
      </w:r>
      <w:r w:rsidR="00B54A0D" w:rsidRPr="00593A1B">
        <w:rPr>
          <w:rFonts w:ascii="Arial" w:hAnsi="Arial" w:cs="Arial"/>
          <w:lang w:val="en-IN"/>
        </w:rPr>
        <w:t xml:space="preserve"> Fishbone Diagram</w:t>
      </w:r>
      <w:bookmarkEnd w:id="3"/>
    </w:p>
    <w:p w14:paraId="635AD141" w14:textId="29B88A01" w:rsidR="00057F03" w:rsidRPr="00593A1B" w:rsidRDefault="00057F03" w:rsidP="00B54A0D">
      <w:pPr>
        <w:rPr>
          <w:rFonts w:ascii="Arial" w:hAnsi="Arial" w:cs="Arial"/>
          <w:lang w:val="en-IN"/>
        </w:rPr>
      </w:pPr>
      <w:r w:rsidRPr="00593A1B">
        <w:rPr>
          <w:rFonts w:ascii="Arial" w:hAnsi="Arial" w:cs="Arial"/>
          <w:lang w:val="en-IN"/>
        </w:rPr>
        <w:t xml:space="preserve">Based on the key domains that divide root causes, the Fishbone Diagram, also known as the Ishikawa tool, is considerate of complex failures, and it is well suited in incidents associated with healthcare when comorbid factors interplay (Harrison et al., 2021). In Bristol case, it shows how structural problems were aligned to allow damage to be done, a situation that the Swiss Cheese Model and its focus on layered </w:t>
      </w:r>
      <w:proofErr w:type="spellStart"/>
      <w:r w:rsidRPr="00593A1B">
        <w:rPr>
          <w:rFonts w:ascii="Arial" w:hAnsi="Arial" w:cs="Arial"/>
          <w:lang w:val="en-IN"/>
        </w:rPr>
        <w:t>defenses</w:t>
      </w:r>
      <w:proofErr w:type="spellEnd"/>
      <w:r w:rsidRPr="00593A1B">
        <w:rPr>
          <w:rFonts w:ascii="Arial" w:hAnsi="Arial" w:cs="Arial"/>
          <w:lang w:val="en-IN"/>
        </w:rPr>
        <w:t xml:space="preserve"> do not highlight (Thompson et al., 2025).</w:t>
      </w:r>
    </w:p>
    <w:p w14:paraId="2E1A8427" w14:textId="77777777" w:rsidR="003F3363" w:rsidRPr="00593A1B" w:rsidRDefault="00F01A35" w:rsidP="003F3363">
      <w:pPr>
        <w:keepNext/>
        <w:jc w:val="center"/>
        <w:rPr>
          <w:rFonts w:ascii="Arial" w:hAnsi="Arial" w:cs="Arial"/>
        </w:rPr>
      </w:pPr>
      <w:r w:rsidRPr="00593A1B">
        <w:rPr>
          <w:rFonts w:ascii="Arial" w:hAnsi="Arial" w:cs="Arial"/>
          <w:noProof/>
          <w:lang w:val="en-IN"/>
        </w:rPr>
        <w:drawing>
          <wp:inline distT="0" distB="0" distL="0" distR="0" wp14:anchorId="2DCAC50E" wp14:editId="046C5871">
            <wp:extent cx="5226050" cy="430911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26050" cy="4309110"/>
                    </a:xfrm>
                    <a:prstGeom prst="rect">
                      <a:avLst/>
                    </a:prstGeom>
                    <a:noFill/>
                    <a:ln>
                      <a:noFill/>
                    </a:ln>
                  </pic:spPr>
                </pic:pic>
              </a:graphicData>
            </a:graphic>
          </wp:inline>
        </w:drawing>
      </w:r>
    </w:p>
    <w:p w14:paraId="4A4CA854" w14:textId="77777777" w:rsidR="003F3363" w:rsidRPr="00593A1B" w:rsidRDefault="003F3363" w:rsidP="003F3363">
      <w:pPr>
        <w:pStyle w:val="Caption"/>
        <w:jc w:val="center"/>
        <w:rPr>
          <w:rFonts w:ascii="Arial" w:hAnsi="Arial" w:cs="Arial"/>
          <w:lang w:val="en-IN"/>
        </w:rPr>
      </w:pPr>
      <w:r w:rsidRPr="00593A1B">
        <w:rPr>
          <w:rFonts w:ascii="Arial" w:hAnsi="Arial" w:cs="Arial"/>
        </w:rPr>
        <w:t xml:space="preserve">Figure </w:t>
      </w:r>
      <w:r w:rsidRPr="00593A1B">
        <w:rPr>
          <w:rFonts w:ascii="Arial" w:hAnsi="Arial" w:cs="Arial"/>
        </w:rPr>
        <w:fldChar w:fldCharType="begin"/>
      </w:r>
      <w:r w:rsidRPr="00593A1B">
        <w:rPr>
          <w:rFonts w:ascii="Arial" w:hAnsi="Arial" w:cs="Arial"/>
        </w:rPr>
        <w:instrText xml:space="preserve"> SEQ Figure \* ARABIC </w:instrText>
      </w:r>
      <w:r w:rsidRPr="00593A1B">
        <w:rPr>
          <w:rFonts w:ascii="Arial" w:hAnsi="Arial" w:cs="Arial"/>
        </w:rPr>
        <w:fldChar w:fldCharType="separate"/>
      </w:r>
      <w:r w:rsidRPr="00593A1B">
        <w:rPr>
          <w:rFonts w:ascii="Arial" w:hAnsi="Arial" w:cs="Arial"/>
          <w:noProof/>
        </w:rPr>
        <w:t>1</w:t>
      </w:r>
      <w:r w:rsidRPr="00593A1B">
        <w:rPr>
          <w:rFonts w:ascii="Arial" w:hAnsi="Arial" w:cs="Arial"/>
        </w:rPr>
        <w:fldChar w:fldCharType="end"/>
      </w:r>
      <w:r w:rsidRPr="00593A1B">
        <w:rPr>
          <w:rFonts w:ascii="Arial" w:hAnsi="Arial" w:cs="Arial"/>
        </w:rPr>
        <w:t xml:space="preserve"> Fishbone Diagram</w:t>
      </w:r>
    </w:p>
    <w:p w14:paraId="79E28863" w14:textId="77777777" w:rsidR="00057F03" w:rsidRPr="00593A1B" w:rsidRDefault="00057F03" w:rsidP="00057F03">
      <w:pPr>
        <w:rPr>
          <w:rFonts w:ascii="Arial" w:hAnsi="Arial" w:cs="Arial"/>
          <w:lang w:val="en-IN"/>
        </w:rPr>
      </w:pPr>
      <w:r w:rsidRPr="00593A1B">
        <w:rPr>
          <w:rFonts w:ascii="Arial" w:hAnsi="Arial" w:cs="Arial"/>
          <w:b/>
          <w:bCs/>
          <w:lang w:val="en-IN"/>
        </w:rPr>
        <w:t>People</w:t>
      </w:r>
      <w:r w:rsidRPr="00593A1B">
        <w:rPr>
          <w:rFonts w:ascii="Arial" w:hAnsi="Arial" w:cs="Arial"/>
          <w:lang w:val="en-IN"/>
        </w:rPr>
        <w:t xml:space="preserve">: It </w:t>
      </w:r>
      <w:proofErr w:type="spellStart"/>
      <w:r w:rsidRPr="00593A1B">
        <w:rPr>
          <w:rFonts w:ascii="Arial" w:hAnsi="Arial" w:cs="Arial"/>
          <w:lang w:val="en-IN"/>
        </w:rPr>
        <w:t>centered</w:t>
      </w:r>
      <w:proofErr w:type="spellEnd"/>
      <w:r w:rsidRPr="00593A1B">
        <w:rPr>
          <w:rFonts w:ascii="Arial" w:hAnsi="Arial" w:cs="Arial"/>
          <w:lang w:val="en-IN"/>
        </w:rPr>
        <w:t xml:space="preserve"> on incompetence and hierarchical obstacles, where the surgeons performed risky surgeries without sufficient knowledge and experience, and the employees feared to be punished when they voiced the complaints (</w:t>
      </w:r>
      <w:proofErr w:type="spellStart"/>
      <w:r w:rsidRPr="00593A1B">
        <w:rPr>
          <w:rFonts w:ascii="Arial" w:hAnsi="Arial" w:cs="Arial"/>
          <w:lang w:val="en-IN"/>
        </w:rPr>
        <w:t>Bolsin</w:t>
      </w:r>
      <w:proofErr w:type="spellEnd"/>
      <w:r w:rsidRPr="00593A1B">
        <w:rPr>
          <w:rFonts w:ascii="Arial" w:hAnsi="Arial" w:cs="Arial"/>
          <w:lang w:val="en-IN"/>
        </w:rPr>
        <w:t xml:space="preserve">, 2002). An instance of this is the alerts on mortality that Dr. </w:t>
      </w:r>
      <w:proofErr w:type="spellStart"/>
      <w:r w:rsidRPr="00593A1B">
        <w:rPr>
          <w:rFonts w:ascii="Arial" w:hAnsi="Arial" w:cs="Arial"/>
          <w:lang w:val="en-IN"/>
        </w:rPr>
        <w:t>Bolsin</w:t>
      </w:r>
      <w:proofErr w:type="spellEnd"/>
      <w:r w:rsidRPr="00593A1B">
        <w:rPr>
          <w:rFonts w:ascii="Arial" w:hAnsi="Arial" w:cs="Arial"/>
          <w:lang w:val="en-IN"/>
        </w:rPr>
        <w:t xml:space="preserve"> gave but they were rejected leading to the culture of silence (Dyer, 2001).</w:t>
      </w:r>
    </w:p>
    <w:p w14:paraId="0297310F" w14:textId="77777777" w:rsidR="00057F03" w:rsidRPr="00593A1B" w:rsidRDefault="00057F03" w:rsidP="00057F03">
      <w:pPr>
        <w:rPr>
          <w:rFonts w:ascii="Arial" w:hAnsi="Arial" w:cs="Arial"/>
          <w:lang w:val="en-IN"/>
        </w:rPr>
      </w:pPr>
      <w:r w:rsidRPr="00593A1B">
        <w:rPr>
          <w:rFonts w:ascii="Arial" w:hAnsi="Arial" w:cs="Arial"/>
          <w:b/>
          <w:bCs/>
          <w:lang w:val="en-IN"/>
        </w:rPr>
        <w:t>Process</w:t>
      </w:r>
      <w:r w:rsidRPr="00593A1B">
        <w:rPr>
          <w:rFonts w:ascii="Arial" w:hAnsi="Arial" w:cs="Arial"/>
          <w:lang w:val="en-IN"/>
        </w:rPr>
        <w:t>: Improper audits and reporting enabled errors to be repeated, mortality information was not revised and there were no multidisciplinary meetings in order to discuss the patterns (Kennedy, 2001). The split-site logistics added to care escalation problems (Butler, 2002).</w:t>
      </w:r>
    </w:p>
    <w:p w14:paraId="7D41BFEC" w14:textId="77777777" w:rsidR="00057F03" w:rsidRPr="00593A1B" w:rsidRDefault="00057F03" w:rsidP="00057F03">
      <w:pPr>
        <w:rPr>
          <w:rFonts w:ascii="Arial" w:hAnsi="Arial" w:cs="Arial"/>
          <w:lang w:val="en-IN"/>
        </w:rPr>
      </w:pPr>
      <w:r w:rsidRPr="00593A1B">
        <w:rPr>
          <w:rFonts w:ascii="Arial" w:hAnsi="Arial" w:cs="Arial"/>
          <w:b/>
          <w:bCs/>
          <w:lang w:val="en-IN"/>
        </w:rPr>
        <w:t>Policy/Measurement</w:t>
      </w:r>
      <w:r w:rsidRPr="00593A1B">
        <w:rPr>
          <w:rFonts w:ascii="Arial" w:hAnsi="Arial" w:cs="Arial"/>
          <w:lang w:val="en-IN"/>
        </w:rPr>
        <w:t>: There was no national standard, and poor performance was tolerated; voluntary inspection of audits was not compulsory, and data storage such as the UK Cardiac Surgical Register was not exploited to its full extent (Aylin et al., 2001). The domestic market reforms were focused on costs and not on their outcomes (Price et al., 2020).</w:t>
      </w:r>
    </w:p>
    <w:p w14:paraId="5E6CB8C5" w14:textId="77777777" w:rsidR="00057F03" w:rsidRPr="00593A1B" w:rsidRDefault="00057F03" w:rsidP="00057F03">
      <w:pPr>
        <w:rPr>
          <w:rFonts w:ascii="Arial" w:hAnsi="Arial" w:cs="Arial"/>
          <w:lang w:val="en-IN"/>
        </w:rPr>
      </w:pPr>
      <w:r w:rsidRPr="00593A1B">
        <w:rPr>
          <w:rFonts w:ascii="Arial" w:hAnsi="Arial" w:cs="Arial"/>
          <w:b/>
          <w:bCs/>
          <w:lang w:val="en-IN"/>
        </w:rPr>
        <w:t>Equipment/Materials</w:t>
      </w:r>
      <w:r w:rsidRPr="00593A1B">
        <w:rPr>
          <w:rFonts w:ascii="Arial" w:hAnsi="Arial" w:cs="Arial"/>
          <w:lang w:val="en-IN"/>
        </w:rPr>
        <w:t>: Secondary (older) facilities and a lack of specialized equipment were one of the sources of the operational risk, where post-mortem results revealed complications of equipment in some of the deaths (BBC, 2025).</w:t>
      </w:r>
    </w:p>
    <w:p w14:paraId="0BF94DE3" w14:textId="77777777" w:rsidR="00057F03" w:rsidRPr="00593A1B" w:rsidRDefault="00057F03" w:rsidP="00057F03">
      <w:pPr>
        <w:rPr>
          <w:rFonts w:ascii="Arial" w:hAnsi="Arial" w:cs="Arial"/>
          <w:lang w:val="en-IN"/>
        </w:rPr>
      </w:pPr>
      <w:r w:rsidRPr="00593A1B">
        <w:rPr>
          <w:rFonts w:ascii="Arial" w:hAnsi="Arial" w:cs="Arial"/>
          <w:b/>
          <w:bCs/>
          <w:lang w:val="en-IN"/>
        </w:rPr>
        <w:t>Environment</w:t>
      </w:r>
      <w:r w:rsidRPr="00593A1B">
        <w:rPr>
          <w:rFonts w:ascii="Arial" w:hAnsi="Arial" w:cs="Arial"/>
          <w:lang w:val="en-IN"/>
        </w:rPr>
        <w:t>: Fusty wards, of tiny parts, and bifurcated sites were obstacles to emergency response and team building (Kennedy, 2001).</w:t>
      </w:r>
    </w:p>
    <w:p w14:paraId="762DBBA7" w14:textId="77777777" w:rsidR="003F3363" w:rsidRPr="00593A1B" w:rsidRDefault="00057F03" w:rsidP="00057F03">
      <w:pPr>
        <w:rPr>
          <w:rFonts w:ascii="Arial" w:hAnsi="Arial" w:cs="Arial"/>
          <w:lang w:val="en-IN"/>
        </w:rPr>
      </w:pPr>
      <w:r w:rsidRPr="00593A1B">
        <w:rPr>
          <w:rFonts w:ascii="Arial" w:hAnsi="Arial" w:cs="Arial"/>
          <w:b/>
          <w:bCs/>
          <w:lang w:val="en-IN"/>
        </w:rPr>
        <w:t>Management</w:t>
      </w:r>
      <w:r w:rsidRPr="00593A1B">
        <w:rPr>
          <w:rFonts w:ascii="Arial" w:hAnsi="Arial" w:cs="Arial"/>
          <w:lang w:val="en-IN"/>
        </w:rPr>
        <w:t>: The defensive leadership disregarded warnings; they focused on institutional image, rather than safety; power imbalance and accountability were factors to reinforce the club culture (Coulter, 2002).</w:t>
      </w:r>
    </w:p>
    <w:p w14:paraId="5384ECBA" w14:textId="77777777" w:rsidR="00A64B56" w:rsidRPr="00593A1B" w:rsidRDefault="00057F03" w:rsidP="008D1C8D">
      <w:pPr>
        <w:rPr>
          <w:rFonts w:ascii="Arial" w:hAnsi="Arial" w:cs="Arial"/>
          <w:lang w:val="en-IN"/>
        </w:rPr>
      </w:pPr>
      <w:r w:rsidRPr="00593A1B">
        <w:rPr>
          <w:rFonts w:ascii="Arial" w:hAnsi="Arial" w:cs="Arial"/>
          <w:lang w:val="en-IN"/>
        </w:rPr>
        <w:t>This flow chart highlights multifactorial causation, which is found to be more practical than the linear approach, such as the 5 Whys of scandals involving a poor governance approach, and assists focused remedies such as more effective auditing (NICE, 2002).</w:t>
      </w:r>
    </w:p>
    <w:p w14:paraId="2D7A8D8A" w14:textId="77777777" w:rsidR="00B54A0D" w:rsidRPr="00593A1B" w:rsidRDefault="008D1C8D" w:rsidP="008D1C8D">
      <w:pPr>
        <w:pStyle w:val="Heading2"/>
        <w:rPr>
          <w:rFonts w:ascii="Arial" w:hAnsi="Arial" w:cs="Arial"/>
          <w:lang w:val="en-IN"/>
        </w:rPr>
      </w:pPr>
      <w:bookmarkStart w:id="4" w:name="_Toc215146861"/>
      <w:r w:rsidRPr="00593A1B">
        <w:rPr>
          <w:rFonts w:ascii="Arial" w:hAnsi="Arial" w:cs="Arial"/>
          <w:lang w:val="en-IN"/>
        </w:rPr>
        <w:t>3</w:t>
      </w:r>
      <w:r w:rsidR="00A64B56" w:rsidRPr="00593A1B">
        <w:rPr>
          <w:rFonts w:ascii="Arial" w:hAnsi="Arial" w:cs="Arial"/>
          <w:lang w:val="en-IN"/>
        </w:rPr>
        <w:t>.</w:t>
      </w:r>
      <w:r w:rsidR="00B54A0D" w:rsidRPr="00593A1B">
        <w:rPr>
          <w:rFonts w:ascii="Arial" w:hAnsi="Arial" w:cs="Arial"/>
          <w:lang w:val="en-IN"/>
        </w:rPr>
        <w:t xml:space="preserve"> SWOT Analysis</w:t>
      </w:r>
      <w:bookmarkEnd w:id="4"/>
    </w:p>
    <w:p w14:paraId="5194A52C" w14:textId="77777777" w:rsidR="00B54A0D" w:rsidRPr="00593A1B" w:rsidRDefault="00B54A0D" w:rsidP="00B54A0D">
      <w:pPr>
        <w:rPr>
          <w:rFonts w:ascii="Arial" w:hAnsi="Arial" w:cs="Arial"/>
          <w:lang w:val="en-IN"/>
        </w:rPr>
      </w:pPr>
      <w:r w:rsidRPr="00593A1B">
        <w:rPr>
          <w:rFonts w:ascii="Arial" w:hAnsi="Arial" w:cs="Arial"/>
          <w:lang w:val="en-IN"/>
        </w:rPr>
        <w:t>SWOT analysis provides a strategic lens to evaluate internal and external factors, aiding in post-incident recovery planning (Harrison et al., 2021).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58"/>
        <w:gridCol w:w="4258"/>
      </w:tblGrid>
      <w:tr w:rsidR="00B54A0D" w:rsidRPr="00593A1B" w14:paraId="167A4D3D" w14:textId="77777777" w:rsidTr="00A22B7E">
        <w:tc>
          <w:tcPr>
            <w:tcW w:w="0" w:type="auto"/>
            <w:hideMark/>
          </w:tcPr>
          <w:p w14:paraId="4E91721C" w14:textId="77777777" w:rsidR="00B54A0D" w:rsidRPr="00593A1B" w:rsidRDefault="00B54A0D" w:rsidP="00B54A0D">
            <w:pPr>
              <w:rPr>
                <w:rFonts w:ascii="Arial" w:hAnsi="Arial" w:cs="Arial"/>
                <w:b/>
                <w:bCs/>
                <w:lang w:val="en-IN"/>
              </w:rPr>
            </w:pPr>
            <w:r w:rsidRPr="00593A1B">
              <w:rPr>
                <w:rFonts w:ascii="Arial" w:hAnsi="Arial" w:cs="Arial"/>
                <w:b/>
                <w:bCs/>
                <w:lang w:val="en-IN"/>
              </w:rPr>
              <w:t>Strengths</w:t>
            </w:r>
          </w:p>
        </w:tc>
        <w:tc>
          <w:tcPr>
            <w:tcW w:w="0" w:type="auto"/>
            <w:hideMark/>
          </w:tcPr>
          <w:p w14:paraId="3CD36FF1" w14:textId="77777777" w:rsidR="00B54A0D" w:rsidRPr="00593A1B" w:rsidRDefault="00B54A0D" w:rsidP="00B54A0D">
            <w:pPr>
              <w:rPr>
                <w:rFonts w:ascii="Arial" w:hAnsi="Arial" w:cs="Arial"/>
                <w:b/>
                <w:bCs/>
                <w:lang w:val="en-IN"/>
              </w:rPr>
            </w:pPr>
            <w:r w:rsidRPr="00593A1B">
              <w:rPr>
                <w:rFonts w:ascii="Arial" w:hAnsi="Arial" w:cs="Arial"/>
                <w:b/>
                <w:bCs/>
                <w:lang w:val="en-IN"/>
              </w:rPr>
              <w:t>Weaknesses</w:t>
            </w:r>
          </w:p>
        </w:tc>
      </w:tr>
      <w:tr w:rsidR="00057F03" w:rsidRPr="00593A1B" w14:paraId="4E6EB755" w14:textId="77777777" w:rsidTr="00A22B7E">
        <w:tc>
          <w:tcPr>
            <w:tcW w:w="0" w:type="auto"/>
            <w:hideMark/>
          </w:tcPr>
          <w:p w14:paraId="6CF1EB15" w14:textId="77777777" w:rsidR="00057F03" w:rsidRPr="00593A1B" w:rsidRDefault="00057F03" w:rsidP="00057F03">
            <w:pPr>
              <w:rPr>
                <w:rFonts w:ascii="Arial" w:hAnsi="Arial" w:cs="Arial"/>
                <w:lang w:val="en-IN"/>
              </w:rPr>
            </w:pPr>
            <w:r w:rsidRPr="00593A1B">
              <w:rPr>
                <w:rFonts w:ascii="Arial" w:hAnsi="Arial" w:cs="Arial"/>
              </w:rPr>
              <w:t>Local referral facility and dedicated healthcare personnel (Kennedy, 2001)</w:t>
            </w:r>
          </w:p>
        </w:tc>
        <w:tc>
          <w:tcPr>
            <w:tcW w:w="0" w:type="auto"/>
          </w:tcPr>
          <w:p w14:paraId="17D4813D" w14:textId="77777777" w:rsidR="00057F03" w:rsidRPr="00593A1B" w:rsidRDefault="00057F03" w:rsidP="00057F03">
            <w:pPr>
              <w:rPr>
                <w:rFonts w:ascii="Arial" w:hAnsi="Arial" w:cs="Arial"/>
                <w:lang w:val="en-IN"/>
              </w:rPr>
            </w:pPr>
            <w:proofErr w:type="spellStart"/>
            <w:r w:rsidRPr="00593A1B">
              <w:rPr>
                <w:rFonts w:ascii="Arial" w:hAnsi="Arial" w:cs="Arial"/>
              </w:rPr>
              <w:t>Defense</w:t>
            </w:r>
            <w:proofErr w:type="spellEnd"/>
            <w:r w:rsidRPr="00593A1B">
              <w:rPr>
                <w:rFonts w:ascii="Arial" w:hAnsi="Arial" w:cs="Arial"/>
              </w:rPr>
              <w:t xml:space="preserve"> organizational culture and poor control auditing (Dyer, 2001)</w:t>
            </w:r>
          </w:p>
        </w:tc>
      </w:tr>
      <w:tr w:rsidR="00057F03" w:rsidRPr="00593A1B" w14:paraId="588A6215" w14:textId="77777777" w:rsidTr="00A22B7E">
        <w:tc>
          <w:tcPr>
            <w:tcW w:w="0" w:type="auto"/>
            <w:hideMark/>
          </w:tcPr>
          <w:p w14:paraId="087C1E3C" w14:textId="77777777" w:rsidR="00057F03" w:rsidRPr="00593A1B" w:rsidRDefault="00057F03" w:rsidP="00057F03">
            <w:pPr>
              <w:rPr>
                <w:rFonts w:ascii="Arial" w:hAnsi="Arial" w:cs="Arial"/>
                <w:lang w:val="en-IN"/>
              </w:rPr>
            </w:pPr>
            <w:r w:rsidRPr="00593A1B">
              <w:rPr>
                <w:rFonts w:ascii="Arial" w:hAnsi="Arial" w:cs="Arial"/>
              </w:rPr>
              <w:t>This is due to the teaching hospital where it enjoys historical prestige (Butler, 2002).</w:t>
            </w:r>
          </w:p>
        </w:tc>
        <w:tc>
          <w:tcPr>
            <w:tcW w:w="0" w:type="auto"/>
          </w:tcPr>
          <w:p w14:paraId="1CA09BEC" w14:textId="51A94AD7" w:rsidR="00057F03" w:rsidRPr="00593A1B" w:rsidRDefault="00057F03" w:rsidP="00A22B7E">
            <w:pPr>
              <w:rPr>
                <w:rFonts w:ascii="Arial" w:hAnsi="Arial" w:cs="Arial"/>
                <w:lang w:val="en-IN"/>
              </w:rPr>
            </w:pPr>
            <w:r w:rsidRPr="00593A1B">
              <w:rPr>
                <w:rFonts w:ascii="Arial" w:hAnsi="Arial" w:cs="Arial"/>
              </w:rPr>
              <w:t>Weak</w:t>
            </w:r>
            <w:r w:rsidR="00A22B7E">
              <w:rPr>
                <w:rFonts w:ascii="Arial" w:hAnsi="Arial" w:cs="Arial"/>
              </w:rPr>
              <w:t xml:space="preserve"> </w:t>
            </w:r>
            <w:r w:rsidRPr="00593A1B">
              <w:rPr>
                <w:rFonts w:ascii="Arial" w:hAnsi="Arial" w:cs="Arial"/>
              </w:rPr>
              <w:t>leadership accountability and split site inefficiency (</w:t>
            </w:r>
            <w:proofErr w:type="spellStart"/>
            <w:r w:rsidRPr="00593A1B">
              <w:rPr>
                <w:rFonts w:ascii="Arial" w:hAnsi="Arial" w:cs="Arial"/>
              </w:rPr>
              <w:t>Bolsin</w:t>
            </w:r>
            <w:proofErr w:type="spellEnd"/>
            <w:r w:rsidRPr="00593A1B">
              <w:rPr>
                <w:rFonts w:ascii="Arial" w:hAnsi="Arial" w:cs="Arial"/>
              </w:rPr>
              <w:t>, 2002).</w:t>
            </w:r>
          </w:p>
        </w:tc>
      </w:tr>
      <w:tr w:rsidR="00B54A0D" w:rsidRPr="00593A1B" w14:paraId="530121B9" w14:textId="77777777" w:rsidTr="00A22B7E">
        <w:tc>
          <w:tcPr>
            <w:tcW w:w="0" w:type="auto"/>
            <w:hideMark/>
          </w:tcPr>
          <w:p w14:paraId="4FE1A60E" w14:textId="77777777" w:rsidR="00B54A0D" w:rsidRPr="00593A1B" w:rsidRDefault="00B54A0D">
            <w:pPr>
              <w:rPr>
                <w:rFonts w:ascii="Arial" w:hAnsi="Arial" w:cs="Arial"/>
                <w:b/>
                <w:bCs/>
                <w:lang w:val="en-IN"/>
              </w:rPr>
            </w:pPr>
            <w:r w:rsidRPr="00593A1B">
              <w:rPr>
                <w:rFonts w:ascii="Arial" w:hAnsi="Arial" w:cs="Arial"/>
                <w:b/>
                <w:bCs/>
                <w:lang w:val="en-IN"/>
              </w:rPr>
              <w:t>Opportunities</w:t>
            </w:r>
          </w:p>
        </w:tc>
        <w:tc>
          <w:tcPr>
            <w:tcW w:w="0" w:type="auto"/>
            <w:hideMark/>
          </w:tcPr>
          <w:p w14:paraId="1EAC4C8B" w14:textId="77777777" w:rsidR="00B54A0D" w:rsidRPr="00593A1B" w:rsidRDefault="00B54A0D">
            <w:pPr>
              <w:rPr>
                <w:rFonts w:ascii="Arial" w:hAnsi="Arial" w:cs="Arial"/>
                <w:b/>
                <w:bCs/>
                <w:lang w:val="en-IN"/>
              </w:rPr>
            </w:pPr>
            <w:r w:rsidRPr="00593A1B">
              <w:rPr>
                <w:rFonts w:ascii="Arial" w:hAnsi="Arial" w:cs="Arial"/>
                <w:b/>
                <w:bCs/>
                <w:lang w:val="en-IN"/>
              </w:rPr>
              <w:t>Threats</w:t>
            </w:r>
          </w:p>
        </w:tc>
      </w:tr>
      <w:tr w:rsidR="00057F03" w:rsidRPr="00593A1B" w14:paraId="48971175" w14:textId="77777777" w:rsidTr="00A22B7E">
        <w:tc>
          <w:tcPr>
            <w:tcW w:w="0" w:type="auto"/>
          </w:tcPr>
          <w:p w14:paraId="6D779D02" w14:textId="77777777" w:rsidR="00057F03" w:rsidRPr="00593A1B" w:rsidRDefault="00057F03" w:rsidP="00057F03">
            <w:pPr>
              <w:rPr>
                <w:rFonts w:ascii="Arial" w:hAnsi="Arial" w:cs="Arial"/>
                <w:lang w:val="en-IN"/>
              </w:rPr>
            </w:pPr>
            <w:r w:rsidRPr="00593A1B">
              <w:rPr>
                <w:rFonts w:ascii="Arial" w:hAnsi="Arial" w:cs="Arial"/>
              </w:rPr>
              <w:t>Such post-inquiry reforms as clinical governance and national audits (Price et al., 2020)</w:t>
            </w:r>
          </w:p>
        </w:tc>
        <w:tc>
          <w:tcPr>
            <w:tcW w:w="0" w:type="auto"/>
          </w:tcPr>
          <w:p w14:paraId="20CF37A9" w14:textId="77777777" w:rsidR="00057F03" w:rsidRPr="00593A1B" w:rsidRDefault="00057F03" w:rsidP="00057F03">
            <w:pPr>
              <w:rPr>
                <w:rFonts w:ascii="Arial" w:hAnsi="Arial" w:cs="Arial"/>
                <w:lang w:val="en-IN"/>
              </w:rPr>
            </w:pPr>
            <w:r w:rsidRPr="00593A1B">
              <w:rPr>
                <w:rFonts w:ascii="Arial" w:hAnsi="Arial" w:cs="Arial"/>
              </w:rPr>
              <w:t>The issue of a low volume of surgery that makes errors persist (Aylin et al., 2001) is risky.</w:t>
            </w:r>
          </w:p>
        </w:tc>
      </w:tr>
      <w:tr w:rsidR="00057F03" w:rsidRPr="00593A1B" w14:paraId="6764A721" w14:textId="77777777" w:rsidTr="00A22B7E">
        <w:tc>
          <w:tcPr>
            <w:tcW w:w="0" w:type="auto"/>
          </w:tcPr>
          <w:p w14:paraId="66857EC8" w14:textId="77777777" w:rsidR="00057F03" w:rsidRPr="00593A1B" w:rsidRDefault="00057F03" w:rsidP="00057F03">
            <w:pPr>
              <w:rPr>
                <w:rFonts w:ascii="Arial" w:hAnsi="Arial" w:cs="Arial"/>
                <w:lang w:val="en-IN"/>
              </w:rPr>
            </w:pPr>
            <w:r w:rsidRPr="00593A1B">
              <w:rPr>
                <w:rFonts w:ascii="Arial" w:hAnsi="Arial" w:cs="Arial"/>
              </w:rPr>
              <w:t>Standardization of specialist services in order to achieve improved results (</w:t>
            </w:r>
            <w:proofErr w:type="spellStart"/>
            <w:r w:rsidRPr="00593A1B">
              <w:rPr>
                <w:rFonts w:ascii="Arial" w:hAnsi="Arial" w:cs="Arial"/>
              </w:rPr>
              <w:t>Suseeladevi</w:t>
            </w:r>
            <w:proofErr w:type="spellEnd"/>
            <w:r w:rsidRPr="00593A1B">
              <w:rPr>
                <w:rFonts w:ascii="Arial" w:hAnsi="Arial" w:cs="Arial"/>
              </w:rPr>
              <w:t xml:space="preserve"> et al., 2025).</w:t>
            </w:r>
          </w:p>
        </w:tc>
        <w:tc>
          <w:tcPr>
            <w:tcW w:w="0" w:type="auto"/>
          </w:tcPr>
          <w:p w14:paraId="2A5DB139" w14:textId="77777777" w:rsidR="00057F03" w:rsidRPr="00593A1B" w:rsidRDefault="00057F03" w:rsidP="00057F03">
            <w:pPr>
              <w:rPr>
                <w:rFonts w:ascii="Arial" w:hAnsi="Arial" w:cs="Arial"/>
                <w:lang w:val="en-IN"/>
              </w:rPr>
            </w:pPr>
            <w:r w:rsidRPr="00593A1B">
              <w:rPr>
                <w:rFonts w:ascii="Arial" w:hAnsi="Arial" w:cs="Arial"/>
              </w:rPr>
              <w:t>Destruction of the trust and regulation fragmentation (PSA, 2025).</w:t>
            </w:r>
          </w:p>
        </w:tc>
      </w:tr>
    </w:tbl>
    <w:p w14:paraId="1B6C8B83" w14:textId="77777777" w:rsidR="00B54A0D" w:rsidRPr="00593A1B" w:rsidRDefault="00B54A0D" w:rsidP="00B54A0D">
      <w:pPr>
        <w:rPr>
          <w:rFonts w:ascii="Arial" w:hAnsi="Arial" w:cs="Arial"/>
          <w:vanish/>
          <w:lang w:val="en-IN"/>
        </w:rPr>
      </w:pPr>
    </w:p>
    <w:p w14:paraId="2E30D0FF" w14:textId="77777777" w:rsidR="008055B8" w:rsidRPr="00593A1B" w:rsidRDefault="008055B8" w:rsidP="00B54A0D">
      <w:pPr>
        <w:rPr>
          <w:rFonts w:ascii="Arial" w:hAnsi="Arial" w:cs="Arial"/>
          <w:lang w:val="en-IN"/>
        </w:rPr>
      </w:pPr>
      <w:r w:rsidRPr="00593A1B">
        <w:rPr>
          <w:rFonts w:ascii="Arial" w:hAnsi="Arial" w:cs="Arial"/>
          <w:lang w:val="en-IN"/>
        </w:rPr>
        <w:t>SWOT shows ways to capitalize on reforms with threats reduction achieved through cultural changes (Thompson et al., 2025).</w:t>
      </w:r>
    </w:p>
    <w:p w14:paraId="21CE8727" w14:textId="77777777" w:rsidR="00370EA8" w:rsidRPr="00593A1B" w:rsidRDefault="00370EA8" w:rsidP="00370EA8">
      <w:pPr>
        <w:pStyle w:val="Heading2"/>
        <w:rPr>
          <w:rFonts w:ascii="Arial" w:hAnsi="Arial" w:cs="Arial"/>
          <w:lang w:val="en-IN"/>
        </w:rPr>
      </w:pPr>
      <w:bookmarkStart w:id="5" w:name="_Toc215146862"/>
      <w:r w:rsidRPr="00593A1B">
        <w:rPr>
          <w:rFonts w:ascii="Arial" w:hAnsi="Arial" w:cs="Arial"/>
          <w:lang w:val="en-IN"/>
        </w:rPr>
        <w:t>4. PDSA Cycle for Implementation</w:t>
      </w:r>
      <w:bookmarkEnd w:id="5"/>
    </w:p>
    <w:p w14:paraId="0B23A5B5" w14:textId="77777777" w:rsidR="00370EA8" w:rsidRPr="00593A1B" w:rsidRDefault="00370EA8" w:rsidP="00370EA8">
      <w:pPr>
        <w:rPr>
          <w:rFonts w:ascii="Arial" w:hAnsi="Arial" w:cs="Arial"/>
          <w:lang w:val="en-IN"/>
        </w:rPr>
      </w:pPr>
      <w:r w:rsidRPr="00593A1B">
        <w:rPr>
          <w:rFonts w:ascii="Arial" w:hAnsi="Arial" w:cs="Arial"/>
          <w:lang w:val="en-IN"/>
        </w:rPr>
        <w:t>PDSA (Plan-Do-Study-Act) is an established circle of improvement that is used to enhance quality in healthcare and allows the systematic experimentation and optimization of interventions to improve patient safety and service delivery (Hodge et al., 2019). PDSA can be used to convert the ideas expressed in the Kennedy Report to practical recommendations in the Bristol Royal Infirmary case, where too many children died because of administration and audits dysfunction, resulting in a culture of learning and making sure similar incidents do not recur (Kennedy, 2001). This cycle conforms to post-Bristol reforms, which focuses more on evidence-based changes rather than fixed policies (NICE, 2002).</w:t>
      </w:r>
    </w:p>
    <w:p w14:paraId="7198CF9E" w14:textId="77777777" w:rsidR="00370EA8" w:rsidRPr="00593A1B" w:rsidRDefault="00370EA8" w:rsidP="00370EA8">
      <w:pPr>
        <w:rPr>
          <w:rFonts w:ascii="Arial" w:hAnsi="Arial" w:cs="Arial"/>
          <w:lang w:val="en-IN"/>
        </w:rPr>
      </w:pPr>
      <w:r w:rsidRPr="00593A1B">
        <w:rPr>
          <w:rFonts w:ascii="Arial" w:hAnsi="Arial" w:cs="Arial"/>
          <w:b/>
          <w:bCs/>
          <w:lang w:val="en-IN"/>
        </w:rPr>
        <w:t>Plan</w:t>
      </w:r>
      <w:r w:rsidRPr="00593A1B">
        <w:rPr>
          <w:rFonts w:ascii="Arial" w:hAnsi="Arial" w:cs="Arial"/>
          <w:lang w:val="en-IN"/>
        </w:rPr>
        <w:t>: Request a designed intervention on the basis of the main causes of accidents found in the investigation, including introducing mandatory mortality and competency reviews. Some of the objectives are 100 percent audit participation in a period of three months, multidisciplinary teams, families and external regulators (Dyer, 2001). Add measures such as reducing the 30-day mortality to less than 6% in the case of open-heart surgery in less-than-ones with national standards (Aylin et al., 2001). Leader in one unit (paediatrics) and resources available to support training and data support to deal with low volumes and inadequate supervision (</w:t>
      </w:r>
      <w:proofErr w:type="spellStart"/>
      <w:r w:rsidRPr="00593A1B">
        <w:rPr>
          <w:rFonts w:ascii="Arial" w:hAnsi="Arial" w:cs="Arial"/>
          <w:lang w:val="en-IN"/>
        </w:rPr>
        <w:t>Bolsin</w:t>
      </w:r>
      <w:proofErr w:type="spellEnd"/>
      <w:r w:rsidRPr="00593A1B">
        <w:rPr>
          <w:rFonts w:ascii="Arial" w:hAnsi="Arial" w:cs="Arial"/>
          <w:lang w:val="en-IN"/>
        </w:rPr>
        <w:t>, 2002).</w:t>
      </w:r>
    </w:p>
    <w:p w14:paraId="0E61C974" w14:textId="77777777" w:rsidR="00370EA8" w:rsidRPr="00593A1B" w:rsidRDefault="00370EA8" w:rsidP="00370EA8">
      <w:pPr>
        <w:rPr>
          <w:rFonts w:ascii="Arial" w:hAnsi="Arial" w:cs="Arial"/>
          <w:lang w:val="en-IN"/>
        </w:rPr>
      </w:pPr>
      <w:r w:rsidRPr="00593A1B">
        <w:rPr>
          <w:rFonts w:ascii="Arial" w:hAnsi="Arial" w:cs="Arial"/>
          <w:b/>
          <w:bCs/>
          <w:lang w:val="en-IN"/>
        </w:rPr>
        <w:t>Do</w:t>
      </w:r>
      <w:r w:rsidRPr="00593A1B">
        <w:rPr>
          <w:rFonts w:ascii="Arial" w:hAnsi="Arial" w:cs="Arial"/>
          <w:lang w:val="en-IN"/>
        </w:rPr>
        <w:t>: Implement the plan on a small scale, i.e. implement weekly review meetings and whistleblower procedures. Exercise human factors in training the staff and gather baseline data on results and participation (Golden et al., 2025). Following up on implementation fidelity to make sure compliance is being followed, modifying when there are split-site problems as observed in Bristol (Butler, 2002).</w:t>
      </w:r>
    </w:p>
    <w:p w14:paraId="587A0D94" w14:textId="33EBFFA3" w:rsidR="00370EA8" w:rsidRPr="00593A1B" w:rsidRDefault="00E86DF8" w:rsidP="00370EA8">
      <w:pPr>
        <w:rPr>
          <w:rFonts w:ascii="Arial" w:hAnsi="Arial" w:cs="Arial"/>
          <w:lang w:val="en-IN"/>
        </w:rPr>
      </w:pPr>
      <w:r>
        <w:rPr>
          <w:rFonts w:ascii="Arial" w:hAnsi="Arial" w:cs="Arial"/>
          <w:b/>
          <w:bCs/>
          <w:lang w:val="en-IN"/>
        </w:rPr>
        <w:t>Study</w:t>
      </w:r>
      <w:r w:rsidR="00370EA8" w:rsidRPr="00593A1B">
        <w:rPr>
          <w:rFonts w:ascii="Arial" w:hAnsi="Arial" w:cs="Arial"/>
          <w:lang w:val="en-IN"/>
        </w:rPr>
        <w:t>: Compare findings following the pilot, comparing the outcomes in such areas as mortality audit, surveys among the staff, and family contentment rates. Compare to pre-intervention data to realize their successes like improved communication and the obstacles like resistance to change (Coulter, 2002). Incident thematic analysis will identify trends, which will be used to make adjustments (Thompson et al., 2025).</w:t>
      </w:r>
    </w:p>
    <w:p w14:paraId="5D67C792" w14:textId="77777777" w:rsidR="00370EA8" w:rsidRPr="00593A1B" w:rsidRDefault="00370EA8" w:rsidP="00370EA8">
      <w:pPr>
        <w:rPr>
          <w:rFonts w:ascii="Arial" w:hAnsi="Arial" w:cs="Arial"/>
          <w:lang w:val="en-IN"/>
        </w:rPr>
      </w:pPr>
      <w:r w:rsidRPr="00593A1B">
        <w:rPr>
          <w:rFonts w:ascii="Arial" w:hAnsi="Arial" w:cs="Arial"/>
          <w:b/>
          <w:bCs/>
          <w:lang w:val="en-IN"/>
        </w:rPr>
        <w:t>Act</w:t>
      </w:r>
      <w:r w:rsidRPr="00593A1B">
        <w:rPr>
          <w:rFonts w:ascii="Arial" w:hAnsi="Arial" w:cs="Arial"/>
          <w:lang w:val="en-IN"/>
        </w:rPr>
        <w:t>: Standardize good aspects in NHS trusts with good ones being refined or dropped. Nationally scale through policy governance, and continues with the cycles to maintain the advancements (Price et al., 2020). This guarantees an ability to make enhancements that are adaptive and evidence-based to change the tragic lessons of Bristol into systems that are resilient (PSA, 2025).</w:t>
      </w:r>
    </w:p>
    <w:p w14:paraId="71601FF3" w14:textId="77777777" w:rsidR="00370EA8" w:rsidRPr="00593A1B" w:rsidRDefault="00370EA8" w:rsidP="00B54A0D">
      <w:pPr>
        <w:rPr>
          <w:rFonts w:ascii="Arial" w:hAnsi="Arial" w:cs="Arial"/>
          <w:lang w:val="en-IN"/>
        </w:rPr>
      </w:pPr>
      <w:r w:rsidRPr="00593A1B">
        <w:rPr>
          <w:rFonts w:ascii="Arial" w:hAnsi="Arial" w:cs="Arial"/>
          <w:lang w:val="en-IN"/>
        </w:rPr>
        <w:t>The cyclical aspect of PDSA facilitates constant learning over more complex healthcare settings than their linear counterparts do (Harrison et al., 2021; Hu et al., 2024).</w:t>
      </w:r>
    </w:p>
    <w:p w14:paraId="0FB6AD68" w14:textId="77777777" w:rsidR="00370EA8" w:rsidRPr="00593A1B" w:rsidRDefault="00284968" w:rsidP="00370EA8">
      <w:pPr>
        <w:pStyle w:val="Heading2"/>
        <w:rPr>
          <w:rFonts w:ascii="Arial" w:hAnsi="Arial" w:cs="Arial"/>
          <w:lang w:val="en-IN"/>
        </w:rPr>
      </w:pPr>
      <w:bookmarkStart w:id="6" w:name="_Toc215146863"/>
      <w:r w:rsidRPr="00593A1B">
        <w:rPr>
          <w:rFonts w:ascii="Arial" w:hAnsi="Arial" w:cs="Arial"/>
          <w:lang w:val="en-IN"/>
        </w:rPr>
        <w:t>5.</w:t>
      </w:r>
      <w:r w:rsidR="00370EA8" w:rsidRPr="00593A1B">
        <w:rPr>
          <w:rFonts w:ascii="Arial" w:hAnsi="Arial" w:cs="Arial"/>
          <w:lang w:val="en-IN"/>
        </w:rPr>
        <w:t xml:space="preserve"> Kotter’s 8-Step Change Model</w:t>
      </w:r>
      <w:bookmarkEnd w:id="6"/>
    </w:p>
    <w:p w14:paraId="6E27397B" w14:textId="222EA3F4" w:rsidR="00370EA8" w:rsidRPr="00593A1B" w:rsidRDefault="00370EA8" w:rsidP="00370EA8">
      <w:pPr>
        <w:rPr>
          <w:rFonts w:ascii="Arial" w:hAnsi="Arial" w:cs="Arial"/>
          <w:lang w:val="en-IN"/>
        </w:rPr>
      </w:pPr>
      <w:r w:rsidRPr="00593A1B">
        <w:rPr>
          <w:rFonts w:ascii="Arial" w:hAnsi="Arial" w:cs="Arial"/>
          <w:lang w:val="en-IN"/>
        </w:rPr>
        <w:t xml:space="preserve">In 1996 and improved in 2012, </w:t>
      </w:r>
      <w:proofErr w:type="spellStart"/>
      <w:r w:rsidRPr="00593A1B">
        <w:rPr>
          <w:rFonts w:ascii="Arial" w:hAnsi="Arial" w:cs="Arial"/>
          <w:lang w:val="en-IN"/>
        </w:rPr>
        <w:t>Kotters</w:t>
      </w:r>
      <w:proofErr w:type="spellEnd"/>
      <w:r w:rsidRPr="00593A1B">
        <w:rPr>
          <w:rFonts w:ascii="Arial" w:hAnsi="Arial" w:cs="Arial"/>
          <w:lang w:val="en-IN"/>
        </w:rPr>
        <w:t xml:space="preserve"> 8-Step Change Model offers a stepwise viewpoint on how to manage change in an organization with leadership, communication, and sustainability, which are key factors in overcoming the resistance in complex systems, such as healthcare (Hu et al., 2024; </w:t>
      </w:r>
      <w:proofErr w:type="spellStart"/>
      <w:r w:rsidRPr="00593A1B">
        <w:rPr>
          <w:rFonts w:ascii="Arial" w:hAnsi="Arial" w:cs="Arial"/>
          <w:lang w:val="en-IN"/>
        </w:rPr>
        <w:t>Prosci</w:t>
      </w:r>
      <w:proofErr w:type="spellEnd"/>
      <w:r w:rsidRPr="00593A1B">
        <w:rPr>
          <w:rFonts w:ascii="Arial" w:hAnsi="Arial" w:cs="Arial"/>
          <w:lang w:val="en-IN"/>
        </w:rPr>
        <w:t>, 2024). This model can be used to change the cultural orientation toward transparency and patient safety in case of Bristol Royal Infirmary scandal, when dangerous results were caused by improper governance and defensive cultures, the key causes of child excess deaths, were noted (Kennedy, 2001; Harrison et al., 2021).</w:t>
      </w:r>
    </w:p>
    <w:p w14:paraId="71D5278E"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 xml:space="preserve">Give a sense of urgency: Emphasize the mortality statistics and family loss to create an urgency and mobilize the various stakeholders overcoming complacency that had been given the whistleblower notices (Dyer, 2001; </w:t>
      </w:r>
      <w:proofErr w:type="spellStart"/>
      <w:r w:rsidRPr="00593A1B">
        <w:rPr>
          <w:rFonts w:ascii="Arial" w:hAnsi="Arial" w:cs="Arial"/>
          <w:lang w:val="en-IN"/>
        </w:rPr>
        <w:t>Bolsin</w:t>
      </w:r>
      <w:proofErr w:type="spellEnd"/>
      <w:r w:rsidRPr="00593A1B">
        <w:rPr>
          <w:rFonts w:ascii="Arial" w:hAnsi="Arial" w:cs="Arial"/>
          <w:lang w:val="en-IN"/>
        </w:rPr>
        <w:t>, 2002).</w:t>
      </w:r>
    </w:p>
    <w:p w14:paraId="195B66CD"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Create a team of clinicians, managers, and regulators workers: This collaboration strategy involving multidisciplinary team players should promote reforms, which would be absent in Bristol's hierarchical club culture (Butler, 2002; Thompson et al., 2025).</w:t>
      </w:r>
    </w:p>
    <w:p w14:paraId="628395D2"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 xml:space="preserve">Vision: Express the concept of safe, transparent paediatric cardiac services with the precise objectives such as audit compliance, conformity of staff members to avoid solitary </w:t>
      </w:r>
      <w:proofErr w:type="spellStart"/>
      <w:r w:rsidRPr="00593A1B">
        <w:rPr>
          <w:rFonts w:ascii="Arial" w:hAnsi="Arial" w:cs="Arial"/>
          <w:lang w:val="en-IN"/>
        </w:rPr>
        <w:t>behaviors</w:t>
      </w:r>
      <w:proofErr w:type="spellEnd"/>
      <w:r w:rsidRPr="00593A1B">
        <w:rPr>
          <w:rFonts w:ascii="Arial" w:hAnsi="Arial" w:cs="Arial"/>
          <w:lang w:val="en-IN"/>
        </w:rPr>
        <w:t xml:space="preserve"> (Coulter, 2002; Price et al., 2020).</w:t>
      </w:r>
    </w:p>
    <w:p w14:paraId="6D1780D6"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Communicate: Share the vision by having meetings and dashboards, which would enhance the strained information sharing that troubled families (Kennedy, 2001; BBC, 2025).</w:t>
      </w:r>
    </w:p>
    <w:p w14:paraId="39B692FF"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Eliminate obstacles: Whistleblower safeguards and mentoring should be used to address the organizational hierarchy, where the leadership is hesitant to report unsafe surgeons (</w:t>
      </w:r>
      <w:proofErr w:type="spellStart"/>
      <w:r w:rsidRPr="00593A1B">
        <w:rPr>
          <w:rFonts w:ascii="Arial" w:hAnsi="Arial" w:cs="Arial"/>
          <w:lang w:val="en-IN"/>
        </w:rPr>
        <w:t>Bolsin</w:t>
      </w:r>
      <w:proofErr w:type="spellEnd"/>
      <w:r w:rsidRPr="00593A1B">
        <w:rPr>
          <w:rFonts w:ascii="Arial" w:hAnsi="Arial" w:cs="Arial"/>
          <w:lang w:val="en-IN"/>
        </w:rPr>
        <w:t>, 2002; PSA, 2025).</w:t>
      </w:r>
    </w:p>
    <w:p w14:paraId="2C3200DA"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Short-term wins: Easy victories, including 100 percent mortality reviews, are attained to create a roll of momentum and show that progress is being made (NICE, 2002; Golden et al., 2025).</w:t>
      </w:r>
    </w:p>
    <w:p w14:paraId="15577839"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 xml:space="preserve">Build change: </w:t>
      </w:r>
      <w:proofErr w:type="spellStart"/>
      <w:r w:rsidRPr="00593A1B">
        <w:rPr>
          <w:rFonts w:ascii="Arial" w:hAnsi="Arial" w:cs="Arial"/>
          <w:lang w:val="en-IN"/>
        </w:rPr>
        <w:t>Catalyze</w:t>
      </w:r>
      <w:proofErr w:type="spellEnd"/>
      <w:r w:rsidRPr="00593A1B">
        <w:rPr>
          <w:rFonts w:ascii="Arial" w:hAnsi="Arial" w:cs="Arial"/>
          <w:lang w:val="en-IN"/>
        </w:rPr>
        <w:t xml:space="preserve"> the change by integrating governance and monitoring low volumes) that are retained by the audit (Aylin et al., 2001; </w:t>
      </w:r>
      <w:proofErr w:type="spellStart"/>
      <w:r w:rsidRPr="00593A1B">
        <w:rPr>
          <w:rFonts w:ascii="Arial" w:hAnsi="Arial" w:cs="Arial"/>
          <w:lang w:val="en-IN"/>
        </w:rPr>
        <w:t>Suseeladevi</w:t>
      </w:r>
      <w:proofErr w:type="spellEnd"/>
      <w:r w:rsidRPr="00593A1B">
        <w:rPr>
          <w:rFonts w:ascii="Arial" w:hAnsi="Arial" w:cs="Arial"/>
          <w:lang w:val="en-IN"/>
        </w:rPr>
        <w:t xml:space="preserve"> et al., 2025).</w:t>
      </w:r>
    </w:p>
    <w:p w14:paraId="57ABF20E" w14:textId="77777777" w:rsidR="00370EA8" w:rsidRPr="00593A1B" w:rsidRDefault="00370EA8" w:rsidP="00370EA8">
      <w:pPr>
        <w:pStyle w:val="ListParagraph"/>
        <w:numPr>
          <w:ilvl w:val="0"/>
          <w:numId w:val="4"/>
        </w:numPr>
        <w:rPr>
          <w:rFonts w:ascii="Arial" w:hAnsi="Arial" w:cs="Arial"/>
          <w:lang w:val="en-IN"/>
        </w:rPr>
      </w:pPr>
      <w:r w:rsidRPr="00593A1B">
        <w:rPr>
          <w:rFonts w:ascii="Arial" w:hAnsi="Arial" w:cs="Arial"/>
          <w:lang w:val="en-IN"/>
        </w:rPr>
        <w:t>Anchor culture: Introduce changes into NHS norms through appraisals and policies, and accountability should be permanent (The Health Foundation, 2001; The Stationery Office, 2015).</w:t>
      </w:r>
    </w:p>
    <w:p w14:paraId="7A71EAA2" w14:textId="77777777" w:rsidR="00370EA8" w:rsidRPr="00593A1B" w:rsidRDefault="00370EA8" w:rsidP="00370EA8">
      <w:pPr>
        <w:rPr>
          <w:rFonts w:ascii="Arial" w:hAnsi="Arial" w:cs="Arial"/>
          <w:lang w:val="en-IN"/>
        </w:rPr>
      </w:pPr>
      <w:r w:rsidRPr="00593A1B">
        <w:rPr>
          <w:rFonts w:ascii="Arial" w:hAnsi="Arial" w:cs="Arial"/>
          <w:lang w:val="en-IN"/>
        </w:rPr>
        <w:t>This model is better than the three-step model by Lewin that considers urgency and coalitions, which would be perfect in terms of NHS post-crisis revival (Harrison et al., 2021; Hu et al., 2024). In this case, it will turn failures of Bristol into resilient, patient-</w:t>
      </w:r>
      <w:proofErr w:type="spellStart"/>
      <w:r w:rsidRPr="00593A1B">
        <w:rPr>
          <w:rFonts w:ascii="Arial" w:hAnsi="Arial" w:cs="Arial"/>
          <w:lang w:val="en-IN"/>
        </w:rPr>
        <w:t>centered</w:t>
      </w:r>
      <w:proofErr w:type="spellEnd"/>
      <w:r w:rsidRPr="00593A1B">
        <w:rPr>
          <w:rFonts w:ascii="Arial" w:hAnsi="Arial" w:cs="Arial"/>
          <w:lang w:val="en-IN"/>
        </w:rPr>
        <w:t xml:space="preserve"> systems (UK Government, 2025; Hodge et al., 2019).</w:t>
      </w:r>
    </w:p>
    <w:p w14:paraId="7F434A19" w14:textId="77777777" w:rsidR="00050C76" w:rsidRPr="00593A1B" w:rsidRDefault="00050C76">
      <w:pPr>
        <w:spacing w:after="0"/>
        <w:rPr>
          <w:rFonts w:ascii="Arial" w:eastAsia="Times New Roman" w:hAnsi="Arial" w:cs="Arial"/>
          <w:b/>
          <w:color w:val="4472C4"/>
          <w:szCs w:val="26"/>
          <w:lang w:val="en-IN"/>
        </w:rPr>
      </w:pPr>
    </w:p>
    <w:p w14:paraId="537EAE05" w14:textId="77777777" w:rsidR="008055B8" w:rsidRPr="00593A1B" w:rsidRDefault="00643529" w:rsidP="005D0085">
      <w:pPr>
        <w:pStyle w:val="Heading1"/>
        <w:rPr>
          <w:rFonts w:ascii="Arial" w:hAnsi="Arial" w:cs="Arial"/>
          <w:lang w:val="en-IN"/>
        </w:rPr>
      </w:pPr>
      <w:r w:rsidRPr="00593A1B">
        <w:rPr>
          <w:rFonts w:ascii="Arial" w:hAnsi="Arial" w:cs="Arial"/>
          <w:lang w:val="en-IN"/>
        </w:rPr>
        <w:br w:type="page"/>
      </w:r>
      <w:bookmarkStart w:id="7" w:name="_Toc215146864"/>
      <w:r w:rsidR="00B54A0D" w:rsidRPr="00593A1B">
        <w:rPr>
          <w:rFonts w:ascii="Arial" w:hAnsi="Arial" w:cs="Arial"/>
          <w:lang w:val="en-IN"/>
        </w:rPr>
        <w:t>Recommendation</w:t>
      </w:r>
      <w:bookmarkEnd w:id="7"/>
    </w:p>
    <w:p w14:paraId="3DE6E948" w14:textId="77777777" w:rsidR="00C41285" w:rsidRPr="00593A1B" w:rsidRDefault="00C41285" w:rsidP="00C41285">
      <w:pPr>
        <w:rPr>
          <w:rFonts w:ascii="Arial" w:hAnsi="Arial" w:cs="Arial"/>
          <w:lang w:val="en-IN"/>
        </w:rPr>
      </w:pPr>
      <w:r w:rsidRPr="00593A1B">
        <w:rPr>
          <w:rFonts w:ascii="Arial" w:hAnsi="Arial" w:cs="Arial"/>
          <w:lang w:val="en-IN"/>
        </w:rPr>
        <w:t>Paediatric cardiac services require emergency revision to centralised high-volume units (minimum of 250- 300 open heart procedures per year in children under one year old), mandatory real time submission to the National Congenital Heart Diseases Audit (NCHDA) and independent external validation of mortality data to avoid a repeat of Bristol-type failure. It is necessary to install an effective policy on whistleblower protection, no place for hierarchical oppression, and force surgeons to undergo competent evaluation at least once a year. NHS requirements on leadership training on transparency and patient safety, with complete family involvement in consent and governance processes, should not be negotiable to renew and maintain the trust of the population</w:t>
      </w:r>
      <w:r w:rsidR="00261379" w:rsidRPr="00593A1B">
        <w:rPr>
          <w:rFonts w:ascii="Arial" w:hAnsi="Arial" w:cs="Arial"/>
          <w:lang w:val="en-IN"/>
        </w:rPr>
        <w:t xml:space="preserve"> (</w:t>
      </w:r>
      <w:proofErr w:type="spellStart"/>
      <w:r w:rsidR="00261379" w:rsidRPr="00593A1B">
        <w:rPr>
          <w:rFonts w:ascii="Arial" w:hAnsi="Arial" w:cs="Arial"/>
          <w:lang w:val="en-IN"/>
        </w:rPr>
        <w:t>Suseeladevi</w:t>
      </w:r>
      <w:proofErr w:type="spellEnd"/>
      <w:r w:rsidR="00261379" w:rsidRPr="00593A1B">
        <w:rPr>
          <w:rFonts w:ascii="Arial" w:hAnsi="Arial" w:cs="Arial"/>
          <w:lang w:val="en-IN"/>
        </w:rPr>
        <w:t xml:space="preserve"> et al., 2025)</w:t>
      </w:r>
      <w:r w:rsidRPr="00593A1B">
        <w:rPr>
          <w:rFonts w:ascii="Arial" w:hAnsi="Arial" w:cs="Arial"/>
          <w:lang w:val="en-IN"/>
        </w:rPr>
        <w:t>.</w:t>
      </w:r>
    </w:p>
    <w:p w14:paraId="5E904579" w14:textId="77777777" w:rsidR="009B488C" w:rsidRPr="00593A1B" w:rsidRDefault="009B488C" w:rsidP="009B488C">
      <w:pPr>
        <w:pStyle w:val="Heading1"/>
        <w:rPr>
          <w:rFonts w:ascii="Arial" w:hAnsi="Arial" w:cs="Arial"/>
          <w:lang w:val="en-IN"/>
        </w:rPr>
      </w:pPr>
      <w:bookmarkStart w:id="8" w:name="_Toc215146865"/>
      <w:r w:rsidRPr="00593A1B">
        <w:rPr>
          <w:rFonts w:ascii="Arial" w:hAnsi="Arial" w:cs="Arial"/>
          <w:lang w:val="en-IN"/>
        </w:rPr>
        <w:t>Benchmarking</w:t>
      </w:r>
      <w:bookmarkEnd w:id="8"/>
    </w:p>
    <w:p w14:paraId="5FC61663" w14:textId="77777777" w:rsidR="00B54A0D" w:rsidRPr="00593A1B" w:rsidRDefault="00B54A0D" w:rsidP="00050C76">
      <w:pPr>
        <w:pStyle w:val="Heading2"/>
        <w:rPr>
          <w:rFonts w:ascii="Arial" w:hAnsi="Arial" w:cs="Arial"/>
          <w:lang w:val="en-IN"/>
        </w:rPr>
      </w:pPr>
      <w:bookmarkStart w:id="9" w:name="_Toc215146866"/>
      <w:r w:rsidRPr="00593A1B">
        <w:rPr>
          <w:rFonts w:ascii="Arial" w:hAnsi="Arial" w:cs="Arial"/>
          <w:lang w:val="en-IN"/>
        </w:rPr>
        <w:t>Benchmark Table</w:t>
      </w:r>
      <w:bookmarkEnd w:id="9"/>
    </w:p>
    <w:p w14:paraId="4D55AF3A" w14:textId="77777777" w:rsidR="00B54A0D" w:rsidRPr="00593A1B" w:rsidRDefault="00B54A0D" w:rsidP="00B54A0D">
      <w:pPr>
        <w:rPr>
          <w:rFonts w:ascii="Arial" w:hAnsi="Arial" w:cs="Arial"/>
          <w:lang w:val="en-IN"/>
        </w:rPr>
      </w:pPr>
      <w:r w:rsidRPr="00593A1B">
        <w:rPr>
          <w:rFonts w:ascii="Arial" w:hAnsi="Arial" w:cs="Arial"/>
          <w:lang w:val="en-IN"/>
        </w:rPr>
        <w:t>Drawing on post-Bristol standards and recent QI initiatives (Golden et al., 2025; Hodge et al., 2019):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0"/>
        <w:gridCol w:w="2059"/>
        <w:gridCol w:w="2213"/>
        <w:gridCol w:w="2804"/>
      </w:tblGrid>
      <w:tr w:rsidR="001A7565" w:rsidRPr="00593A1B" w14:paraId="30EC1BF0" w14:textId="77777777">
        <w:tc>
          <w:tcPr>
            <w:tcW w:w="0" w:type="auto"/>
            <w:hideMark/>
          </w:tcPr>
          <w:p w14:paraId="6B30270C" w14:textId="77777777" w:rsidR="001A7565" w:rsidRPr="00593A1B" w:rsidRDefault="001A7565">
            <w:pPr>
              <w:spacing w:after="0"/>
              <w:rPr>
                <w:rFonts w:ascii="Arial" w:hAnsi="Arial" w:cs="Arial"/>
                <w:b/>
                <w:bCs/>
                <w:lang w:val="en-IN"/>
              </w:rPr>
            </w:pPr>
            <w:r w:rsidRPr="00593A1B">
              <w:rPr>
                <w:rFonts w:ascii="Arial" w:hAnsi="Arial" w:cs="Arial"/>
                <w:b/>
                <w:bCs/>
                <w:lang w:val="en-IN"/>
              </w:rPr>
              <w:t>Aspect</w:t>
            </w:r>
          </w:p>
        </w:tc>
        <w:tc>
          <w:tcPr>
            <w:tcW w:w="0" w:type="auto"/>
            <w:hideMark/>
          </w:tcPr>
          <w:p w14:paraId="3156F58A" w14:textId="77777777" w:rsidR="001A7565" w:rsidRPr="00593A1B" w:rsidRDefault="001A7565">
            <w:pPr>
              <w:spacing w:after="0"/>
              <w:rPr>
                <w:rFonts w:ascii="Arial" w:hAnsi="Arial" w:cs="Arial"/>
                <w:b/>
                <w:bCs/>
                <w:lang w:val="en-IN"/>
              </w:rPr>
            </w:pPr>
            <w:r w:rsidRPr="00593A1B">
              <w:rPr>
                <w:rFonts w:ascii="Arial" w:hAnsi="Arial" w:cs="Arial"/>
                <w:b/>
                <w:bCs/>
                <w:lang w:val="en-IN"/>
              </w:rPr>
              <w:t>National Standard (NHS Practice)</w:t>
            </w:r>
          </w:p>
        </w:tc>
        <w:tc>
          <w:tcPr>
            <w:tcW w:w="0" w:type="auto"/>
            <w:hideMark/>
          </w:tcPr>
          <w:p w14:paraId="70168479" w14:textId="33256260" w:rsidR="001A7565" w:rsidRPr="00593A1B" w:rsidRDefault="001A7565">
            <w:pPr>
              <w:spacing w:after="0"/>
              <w:rPr>
                <w:rFonts w:ascii="Arial" w:hAnsi="Arial" w:cs="Arial"/>
                <w:b/>
                <w:bCs/>
                <w:lang w:val="en-IN"/>
              </w:rPr>
            </w:pPr>
            <w:r w:rsidRPr="00593A1B">
              <w:rPr>
                <w:rFonts w:ascii="Arial" w:hAnsi="Arial" w:cs="Arial"/>
                <w:b/>
                <w:bCs/>
                <w:lang w:val="en-IN"/>
              </w:rPr>
              <w:t>Bristol Performance Before (1984</w:t>
            </w:r>
            <w:r w:rsidR="009B6A96">
              <w:rPr>
                <w:rFonts w:ascii="Arial" w:hAnsi="Arial" w:cs="Arial"/>
                <w:b/>
                <w:bCs/>
                <w:lang w:val="en-IN"/>
              </w:rPr>
              <w:t>-</w:t>
            </w:r>
            <w:r w:rsidRPr="00593A1B">
              <w:rPr>
                <w:rFonts w:ascii="Arial" w:hAnsi="Arial" w:cs="Arial"/>
                <w:b/>
                <w:bCs/>
                <w:lang w:val="en-IN"/>
              </w:rPr>
              <w:t>1995)</w:t>
            </w:r>
          </w:p>
        </w:tc>
        <w:tc>
          <w:tcPr>
            <w:tcW w:w="0" w:type="auto"/>
            <w:hideMark/>
          </w:tcPr>
          <w:p w14:paraId="2AE511E4" w14:textId="77777777" w:rsidR="001A7565" w:rsidRPr="00593A1B" w:rsidRDefault="001A7565">
            <w:pPr>
              <w:spacing w:after="0"/>
              <w:rPr>
                <w:rFonts w:ascii="Arial" w:hAnsi="Arial" w:cs="Arial"/>
                <w:b/>
                <w:bCs/>
                <w:lang w:val="en-IN"/>
              </w:rPr>
            </w:pPr>
            <w:r w:rsidRPr="00593A1B">
              <w:rPr>
                <w:rFonts w:ascii="Arial" w:hAnsi="Arial" w:cs="Arial"/>
                <w:b/>
                <w:bCs/>
                <w:lang w:val="en-IN"/>
              </w:rPr>
              <w:t>Bristol/NHS Performance After (Post-2001)</w:t>
            </w:r>
          </w:p>
        </w:tc>
      </w:tr>
      <w:tr w:rsidR="001A7565" w:rsidRPr="00593A1B" w14:paraId="34282356" w14:textId="77777777">
        <w:tc>
          <w:tcPr>
            <w:tcW w:w="0" w:type="auto"/>
            <w:hideMark/>
          </w:tcPr>
          <w:p w14:paraId="6CF8A44C" w14:textId="77777777" w:rsidR="001A7565" w:rsidRPr="00593A1B" w:rsidRDefault="001A7565">
            <w:pPr>
              <w:spacing w:after="0"/>
              <w:rPr>
                <w:rFonts w:ascii="Arial" w:hAnsi="Arial" w:cs="Arial"/>
                <w:lang w:val="en-IN"/>
              </w:rPr>
            </w:pPr>
            <w:r w:rsidRPr="00593A1B">
              <w:rPr>
                <w:rFonts w:ascii="Arial" w:hAnsi="Arial" w:cs="Arial"/>
                <w:lang w:val="en-IN"/>
              </w:rPr>
              <w:t>Clinical Governance &amp; Accountability</w:t>
            </w:r>
          </w:p>
        </w:tc>
        <w:tc>
          <w:tcPr>
            <w:tcW w:w="0" w:type="auto"/>
            <w:hideMark/>
          </w:tcPr>
          <w:p w14:paraId="19C3D6D9" w14:textId="77777777" w:rsidR="001A7565" w:rsidRPr="00593A1B" w:rsidRDefault="001A7565">
            <w:pPr>
              <w:spacing w:after="0"/>
              <w:rPr>
                <w:rFonts w:ascii="Arial" w:hAnsi="Arial" w:cs="Arial"/>
                <w:lang w:val="en-IN"/>
              </w:rPr>
            </w:pPr>
            <w:r w:rsidRPr="00593A1B">
              <w:rPr>
                <w:rFonts w:ascii="Arial" w:hAnsi="Arial" w:cs="Arial"/>
                <w:lang w:val="en-IN"/>
              </w:rPr>
              <w:t>The NHS trusts should positively maintain a sound clinical governance structure that includes articulate responsibility towards the safety and quality of their patients (Price et al., 2020; The Health Foundation, 2001).</w:t>
            </w:r>
          </w:p>
        </w:tc>
        <w:tc>
          <w:tcPr>
            <w:tcW w:w="0" w:type="auto"/>
            <w:hideMark/>
          </w:tcPr>
          <w:p w14:paraId="0915F137" w14:textId="77777777" w:rsidR="001A7565" w:rsidRPr="00593A1B" w:rsidRDefault="001A7565">
            <w:pPr>
              <w:spacing w:after="0"/>
              <w:rPr>
                <w:rFonts w:ascii="Arial" w:hAnsi="Arial" w:cs="Arial"/>
                <w:lang w:val="en-IN"/>
              </w:rPr>
            </w:pPr>
            <w:r w:rsidRPr="00593A1B">
              <w:rPr>
                <w:rFonts w:ascii="Arial" w:hAnsi="Arial" w:cs="Arial"/>
                <w:lang w:val="en-IN"/>
              </w:rPr>
              <w:t>There were poor governance with confused accountability; the management was unable to identify and rectify unsafe practices (Kennedy, 2001; Dyer, 2001).</w:t>
            </w:r>
          </w:p>
        </w:tc>
        <w:tc>
          <w:tcPr>
            <w:tcW w:w="0" w:type="auto"/>
            <w:hideMark/>
          </w:tcPr>
          <w:p w14:paraId="29D38F2B" w14:textId="77777777" w:rsidR="001A7565" w:rsidRPr="00593A1B" w:rsidRDefault="001A7565">
            <w:pPr>
              <w:spacing w:after="0"/>
              <w:rPr>
                <w:rFonts w:ascii="Arial" w:hAnsi="Arial" w:cs="Arial"/>
                <w:lang w:val="en-IN"/>
              </w:rPr>
            </w:pPr>
            <w:r w:rsidRPr="00593A1B">
              <w:rPr>
                <w:rFonts w:ascii="Arial" w:hAnsi="Arial" w:cs="Arial"/>
                <w:lang w:val="en-IN"/>
              </w:rPr>
              <w:t>Stronger governance implemented via Kennedy recommendations; Bristol's outcomes now align with national averages (e.g., 30-day survival &gt;98%), with independent oversight ensuring accountability (NCHDA reports; 2016 Bristol Review) (Price et al., 2020; The Health Foundation, 2001).</w:t>
            </w:r>
          </w:p>
        </w:tc>
      </w:tr>
      <w:tr w:rsidR="001A7565" w:rsidRPr="00593A1B" w14:paraId="41856C8B" w14:textId="77777777">
        <w:tc>
          <w:tcPr>
            <w:tcW w:w="0" w:type="auto"/>
            <w:hideMark/>
          </w:tcPr>
          <w:p w14:paraId="02E0755C" w14:textId="77777777" w:rsidR="001A7565" w:rsidRPr="00593A1B" w:rsidRDefault="001A7565">
            <w:pPr>
              <w:spacing w:after="0"/>
              <w:rPr>
                <w:rFonts w:ascii="Arial" w:hAnsi="Arial" w:cs="Arial"/>
                <w:lang w:val="en-IN"/>
              </w:rPr>
            </w:pPr>
            <w:r w:rsidRPr="00593A1B">
              <w:rPr>
                <w:rFonts w:ascii="Arial" w:hAnsi="Arial" w:cs="Arial"/>
                <w:lang w:val="en-IN"/>
              </w:rPr>
              <w:t>Audit &amp; Quality Monitoring</w:t>
            </w:r>
          </w:p>
        </w:tc>
        <w:tc>
          <w:tcPr>
            <w:tcW w:w="0" w:type="auto"/>
            <w:hideMark/>
          </w:tcPr>
          <w:p w14:paraId="7802F919" w14:textId="77777777" w:rsidR="001A7565" w:rsidRPr="00593A1B" w:rsidRDefault="001A7565">
            <w:pPr>
              <w:spacing w:after="0"/>
              <w:rPr>
                <w:rFonts w:ascii="Arial" w:hAnsi="Arial" w:cs="Arial"/>
                <w:lang w:val="en-IN"/>
              </w:rPr>
            </w:pPr>
            <w:r w:rsidRPr="00593A1B">
              <w:rPr>
                <w:rFonts w:ascii="Arial" w:hAnsi="Arial" w:cs="Arial"/>
                <w:lang w:val="en-IN"/>
              </w:rPr>
              <w:t xml:space="preserve">Getting involved in national clinical audits (e.g., NCHDA) and regular mortality reviews to guarantee safe surgical outcomes (NICE, 2002; </w:t>
            </w:r>
            <w:proofErr w:type="spellStart"/>
            <w:r w:rsidRPr="00593A1B">
              <w:rPr>
                <w:rFonts w:ascii="Arial" w:hAnsi="Arial" w:cs="Arial"/>
                <w:lang w:val="en-IN"/>
              </w:rPr>
              <w:t>Suseeladevi</w:t>
            </w:r>
            <w:proofErr w:type="spellEnd"/>
            <w:r w:rsidRPr="00593A1B">
              <w:rPr>
                <w:rFonts w:ascii="Arial" w:hAnsi="Arial" w:cs="Arial"/>
                <w:lang w:val="en-IN"/>
              </w:rPr>
              <w:t xml:space="preserve"> et al., 2025).</w:t>
            </w:r>
          </w:p>
        </w:tc>
        <w:tc>
          <w:tcPr>
            <w:tcW w:w="0" w:type="auto"/>
            <w:hideMark/>
          </w:tcPr>
          <w:p w14:paraId="251B3A82" w14:textId="77777777" w:rsidR="001A7565" w:rsidRPr="00593A1B" w:rsidRDefault="001A7565">
            <w:pPr>
              <w:spacing w:after="0"/>
              <w:rPr>
                <w:rFonts w:ascii="Arial" w:hAnsi="Arial" w:cs="Arial"/>
                <w:lang w:val="en-IN"/>
              </w:rPr>
            </w:pPr>
            <w:r w:rsidRPr="00593A1B">
              <w:rPr>
                <w:rFonts w:ascii="Arial" w:hAnsi="Arial" w:cs="Arial"/>
                <w:lang w:val="en-IN"/>
              </w:rPr>
              <w:t xml:space="preserve">Lack of systematic review of audit process, high mortality rates were not checked or taken action (Aylin et al., 2001; </w:t>
            </w:r>
            <w:proofErr w:type="spellStart"/>
            <w:r w:rsidRPr="00593A1B">
              <w:rPr>
                <w:rFonts w:ascii="Arial" w:hAnsi="Arial" w:cs="Arial"/>
                <w:lang w:val="en-IN"/>
              </w:rPr>
              <w:t>Bolsin</w:t>
            </w:r>
            <w:proofErr w:type="spellEnd"/>
            <w:r w:rsidRPr="00593A1B">
              <w:rPr>
                <w:rFonts w:ascii="Arial" w:hAnsi="Arial" w:cs="Arial"/>
                <w:lang w:val="en-IN"/>
              </w:rPr>
              <w:t>, 2002).</w:t>
            </w:r>
          </w:p>
        </w:tc>
        <w:tc>
          <w:tcPr>
            <w:tcW w:w="0" w:type="auto"/>
            <w:hideMark/>
          </w:tcPr>
          <w:p w14:paraId="20A05263" w14:textId="77777777" w:rsidR="001A7565" w:rsidRPr="00593A1B" w:rsidRDefault="001A7565">
            <w:pPr>
              <w:spacing w:after="0"/>
              <w:rPr>
                <w:rFonts w:ascii="Arial" w:hAnsi="Arial" w:cs="Arial"/>
                <w:lang w:val="en-IN"/>
              </w:rPr>
            </w:pPr>
            <w:r w:rsidRPr="00593A1B">
              <w:rPr>
                <w:rFonts w:ascii="Arial" w:hAnsi="Arial" w:cs="Arial"/>
                <w:lang w:val="en-IN"/>
              </w:rPr>
              <w:t xml:space="preserve">Mandatory NCHDA participation; Bristol submits annual data with outcomes comparable to other </w:t>
            </w:r>
            <w:proofErr w:type="spellStart"/>
            <w:r w:rsidRPr="00593A1B">
              <w:rPr>
                <w:rFonts w:ascii="Arial" w:hAnsi="Arial" w:cs="Arial"/>
                <w:lang w:val="en-IN"/>
              </w:rPr>
              <w:t>centers</w:t>
            </w:r>
            <w:proofErr w:type="spellEnd"/>
            <w:r w:rsidRPr="00593A1B">
              <w:rPr>
                <w:rFonts w:ascii="Arial" w:hAnsi="Arial" w:cs="Arial"/>
                <w:lang w:val="en-IN"/>
              </w:rPr>
              <w:t xml:space="preserve"> (e.g., mortality rates halved nationally, Bristol-specific drop from 29% to ~3% in under-1s by mid-2000s) (NICE, 2002; </w:t>
            </w:r>
            <w:proofErr w:type="spellStart"/>
            <w:r w:rsidRPr="00593A1B">
              <w:rPr>
                <w:rFonts w:ascii="Arial" w:hAnsi="Arial" w:cs="Arial"/>
                <w:lang w:val="en-IN"/>
              </w:rPr>
              <w:t>Suseeladevi</w:t>
            </w:r>
            <w:proofErr w:type="spellEnd"/>
            <w:r w:rsidRPr="00593A1B">
              <w:rPr>
                <w:rFonts w:ascii="Arial" w:hAnsi="Arial" w:cs="Arial"/>
                <w:lang w:val="en-IN"/>
              </w:rPr>
              <w:t xml:space="preserve"> et al., 2025).</w:t>
            </w:r>
          </w:p>
        </w:tc>
      </w:tr>
      <w:tr w:rsidR="001A7565" w:rsidRPr="00593A1B" w14:paraId="14B39E26" w14:textId="77777777">
        <w:tc>
          <w:tcPr>
            <w:tcW w:w="0" w:type="auto"/>
            <w:hideMark/>
          </w:tcPr>
          <w:p w14:paraId="36A1DC66" w14:textId="77777777" w:rsidR="001A7565" w:rsidRPr="00593A1B" w:rsidRDefault="001A7565">
            <w:pPr>
              <w:spacing w:after="0"/>
              <w:rPr>
                <w:rFonts w:ascii="Arial" w:hAnsi="Arial" w:cs="Arial"/>
                <w:lang w:val="en-IN"/>
              </w:rPr>
            </w:pPr>
            <w:r w:rsidRPr="00593A1B">
              <w:rPr>
                <w:rFonts w:ascii="Arial" w:hAnsi="Arial" w:cs="Arial"/>
                <w:lang w:val="en-IN"/>
              </w:rPr>
              <w:t>Leadership &amp; Management</w:t>
            </w:r>
          </w:p>
        </w:tc>
        <w:tc>
          <w:tcPr>
            <w:tcW w:w="0" w:type="auto"/>
            <w:hideMark/>
          </w:tcPr>
          <w:p w14:paraId="7A910EF7" w14:textId="77777777" w:rsidR="001A7565" w:rsidRPr="00593A1B" w:rsidRDefault="001A7565">
            <w:pPr>
              <w:spacing w:after="0"/>
              <w:rPr>
                <w:rFonts w:ascii="Arial" w:hAnsi="Arial" w:cs="Arial"/>
                <w:lang w:val="en-IN"/>
              </w:rPr>
            </w:pPr>
            <w:r w:rsidRPr="00593A1B">
              <w:rPr>
                <w:rFonts w:ascii="Arial" w:hAnsi="Arial" w:cs="Arial"/>
                <w:lang w:val="en-IN"/>
              </w:rPr>
              <w:t>The leaders are supposed to encourage transparency and learning and oppose unsafe ways (Thompson et al., 2025; Hu et al., 2024).</w:t>
            </w:r>
          </w:p>
        </w:tc>
        <w:tc>
          <w:tcPr>
            <w:tcW w:w="0" w:type="auto"/>
            <w:hideMark/>
          </w:tcPr>
          <w:p w14:paraId="29F818BC" w14:textId="77777777" w:rsidR="001A7565" w:rsidRPr="00593A1B" w:rsidRDefault="001A7565">
            <w:pPr>
              <w:spacing w:after="0"/>
              <w:rPr>
                <w:rFonts w:ascii="Arial" w:hAnsi="Arial" w:cs="Arial"/>
                <w:lang w:val="en-IN"/>
              </w:rPr>
            </w:pPr>
            <w:r w:rsidRPr="00593A1B">
              <w:rPr>
                <w:rFonts w:ascii="Arial" w:hAnsi="Arial" w:cs="Arial"/>
                <w:lang w:val="en-IN"/>
              </w:rPr>
              <w:t>There was inefficient leadership, where senior surgeons were not challenged despite developing inadequate performance, thus making them complacent (Kennedy, 2001; Butler, 2002).</w:t>
            </w:r>
          </w:p>
        </w:tc>
        <w:tc>
          <w:tcPr>
            <w:tcW w:w="0" w:type="auto"/>
            <w:hideMark/>
          </w:tcPr>
          <w:p w14:paraId="2DD9B9A4" w14:textId="77777777" w:rsidR="001A7565" w:rsidRPr="00593A1B" w:rsidRDefault="001A7565">
            <w:pPr>
              <w:spacing w:after="0"/>
              <w:rPr>
                <w:rFonts w:ascii="Arial" w:hAnsi="Arial" w:cs="Arial"/>
                <w:lang w:val="en-IN"/>
              </w:rPr>
            </w:pPr>
            <w:r w:rsidRPr="00593A1B">
              <w:rPr>
                <w:rFonts w:ascii="Arial" w:hAnsi="Arial" w:cs="Arial"/>
                <w:lang w:val="en-IN"/>
              </w:rPr>
              <w:t>New leadership and staff post-scandal fostered transparency; "club culture" dismantled, with focus on learning and safety (e.g., mortality now below national average in some metrics) (Thompson et al., 2025; Hu et al., 2024).</w:t>
            </w:r>
          </w:p>
        </w:tc>
      </w:tr>
      <w:tr w:rsidR="001A7565" w:rsidRPr="00593A1B" w14:paraId="63E7E044" w14:textId="77777777">
        <w:tc>
          <w:tcPr>
            <w:tcW w:w="0" w:type="auto"/>
            <w:hideMark/>
          </w:tcPr>
          <w:p w14:paraId="49C6DBEA" w14:textId="77777777" w:rsidR="001A7565" w:rsidRPr="00593A1B" w:rsidRDefault="001A7565">
            <w:pPr>
              <w:spacing w:after="0"/>
              <w:rPr>
                <w:rFonts w:ascii="Arial" w:hAnsi="Arial" w:cs="Arial"/>
                <w:lang w:val="en-IN"/>
              </w:rPr>
            </w:pPr>
            <w:r w:rsidRPr="00593A1B">
              <w:rPr>
                <w:rFonts w:ascii="Arial" w:hAnsi="Arial" w:cs="Arial"/>
                <w:lang w:val="en-IN"/>
              </w:rPr>
              <w:t>Staff Training &amp; Competence</w:t>
            </w:r>
          </w:p>
        </w:tc>
        <w:tc>
          <w:tcPr>
            <w:tcW w:w="0" w:type="auto"/>
            <w:hideMark/>
          </w:tcPr>
          <w:p w14:paraId="6CEF7E1E" w14:textId="77777777" w:rsidR="001A7565" w:rsidRPr="00593A1B" w:rsidRDefault="001A7565">
            <w:pPr>
              <w:spacing w:after="0"/>
              <w:rPr>
                <w:rFonts w:ascii="Arial" w:hAnsi="Arial" w:cs="Arial"/>
                <w:lang w:val="en-IN"/>
              </w:rPr>
            </w:pPr>
            <w:r w:rsidRPr="00593A1B">
              <w:rPr>
                <w:rFonts w:ascii="Arial" w:hAnsi="Arial" w:cs="Arial"/>
                <w:lang w:val="en-IN"/>
              </w:rPr>
              <w:t>Employees will have to comply with competence levels and to be in active professional growth (Golden et al., 2025; Hodge et al., 2019).</w:t>
            </w:r>
          </w:p>
        </w:tc>
        <w:tc>
          <w:tcPr>
            <w:tcW w:w="0" w:type="auto"/>
            <w:hideMark/>
          </w:tcPr>
          <w:p w14:paraId="3AC62422" w14:textId="77777777" w:rsidR="001A7565" w:rsidRPr="00593A1B" w:rsidRDefault="001A7565">
            <w:pPr>
              <w:spacing w:after="0"/>
              <w:rPr>
                <w:rFonts w:ascii="Arial" w:hAnsi="Arial" w:cs="Arial"/>
                <w:lang w:val="en-IN"/>
              </w:rPr>
            </w:pPr>
            <w:r w:rsidRPr="00593A1B">
              <w:rPr>
                <w:rFonts w:ascii="Arial" w:hAnsi="Arial" w:cs="Arial"/>
                <w:lang w:val="en-IN"/>
              </w:rPr>
              <w:t>There was a lack of supervision and evaluation of skills among surgeons; incompetence checks were also a source of failures (</w:t>
            </w:r>
            <w:proofErr w:type="spellStart"/>
            <w:r w:rsidRPr="00593A1B">
              <w:rPr>
                <w:rFonts w:ascii="Arial" w:hAnsi="Arial" w:cs="Arial"/>
                <w:lang w:val="en-IN"/>
              </w:rPr>
              <w:t>Bolsin</w:t>
            </w:r>
            <w:proofErr w:type="spellEnd"/>
            <w:r w:rsidRPr="00593A1B">
              <w:rPr>
                <w:rFonts w:ascii="Arial" w:hAnsi="Arial" w:cs="Arial"/>
                <w:lang w:val="en-IN"/>
              </w:rPr>
              <w:t>, 2002; BBC, 2025).</w:t>
            </w:r>
          </w:p>
        </w:tc>
        <w:tc>
          <w:tcPr>
            <w:tcW w:w="0" w:type="auto"/>
            <w:hideMark/>
          </w:tcPr>
          <w:p w14:paraId="5E650118" w14:textId="77777777" w:rsidR="001A7565" w:rsidRPr="00593A1B" w:rsidRDefault="001A7565">
            <w:pPr>
              <w:spacing w:after="0"/>
              <w:rPr>
                <w:rFonts w:ascii="Arial" w:hAnsi="Arial" w:cs="Arial"/>
                <w:lang w:val="en-IN"/>
              </w:rPr>
            </w:pPr>
            <w:r w:rsidRPr="00593A1B">
              <w:rPr>
                <w:rFonts w:ascii="Arial" w:hAnsi="Arial" w:cs="Arial"/>
                <w:lang w:val="en-IN"/>
              </w:rPr>
              <w:t>Enhanced training and competence assessments; Bristol's staff now meet national requirements, contributing to improved outcomes (e.g., reduced surgical site infections via QI initiatives) (Golden et al., 2025; Hodge et al., 2019).</w:t>
            </w:r>
          </w:p>
        </w:tc>
      </w:tr>
      <w:tr w:rsidR="001A7565" w:rsidRPr="00593A1B" w14:paraId="0AAA6888" w14:textId="77777777">
        <w:tc>
          <w:tcPr>
            <w:tcW w:w="0" w:type="auto"/>
            <w:hideMark/>
          </w:tcPr>
          <w:p w14:paraId="519375C8" w14:textId="77777777" w:rsidR="001A7565" w:rsidRPr="00593A1B" w:rsidRDefault="001A7565">
            <w:pPr>
              <w:spacing w:after="0"/>
              <w:rPr>
                <w:rFonts w:ascii="Arial" w:hAnsi="Arial" w:cs="Arial"/>
                <w:lang w:val="en-IN"/>
              </w:rPr>
            </w:pPr>
            <w:r w:rsidRPr="00593A1B">
              <w:rPr>
                <w:rFonts w:ascii="Arial" w:hAnsi="Arial" w:cs="Arial"/>
                <w:lang w:val="en-IN"/>
              </w:rPr>
              <w:t>Communication &amp; Family Engagement</w:t>
            </w:r>
          </w:p>
        </w:tc>
        <w:tc>
          <w:tcPr>
            <w:tcW w:w="0" w:type="auto"/>
            <w:hideMark/>
          </w:tcPr>
          <w:p w14:paraId="211A54C5" w14:textId="77777777" w:rsidR="001A7565" w:rsidRPr="00593A1B" w:rsidRDefault="001A7565">
            <w:pPr>
              <w:spacing w:after="0"/>
              <w:rPr>
                <w:rFonts w:ascii="Arial" w:hAnsi="Arial" w:cs="Arial"/>
                <w:lang w:val="en-IN"/>
              </w:rPr>
            </w:pPr>
            <w:r w:rsidRPr="00593A1B">
              <w:rPr>
                <w:rFonts w:ascii="Arial" w:hAnsi="Arial" w:cs="Arial"/>
                <w:lang w:val="en-IN"/>
              </w:rPr>
              <w:t>The open disclosure must be seen as having full information, as involvement, and support to the family during decision making (Coulter, 2002; PSA, 2025).</w:t>
            </w:r>
          </w:p>
        </w:tc>
        <w:tc>
          <w:tcPr>
            <w:tcW w:w="0" w:type="auto"/>
            <w:hideMark/>
          </w:tcPr>
          <w:p w14:paraId="0A32DE9D" w14:textId="77777777" w:rsidR="001A7565" w:rsidRPr="00593A1B" w:rsidRDefault="001A7565">
            <w:pPr>
              <w:spacing w:after="0"/>
              <w:rPr>
                <w:rFonts w:ascii="Arial" w:hAnsi="Arial" w:cs="Arial"/>
                <w:lang w:val="en-IN"/>
              </w:rPr>
            </w:pPr>
            <w:r w:rsidRPr="00593A1B">
              <w:rPr>
                <w:rFonts w:ascii="Arial" w:hAnsi="Arial" w:cs="Arial"/>
                <w:lang w:val="en-IN"/>
              </w:rPr>
              <w:t>The concerns of families were not taken into consideration; lack of communication brought about mistrust and distress (Kennedy, 2001; Dyer, 2001).</w:t>
            </w:r>
          </w:p>
        </w:tc>
        <w:tc>
          <w:tcPr>
            <w:tcW w:w="0" w:type="auto"/>
            <w:hideMark/>
          </w:tcPr>
          <w:p w14:paraId="5C92E6BB" w14:textId="77777777" w:rsidR="001A7565" w:rsidRPr="00593A1B" w:rsidRDefault="001A7565">
            <w:pPr>
              <w:spacing w:after="0"/>
              <w:rPr>
                <w:rFonts w:ascii="Arial" w:hAnsi="Arial" w:cs="Arial"/>
                <w:lang w:val="en-IN"/>
              </w:rPr>
            </w:pPr>
            <w:r w:rsidRPr="00593A1B">
              <w:rPr>
                <w:rFonts w:ascii="Arial" w:hAnsi="Arial" w:cs="Arial"/>
                <w:lang w:val="en-IN"/>
              </w:rPr>
              <w:t>Improved family involvement and open disclosure; 2016 review noted better support, though some gaps remain, aligning with NHS patient-</w:t>
            </w:r>
            <w:proofErr w:type="spellStart"/>
            <w:r w:rsidRPr="00593A1B">
              <w:rPr>
                <w:rFonts w:ascii="Arial" w:hAnsi="Arial" w:cs="Arial"/>
                <w:lang w:val="en-IN"/>
              </w:rPr>
              <w:t>centered</w:t>
            </w:r>
            <w:proofErr w:type="spellEnd"/>
            <w:r w:rsidRPr="00593A1B">
              <w:rPr>
                <w:rFonts w:ascii="Arial" w:hAnsi="Arial" w:cs="Arial"/>
                <w:lang w:val="en-IN"/>
              </w:rPr>
              <w:t xml:space="preserve"> reforms (Coulter, 2002; PSA, 2025).</w:t>
            </w:r>
          </w:p>
        </w:tc>
      </w:tr>
      <w:tr w:rsidR="001A7565" w:rsidRPr="00593A1B" w14:paraId="7C5EB1DB" w14:textId="77777777">
        <w:tc>
          <w:tcPr>
            <w:tcW w:w="0" w:type="auto"/>
            <w:hideMark/>
          </w:tcPr>
          <w:p w14:paraId="4678DFA7" w14:textId="77777777" w:rsidR="001A7565" w:rsidRPr="00593A1B" w:rsidRDefault="001A7565">
            <w:pPr>
              <w:spacing w:after="0"/>
              <w:rPr>
                <w:rFonts w:ascii="Arial" w:hAnsi="Arial" w:cs="Arial"/>
                <w:lang w:val="en-IN"/>
              </w:rPr>
            </w:pPr>
            <w:r w:rsidRPr="00593A1B">
              <w:rPr>
                <w:rFonts w:ascii="Arial" w:hAnsi="Arial" w:cs="Arial"/>
                <w:lang w:val="en-IN"/>
              </w:rPr>
              <w:t>Regulatory Oversight &amp; External Review</w:t>
            </w:r>
          </w:p>
        </w:tc>
        <w:tc>
          <w:tcPr>
            <w:tcW w:w="0" w:type="auto"/>
            <w:hideMark/>
          </w:tcPr>
          <w:p w14:paraId="2628F6FE" w14:textId="77777777" w:rsidR="001A7565" w:rsidRPr="00593A1B" w:rsidRDefault="001A7565">
            <w:pPr>
              <w:spacing w:after="0"/>
              <w:rPr>
                <w:rFonts w:ascii="Arial" w:hAnsi="Arial" w:cs="Arial"/>
                <w:lang w:val="en-IN"/>
              </w:rPr>
            </w:pPr>
            <w:r w:rsidRPr="00593A1B">
              <w:rPr>
                <w:rFonts w:ascii="Arial" w:hAnsi="Arial" w:cs="Arial"/>
                <w:lang w:val="en-IN"/>
              </w:rPr>
              <w:t>An environment of safety threat should be addressed by independent regulators at the initial stage of the development (Price et al., 2020; The Stationery Office, 2015).</w:t>
            </w:r>
          </w:p>
        </w:tc>
        <w:tc>
          <w:tcPr>
            <w:tcW w:w="0" w:type="auto"/>
            <w:hideMark/>
          </w:tcPr>
          <w:p w14:paraId="0C982247" w14:textId="77777777" w:rsidR="001A7565" w:rsidRPr="00593A1B" w:rsidRDefault="001A7565">
            <w:pPr>
              <w:spacing w:after="0"/>
              <w:rPr>
                <w:rFonts w:ascii="Arial" w:hAnsi="Arial" w:cs="Arial"/>
                <w:lang w:val="en-IN"/>
              </w:rPr>
            </w:pPr>
            <w:r w:rsidRPr="00593A1B">
              <w:rPr>
                <w:rFonts w:ascii="Arial" w:hAnsi="Arial" w:cs="Arial"/>
                <w:lang w:val="en-IN"/>
              </w:rPr>
              <w:t>Outsourcing did not react in time; only later, when people and the press put pressure on them (UK Government, 2025; Butler, 2002).</w:t>
            </w:r>
          </w:p>
        </w:tc>
        <w:tc>
          <w:tcPr>
            <w:tcW w:w="0" w:type="auto"/>
            <w:hideMark/>
          </w:tcPr>
          <w:p w14:paraId="4367B384" w14:textId="77777777" w:rsidR="001A7565" w:rsidRPr="00593A1B" w:rsidRDefault="001A7565">
            <w:pPr>
              <w:spacing w:after="0"/>
              <w:rPr>
                <w:rFonts w:ascii="Arial" w:hAnsi="Arial" w:cs="Arial"/>
                <w:lang w:val="en-IN"/>
              </w:rPr>
            </w:pPr>
            <w:r w:rsidRPr="00593A1B">
              <w:rPr>
                <w:rFonts w:ascii="Arial" w:hAnsi="Arial" w:cs="Arial"/>
                <w:lang w:val="en-IN"/>
              </w:rPr>
              <w:t>Strengthened via CQC and NCHDA; regular external reviews ensure early intervention, with Bristol's services now under rigorous monitoring (Price et al., 2020; The Stationery Office, 2015).</w:t>
            </w:r>
          </w:p>
        </w:tc>
      </w:tr>
    </w:tbl>
    <w:p w14:paraId="57DA15C5" w14:textId="77777777" w:rsidR="005D0085" w:rsidRPr="00593A1B" w:rsidRDefault="005D0085" w:rsidP="005D0085">
      <w:pPr>
        <w:spacing w:after="0"/>
        <w:rPr>
          <w:rFonts w:ascii="Arial" w:hAnsi="Arial" w:cs="Arial"/>
          <w:lang w:val="en-IN"/>
        </w:rPr>
      </w:pPr>
    </w:p>
    <w:p w14:paraId="6482001B" w14:textId="77777777" w:rsidR="00B54A0D" w:rsidRPr="00593A1B" w:rsidRDefault="005D0085" w:rsidP="005D0085">
      <w:pPr>
        <w:pStyle w:val="Heading1"/>
        <w:rPr>
          <w:rFonts w:ascii="Arial" w:hAnsi="Arial" w:cs="Arial"/>
          <w:lang w:val="en-IN"/>
        </w:rPr>
      </w:pPr>
      <w:r w:rsidRPr="00593A1B">
        <w:rPr>
          <w:rFonts w:ascii="Arial" w:hAnsi="Arial" w:cs="Arial"/>
          <w:lang w:val="en-IN"/>
        </w:rPr>
        <w:br w:type="page"/>
      </w:r>
      <w:bookmarkStart w:id="10" w:name="_Toc215146867"/>
      <w:r w:rsidR="00B54A0D" w:rsidRPr="00593A1B">
        <w:rPr>
          <w:rFonts w:ascii="Arial" w:hAnsi="Arial" w:cs="Arial"/>
          <w:lang w:val="en-IN"/>
        </w:rPr>
        <w:t>Conclusion</w:t>
      </w:r>
      <w:bookmarkEnd w:id="10"/>
    </w:p>
    <w:p w14:paraId="6A4AE7F8" w14:textId="72549B68" w:rsidR="00643529" w:rsidRPr="00593A1B" w:rsidRDefault="00B77EDB">
      <w:pPr>
        <w:spacing w:after="0"/>
        <w:rPr>
          <w:rFonts w:ascii="Arial" w:hAnsi="Arial" w:cs="Arial"/>
          <w:lang w:val="en-IN"/>
        </w:rPr>
      </w:pPr>
      <w:r w:rsidRPr="00593A1B">
        <w:rPr>
          <w:rFonts w:ascii="Arial" w:hAnsi="Arial" w:cs="Arial"/>
          <w:lang w:val="en-IN"/>
        </w:rPr>
        <w:t>The Bristol scandal revealed the long-standing malpractice of quality assurance and extra mortalities due to structural, procedural, and policy failure were examined using Donabedian and Fishbone, and SWOT theories. These instruments show the way to reform, and Kotter model and PDSA cycles offer the opportunities of the sustainable and fair ways. The legacy of Bristol requires constant oversight to focus on patient safety.</w:t>
      </w:r>
    </w:p>
    <w:p w14:paraId="56B1FEF7" w14:textId="77777777" w:rsidR="00050C76" w:rsidRPr="00593A1B" w:rsidRDefault="00050C76">
      <w:pPr>
        <w:spacing w:after="0"/>
        <w:rPr>
          <w:rFonts w:ascii="Arial" w:hAnsi="Arial" w:cs="Arial"/>
          <w:lang w:val="en-IN"/>
        </w:rPr>
      </w:pPr>
      <w:r w:rsidRPr="00593A1B">
        <w:rPr>
          <w:rFonts w:ascii="Arial" w:hAnsi="Arial" w:cs="Arial"/>
          <w:lang w:val="en-IN"/>
        </w:rPr>
        <w:br w:type="page"/>
      </w:r>
    </w:p>
    <w:p w14:paraId="058F3CD3" w14:textId="77777777" w:rsidR="00050C76" w:rsidRPr="00593A1B" w:rsidRDefault="00050C76" w:rsidP="00050C76">
      <w:pPr>
        <w:pStyle w:val="Heading1"/>
        <w:rPr>
          <w:rFonts w:ascii="Arial" w:hAnsi="Arial" w:cs="Arial"/>
          <w:lang w:val="en-IN"/>
        </w:rPr>
      </w:pPr>
      <w:bookmarkStart w:id="11" w:name="_Toc215146868"/>
      <w:r w:rsidRPr="00593A1B">
        <w:rPr>
          <w:rFonts w:ascii="Arial" w:hAnsi="Arial" w:cs="Arial"/>
          <w:lang w:val="en-IN"/>
        </w:rPr>
        <w:t>Reference list</w:t>
      </w:r>
      <w:bookmarkEnd w:id="11"/>
    </w:p>
    <w:p w14:paraId="631D1E20" w14:textId="77777777" w:rsidR="00050C76" w:rsidRPr="00593A1B" w:rsidRDefault="00050C76" w:rsidP="00E92D39">
      <w:pPr>
        <w:ind w:left="720" w:hanging="720"/>
        <w:rPr>
          <w:rFonts w:ascii="Arial" w:hAnsi="Arial" w:cs="Arial"/>
          <w:lang w:val="en-IN"/>
        </w:rPr>
      </w:pPr>
      <w:r w:rsidRPr="00593A1B">
        <w:rPr>
          <w:rFonts w:ascii="Arial" w:hAnsi="Arial" w:cs="Arial"/>
          <w:lang w:val="en-IN"/>
        </w:rPr>
        <w:t xml:space="preserve">Aylin, P., Alves, B., Best, N., Cook, A., Elliott, P., Evans, S.J., Lawrence, A.E., Murray, G.D., Pollock, J. and </w:t>
      </w:r>
      <w:proofErr w:type="spellStart"/>
      <w:r w:rsidRPr="00593A1B">
        <w:rPr>
          <w:rFonts w:ascii="Arial" w:hAnsi="Arial" w:cs="Arial"/>
          <w:lang w:val="en-IN"/>
        </w:rPr>
        <w:t>Spieǵelhalter</w:t>
      </w:r>
      <w:proofErr w:type="spellEnd"/>
      <w:r w:rsidRPr="00593A1B">
        <w:rPr>
          <w:rFonts w:ascii="Arial" w:hAnsi="Arial" w:cs="Arial"/>
          <w:lang w:val="en-IN"/>
        </w:rPr>
        <w:t>, D. (2001). Comparison of UK paediatric cardiac surgical performance by analysis of routinely collected data 1984–96: was Bristol an outlier? </w:t>
      </w:r>
      <w:r w:rsidRPr="00593A1B">
        <w:rPr>
          <w:rFonts w:ascii="Arial" w:hAnsi="Arial" w:cs="Arial"/>
          <w:i/>
          <w:iCs/>
          <w:lang w:val="en-IN"/>
        </w:rPr>
        <w:t>The Lancet</w:t>
      </w:r>
      <w:r w:rsidRPr="00593A1B">
        <w:rPr>
          <w:rFonts w:ascii="Arial" w:hAnsi="Arial" w:cs="Arial"/>
          <w:lang w:val="en-IN"/>
        </w:rPr>
        <w:t xml:space="preserve">, 358(9277), pp.181–187. </w:t>
      </w:r>
      <w:proofErr w:type="spellStart"/>
      <w:r w:rsidRPr="00593A1B">
        <w:rPr>
          <w:rFonts w:ascii="Arial" w:hAnsi="Arial" w:cs="Arial"/>
          <w:lang w:val="en-IN"/>
        </w:rPr>
        <w:t>doi:https</w:t>
      </w:r>
      <w:proofErr w:type="spellEnd"/>
      <w:r w:rsidRPr="00593A1B">
        <w:rPr>
          <w:rFonts w:ascii="Arial" w:hAnsi="Arial" w:cs="Arial"/>
          <w:lang w:val="en-IN"/>
        </w:rPr>
        <w:t>://doi.org/10.1016/s0140-6736(01)05404-6.</w:t>
      </w:r>
    </w:p>
    <w:p w14:paraId="6F19A9A8" w14:textId="77777777" w:rsidR="00050C76" w:rsidRPr="00593A1B" w:rsidRDefault="00050C76" w:rsidP="00E92D39">
      <w:pPr>
        <w:ind w:left="720" w:hanging="720"/>
        <w:rPr>
          <w:rFonts w:ascii="Arial" w:hAnsi="Arial" w:cs="Arial"/>
          <w:lang w:val="en-IN"/>
        </w:rPr>
      </w:pPr>
      <w:r w:rsidRPr="00593A1B">
        <w:rPr>
          <w:rFonts w:ascii="Arial" w:hAnsi="Arial" w:cs="Arial"/>
          <w:lang w:val="en-IN"/>
        </w:rPr>
        <w:t>BBC (2025). </w:t>
      </w:r>
      <w:r w:rsidRPr="00593A1B">
        <w:rPr>
          <w:rFonts w:ascii="Arial" w:hAnsi="Arial" w:cs="Arial"/>
          <w:i/>
          <w:iCs/>
          <w:lang w:val="en-IN"/>
        </w:rPr>
        <w:t>BBC News | THE BRISTOL HEART BABIES | BRI Inquiry: The facts</w:t>
      </w:r>
      <w:r w:rsidRPr="00593A1B">
        <w:rPr>
          <w:rFonts w:ascii="Arial" w:hAnsi="Arial" w:cs="Arial"/>
          <w:lang w:val="en-IN"/>
        </w:rPr>
        <w:t>. [online] Bbc.co.uk. Available at: http://news.bbc.co.uk/2/hi/health/background_briefings/the_bristol_heart_babies/201793.stm [Accessed 22 Nov. 2025].</w:t>
      </w:r>
    </w:p>
    <w:p w14:paraId="468E91C9" w14:textId="4E398924" w:rsidR="00050C76" w:rsidRPr="00593A1B" w:rsidRDefault="00050C76" w:rsidP="00E92D39">
      <w:pPr>
        <w:ind w:left="720" w:hanging="720"/>
        <w:rPr>
          <w:rFonts w:ascii="Arial" w:hAnsi="Arial" w:cs="Arial"/>
          <w:lang w:val="en-IN"/>
        </w:rPr>
      </w:pPr>
      <w:proofErr w:type="spellStart"/>
      <w:r w:rsidRPr="00593A1B">
        <w:rPr>
          <w:rFonts w:ascii="Arial" w:hAnsi="Arial" w:cs="Arial"/>
          <w:lang w:val="en-IN"/>
        </w:rPr>
        <w:t>Bolsin</w:t>
      </w:r>
      <w:proofErr w:type="spellEnd"/>
      <w:r w:rsidRPr="00593A1B">
        <w:rPr>
          <w:rFonts w:ascii="Arial" w:hAnsi="Arial" w:cs="Arial"/>
          <w:lang w:val="en-IN"/>
        </w:rPr>
        <w:t>, S. (2002). Mortality and volume of cases in paediatric cardiac surgery. </w:t>
      </w:r>
      <w:r w:rsidRPr="00593A1B">
        <w:rPr>
          <w:rFonts w:ascii="Arial" w:hAnsi="Arial" w:cs="Arial"/>
          <w:i/>
          <w:iCs/>
          <w:lang w:val="en-IN"/>
        </w:rPr>
        <w:t>BMJ</w:t>
      </w:r>
      <w:r w:rsidRPr="00593A1B">
        <w:rPr>
          <w:rFonts w:ascii="Arial" w:hAnsi="Arial" w:cs="Arial"/>
          <w:lang w:val="en-IN"/>
        </w:rPr>
        <w:t>, 324(7345),</w:t>
      </w:r>
      <w:r w:rsidR="0056023F">
        <w:rPr>
          <w:rFonts w:ascii="Arial" w:hAnsi="Arial" w:cs="Arial"/>
          <w:lang w:val="en-IN"/>
        </w:rPr>
        <w:t xml:space="preserve"> </w:t>
      </w:r>
      <w:r w:rsidRPr="00593A1B">
        <w:rPr>
          <w:rFonts w:ascii="Arial" w:hAnsi="Arial" w:cs="Arial"/>
          <w:lang w:val="en-IN"/>
        </w:rPr>
        <w:t xml:space="preserve">pp.1095a1095. </w:t>
      </w:r>
      <w:proofErr w:type="spellStart"/>
      <w:r w:rsidRPr="00593A1B">
        <w:rPr>
          <w:rFonts w:ascii="Arial" w:hAnsi="Arial" w:cs="Arial"/>
          <w:lang w:val="en-IN"/>
        </w:rPr>
        <w:t>doi:https</w:t>
      </w:r>
      <w:proofErr w:type="spellEnd"/>
      <w:r w:rsidRPr="00593A1B">
        <w:rPr>
          <w:rFonts w:ascii="Arial" w:hAnsi="Arial" w:cs="Arial"/>
          <w:lang w:val="en-IN"/>
        </w:rPr>
        <w:t>://doi.org/10.1136/bmj.324.7345.1095/a.</w:t>
      </w:r>
    </w:p>
    <w:p w14:paraId="667B9A51" w14:textId="77777777" w:rsidR="00050C76" w:rsidRPr="00593A1B" w:rsidRDefault="00050C76" w:rsidP="00E92D39">
      <w:pPr>
        <w:ind w:left="720" w:hanging="720"/>
        <w:rPr>
          <w:rFonts w:ascii="Arial" w:hAnsi="Arial" w:cs="Arial"/>
          <w:lang w:val="en-IN"/>
        </w:rPr>
      </w:pPr>
      <w:r w:rsidRPr="00593A1B">
        <w:rPr>
          <w:rFonts w:ascii="Arial" w:hAnsi="Arial" w:cs="Arial"/>
          <w:lang w:val="en-IN"/>
        </w:rPr>
        <w:t>Butler, P. (2002). </w:t>
      </w:r>
      <w:r w:rsidRPr="00593A1B">
        <w:rPr>
          <w:rFonts w:ascii="Arial" w:hAnsi="Arial" w:cs="Arial"/>
          <w:i/>
          <w:iCs/>
          <w:lang w:val="en-IN"/>
        </w:rPr>
        <w:t>The Bristol Royal infirmary inquiry: the issue explained</w:t>
      </w:r>
      <w:r w:rsidRPr="00593A1B">
        <w:rPr>
          <w:rFonts w:ascii="Arial" w:hAnsi="Arial" w:cs="Arial"/>
          <w:lang w:val="en-IN"/>
        </w:rPr>
        <w:t>. [online] the Guardian. Available at: https://www.theguardian.com/society/2002/jan/17/5.</w:t>
      </w:r>
    </w:p>
    <w:p w14:paraId="2EDC0E83" w14:textId="77777777" w:rsidR="00050C76" w:rsidRPr="00593A1B" w:rsidRDefault="00050C76" w:rsidP="00E92D39">
      <w:pPr>
        <w:ind w:left="720" w:hanging="720"/>
        <w:rPr>
          <w:rFonts w:ascii="Arial" w:hAnsi="Arial" w:cs="Arial"/>
          <w:lang w:val="en-IN"/>
        </w:rPr>
      </w:pPr>
      <w:r w:rsidRPr="00593A1B">
        <w:rPr>
          <w:rFonts w:ascii="Arial" w:hAnsi="Arial" w:cs="Arial"/>
          <w:lang w:val="en-IN"/>
        </w:rPr>
        <w:t>Coulter, A. (2002). After Bristol: putting patients at the centre * Commentary: Patient centred care: timely, but is it practical? </w:t>
      </w:r>
      <w:r w:rsidRPr="00593A1B">
        <w:rPr>
          <w:rFonts w:ascii="Arial" w:hAnsi="Arial" w:cs="Arial"/>
          <w:i/>
          <w:iCs/>
          <w:lang w:val="en-IN"/>
        </w:rPr>
        <w:t>BMJ</w:t>
      </w:r>
      <w:r w:rsidRPr="00593A1B">
        <w:rPr>
          <w:rFonts w:ascii="Arial" w:hAnsi="Arial" w:cs="Arial"/>
          <w:lang w:val="en-IN"/>
        </w:rPr>
        <w:t xml:space="preserve">, 324(7338), pp.648–651. </w:t>
      </w:r>
      <w:proofErr w:type="spellStart"/>
      <w:r w:rsidRPr="00593A1B">
        <w:rPr>
          <w:rFonts w:ascii="Arial" w:hAnsi="Arial" w:cs="Arial"/>
          <w:lang w:val="en-IN"/>
        </w:rPr>
        <w:t>doi:https</w:t>
      </w:r>
      <w:proofErr w:type="spellEnd"/>
      <w:r w:rsidRPr="00593A1B">
        <w:rPr>
          <w:rFonts w:ascii="Arial" w:hAnsi="Arial" w:cs="Arial"/>
          <w:lang w:val="en-IN"/>
        </w:rPr>
        <w:t>://doi.org/10.1136/bmj.324.7338.648.</w:t>
      </w:r>
    </w:p>
    <w:p w14:paraId="4B257F72" w14:textId="77777777" w:rsidR="00050C76" w:rsidRPr="00593A1B" w:rsidRDefault="00050C76" w:rsidP="00E92D39">
      <w:pPr>
        <w:ind w:left="720" w:hanging="720"/>
        <w:rPr>
          <w:rFonts w:ascii="Arial" w:hAnsi="Arial" w:cs="Arial"/>
          <w:lang w:val="en-IN"/>
        </w:rPr>
      </w:pPr>
      <w:r w:rsidRPr="00593A1B">
        <w:rPr>
          <w:rFonts w:ascii="Arial" w:hAnsi="Arial" w:cs="Arial"/>
          <w:lang w:val="en-IN"/>
        </w:rPr>
        <w:t>Dyer, C. (2001). Bristol inquiry. </w:t>
      </w:r>
      <w:r w:rsidRPr="00593A1B">
        <w:rPr>
          <w:rFonts w:ascii="Arial" w:hAnsi="Arial" w:cs="Arial"/>
          <w:i/>
          <w:iCs/>
          <w:lang w:val="en-IN"/>
        </w:rPr>
        <w:t>BMJ</w:t>
      </w:r>
      <w:r w:rsidRPr="00593A1B">
        <w:rPr>
          <w:rFonts w:ascii="Arial" w:hAnsi="Arial" w:cs="Arial"/>
          <w:lang w:val="en-IN"/>
        </w:rPr>
        <w:t xml:space="preserve">, [online] 323(7306), pp.181–181. </w:t>
      </w:r>
      <w:proofErr w:type="spellStart"/>
      <w:r w:rsidRPr="00593A1B">
        <w:rPr>
          <w:rFonts w:ascii="Arial" w:hAnsi="Arial" w:cs="Arial"/>
          <w:lang w:val="en-IN"/>
        </w:rPr>
        <w:t>doi:https</w:t>
      </w:r>
      <w:proofErr w:type="spellEnd"/>
      <w:r w:rsidRPr="00593A1B">
        <w:rPr>
          <w:rFonts w:ascii="Arial" w:hAnsi="Arial" w:cs="Arial"/>
          <w:lang w:val="en-IN"/>
        </w:rPr>
        <w:t>://doi.org/10.1136/bmj.323.7306.181.</w:t>
      </w:r>
    </w:p>
    <w:p w14:paraId="789719AB" w14:textId="77777777" w:rsidR="00050C76" w:rsidRPr="00593A1B" w:rsidRDefault="00050C76" w:rsidP="00E92D39">
      <w:pPr>
        <w:ind w:left="720" w:hanging="720"/>
        <w:rPr>
          <w:rFonts w:ascii="Arial" w:hAnsi="Arial" w:cs="Arial"/>
          <w:lang w:val="en-IN"/>
        </w:rPr>
      </w:pPr>
      <w:r w:rsidRPr="00593A1B">
        <w:rPr>
          <w:rFonts w:ascii="Arial" w:hAnsi="Arial" w:cs="Arial"/>
          <w:lang w:val="en-IN"/>
        </w:rPr>
        <w:t xml:space="preserve">Golden, C., Murphy, K., Rosenblum, J.M., Eriksson, C., Dunaway, P., Lukacs, M., Newberry, L., Gleason, M.E., Calamaro, C.J., Basu, M., Chanani, N.K., Subhadra Shashidharan and Fundora, M.P. (2025). A Quality Improvement Initiative to Reduce Surgical Site Infections in </w:t>
      </w:r>
      <w:proofErr w:type="spellStart"/>
      <w:r w:rsidRPr="00593A1B">
        <w:rPr>
          <w:rFonts w:ascii="Arial" w:hAnsi="Arial" w:cs="Arial"/>
          <w:lang w:val="en-IN"/>
        </w:rPr>
        <w:t>Pediatric</w:t>
      </w:r>
      <w:proofErr w:type="spellEnd"/>
      <w:r w:rsidRPr="00593A1B">
        <w:rPr>
          <w:rFonts w:ascii="Arial" w:hAnsi="Arial" w:cs="Arial"/>
          <w:lang w:val="en-IN"/>
        </w:rPr>
        <w:t xml:space="preserve"> Patients Undergoing Cardiothoracic Surgery. </w:t>
      </w:r>
      <w:proofErr w:type="spellStart"/>
      <w:r w:rsidRPr="00593A1B">
        <w:rPr>
          <w:rFonts w:ascii="Arial" w:hAnsi="Arial" w:cs="Arial"/>
          <w:i/>
          <w:iCs/>
          <w:lang w:val="en-IN"/>
        </w:rPr>
        <w:t>Pediatric</w:t>
      </w:r>
      <w:proofErr w:type="spellEnd"/>
      <w:r w:rsidRPr="00593A1B">
        <w:rPr>
          <w:rFonts w:ascii="Arial" w:hAnsi="Arial" w:cs="Arial"/>
          <w:i/>
          <w:iCs/>
          <w:lang w:val="en-IN"/>
        </w:rPr>
        <w:t xml:space="preserve"> Quality and Safety</w:t>
      </w:r>
      <w:r w:rsidRPr="00593A1B">
        <w:rPr>
          <w:rFonts w:ascii="Arial" w:hAnsi="Arial" w:cs="Arial"/>
          <w:lang w:val="en-IN"/>
        </w:rPr>
        <w:t xml:space="preserve">, [online] 10(1), pp.e785–e785. </w:t>
      </w:r>
      <w:proofErr w:type="spellStart"/>
      <w:r w:rsidRPr="00593A1B">
        <w:rPr>
          <w:rFonts w:ascii="Arial" w:hAnsi="Arial" w:cs="Arial"/>
          <w:lang w:val="en-IN"/>
        </w:rPr>
        <w:t>doi:https</w:t>
      </w:r>
      <w:proofErr w:type="spellEnd"/>
      <w:r w:rsidRPr="00593A1B">
        <w:rPr>
          <w:rFonts w:ascii="Arial" w:hAnsi="Arial" w:cs="Arial"/>
          <w:lang w:val="en-IN"/>
        </w:rPr>
        <w:t>://doi.org/10.1097/pq9.0000000000000785.</w:t>
      </w:r>
    </w:p>
    <w:p w14:paraId="57C0AC7B" w14:textId="77777777" w:rsidR="00050C76" w:rsidRPr="00593A1B" w:rsidRDefault="00050C76" w:rsidP="00E92D39">
      <w:pPr>
        <w:ind w:left="720" w:hanging="720"/>
        <w:rPr>
          <w:rFonts w:ascii="Arial" w:hAnsi="Arial" w:cs="Arial"/>
          <w:lang w:val="en-IN"/>
        </w:rPr>
      </w:pPr>
      <w:r w:rsidRPr="00593A1B">
        <w:rPr>
          <w:rFonts w:ascii="Arial" w:hAnsi="Arial" w:cs="Arial"/>
          <w:lang w:val="en-IN"/>
        </w:rPr>
        <w:t xml:space="preserve">Harrison, R., Fischer, S., </w:t>
      </w:r>
      <w:proofErr w:type="spellStart"/>
      <w:r w:rsidRPr="00593A1B">
        <w:rPr>
          <w:rFonts w:ascii="Arial" w:hAnsi="Arial" w:cs="Arial"/>
          <w:lang w:val="en-IN"/>
        </w:rPr>
        <w:t>Walpola</w:t>
      </w:r>
      <w:proofErr w:type="spellEnd"/>
      <w:r w:rsidRPr="00593A1B">
        <w:rPr>
          <w:rFonts w:ascii="Arial" w:hAnsi="Arial" w:cs="Arial"/>
          <w:lang w:val="en-IN"/>
        </w:rPr>
        <w:t>, R.L., Chauhan, A., Babalola, T., Mears, S. and Le-Dao, H. (2021). Where Do Models for Change management, Improvement and Implementation meet? a Systematic Review of the Applications of Change Management Models in Healthcare. </w:t>
      </w:r>
      <w:r w:rsidRPr="00593A1B">
        <w:rPr>
          <w:rFonts w:ascii="Arial" w:hAnsi="Arial" w:cs="Arial"/>
          <w:i/>
          <w:iCs/>
          <w:lang w:val="en-IN"/>
        </w:rPr>
        <w:t>Journal of Healthcare Leadership</w:t>
      </w:r>
      <w:r w:rsidRPr="00593A1B">
        <w:rPr>
          <w:rFonts w:ascii="Arial" w:hAnsi="Arial" w:cs="Arial"/>
          <w:lang w:val="en-IN"/>
        </w:rPr>
        <w:t xml:space="preserve">, [online] 13(2), pp.85–108. </w:t>
      </w:r>
      <w:proofErr w:type="spellStart"/>
      <w:r w:rsidRPr="00593A1B">
        <w:rPr>
          <w:rFonts w:ascii="Arial" w:hAnsi="Arial" w:cs="Arial"/>
          <w:lang w:val="en-IN"/>
        </w:rPr>
        <w:t>doi:https</w:t>
      </w:r>
      <w:proofErr w:type="spellEnd"/>
      <w:r w:rsidRPr="00593A1B">
        <w:rPr>
          <w:rFonts w:ascii="Arial" w:hAnsi="Arial" w:cs="Arial"/>
          <w:lang w:val="en-IN"/>
        </w:rPr>
        <w:t>://doi.org/10.2147/JHL.S289176.</w:t>
      </w:r>
    </w:p>
    <w:p w14:paraId="15A5D22A" w14:textId="77777777" w:rsidR="00050C76" w:rsidRPr="00593A1B" w:rsidRDefault="00050C76" w:rsidP="00E92D39">
      <w:pPr>
        <w:ind w:left="720" w:hanging="720"/>
        <w:rPr>
          <w:rFonts w:ascii="Arial" w:hAnsi="Arial" w:cs="Arial"/>
          <w:lang w:val="en-IN"/>
        </w:rPr>
      </w:pPr>
      <w:r w:rsidRPr="00593A1B">
        <w:rPr>
          <w:rFonts w:ascii="Arial" w:hAnsi="Arial" w:cs="Arial"/>
          <w:lang w:val="en-IN"/>
        </w:rPr>
        <w:t>Hodge, A.B., Thornton, B.A., Gajarski, R., Hersey, D., Cannon, M., Naguib, A.N., Joy, B.F. and McConnell, P.I. (2019). Quality Improvement Project in Congenital Cardiothoracic Surgery Patients. </w:t>
      </w:r>
      <w:proofErr w:type="spellStart"/>
      <w:r w:rsidRPr="00593A1B">
        <w:rPr>
          <w:rFonts w:ascii="Arial" w:hAnsi="Arial" w:cs="Arial"/>
          <w:i/>
          <w:iCs/>
          <w:lang w:val="en-IN"/>
        </w:rPr>
        <w:t>Pediatric</w:t>
      </w:r>
      <w:proofErr w:type="spellEnd"/>
      <w:r w:rsidRPr="00593A1B">
        <w:rPr>
          <w:rFonts w:ascii="Arial" w:hAnsi="Arial" w:cs="Arial"/>
          <w:i/>
          <w:iCs/>
          <w:lang w:val="en-IN"/>
        </w:rPr>
        <w:t xml:space="preserve"> Quality and Safety</w:t>
      </w:r>
      <w:r w:rsidRPr="00593A1B">
        <w:rPr>
          <w:rFonts w:ascii="Arial" w:hAnsi="Arial" w:cs="Arial"/>
          <w:lang w:val="en-IN"/>
        </w:rPr>
        <w:t xml:space="preserve">, 4(4), p.e188. </w:t>
      </w:r>
      <w:proofErr w:type="spellStart"/>
      <w:r w:rsidRPr="00593A1B">
        <w:rPr>
          <w:rFonts w:ascii="Arial" w:hAnsi="Arial" w:cs="Arial"/>
          <w:lang w:val="en-IN"/>
        </w:rPr>
        <w:t>doi:https</w:t>
      </w:r>
      <w:proofErr w:type="spellEnd"/>
      <w:r w:rsidRPr="00593A1B">
        <w:rPr>
          <w:rFonts w:ascii="Arial" w:hAnsi="Arial" w:cs="Arial"/>
          <w:lang w:val="en-IN"/>
        </w:rPr>
        <w:t>://doi.org/10.1097/pq9.0000000000000188.</w:t>
      </w:r>
    </w:p>
    <w:p w14:paraId="157C42D1" w14:textId="77777777" w:rsidR="00050C76" w:rsidRPr="00593A1B" w:rsidRDefault="00050C76" w:rsidP="00E92D39">
      <w:pPr>
        <w:ind w:left="720" w:hanging="720"/>
        <w:rPr>
          <w:rFonts w:ascii="Arial" w:hAnsi="Arial" w:cs="Arial"/>
          <w:lang w:val="en-IN"/>
        </w:rPr>
      </w:pPr>
      <w:r w:rsidRPr="00593A1B">
        <w:rPr>
          <w:rFonts w:ascii="Arial" w:hAnsi="Arial" w:cs="Arial"/>
          <w:lang w:val="en-IN"/>
        </w:rPr>
        <w:t>Hu, F., Wang, Y., Cao, R., Hu, C., Feng, B., Li, J., Ding, X., Ma, J., Li, H., Wang, P., Xu, Y., Xu, D., Pei, J., Zhu, X., Chen, J., Liang, K., Peng, Z., Kashani, K., Hu, B. and Yuan, Y. (2024). Kotter’s 8-step change model to improve hand hygiene compliance in intensive care unit: A 41-month prospective longitudinal quality improvement study. </w:t>
      </w:r>
      <w:r w:rsidRPr="00593A1B">
        <w:rPr>
          <w:rFonts w:ascii="Arial" w:hAnsi="Arial" w:cs="Arial"/>
          <w:i/>
          <w:iCs/>
          <w:lang w:val="en-IN"/>
        </w:rPr>
        <w:t>Intensive and Critical Care Nursing</w:t>
      </w:r>
      <w:r w:rsidRPr="00593A1B">
        <w:rPr>
          <w:rFonts w:ascii="Arial" w:hAnsi="Arial" w:cs="Arial"/>
          <w:lang w:val="en-IN"/>
        </w:rPr>
        <w:t xml:space="preserve">, [online] 87(1), p.103877. </w:t>
      </w:r>
      <w:proofErr w:type="spellStart"/>
      <w:r w:rsidRPr="00593A1B">
        <w:rPr>
          <w:rFonts w:ascii="Arial" w:hAnsi="Arial" w:cs="Arial"/>
          <w:lang w:val="en-IN"/>
        </w:rPr>
        <w:t>doi:https</w:t>
      </w:r>
      <w:proofErr w:type="spellEnd"/>
      <w:r w:rsidRPr="00593A1B">
        <w:rPr>
          <w:rFonts w:ascii="Arial" w:hAnsi="Arial" w:cs="Arial"/>
          <w:lang w:val="en-IN"/>
        </w:rPr>
        <w:t>://doi.org/10.1016/j.iccn.2024.103877.</w:t>
      </w:r>
    </w:p>
    <w:p w14:paraId="5B1C102F" w14:textId="77777777" w:rsidR="00050C76" w:rsidRPr="00593A1B" w:rsidRDefault="00050C76" w:rsidP="00E92D39">
      <w:pPr>
        <w:ind w:left="720" w:hanging="720"/>
        <w:rPr>
          <w:rFonts w:ascii="Arial" w:hAnsi="Arial" w:cs="Arial"/>
          <w:lang w:val="en-IN"/>
        </w:rPr>
      </w:pPr>
      <w:r w:rsidRPr="00593A1B">
        <w:rPr>
          <w:rFonts w:ascii="Arial" w:hAnsi="Arial" w:cs="Arial"/>
          <w:lang w:val="en-IN"/>
        </w:rPr>
        <w:t>Kennedy, I. (2001). </w:t>
      </w:r>
      <w:r w:rsidRPr="00593A1B">
        <w:rPr>
          <w:rFonts w:ascii="Arial" w:hAnsi="Arial" w:cs="Arial"/>
          <w:i/>
          <w:iCs/>
          <w:lang w:val="en-IN"/>
        </w:rPr>
        <w:t>The report of the public inquiry into children’s heart surgery at the Bristol royal infirmary learning from Bristol</w:t>
      </w:r>
      <w:r w:rsidRPr="00593A1B">
        <w:rPr>
          <w:rFonts w:ascii="Arial" w:hAnsi="Arial" w:cs="Arial"/>
          <w:lang w:val="en-IN"/>
        </w:rPr>
        <w:t>. [online] Available at: https://www.bristol-inquiry.org.uk/final_report/the_report.pdf.</w:t>
      </w:r>
    </w:p>
    <w:p w14:paraId="5EA5C71F" w14:textId="77777777" w:rsidR="00050C76" w:rsidRPr="00593A1B" w:rsidRDefault="00050C76" w:rsidP="00E92D39">
      <w:pPr>
        <w:ind w:left="720" w:hanging="720"/>
        <w:rPr>
          <w:rFonts w:ascii="Arial" w:hAnsi="Arial" w:cs="Arial"/>
          <w:lang w:val="en-IN"/>
        </w:rPr>
      </w:pPr>
      <w:r w:rsidRPr="00593A1B">
        <w:rPr>
          <w:rFonts w:ascii="Arial" w:hAnsi="Arial" w:cs="Arial"/>
          <w:lang w:val="en-IN"/>
        </w:rPr>
        <w:t>Murphy, P.J. (2012). Measuring and recording outcome. </w:t>
      </w:r>
      <w:r w:rsidRPr="00593A1B">
        <w:rPr>
          <w:rFonts w:ascii="Arial" w:hAnsi="Arial" w:cs="Arial"/>
          <w:i/>
          <w:iCs/>
          <w:lang w:val="en-IN"/>
        </w:rPr>
        <w:t>British Journal of Anaesthesia</w:t>
      </w:r>
      <w:r w:rsidRPr="00593A1B">
        <w:rPr>
          <w:rFonts w:ascii="Arial" w:hAnsi="Arial" w:cs="Arial"/>
          <w:lang w:val="en-IN"/>
        </w:rPr>
        <w:t xml:space="preserve">, 109(1), pp.92–98. </w:t>
      </w:r>
      <w:proofErr w:type="spellStart"/>
      <w:r w:rsidRPr="00593A1B">
        <w:rPr>
          <w:rFonts w:ascii="Arial" w:hAnsi="Arial" w:cs="Arial"/>
          <w:lang w:val="en-IN"/>
        </w:rPr>
        <w:t>doi:https</w:t>
      </w:r>
      <w:proofErr w:type="spellEnd"/>
      <w:r w:rsidRPr="00593A1B">
        <w:rPr>
          <w:rFonts w:ascii="Arial" w:hAnsi="Arial" w:cs="Arial"/>
          <w:lang w:val="en-IN"/>
        </w:rPr>
        <w:t>://doi.org/10.1093/bja/aes180.</w:t>
      </w:r>
    </w:p>
    <w:p w14:paraId="18D4C742" w14:textId="77777777" w:rsidR="00050C76" w:rsidRPr="00593A1B" w:rsidRDefault="00050C76" w:rsidP="00E92D39">
      <w:pPr>
        <w:ind w:left="720" w:hanging="720"/>
        <w:rPr>
          <w:rFonts w:ascii="Arial" w:hAnsi="Arial" w:cs="Arial"/>
          <w:lang w:val="en-IN"/>
        </w:rPr>
      </w:pPr>
      <w:r w:rsidRPr="00593A1B">
        <w:rPr>
          <w:rFonts w:ascii="Arial" w:hAnsi="Arial" w:cs="Arial"/>
          <w:lang w:val="en-IN"/>
        </w:rPr>
        <w:t>NICE (2002). </w:t>
      </w:r>
      <w:r w:rsidRPr="00593A1B">
        <w:rPr>
          <w:rFonts w:ascii="Arial" w:hAnsi="Arial" w:cs="Arial"/>
          <w:i/>
          <w:iCs/>
          <w:lang w:val="en-IN"/>
        </w:rPr>
        <w:t>Principles for Best Practice in Clinical Audit</w:t>
      </w:r>
      <w:r w:rsidRPr="00593A1B">
        <w:rPr>
          <w:rFonts w:ascii="Arial" w:hAnsi="Arial" w:cs="Arial"/>
          <w:lang w:val="en-IN"/>
        </w:rPr>
        <w:t>. [online] </w:t>
      </w:r>
      <w:r w:rsidRPr="00593A1B">
        <w:rPr>
          <w:rFonts w:ascii="Arial" w:hAnsi="Arial" w:cs="Arial"/>
          <w:i/>
          <w:iCs/>
          <w:lang w:val="en-IN"/>
        </w:rPr>
        <w:t>NICE</w:t>
      </w:r>
      <w:r w:rsidRPr="00593A1B">
        <w:rPr>
          <w:rFonts w:ascii="Arial" w:hAnsi="Arial" w:cs="Arial"/>
          <w:lang w:val="en-IN"/>
        </w:rPr>
        <w:t>. Radcliffe Medical Press. Available at: https://www.nice.org.uk/media/default/About/what-we-do/Into-practice/principles-for-best-practice-in-clinical-audit.pdf.</w:t>
      </w:r>
    </w:p>
    <w:p w14:paraId="35ECDE08" w14:textId="77777777" w:rsidR="00050C76" w:rsidRPr="00593A1B" w:rsidRDefault="00050C76" w:rsidP="00E92D39">
      <w:pPr>
        <w:ind w:left="720" w:hanging="720"/>
        <w:rPr>
          <w:rFonts w:ascii="Arial" w:hAnsi="Arial" w:cs="Arial"/>
          <w:lang w:val="en-IN"/>
        </w:rPr>
      </w:pPr>
      <w:r w:rsidRPr="00593A1B">
        <w:rPr>
          <w:rFonts w:ascii="Arial" w:hAnsi="Arial" w:cs="Arial"/>
          <w:lang w:val="en-IN"/>
        </w:rPr>
        <w:t xml:space="preserve">Price, T., Tredinnick-Rowe, J., Walshe, K., </w:t>
      </w:r>
      <w:proofErr w:type="spellStart"/>
      <w:r w:rsidRPr="00593A1B">
        <w:rPr>
          <w:rFonts w:ascii="Arial" w:hAnsi="Arial" w:cs="Arial"/>
          <w:lang w:val="en-IN"/>
        </w:rPr>
        <w:t>Tazzyman</w:t>
      </w:r>
      <w:proofErr w:type="spellEnd"/>
      <w:r w:rsidRPr="00593A1B">
        <w:rPr>
          <w:rFonts w:ascii="Arial" w:hAnsi="Arial" w:cs="Arial"/>
          <w:lang w:val="en-IN"/>
        </w:rPr>
        <w:t>, A., Ferguson, J., Boyd, A., Archer, J. and Bryce, M. (2020). Reviving clinical governance? A qualitative study of the impact of professional regulatory reform on clinical governance in healthcare organisations in England. </w:t>
      </w:r>
      <w:r w:rsidRPr="00593A1B">
        <w:rPr>
          <w:rFonts w:ascii="Arial" w:hAnsi="Arial" w:cs="Arial"/>
          <w:i/>
          <w:iCs/>
          <w:lang w:val="en-IN"/>
        </w:rPr>
        <w:t>Health Policy</w:t>
      </w:r>
      <w:r w:rsidRPr="00593A1B">
        <w:rPr>
          <w:rFonts w:ascii="Arial" w:hAnsi="Arial" w:cs="Arial"/>
          <w:lang w:val="en-IN"/>
        </w:rPr>
        <w:t xml:space="preserve">, [online] 124(4), pp.446–453. </w:t>
      </w:r>
      <w:proofErr w:type="spellStart"/>
      <w:r w:rsidRPr="00593A1B">
        <w:rPr>
          <w:rFonts w:ascii="Arial" w:hAnsi="Arial" w:cs="Arial"/>
          <w:lang w:val="en-IN"/>
        </w:rPr>
        <w:t>doi:https</w:t>
      </w:r>
      <w:proofErr w:type="spellEnd"/>
      <w:r w:rsidRPr="00593A1B">
        <w:rPr>
          <w:rFonts w:ascii="Arial" w:hAnsi="Arial" w:cs="Arial"/>
          <w:lang w:val="en-IN"/>
        </w:rPr>
        <w:t>://doi.org/10.1016/j.healthpol.2020.01.004.</w:t>
      </w:r>
    </w:p>
    <w:p w14:paraId="5B0EB571" w14:textId="77777777" w:rsidR="00050C76" w:rsidRPr="00593A1B" w:rsidRDefault="00050C76" w:rsidP="00E92D39">
      <w:pPr>
        <w:ind w:left="720" w:hanging="720"/>
        <w:rPr>
          <w:rFonts w:ascii="Arial" w:hAnsi="Arial" w:cs="Arial"/>
          <w:lang w:val="en-IN"/>
        </w:rPr>
      </w:pPr>
      <w:proofErr w:type="spellStart"/>
      <w:r w:rsidRPr="00593A1B">
        <w:rPr>
          <w:rFonts w:ascii="Arial" w:hAnsi="Arial" w:cs="Arial"/>
          <w:lang w:val="en-IN"/>
        </w:rPr>
        <w:t>Prosci</w:t>
      </w:r>
      <w:proofErr w:type="spellEnd"/>
      <w:r w:rsidRPr="00593A1B">
        <w:rPr>
          <w:rFonts w:ascii="Arial" w:hAnsi="Arial" w:cs="Arial"/>
          <w:lang w:val="en-IN"/>
        </w:rPr>
        <w:t xml:space="preserve"> (2024). Kotter’s Change Management Theory Explanation and Applications. </w:t>
      </w:r>
      <w:proofErr w:type="spellStart"/>
      <w:r w:rsidRPr="00593A1B">
        <w:rPr>
          <w:rFonts w:ascii="Arial" w:hAnsi="Arial" w:cs="Arial"/>
          <w:i/>
          <w:iCs/>
          <w:lang w:val="en-IN"/>
        </w:rPr>
        <w:t>Prosci</w:t>
      </w:r>
      <w:proofErr w:type="spellEnd"/>
      <w:r w:rsidRPr="00593A1B">
        <w:rPr>
          <w:rFonts w:ascii="Arial" w:hAnsi="Arial" w:cs="Arial"/>
          <w:lang w:val="en-IN"/>
        </w:rPr>
        <w:t>. [online] Available at: https://www.prosci.com/es/blog/recursos-humanos-clave-implementar-gestion-cambio-empresa.</w:t>
      </w:r>
    </w:p>
    <w:p w14:paraId="5E539667" w14:textId="77777777" w:rsidR="00050C76" w:rsidRPr="00593A1B" w:rsidRDefault="00050C76" w:rsidP="00E92D39">
      <w:pPr>
        <w:ind w:left="720" w:hanging="720"/>
        <w:rPr>
          <w:rFonts w:ascii="Arial" w:hAnsi="Arial" w:cs="Arial"/>
          <w:lang w:val="en-IN"/>
        </w:rPr>
      </w:pPr>
      <w:r w:rsidRPr="00593A1B">
        <w:rPr>
          <w:rFonts w:ascii="Arial" w:hAnsi="Arial" w:cs="Arial"/>
          <w:lang w:val="en-IN"/>
        </w:rPr>
        <w:t>PSA (2025). </w:t>
      </w:r>
      <w:r w:rsidRPr="00593A1B">
        <w:rPr>
          <w:rFonts w:ascii="Arial" w:hAnsi="Arial" w:cs="Arial"/>
          <w:i/>
          <w:iCs/>
          <w:lang w:val="en-IN"/>
        </w:rPr>
        <w:t>The Bristol Inquiry - 20 years on</w:t>
      </w:r>
      <w:r w:rsidRPr="00593A1B">
        <w:rPr>
          <w:rFonts w:ascii="Arial" w:hAnsi="Arial" w:cs="Arial"/>
          <w:lang w:val="en-IN"/>
        </w:rPr>
        <w:t>. [online] PSA. Available at: https://www.professionalstandards.org.uk/news-and-updates/news/bristol-inquiry-20-years.</w:t>
      </w:r>
    </w:p>
    <w:p w14:paraId="47BDCBE7" w14:textId="77777777" w:rsidR="00050C76" w:rsidRPr="00593A1B" w:rsidRDefault="00050C76" w:rsidP="00E92D39">
      <w:pPr>
        <w:ind w:left="720" w:hanging="720"/>
        <w:rPr>
          <w:rFonts w:ascii="Arial" w:hAnsi="Arial" w:cs="Arial"/>
          <w:lang w:val="en-IN"/>
        </w:rPr>
      </w:pPr>
      <w:proofErr w:type="spellStart"/>
      <w:r w:rsidRPr="00593A1B">
        <w:rPr>
          <w:rFonts w:ascii="Arial" w:hAnsi="Arial" w:cs="Arial"/>
          <w:lang w:val="en-IN"/>
        </w:rPr>
        <w:t>Suseeladevi</w:t>
      </w:r>
      <w:proofErr w:type="spellEnd"/>
      <w:r w:rsidRPr="00593A1B">
        <w:rPr>
          <w:rFonts w:ascii="Arial" w:hAnsi="Arial" w:cs="Arial"/>
          <w:lang w:val="en-IN"/>
        </w:rPr>
        <w:t>, A.K., Denholm, R., Babu-Narayan, S.V., Sinha, S., Stoica, S., Dong, T., Angelini, G.D., Sudlow, C.L.M., Walker, V., Brown, K., Caputo, M. and Lawlor, D.A. (2025). Impact of COVID-19 pandemic on rates of congenital heart disease procedures among children: prospective cohort analyses of 26 270 procedures in 17 860 children using CVD-COVID-UK consortium record linkage data. </w:t>
      </w:r>
      <w:r w:rsidRPr="00593A1B">
        <w:rPr>
          <w:rFonts w:ascii="Arial" w:hAnsi="Arial" w:cs="Arial"/>
          <w:i/>
          <w:iCs/>
          <w:lang w:val="en-IN"/>
        </w:rPr>
        <w:t>Open Heart</w:t>
      </w:r>
      <w:r w:rsidRPr="00593A1B">
        <w:rPr>
          <w:rFonts w:ascii="Arial" w:hAnsi="Arial" w:cs="Arial"/>
          <w:lang w:val="en-IN"/>
        </w:rPr>
        <w:t xml:space="preserve">, [online] 12(1), pp.e003054–e003054. </w:t>
      </w:r>
      <w:proofErr w:type="spellStart"/>
      <w:r w:rsidRPr="00593A1B">
        <w:rPr>
          <w:rFonts w:ascii="Arial" w:hAnsi="Arial" w:cs="Arial"/>
          <w:lang w:val="en-IN"/>
        </w:rPr>
        <w:t>doi:https</w:t>
      </w:r>
      <w:proofErr w:type="spellEnd"/>
      <w:r w:rsidRPr="00593A1B">
        <w:rPr>
          <w:rFonts w:ascii="Arial" w:hAnsi="Arial" w:cs="Arial"/>
          <w:lang w:val="en-IN"/>
        </w:rPr>
        <w:t>://doi.org/10.1136/openhrt-2024-003054.</w:t>
      </w:r>
    </w:p>
    <w:p w14:paraId="574438A1" w14:textId="77777777" w:rsidR="00050C76" w:rsidRPr="00593A1B" w:rsidRDefault="00050C76" w:rsidP="00E92D39">
      <w:pPr>
        <w:ind w:left="720" w:hanging="720"/>
        <w:rPr>
          <w:rFonts w:ascii="Arial" w:hAnsi="Arial" w:cs="Arial"/>
          <w:lang w:val="en-IN"/>
        </w:rPr>
      </w:pPr>
      <w:r w:rsidRPr="00593A1B">
        <w:rPr>
          <w:rFonts w:ascii="Arial" w:hAnsi="Arial" w:cs="Arial"/>
          <w:lang w:val="en-IN"/>
        </w:rPr>
        <w:t>The Health Foundation (2001). </w:t>
      </w:r>
      <w:r w:rsidRPr="00593A1B">
        <w:rPr>
          <w:rFonts w:ascii="Arial" w:hAnsi="Arial" w:cs="Arial"/>
          <w:i/>
          <w:iCs/>
          <w:lang w:val="en-IN"/>
        </w:rPr>
        <w:t>Report of the public inquiry into children’s heart surgery at the Bristol Royal Infirmary</w:t>
      </w:r>
      <w:r w:rsidRPr="00593A1B">
        <w:rPr>
          <w:rFonts w:ascii="Arial" w:hAnsi="Arial" w:cs="Arial"/>
          <w:lang w:val="en-IN"/>
        </w:rPr>
        <w:t>. [online] Policy Navigator. Available at: https://navigator.health.org.uk/theme/report-public-inquiry-childrens-heart-surgery-bristol-royal-infirmary.</w:t>
      </w:r>
    </w:p>
    <w:p w14:paraId="6F3D5EEA" w14:textId="77777777" w:rsidR="00050C76" w:rsidRPr="00593A1B" w:rsidRDefault="00050C76" w:rsidP="00E92D39">
      <w:pPr>
        <w:ind w:left="720" w:hanging="720"/>
        <w:rPr>
          <w:rFonts w:ascii="Arial" w:hAnsi="Arial" w:cs="Arial"/>
          <w:lang w:val="en-IN"/>
        </w:rPr>
      </w:pPr>
      <w:r w:rsidRPr="00593A1B">
        <w:rPr>
          <w:rFonts w:ascii="Arial" w:hAnsi="Arial" w:cs="Arial"/>
          <w:lang w:val="en-IN"/>
        </w:rPr>
        <w:t>The Stationery Office (2015). Learning from Bristol: The Report of the Public Inquiry into Children’s Heart Surgery at the Bristol Royal Infirmary 1984--1995. </w:t>
      </w:r>
      <w:r w:rsidRPr="00593A1B">
        <w:rPr>
          <w:rFonts w:ascii="Arial" w:hAnsi="Arial" w:cs="Arial"/>
          <w:i/>
          <w:iCs/>
          <w:lang w:val="en-IN"/>
        </w:rPr>
        <w:t>psnet.ahrq.gov</w:t>
      </w:r>
      <w:r w:rsidRPr="00593A1B">
        <w:rPr>
          <w:rFonts w:ascii="Arial" w:hAnsi="Arial" w:cs="Arial"/>
          <w:lang w:val="en-IN"/>
        </w:rPr>
        <w:t>. [online] Available at: https://psnet.ahrq.gov/issue/learning-bristol-report-public-inquiry-childrens-heart-surgery-bristol-royal-infirmary-1984.</w:t>
      </w:r>
    </w:p>
    <w:p w14:paraId="206F1C77" w14:textId="77777777" w:rsidR="00050C76" w:rsidRPr="00593A1B" w:rsidRDefault="00050C76" w:rsidP="00E92D39">
      <w:pPr>
        <w:ind w:left="720" w:hanging="720"/>
        <w:rPr>
          <w:rFonts w:ascii="Arial" w:hAnsi="Arial" w:cs="Arial"/>
          <w:lang w:val="en-IN"/>
        </w:rPr>
      </w:pPr>
      <w:r w:rsidRPr="00593A1B">
        <w:rPr>
          <w:rFonts w:ascii="Arial" w:hAnsi="Arial" w:cs="Arial"/>
          <w:lang w:val="en-IN"/>
        </w:rPr>
        <w:t>Thompson, C., Nevins, D.H., Walters, D., Chin-Bailey, C., Thompson, E., Thame, M. and James, K. (2025). Management support for patient safety in two tertiary hospitals in Jamaica: A mixed methods study. </w:t>
      </w:r>
      <w:r w:rsidRPr="00593A1B">
        <w:rPr>
          <w:rFonts w:ascii="Arial" w:hAnsi="Arial" w:cs="Arial"/>
          <w:i/>
          <w:iCs/>
          <w:lang w:val="en-IN"/>
        </w:rPr>
        <w:t>PLOS Global Public Health</w:t>
      </w:r>
      <w:r w:rsidRPr="00593A1B">
        <w:rPr>
          <w:rFonts w:ascii="Arial" w:hAnsi="Arial" w:cs="Arial"/>
          <w:lang w:val="en-IN"/>
        </w:rPr>
        <w:t xml:space="preserve">, [online] 5(10), p.e0005332. </w:t>
      </w:r>
      <w:proofErr w:type="spellStart"/>
      <w:r w:rsidRPr="00593A1B">
        <w:rPr>
          <w:rFonts w:ascii="Arial" w:hAnsi="Arial" w:cs="Arial"/>
          <w:lang w:val="en-IN"/>
        </w:rPr>
        <w:t>doi:https</w:t>
      </w:r>
      <w:proofErr w:type="spellEnd"/>
      <w:r w:rsidRPr="00593A1B">
        <w:rPr>
          <w:rFonts w:ascii="Arial" w:hAnsi="Arial" w:cs="Arial"/>
          <w:lang w:val="en-IN"/>
        </w:rPr>
        <w:t>://doi.org/10.1371/journal.pgph.0005332.</w:t>
      </w:r>
    </w:p>
    <w:p w14:paraId="61A3B275" w14:textId="77777777" w:rsidR="00050C76" w:rsidRPr="00593A1B" w:rsidRDefault="00050C76" w:rsidP="00E92D39">
      <w:pPr>
        <w:ind w:left="720" w:hanging="720"/>
        <w:rPr>
          <w:rFonts w:ascii="Arial" w:hAnsi="Arial" w:cs="Arial"/>
          <w:lang w:val="en-IN"/>
        </w:rPr>
      </w:pPr>
      <w:r w:rsidRPr="00593A1B">
        <w:rPr>
          <w:rFonts w:ascii="Arial" w:hAnsi="Arial" w:cs="Arial"/>
          <w:lang w:val="en-IN"/>
        </w:rPr>
        <w:t>UK Government (2025). </w:t>
      </w:r>
      <w:r w:rsidRPr="00593A1B">
        <w:rPr>
          <w:rFonts w:ascii="Arial" w:hAnsi="Arial" w:cs="Arial"/>
          <w:i/>
          <w:iCs/>
          <w:lang w:val="en-IN"/>
        </w:rPr>
        <w:t>The Report of the Public Inquiry into children’s heart surgery at the Bristol Royal Infirmary 1984-1995</w:t>
      </w:r>
      <w:r w:rsidRPr="00593A1B">
        <w:rPr>
          <w:rFonts w:ascii="Arial" w:hAnsi="Arial" w:cs="Arial"/>
          <w:lang w:val="en-IN"/>
        </w:rPr>
        <w:t>. [online] Nationalarchives.gov.uk. Available at: https://webarchive.nationalarchives.gov.uk/ukgwa/20090811143745/http://www.bristol-inquiry.org.uk/final_report/the_report.pdf.</w:t>
      </w:r>
    </w:p>
    <w:p w14:paraId="6002194E" w14:textId="77777777" w:rsidR="00050C76" w:rsidRPr="00593A1B" w:rsidRDefault="00050C76" w:rsidP="00E92D39">
      <w:pPr>
        <w:rPr>
          <w:rFonts w:ascii="Arial" w:hAnsi="Arial" w:cs="Arial"/>
          <w:lang w:val="en-IN"/>
        </w:rPr>
      </w:pPr>
    </w:p>
    <w:p w14:paraId="4B91A744" w14:textId="77777777" w:rsidR="00B80405" w:rsidRPr="00593A1B" w:rsidRDefault="00B80405" w:rsidP="00E92D39">
      <w:pPr>
        <w:rPr>
          <w:rFonts w:ascii="Arial" w:hAnsi="Arial" w:cs="Arial"/>
        </w:rPr>
      </w:pPr>
    </w:p>
    <w:sectPr w:rsidR="00B80405" w:rsidRPr="00593A1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96414" w14:textId="77777777" w:rsidR="00226F6B" w:rsidRDefault="00226F6B" w:rsidP="00050C76">
      <w:pPr>
        <w:spacing w:before="0" w:after="0" w:line="240" w:lineRule="auto"/>
      </w:pPr>
      <w:r>
        <w:separator/>
      </w:r>
    </w:p>
  </w:endnote>
  <w:endnote w:type="continuationSeparator" w:id="0">
    <w:p w14:paraId="4C561B78" w14:textId="77777777" w:rsidR="00226F6B" w:rsidRDefault="00226F6B" w:rsidP="00050C7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C22E23" w14:textId="77777777" w:rsidR="00050C76" w:rsidRDefault="00050C76">
    <w:pPr>
      <w:pStyle w:val="Footer"/>
      <w:jc w:val="center"/>
    </w:pPr>
    <w:r>
      <w:fldChar w:fldCharType="begin"/>
    </w:r>
    <w:r>
      <w:instrText xml:space="preserve"> PAGE   \* MERGEFORMAT </w:instrText>
    </w:r>
    <w:r>
      <w:fldChar w:fldCharType="separate"/>
    </w:r>
    <w:r>
      <w:rPr>
        <w:noProof/>
      </w:rPr>
      <w:t>2</w:t>
    </w:r>
    <w:r>
      <w:rPr>
        <w:noProof/>
      </w:rPr>
      <w:fldChar w:fldCharType="end"/>
    </w:r>
  </w:p>
  <w:p w14:paraId="2470CF28" w14:textId="77777777" w:rsidR="00050C76" w:rsidRDefault="00050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CA10D" w14:textId="77777777" w:rsidR="00226F6B" w:rsidRDefault="00226F6B" w:rsidP="00050C76">
      <w:pPr>
        <w:spacing w:before="0" w:after="0" w:line="240" w:lineRule="auto"/>
      </w:pPr>
      <w:r>
        <w:separator/>
      </w:r>
    </w:p>
  </w:footnote>
  <w:footnote w:type="continuationSeparator" w:id="0">
    <w:p w14:paraId="58044413" w14:textId="77777777" w:rsidR="00226F6B" w:rsidRDefault="00226F6B" w:rsidP="00050C7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43BC7"/>
    <w:multiLevelType w:val="multilevel"/>
    <w:tmpl w:val="0A965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5909D3"/>
    <w:multiLevelType w:val="hybridMultilevel"/>
    <w:tmpl w:val="1F6031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E274E1"/>
    <w:multiLevelType w:val="multilevel"/>
    <w:tmpl w:val="352EA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6D05A6"/>
    <w:multiLevelType w:val="hybridMultilevel"/>
    <w:tmpl w:val="8A00CDA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47595087">
    <w:abstractNumId w:val="0"/>
  </w:num>
  <w:num w:numId="2" w16cid:durableId="1316497774">
    <w:abstractNumId w:val="2"/>
  </w:num>
  <w:num w:numId="3" w16cid:durableId="761492074">
    <w:abstractNumId w:val="1"/>
  </w:num>
  <w:num w:numId="4" w16cid:durableId="3714663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A0D"/>
    <w:rsid w:val="0001514D"/>
    <w:rsid w:val="00050C76"/>
    <w:rsid w:val="000570D1"/>
    <w:rsid w:val="00057F03"/>
    <w:rsid w:val="000D1D96"/>
    <w:rsid w:val="000D2ACD"/>
    <w:rsid w:val="0012668F"/>
    <w:rsid w:val="001A7565"/>
    <w:rsid w:val="001B7AC2"/>
    <w:rsid w:val="001C44C3"/>
    <w:rsid w:val="001E6866"/>
    <w:rsid w:val="00226F6B"/>
    <w:rsid w:val="00234D7E"/>
    <w:rsid w:val="00242667"/>
    <w:rsid w:val="00251547"/>
    <w:rsid w:val="00261379"/>
    <w:rsid w:val="00262DC3"/>
    <w:rsid w:val="002656E8"/>
    <w:rsid w:val="00284968"/>
    <w:rsid w:val="0029391F"/>
    <w:rsid w:val="002E5E7D"/>
    <w:rsid w:val="003005AD"/>
    <w:rsid w:val="00325E32"/>
    <w:rsid w:val="00370EA8"/>
    <w:rsid w:val="003E475A"/>
    <w:rsid w:val="003F3363"/>
    <w:rsid w:val="00462276"/>
    <w:rsid w:val="0056023F"/>
    <w:rsid w:val="005760EA"/>
    <w:rsid w:val="00593A1B"/>
    <w:rsid w:val="00597FDF"/>
    <w:rsid w:val="005B391A"/>
    <w:rsid w:val="005D0085"/>
    <w:rsid w:val="00643529"/>
    <w:rsid w:val="00670F5F"/>
    <w:rsid w:val="007115BF"/>
    <w:rsid w:val="007154DB"/>
    <w:rsid w:val="00715B56"/>
    <w:rsid w:val="007639BC"/>
    <w:rsid w:val="007D2266"/>
    <w:rsid w:val="008055B8"/>
    <w:rsid w:val="00820EEB"/>
    <w:rsid w:val="008271D1"/>
    <w:rsid w:val="00864A92"/>
    <w:rsid w:val="00866364"/>
    <w:rsid w:val="00891F78"/>
    <w:rsid w:val="00896FDF"/>
    <w:rsid w:val="008C26A1"/>
    <w:rsid w:val="008D1C8D"/>
    <w:rsid w:val="00931D8F"/>
    <w:rsid w:val="009B488C"/>
    <w:rsid w:val="009B6A96"/>
    <w:rsid w:val="009E3807"/>
    <w:rsid w:val="00A22B7E"/>
    <w:rsid w:val="00A46A7A"/>
    <w:rsid w:val="00A517D9"/>
    <w:rsid w:val="00A64B56"/>
    <w:rsid w:val="00A7688A"/>
    <w:rsid w:val="00A814D9"/>
    <w:rsid w:val="00AA034C"/>
    <w:rsid w:val="00AA61E4"/>
    <w:rsid w:val="00B50FB4"/>
    <w:rsid w:val="00B54A0D"/>
    <w:rsid w:val="00B705A4"/>
    <w:rsid w:val="00B77EDB"/>
    <w:rsid w:val="00B80405"/>
    <w:rsid w:val="00BB454E"/>
    <w:rsid w:val="00BC4A10"/>
    <w:rsid w:val="00BC5EBC"/>
    <w:rsid w:val="00BF40DD"/>
    <w:rsid w:val="00C00EC6"/>
    <w:rsid w:val="00C17063"/>
    <w:rsid w:val="00C41285"/>
    <w:rsid w:val="00C55C01"/>
    <w:rsid w:val="00C87D67"/>
    <w:rsid w:val="00CA3B8B"/>
    <w:rsid w:val="00D2375C"/>
    <w:rsid w:val="00E60F49"/>
    <w:rsid w:val="00E86DF8"/>
    <w:rsid w:val="00E92D39"/>
    <w:rsid w:val="00E97ECB"/>
    <w:rsid w:val="00F01A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69559"/>
  <w15:chartTrackingRefBased/>
  <w15:docId w15:val="{9882E809-6228-0D47-ACDC-C8645AC56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75A"/>
    <w:pPr>
      <w:spacing w:before="240" w:after="160" w:line="360" w:lineRule="auto"/>
      <w:jc w:val="both"/>
    </w:pPr>
    <w:rPr>
      <w:rFonts w:ascii="Times New Roman" w:hAnsi="Times New Roman"/>
      <w:kern w:val="2"/>
      <w:sz w:val="24"/>
      <w:szCs w:val="22"/>
      <w:lang w:val="en-GB"/>
    </w:rPr>
  </w:style>
  <w:style w:type="paragraph" w:styleId="Heading1">
    <w:name w:val="heading 1"/>
    <w:basedOn w:val="Normal"/>
    <w:next w:val="Normal"/>
    <w:link w:val="Heading1Char"/>
    <w:uiPriority w:val="9"/>
    <w:qFormat/>
    <w:rsid w:val="00D2375C"/>
    <w:pPr>
      <w:keepNext/>
      <w:keepLines/>
      <w:outlineLvl w:val="0"/>
    </w:pPr>
    <w:rPr>
      <w:rFonts w:eastAsia="Times New Roman"/>
      <w:b/>
      <w:color w:val="4472C4"/>
      <w:sz w:val="28"/>
      <w:szCs w:val="32"/>
    </w:rPr>
  </w:style>
  <w:style w:type="paragraph" w:styleId="Heading2">
    <w:name w:val="heading 2"/>
    <w:basedOn w:val="Normal"/>
    <w:next w:val="Normal"/>
    <w:link w:val="Heading2Char"/>
    <w:uiPriority w:val="9"/>
    <w:unhideWhenUsed/>
    <w:qFormat/>
    <w:rsid w:val="003005AD"/>
    <w:pPr>
      <w:keepNext/>
      <w:keepLines/>
      <w:spacing w:before="40"/>
      <w:outlineLvl w:val="1"/>
    </w:pPr>
    <w:rPr>
      <w:rFonts w:eastAsia="Times New Roman"/>
      <w:b/>
      <w:color w:val="4472C4"/>
      <w:szCs w:val="26"/>
    </w:rPr>
  </w:style>
  <w:style w:type="paragraph" w:styleId="Heading3">
    <w:name w:val="heading 3"/>
    <w:basedOn w:val="Normal"/>
    <w:next w:val="Normal"/>
    <w:link w:val="Heading3Char"/>
    <w:uiPriority w:val="9"/>
    <w:unhideWhenUsed/>
    <w:qFormat/>
    <w:rsid w:val="00B54A0D"/>
    <w:pPr>
      <w:keepNext/>
      <w:keepLines/>
      <w:spacing w:before="160" w:after="80"/>
      <w:outlineLvl w:val="2"/>
    </w:pPr>
    <w:rPr>
      <w:rFonts w:ascii="Calibri" w:eastAsia="Times New Roman" w:hAnsi="Calibri"/>
      <w:color w:val="2F5496"/>
      <w:sz w:val="28"/>
      <w:szCs w:val="28"/>
    </w:rPr>
  </w:style>
  <w:style w:type="paragraph" w:styleId="Heading4">
    <w:name w:val="heading 4"/>
    <w:basedOn w:val="Normal"/>
    <w:next w:val="Normal"/>
    <w:link w:val="Heading4Char"/>
    <w:uiPriority w:val="9"/>
    <w:semiHidden/>
    <w:unhideWhenUsed/>
    <w:qFormat/>
    <w:rsid w:val="00B54A0D"/>
    <w:pPr>
      <w:keepNext/>
      <w:keepLines/>
      <w:spacing w:before="80" w:after="40"/>
      <w:outlineLvl w:val="3"/>
    </w:pPr>
    <w:rPr>
      <w:rFonts w:ascii="Calibri" w:eastAsia="Times New Roman" w:hAnsi="Calibri"/>
      <w:i/>
      <w:iCs/>
      <w:color w:val="2F5496"/>
    </w:rPr>
  </w:style>
  <w:style w:type="paragraph" w:styleId="Heading5">
    <w:name w:val="heading 5"/>
    <w:basedOn w:val="Normal"/>
    <w:next w:val="Normal"/>
    <w:link w:val="Heading5Char"/>
    <w:uiPriority w:val="9"/>
    <w:semiHidden/>
    <w:unhideWhenUsed/>
    <w:qFormat/>
    <w:rsid w:val="00B54A0D"/>
    <w:pPr>
      <w:keepNext/>
      <w:keepLines/>
      <w:spacing w:before="80" w:after="40"/>
      <w:outlineLvl w:val="4"/>
    </w:pPr>
    <w:rPr>
      <w:rFonts w:ascii="Calibri" w:eastAsia="Times New Roman" w:hAnsi="Calibri"/>
      <w:color w:val="2F5496"/>
    </w:rPr>
  </w:style>
  <w:style w:type="paragraph" w:styleId="Heading6">
    <w:name w:val="heading 6"/>
    <w:basedOn w:val="Normal"/>
    <w:next w:val="Normal"/>
    <w:link w:val="Heading6Char"/>
    <w:uiPriority w:val="9"/>
    <w:semiHidden/>
    <w:unhideWhenUsed/>
    <w:qFormat/>
    <w:rsid w:val="00B54A0D"/>
    <w:pPr>
      <w:keepNext/>
      <w:keepLines/>
      <w:spacing w:before="40" w:after="0"/>
      <w:outlineLvl w:val="5"/>
    </w:pPr>
    <w:rPr>
      <w:rFonts w:ascii="Calibri" w:eastAsia="Times New Roman" w:hAnsi="Calibri"/>
      <w:i/>
      <w:iCs/>
      <w:color w:val="595959"/>
    </w:rPr>
  </w:style>
  <w:style w:type="paragraph" w:styleId="Heading7">
    <w:name w:val="heading 7"/>
    <w:basedOn w:val="Normal"/>
    <w:next w:val="Normal"/>
    <w:link w:val="Heading7Char"/>
    <w:uiPriority w:val="9"/>
    <w:semiHidden/>
    <w:unhideWhenUsed/>
    <w:qFormat/>
    <w:rsid w:val="00B54A0D"/>
    <w:pPr>
      <w:keepNext/>
      <w:keepLines/>
      <w:spacing w:before="40" w:after="0"/>
      <w:outlineLvl w:val="6"/>
    </w:pPr>
    <w:rPr>
      <w:rFonts w:ascii="Calibri" w:eastAsia="Times New Roman" w:hAnsi="Calibri"/>
      <w:color w:val="595959"/>
    </w:rPr>
  </w:style>
  <w:style w:type="paragraph" w:styleId="Heading8">
    <w:name w:val="heading 8"/>
    <w:basedOn w:val="Normal"/>
    <w:next w:val="Normal"/>
    <w:link w:val="Heading8Char"/>
    <w:uiPriority w:val="9"/>
    <w:semiHidden/>
    <w:unhideWhenUsed/>
    <w:qFormat/>
    <w:rsid w:val="00B54A0D"/>
    <w:pPr>
      <w:keepNext/>
      <w:keepLines/>
      <w:spacing w:before="0" w:after="0"/>
      <w:outlineLvl w:val="7"/>
    </w:pPr>
    <w:rPr>
      <w:rFonts w:ascii="Calibri" w:eastAsia="Times New Roman" w:hAnsi="Calibri"/>
      <w:i/>
      <w:iCs/>
      <w:color w:val="272727"/>
    </w:rPr>
  </w:style>
  <w:style w:type="paragraph" w:styleId="Heading9">
    <w:name w:val="heading 9"/>
    <w:basedOn w:val="Normal"/>
    <w:next w:val="Normal"/>
    <w:link w:val="Heading9Char"/>
    <w:uiPriority w:val="9"/>
    <w:semiHidden/>
    <w:unhideWhenUsed/>
    <w:qFormat/>
    <w:rsid w:val="00B54A0D"/>
    <w:pPr>
      <w:keepNext/>
      <w:keepLines/>
      <w:spacing w:before="0" w:after="0"/>
      <w:outlineLvl w:val="8"/>
    </w:pPr>
    <w:rPr>
      <w:rFonts w:ascii="Calibri" w:eastAsia="Times New Roman" w:hAnsi="Calibr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2375C"/>
    <w:rPr>
      <w:rFonts w:ascii="Times New Roman" w:eastAsia="Times New Roman" w:hAnsi="Times New Roman" w:cs="Times New Roman"/>
      <w:b/>
      <w:color w:val="4472C4"/>
      <w:sz w:val="28"/>
      <w:szCs w:val="32"/>
    </w:rPr>
  </w:style>
  <w:style w:type="character" w:customStyle="1" w:styleId="Heading2Char">
    <w:name w:val="Heading 2 Char"/>
    <w:link w:val="Heading2"/>
    <w:uiPriority w:val="9"/>
    <w:rsid w:val="003005AD"/>
    <w:rPr>
      <w:rFonts w:ascii="Times New Roman" w:eastAsia="Times New Roman" w:hAnsi="Times New Roman" w:cs="Times New Roman"/>
      <w:b/>
      <w:color w:val="4472C4"/>
      <w:sz w:val="24"/>
      <w:szCs w:val="26"/>
    </w:rPr>
  </w:style>
  <w:style w:type="character" w:customStyle="1" w:styleId="Heading3Char">
    <w:name w:val="Heading 3 Char"/>
    <w:link w:val="Heading3"/>
    <w:uiPriority w:val="9"/>
    <w:rsid w:val="00B54A0D"/>
    <w:rPr>
      <w:rFonts w:eastAsia="Times New Roman" w:cs="Times New Roman"/>
      <w:color w:val="2F5496"/>
      <w:sz w:val="28"/>
      <w:szCs w:val="28"/>
      <w:lang w:val="en-GB"/>
    </w:rPr>
  </w:style>
  <w:style w:type="character" w:customStyle="1" w:styleId="Heading4Char">
    <w:name w:val="Heading 4 Char"/>
    <w:link w:val="Heading4"/>
    <w:uiPriority w:val="9"/>
    <w:semiHidden/>
    <w:rsid w:val="00B54A0D"/>
    <w:rPr>
      <w:rFonts w:eastAsia="Times New Roman" w:cs="Times New Roman"/>
      <w:i/>
      <w:iCs/>
      <w:color w:val="2F5496"/>
      <w:sz w:val="24"/>
      <w:lang w:val="en-GB"/>
    </w:rPr>
  </w:style>
  <w:style w:type="character" w:customStyle="1" w:styleId="Heading5Char">
    <w:name w:val="Heading 5 Char"/>
    <w:link w:val="Heading5"/>
    <w:uiPriority w:val="9"/>
    <w:semiHidden/>
    <w:rsid w:val="00B54A0D"/>
    <w:rPr>
      <w:rFonts w:eastAsia="Times New Roman" w:cs="Times New Roman"/>
      <w:color w:val="2F5496"/>
      <w:sz w:val="24"/>
      <w:lang w:val="en-GB"/>
    </w:rPr>
  </w:style>
  <w:style w:type="character" w:customStyle="1" w:styleId="Heading6Char">
    <w:name w:val="Heading 6 Char"/>
    <w:link w:val="Heading6"/>
    <w:uiPriority w:val="9"/>
    <w:semiHidden/>
    <w:rsid w:val="00B54A0D"/>
    <w:rPr>
      <w:rFonts w:eastAsia="Times New Roman" w:cs="Times New Roman"/>
      <w:i/>
      <w:iCs/>
      <w:color w:val="595959"/>
      <w:sz w:val="24"/>
      <w:lang w:val="en-GB"/>
    </w:rPr>
  </w:style>
  <w:style w:type="character" w:customStyle="1" w:styleId="Heading7Char">
    <w:name w:val="Heading 7 Char"/>
    <w:link w:val="Heading7"/>
    <w:uiPriority w:val="9"/>
    <w:semiHidden/>
    <w:rsid w:val="00B54A0D"/>
    <w:rPr>
      <w:rFonts w:eastAsia="Times New Roman" w:cs="Times New Roman"/>
      <w:color w:val="595959"/>
      <w:sz w:val="24"/>
      <w:lang w:val="en-GB"/>
    </w:rPr>
  </w:style>
  <w:style w:type="character" w:customStyle="1" w:styleId="Heading8Char">
    <w:name w:val="Heading 8 Char"/>
    <w:link w:val="Heading8"/>
    <w:uiPriority w:val="9"/>
    <w:semiHidden/>
    <w:rsid w:val="00B54A0D"/>
    <w:rPr>
      <w:rFonts w:eastAsia="Times New Roman" w:cs="Times New Roman"/>
      <w:i/>
      <w:iCs/>
      <w:color w:val="272727"/>
      <w:sz w:val="24"/>
      <w:lang w:val="en-GB"/>
    </w:rPr>
  </w:style>
  <w:style w:type="character" w:customStyle="1" w:styleId="Heading9Char">
    <w:name w:val="Heading 9 Char"/>
    <w:link w:val="Heading9"/>
    <w:uiPriority w:val="9"/>
    <w:semiHidden/>
    <w:rsid w:val="00B54A0D"/>
    <w:rPr>
      <w:rFonts w:eastAsia="Times New Roman" w:cs="Times New Roman"/>
      <w:color w:val="272727"/>
      <w:sz w:val="24"/>
      <w:lang w:val="en-GB"/>
    </w:rPr>
  </w:style>
  <w:style w:type="paragraph" w:styleId="Title">
    <w:name w:val="Title"/>
    <w:basedOn w:val="Normal"/>
    <w:next w:val="Normal"/>
    <w:link w:val="TitleChar"/>
    <w:uiPriority w:val="10"/>
    <w:qFormat/>
    <w:rsid w:val="00B54A0D"/>
    <w:pPr>
      <w:spacing w:before="0" w:after="80" w:line="240" w:lineRule="auto"/>
      <w:contextualSpacing/>
    </w:pPr>
    <w:rPr>
      <w:rFonts w:ascii="Calibri Light" w:eastAsia="Times New Roman" w:hAnsi="Calibri Light"/>
      <w:spacing w:val="-10"/>
      <w:kern w:val="28"/>
      <w:sz w:val="56"/>
      <w:szCs w:val="56"/>
    </w:rPr>
  </w:style>
  <w:style w:type="character" w:customStyle="1" w:styleId="TitleChar">
    <w:name w:val="Title Char"/>
    <w:link w:val="Title"/>
    <w:uiPriority w:val="10"/>
    <w:rsid w:val="00B54A0D"/>
    <w:rPr>
      <w:rFonts w:ascii="Calibri Light" w:eastAsia="Times New Roman" w:hAnsi="Calibri Light" w:cs="Times New Roman"/>
      <w:spacing w:val="-10"/>
      <w:kern w:val="28"/>
      <w:sz w:val="56"/>
      <w:szCs w:val="56"/>
      <w:lang w:val="en-GB"/>
    </w:rPr>
  </w:style>
  <w:style w:type="paragraph" w:styleId="Subtitle">
    <w:name w:val="Subtitle"/>
    <w:basedOn w:val="Normal"/>
    <w:next w:val="Normal"/>
    <w:link w:val="SubtitleChar"/>
    <w:uiPriority w:val="11"/>
    <w:qFormat/>
    <w:rsid w:val="00B54A0D"/>
    <w:pPr>
      <w:numPr>
        <w:ilvl w:val="1"/>
      </w:numPr>
    </w:pPr>
    <w:rPr>
      <w:rFonts w:ascii="Calibri" w:eastAsia="Times New Roman" w:hAnsi="Calibri"/>
      <w:color w:val="595959"/>
      <w:spacing w:val="15"/>
      <w:sz w:val="28"/>
      <w:szCs w:val="28"/>
    </w:rPr>
  </w:style>
  <w:style w:type="character" w:customStyle="1" w:styleId="SubtitleChar">
    <w:name w:val="Subtitle Char"/>
    <w:link w:val="Subtitle"/>
    <w:uiPriority w:val="11"/>
    <w:rsid w:val="00B54A0D"/>
    <w:rPr>
      <w:rFonts w:eastAsia="Times New Roman" w:cs="Times New Roman"/>
      <w:color w:val="595959"/>
      <w:spacing w:val="15"/>
      <w:sz w:val="28"/>
      <w:szCs w:val="28"/>
      <w:lang w:val="en-GB"/>
    </w:rPr>
  </w:style>
  <w:style w:type="paragraph" w:styleId="Quote">
    <w:name w:val="Quote"/>
    <w:basedOn w:val="Normal"/>
    <w:next w:val="Normal"/>
    <w:link w:val="QuoteChar"/>
    <w:uiPriority w:val="29"/>
    <w:qFormat/>
    <w:rsid w:val="00B54A0D"/>
    <w:pPr>
      <w:spacing w:before="160"/>
      <w:jc w:val="center"/>
    </w:pPr>
    <w:rPr>
      <w:i/>
      <w:iCs/>
      <w:color w:val="404040"/>
    </w:rPr>
  </w:style>
  <w:style w:type="character" w:customStyle="1" w:styleId="QuoteChar">
    <w:name w:val="Quote Char"/>
    <w:link w:val="Quote"/>
    <w:uiPriority w:val="29"/>
    <w:rsid w:val="00B54A0D"/>
    <w:rPr>
      <w:rFonts w:ascii="Times New Roman" w:hAnsi="Times New Roman"/>
      <w:i/>
      <w:iCs/>
      <w:color w:val="404040"/>
      <w:sz w:val="24"/>
      <w:lang w:val="en-GB"/>
    </w:rPr>
  </w:style>
  <w:style w:type="paragraph" w:styleId="ListParagraph">
    <w:name w:val="List Paragraph"/>
    <w:basedOn w:val="Normal"/>
    <w:uiPriority w:val="34"/>
    <w:qFormat/>
    <w:rsid w:val="00B54A0D"/>
    <w:pPr>
      <w:ind w:left="720"/>
      <w:contextualSpacing/>
    </w:pPr>
  </w:style>
  <w:style w:type="character" w:styleId="IntenseEmphasis">
    <w:name w:val="Intense Emphasis"/>
    <w:uiPriority w:val="21"/>
    <w:qFormat/>
    <w:rsid w:val="00B54A0D"/>
    <w:rPr>
      <w:i/>
      <w:iCs/>
      <w:color w:val="2F5496"/>
    </w:rPr>
  </w:style>
  <w:style w:type="paragraph" w:styleId="IntenseQuote">
    <w:name w:val="Intense Quote"/>
    <w:basedOn w:val="Normal"/>
    <w:next w:val="Normal"/>
    <w:link w:val="IntenseQuoteChar"/>
    <w:uiPriority w:val="30"/>
    <w:qFormat/>
    <w:rsid w:val="00B54A0D"/>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link w:val="IntenseQuote"/>
    <w:uiPriority w:val="30"/>
    <w:rsid w:val="00B54A0D"/>
    <w:rPr>
      <w:rFonts w:ascii="Times New Roman" w:hAnsi="Times New Roman"/>
      <w:i/>
      <w:iCs/>
      <w:color w:val="2F5496"/>
      <w:sz w:val="24"/>
      <w:lang w:val="en-GB"/>
    </w:rPr>
  </w:style>
  <w:style w:type="character" w:styleId="IntenseReference">
    <w:name w:val="Intense Reference"/>
    <w:uiPriority w:val="32"/>
    <w:qFormat/>
    <w:rsid w:val="00B54A0D"/>
    <w:rPr>
      <w:b/>
      <w:bCs/>
      <w:smallCaps/>
      <w:color w:val="2F5496"/>
      <w:spacing w:val="5"/>
    </w:rPr>
  </w:style>
  <w:style w:type="table" w:styleId="TableGrid">
    <w:name w:val="Table Grid"/>
    <w:basedOn w:val="TableNormal"/>
    <w:uiPriority w:val="39"/>
    <w:rsid w:val="00B54A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0C76"/>
    <w:pPr>
      <w:tabs>
        <w:tab w:val="center" w:pos="4513"/>
        <w:tab w:val="right" w:pos="9026"/>
      </w:tabs>
      <w:spacing w:before="0" w:after="0" w:line="240" w:lineRule="auto"/>
    </w:pPr>
  </w:style>
  <w:style w:type="character" w:customStyle="1" w:styleId="HeaderChar">
    <w:name w:val="Header Char"/>
    <w:link w:val="Header"/>
    <w:uiPriority w:val="99"/>
    <w:rsid w:val="00050C76"/>
    <w:rPr>
      <w:rFonts w:ascii="Times New Roman" w:hAnsi="Times New Roman"/>
      <w:sz w:val="24"/>
      <w:lang w:val="en-GB"/>
    </w:rPr>
  </w:style>
  <w:style w:type="paragraph" w:styleId="Footer">
    <w:name w:val="footer"/>
    <w:basedOn w:val="Normal"/>
    <w:link w:val="FooterChar"/>
    <w:uiPriority w:val="99"/>
    <w:unhideWhenUsed/>
    <w:rsid w:val="00050C76"/>
    <w:pPr>
      <w:tabs>
        <w:tab w:val="center" w:pos="4513"/>
        <w:tab w:val="right" w:pos="9026"/>
      </w:tabs>
      <w:spacing w:before="0" w:after="0" w:line="240" w:lineRule="auto"/>
    </w:pPr>
  </w:style>
  <w:style w:type="character" w:customStyle="1" w:styleId="FooterChar">
    <w:name w:val="Footer Char"/>
    <w:link w:val="Footer"/>
    <w:uiPriority w:val="99"/>
    <w:rsid w:val="00050C76"/>
    <w:rPr>
      <w:rFonts w:ascii="Times New Roman" w:hAnsi="Times New Roman"/>
      <w:sz w:val="24"/>
      <w:lang w:val="en-GB"/>
    </w:rPr>
  </w:style>
  <w:style w:type="paragraph" w:styleId="TOCHeading">
    <w:name w:val="TOC Heading"/>
    <w:basedOn w:val="Heading1"/>
    <w:next w:val="Normal"/>
    <w:uiPriority w:val="39"/>
    <w:unhideWhenUsed/>
    <w:qFormat/>
    <w:rsid w:val="000D1D96"/>
    <w:pPr>
      <w:spacing w:after="0" w:line="259" w:lineRule="auto"/>
      <w:jc w:val="left"/>
      <w:outlineLvl w:val="9"/>
    </w:pPr>
    <w:rPr>
      <w:rFonts w:ascii="Calibri Light" w:hAnsi="Calibri Light"/>
      <w:b w:val="0"/>
      <w:color w:val="2F5496"/>
      <w:kern w:val="0"/>
      <w:sz w:val="32"/>
      <w:lang w:val="en-US"/>
    </w:rPr>
  </w:style>
  <w:style w:type="paragraph" w:styleId="TOC1">
    <w:name w:val="toc 1"/>
    <w:basedOn w:val="Normal"/>
    <w:next w:val="Normal"/>
    <w:autoRedefine/>
    <w:uiPriority w:val="39"/>
    <w:unhideWhenUsed/>
    <w:rsid w:val="000D1D96"/>
    <w:pPr>
      <w:spacing w:after="100"/>
    </w:pPr>
  </w:style>
  <w:style w:type="paragraph" w:styleId="TOC2">
    <w:name w:val="toc 2"/>
    <w:basedOn w:val="Normal"/>
    <w:next w:val="Normal"/>
    <w:autoRedefine/>
    <w:uiPriority w:val="39"/>
    <w:unhideWhenUsed/>
    <w:rsid w:val="000D1D96"/>
    <w:pPr>
      <w:spacing w:after="100"/>
      <w:ind w:left="240"/>
    </w:pPr>
  </w:style>
  <w:style w:type="character" w:styleId="Hyperlink">
    <w:name w:val="Hyperlink"/>
    <w:uiPriority w:val="99"/>
    <w:unhideWhenUsed/>
    <w:rsid w:val="000D1D96"/>
    <w:rPr>
      <w:color w:val="0563C1"/>
      <w:u w:val="single"/>
    </w:rPr>
  </w:style>
  <w:style w:type="paragraph" w:styleId="Caption">
    <w:name w:val="caption"/>
    <w:basedOn w:val="Normal"/>
    <w:next w:val="Normal"/>
    <w:uiPriority w:val="35"/>
    <w:unhideWhenUsed/>
    <w:qFormat/>
    <w:rsid w:val="003F3363"/>
    <w:rPr>
      <w:b/>
      <w:bCs/>
      <w:sz w:val="20"/>
      <w:szCs w:val="20"/>
    </w:rPr>
  </w:style>
  <w:style w:type="paragraph" w:styleId="NormalWeb">
    <w:name w:val="Normal (Web)"/>
    <w:basedOn w:val="Normal"/>
    <w:uiPriority w:val="99"/>
    <w:semiHidden/>
    <w:unhideWhenUsed/>
    <w:rsid w:val="00261379"/>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6E17E-7CC0-4A29-8F54-EC72469A4A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4625</Words>
  <Characters>26368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30932</CharactersWithSpaces>
  <SharedDoc>false</SharedDoc>
  <HLinks>
    <vt:vector size="72" baseType="variant">
      <vt:variant>
        <vt:i4>1507387</vt:i4>
      </vt:variant>
      <vt:variant>
        <vt:i4>68</vt:i4>
      </vt:variant>
      <vt:variant>
        <vt:i4>0</vt:i4>
      </vt:variant>
      <vt:variant>
        <vt:i4>5</vt:i4>
      </vt:variant>
      <vt:variant>
        <vt:lpwstr/>
      </vt:variant>
      <vt:variant>
        <vt:lpwstr>_Toc215146868</vt:lpwstr>
      </vt:variant>
      <vt:variant>
        <vt:i4>1507387</vt:i4>
      </vt:variant>
      <vt:variant>
        <vt:i4>62</vt:i4>
      </vt:variant>
      <vt:variant>
        <vt:i4>0</vt:i4>
      </vt:variant>
      <vt:variant>
        <vt:i4>5</vt:i4>
      </vt:variant>
      <vt:variant>
        <vt:lpwstr/>
      </vt:variant>
      <vt:variant>
        <vt:lpwstr>_Toc215146867</vt:lpwstr>
      </vt:variant>
      <vt:variant>
        <vt:i4>1507387</vt:i4>
      </vt:variant>
      <vt:variant>
        <vt:i4>56</vt:i4>
      </vt:variant>
      <vt:variant>
        <vt:i4>0</vt:i4>
      </vt:variant>
      <vt:variant>
        <vt:i4>5</vt:i4>
      </vt:variant>
      <vt:variant>
        <vt:lpwstr/>
      </vt:variant>
      <vt:variant>
        <vt:lpwstr>_Toc215146866</vt:lpwstr>
      </vt:variant>
      <vt:variant>
        <vt:i4>1507387</vt:i4>
      </vt:variant>
      <vt:variant>
        <vt:i4>50</vt:i4>
      </vt:variant>
      <vt:variant>
        <vt:i4>0</vt:i4>
      </vt:variant>
      <vt:variant>
        <vt:i4>5</vt:i4>
      </vt:variant>
      <vt:variant>
        <vt:lpwstr/>
      </vt:variant>
      <vt:variant>
        <vt:lpwstr>_Toc215146865</vt:lpwstr>
      </vt:variant>
      <vt:variant>
        <vt:i4>1507387</vt:i4>
      </vt:variant>
      <vt:variant>
        <vt:i4>44</vt:i4>
      </vt:variant>
      <vt:variant>
        <vt:i4>0</vt:i4>
      </vt:variant>
      <vt:variant>
        <vt:i4>5</vt:i4>
      </vt:variant>
      <vt:variant>
        <vt:lpwstr/>
      </vt:variant>
      <vt:variant>
        <vt:lpwstr>_Toc215146864</vt:lpwstr>
      </vt:variant>
      <vt:variant>
        <vt:i4>1507387</vt:i4>
      </vt:variant>
      <vt:variant>
        <vt:i4>38</vt:i4>
      </vt:variant>
      <vt:variant>
        <vt:i4>0</vt:i4>
      </vt:variant>
      <vt:variant>
        <vt:i4>5</vt:i4>
      </vt:variant>
      <vt:variant>
        <vt:lpwstr/>
      </vt:variant>
      <vt:variant>
        <vt:lpwstr>_Toc215146863</vt:lpwstr>
      </vt:variant>
      <vt:variant>
        <vt:i4>1507387</vt:i4>
      </vt:variant>
      <vt:variant>
        <vt:i4>32</vt:i4>
      </vt:variant>
      <vt:variant>
        <vt:i4>0</vt:i4>
      </vt:variant>
      <vt:variant>
        <vt:i4>5</vt:i4>
      </vt:variant>
      <vt:variant>
        <vt:lpwstr/>
      </vt:variant>
      <vt:variant>
        <vt:lpwstr>_Toc215146862</vt:lpwstr>
      </vt:variant>
      <vt:variant>
        <vt:i4>1507387</vt:i4>
      </vt:variant>
      <vt:variant>
        <vt:i4>26</vt:i4>
      </vt:variant>
      <vt:variant>
        <vt:i4>0</vt:i4>
      </vt:variant>
      <vt:variant>
        <vt:i4>5</vt:i4>
      </vt:variant>
      <vt:variant>
        <vt:lpwstr/>
      </vt:variant>
      <vt:variant>
        <vt:lpwstr>_Toc215146861</vt:lpwstr>
      </vt:variant>
      <vt:variant>
        <vt:i4>1507387</vt:i4>
      </vt:variant>
      <vt:variant>
        <vt:i4>20</vt:i4>
      </vt:variant>
      <vt:variant>
        <vt:i4>0</vt:i4>
      </vt:variant>
      <vt:variant>
        <vt:i4>5</vt:i4>
      </vt:variant>
      <vt:variant>
        <vt:lpwstr/>
      </vt:variant>
      <vt:variant>
        <vt:lpwstr>_Toc215146860</vt:lpwstr>
      </vt:variant>
      <vt:variant>
        <vt:i4>1310779</vt:i4>
      </vt:variant>
      <vt:variant>
        <vt:i4>14</vt:i4>
      </vt:variant>
      <vt:variant>
        <vt:i4>0</vt:i4>
      </vt:variant>
      <vt:variant>
        <vt:i4>5</vt:i4>
      </vt:variant>
      <vt:variant>
        <vt:lpwstr/>
      </vt:variant>
      <vt:variant>
        <vt:lpwstr>_Toc215146859</vt:lpwstr>
      </vt:variant>
      <vt:variant>
        <vt:i4>1310779</vt:i4>
      </vt:variant>
      <vt:variant>
        <vt:i4>8</vt:i4>
      </vt:variant>
      <vt:variant>
        <vt:i4>0</vt:i4>
      </vt:variant>
      <vt:variant>
        <vt:i4>5</vt:i4>
      </vt:variant>
      <vt:variant>
        <vt:lpwstr/>
      </vt:variant>
      <vt:variant>
        <vt:lpwstr>_Toc215146858</vt:lpwstr>
      </vt:variant>
      <vt:variant>
        <vt:i4>1310779</vt:i4>
      </vt:variant>
      <vt:variant>
        <vt:i4>2</vt:i4>
      </vt:variant>
      <vt:variant>
        <vt:i4>0</vt:i4>
      </vt:variant>
      <vt:variant>
        <vt:i4>5</vt:i4>
      </vt:variant>
      <vt:variant>
        <vt:lpwstr/>
      </vt:variant>
      <vt:variant>
        <vt:lpwstr>_Toc215146857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Pulkit Bhardwaj</dc:creator>
  <cp:keywords/>
  <dc:description/>
  <cp:lastModifiedBy>Jay Thakor</cp:lastModifiedBy>
  <cp:revision>2</cp:revision>
  <dcterms:created xsi:type="dcterms:W3CDTF">2025-11-27T13:40:00Z</dcterms:created>
  <dcterms:modified xsi:type="dcterms:W3CDTF">2025-11-27T13:40:00Z</dcterms:modified>
</cp:coreProperties>
</file>