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0448917"/>
        <w:docPartObj>
          <w:docPartGallery w:val="Cover Pages"/>
          <w:docPartUnique/>
        </w:docPartObj>
      </w:sdtPr>
      <w:sdtEndPr/>
      <w:sdtContent>
        <w:p w14:paraId="54CF3078" w14:textId="361EDC71" w:rsidR="00183992" w:rsidRDefault="00183992">
          <w:r>
            <w:rPr>
              <w:noProof/>
            </w:rPr>
            <mc:AlternateContent>
              <mc:Choice Requires="wpg">
                <w:drawing>
                  <wp:anchor distT="0" distB="0" distL="114300" distR="114300" simplePos="0" relativeHeight="251659264" behindDoc="1" locked="0" layoutInCell="1" allowOverlap="1" wp14:anchorId="654DCD88" wp14:editId="35262521">
                    <wp:simplePos x="0" y="0"/>
                    <wp:positionH relativeFrom="margin">
                      <wp:posOffset>-438912</wp:posOffset>
                    </wp:positionH>
                    <wp:positionV relativeFrom="page">
                      <wp:posOffset>541323</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44744"/>
                              <a:chExt cx="5561330" cy="5404485"/>
                            </a:xfrm>
                          </wpg:grpSpPr>
                          <wps:wsp>
                            <wps:cNvPr id="126" name="Freeform 10"/>
                            <wps:cNvSpPr>
                              <a:spLocks/>
                            </wps:cNvSpPr>
                            <wps:spPr bwMode="auto">
                              <a:xfrm>
                                <a:off x="0" y="44744"/>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DEF1513" w14:textId="2136B5E4" w:rsidR="00943ECF" w:rsidRDefault="0069665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43ECF">
                                        <w:rPr>
                                          <w:color w:val="FFFFFF" w:themeColor="background1"/>
                                          <w:sz w:val="72"/>
                                          <w:szCs w:val="72"/>
                                        </w:rPr>
                                        <w:t>Tesco Financial Performance and Capital Budgeting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54DCD88" id="Group 125" o:spid="_x0000_s1026" style="position:absolute;margin-left:-34.55pt;margin-top:42.6pt;width:540pt;height:556.55pt;z-index:-251657216;mso-width-percent:1154;mso-height-percent:670;mso-position-horizontal-relative:margin;mso-position-vertical-relative:page;mso-width-percent:1154;mso-height-percent:670;mso-width-relative:margin" coordorigin=",447"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">
                    <o:lock v:ext="edit" aspectratio="t"/>
                    <v:shape id="Freeform 10" o:spid="_x0000_s1027" style="position:absolute;top:447;width:55575;height:54045;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DEF1513" w14:textId="2136B5E4" w:rsidR="00943ECF" w:rsidRDefault="00943ECF">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Tesco Financial Performance and Capital Budgeting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E96E580" w14:textId="39C0D7AD" w:rsidR="00183992" w:rsidRDefault="00183992">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2336" behindDoc="0" locked="0" layoutInCell="1" allowOverlap="1" wp14:anchorId="52CCA162" wp14:editId="0F58211E">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084EDE" w14:textId="548BC386" w:rsidR="00943ECF" w:rsidRDefault="0069665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C969C3">
                                      <w:rPr>
                                        <w:caps/>
                                        <w:color w:val="7F7F7F" w:themeColor="text1" w:themeTint="80"/>
                                        <w:sz w:val="18"/>
                                        <w:szCs w:val="18"/>
                                      </w:rPr>
                                      <w:t>Jai Miao</w:t>
                                    </w:r>
                                  </w:sdtContent>
                                </w:sdt>
                                <w:r w:rsidR="00943ECF">
                                  <w:rPr>
                                    <w:caps/>
                                    <w:color w:val="7F7F7F" w:themeColor="text1" w:themeTint="80"/>
                                    <w:sz w:val="18"/>
                                    <w:szCs w:val="18"/>
                                  </w:rPr>
                                  <w:t> </w:t>
                                </w:r>
                                <w:r w:rsidR="00943ECF">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43ECF">
                                      <w:rPr>
                                        <w:color w:val="7F7F7F" w:themeColor="text1" w:themeTint="80"/>
                                        <w:sz w:val="18"/>
                                        <w:szCs w:val="18"/>
                                      </w:rPr>
                                      <w:t>University of Wales Trinity Saint David</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2CCA162"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8084EDE" w14:textId="548BC386" w:rsidR="00943ECF" w:rsidRDefault="0069665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C969C3">
                                <w:rPr>
                                  <w:caps/>
                                  <w:color w:val="7F7F7F" w:themeColor="text1" w:themeTint="80"/>
                                  <w:sz w:val="18"/>
                                  <w:szCs w:val="18"/>
                                </w:rPr>
                                <w:t>Jai Miao</w:t>
                              </w:r>
                            </w:sdtContent>
                          </w:sdt>
                          <w:r w:rsidR="00943ECF">
                            <w:rPr>
                              <w:caps/>
                              <w:color w:val="7F7F7F" w:themeColor="text1" w:themeTint="80"/>
                              <w:sz w:val="18"/>
                              <w:szCs w:val="18"/>
                            </w:rPr>
                            <w:t> </w:t>
                          </w:r>
                          <w:r w:rsidR="00943ECF">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43ECF">
                                <w:rPr>
                                  <w:color w:val="7F7F7F" w:themeColor="text1" w:themeTint="80"/>
                                  <w:sz w:val="18"/>
                                  <w:szCs w:val="18"/>
                                </w:rPr>
                                <w:t>University of Wales Trinity Saint David</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2FB40AF" wp14:editId="62BB376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B12B03C" w14:textId="070B0564" w:rsidR="00943ECF" w:rsidRDefault="00943ECF">
                                    <w:pPr>
                                      <w:pStyle w:val="NoSpacing"/>
                                      <w:spacing w:before="40" w:after="40"/>
                                      <w:rPr>
                                        <w:caps/>
                                        <w:color w:val="4472C4" w:themeColor="accent1"/>
                                        <w:sz w:val="28"/>
                                        <w:szCs w:val="28"/>
                                      </w:rPr>
                                    </w:pPr>
                                    <w:r>
                                      <w:rPr>
                                        <w:caps/>
                                        <w:color w:val="4472C4" w:themeColor="accent1"/>
                                        <w:sz w:val="28"/>
                                        <w:szCs w:val="28"/>
                                      </w:rPr>
                                      <w:t xml:space="preserve">Financial Management </w:t>
                                    </w:r>
                                    <w:r w:rsidR="00235420">
                                      <w:rPr>
                                        <w:caps/>
                                        <w:color w:val="4472C4" w:themeColor="accent1"/>
                                        <w:sz w:val="28"/>
                                        <w:szCs w:val="28"/>
                                      </w:rPr>
                                      <w:t>–</w:t>
                                    </w:r>
                                    <w:r>
                                      <w:rPr>
                                        <w:caps/>
                                        <w:color w:val="4472C4" w:themeColor="accent1"/>
                                        <w:sz w:val="28"/>
                                        <w:szCs w:val="28"/>
                                      </w:rPr>
                                      <w:t xml:space="preserve"> </w:t>
                                    </w:r>
                                    <w:r w:rsidR="00235420">
                                      <w:rPr>
                                        <w:caps/>
                                        <w:color w:val="4472C4" w:themeColor="accent1"/>
                                        <w:sz w:val="28"/>
                                        <w:szCs w:val="28"/>
                                      </w:rPr>
                                      <w:t>LCMB7002</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6FFD114" w14:textId="668E7BFB" w:rsidR="00943ECF" w:rsidRDefault="00943ECF">
                                    <w:pPr>
                                      <w:pStyle w:val="NoSpacing"/>
                                      <w:spacing w:before="40" w:after="40"/>
                                      <w:rPr>
                                        <w:caps/>
                                        <w:color w:val="5B9BD5" w:themeColor="accent5"/>
                                        <w:sz w:val="24"/>
                                        <w:szCs w:val="24"/>
                                      </w:rPr>
                                    </w:pPr>
                                    <w:r>
                                      <w:rPr>
                                        <w:caps/>
                                        <w:color w:val="5B9BD5" w:themeColor="accent5"/>
                                        <w:sz w:val="24"/>
                                        <w:szCs w:val="24"/>
                                      </w:rPr>
                                      <w:t>Matthew Kelleher (1710425)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2FB40AF"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B12B03C" w14:textId="070B0564" w:rsidR="00943ECF" w:rsidRDefault="00943ECF">
                              <w:pPr>
                                <w:pStyle w:val="NoSpacing"/>
                                <w:spacing w:before="40" w:after="40"/>
                                <w:rPr>
                                  <w:caps/>
                                  <w:color w:val="4472C4" w:themeColor="accent1"/>
                                  <w:sz w:val="28"/>
                                  <w:szCs w:val="28"/>
                                </w:rPr>
                              </w:pPr>
                              <w:r>
                                <w:rPr>
                                  <w:caps/>
                                  <w:color w:val="4472C4" w:themeColor="accent1"/>
                                  <w:sz w:val="28"/>
                                  <w:szCs w:val="28"/>
                                </w:rPr>
                                <w:t xml:space="preserve">Financial Management </w:t>
                              </w:r>
                              <w:r w:rsidR="00235420">
                                <w:rPr>
                                  <w:caps/>
                                  <w:color w:val="4472C4" w:themeColor="accent1"/>
                                  <w:sz w:val="28"/>
                                  <w:szCs w:val="28"/>
                                </w:rPr>
                                <w:t>–</w:t>
                              </w:r>
                              <w:r>
                                <w:rPr>
                                  <w:caps/>
                                  <w:color w:val="4472C4" w:themeColor="accent1"/>
                                  <w:sz w:val="28"/>
                                  <w:szCs w:val="28"/>
                                </w:rPr>
                                <w:t xml:space="preserve"> </w:t>
                              </w:r>
                              <w:r w:rsidR="00235420">
                                <w:rPr>
                                  <w:caps/>
                                  <w:color w:val="4472C4" w:themeColor="accent1"/>
                                  <w:sz w:val="28"/>
                                  <w:szCs w:val="28"/>
                                </w:rPr>
                                <w:t>LCMB7002</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6FFD114" w14:textId="668E7BFB" w:rsidR="00943ECF" w:rsidRDefault="00943ECF">
                              <w:pPr>
                                <w:pStyle w:val="NoSpacing"/>
                                <w:spacing w:before="40" w:after="40"/>
                                <w:rPr>
                                  <w:caps/>
                                  <w:color w:val="5B9BD5" w:themeColor="accent5"/>
                                  <w:sz w:val="24"/>
                                  <w:szCs w:val="24"/>
                                </w:rPr>
                              </w:pPr>
                              <w:r>
                                <w:rPr>
                                  <w:caps/>
                                  <w:color w:val="5B9BD5" w:themeColor="accent5"/>
                                  <w:sz w:val="24"/>
                                  <w:szCs w:val="24"/>
                                </w:rPr>
                                <w:t>Matthew Kelleher (1710425)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9302BFF" wp14:editId="68148750">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5353A0F3" w14:textId="794E8E98" w:rsidR="00943ECF" w:rsidRDefault="00943ECF">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9302BFF"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5353A0F3" w14:textId="794E8E98" w:rsidR="00943ECF" w:rsidRDefault="00943ECF">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614439974"/>
        <w:docPartObj>
          <w:docPartGallery w:val="Table of Contents"/>
          <w:docPartUnique/>
        </w:docPartObj>
      </w:sdtPr>
      <w:sdtEndPr>
        <w:rPr>
          <w:b/>
          <w:bCs/>
          <w:noProof/>
        </w:rPr>
      </w:sdtEndPr>
      <w:sdtContent>
        <w:p w14:paraId="15A19F5C" w14:textId="741D2EBC" w:rsidR="00B57F3E" w:rsidRDefault="00B57F3E">
          <w:pPr>
            <w:pStyle w:val="TOCHeading"/>
          </w:pPr>
          <w:r>
            <w:t>Contents</w:t>
          </w:r>
        </w:p>
        <w:p w14:paraId="75ACB169" w14:textId="6625A35D" w:rsidR="00E97CE7" w:rsidRDefault="0069665E">
          <w:pPr>
            <w:pStyle w:val="TOC1"/>
            <w:tabs>
              <w:tab w:val="left" w:pos="660"/>
              <w:tab w:val="right" w:leader="dot" w:pos="9016"/>
            </w:tabs>
            <w:rPr>
              <w:rFonts w:eastAsiaTheme="minorEastAsia"/>
              <w:noProof/>
              <w:lang w:eastAsia="en-GB"/>
            </w:rPr>
          </w:pPr>
          <w:hyperlink w:anchor="_Toc72677626" w:history="1">
            <w:r w:rsidR="00E97CE7" w:rsidRPr="009B0463">
              <w:rPr>
                <w:rStyle w:val="Hyperlink"/>
                <w:noProof/>
              </w:rPr>
              <w:t>1.0</w:t>
            </w:r>
            <w:r w:rsidR="00E97CE7">
              <w:rPr>
                <w:rFonts w:eastAsiaTheme="minorEastAsia"/>
                <w:noProof/>
                <w:lang w:eastAsia="en-GB"/>
              </w:rPr>
              <w:tab/>
            </w:r>
            <w:r w:rsidR="00E97CE7" w:rsidRPr="009B0463">
              <w:rPr>
                <w:rStyle w:val="Hyperlink"/>
                <w:noProof/>
              </w:rPr>
              <w:t>Introduction</w:t>
            </w:r>
            <w:r w:rsidR="00E97CE7">
              <w:rPr>
                <w:noProof/>
                <w:webHidden/>
              </w:rPr>
              <w:tab/>
            </w:r>
            <w:r w:rsidR="00E97CE7">
              <w:rPr>
                <w:noProof/>
                <w:webHidden/>
              </w:rPr>
              <w:fldChar w:fldCharType="begin"/>
            </w:r>
            <w:r w:rsidR="00E97CE7">
              <w:rPr>
                <w:noProof/>
                <w:webHidden/>
              </w:rPr>
              <w:instrText xml:space="preserve"> PAGEREF _Toc72677626 \h </w:instrText>
            </w:r>
            <w:r w:rsidR="00E97CE7">
              <w:rPr>
                <w:noProof/>
                <w:webHidden/>
              </w:rPr>
            </w:r>
            <w:r w:rsidR="00E97CE7">
              <w:rPr>
                <w:noProof/>
                <w:webHidden/>
              </w:rPr>
              <w:fldChar w:fldCharType="separate"/>
            </w:r>
            <w:r w:rsidR="00E97CE7">
              <w:rPr>
                <w:noProof/>
                <w:webHidden/>
              </w:rPr>
              <w:t>2</w:t>
            </w:r>
            <w:r w:rsidR="00E97CE7">
              <w:rPr>
                <w:noProof/>
                <w:webHidden/>
              </w:rPr>
              <w:fldChar w:fldCharType="end"/>
            </w:r>
          </w:hyperlink>
        </w:p>
        <w:p w14:paraId="7D1EF137" w14:textId="14E16EE4" w:rsidR="00E97CE7" w:rsidRDefault="0069665E">
          <w:pPr>
            <w:pStyle w:val="TOC1"/>
            <w:tabs>
              <w:tab w:val="right" w:leader="dot" w:pos="9016"/>
            </w:tabs>
            <w:rPr>
              <w:rFonts w:eastAsiaTheme="minorEastAsia"/>
              <w:noProof/>
              <w:lang w:eastAsia="en-GB"/>
            </w:rPr>
          </w:pPr>
          <w:hyperlink w:anchor="_Toc72677627" w:history="1">
            <w:r w:rsidR="00E97CE7" w:rsidRPr="009B0463">
              <w:rPr>
                <w:rStyle w:val="Hyperlink"/>
                <w:noProof/>
              </w:rPr>
              <w:t>2.0 Brief History of Tesco PLC</w:t>
            </w:r>
            <w:r w:rsidR="00E97CE7">
              <w:rPr>
                <w:noProof/>
                <w:webHidden/>
              </w:rPr>
              <w:tab/>
              <w:t>2</w:t>
            </w:r>
          </w:hyperlink>
        </w:p>
        <w:p w14:paraId="2718D6B9" w14:textId="14E33CF8" w:rsidR="00E97CE7" w:rsidRDefault="0069665E">
          <w:pPr>
            <w:pStyle w:val="TOC2"/>
            <w:tabs>
              <w:tab w:val="right" w:leader="dot" w:pos="9016"/>
            </w:tabs>
            <w:rPr>
              <w:rFonts w:eastAsiaTheme="minorEastAsia"/>
              <w:noProof/>
              <w:lang w:eastAsia="en-GB"/>
            </w:rPr>
          </w:pPr>
          <w:hyperlink w:anchor="_Toc72677628" w:history="1">
            <w:r w:rsidR="00E97CE7" w:rsidRPr="009B0463">
              <w:rPr>
                <w:rStyle w:val="Hyperlink"/>
                <w:noProof/>
              </w:rPr>
              <w:t>Tesco Business Model</w:t>
            </w:r>
            <w:r w:rsidR="00E97CE7">
              <w:rPr>
                <w:noProof/>
                <w:webHidden/>
              </w:rPr>
              <w:tab/>
              <w:t>2</w:t>
            </w:r>
          </w:hyperlink>
        </w:p>
        <w:p w14:paraId="7EF247E7" w14:textId="009CCE29" w:rsidR="00E97CE7" w:rsidRDefault="0069665E">
          <w:pPr>
            <w:pStyle w:val="TOC2"/>
            <w:tabs>
              <w:tab w:val="right" w:leader="dot" w:pos="9016"/>
            </w:tabs>
            <w:rPr>
              <w:rFonts w:eastAsiaTheme="minorEastAsia"/>
              <w:noProof/>
              <w:lang w:eastAsia="en-GB"/>
            </w:rPr>
          </w:pPr>
          <w:hyperlink w:anchor="_Toc72677629" w:history="1">
            <w:r w:rsidR="00E97CE7" w:rsidRPr="009B0463">
              <w:rPr>
                <w:rStyle w:val="Hyperlink"/>
                <w:noProof/>
              </w:rPr>
              <w:t>Tesco marketplace and competitors</w:t>
            </w:r>
            <w:r w:rsidR="00E97CE7">
              <w:rPr>
                <w:noProof/>
                <w:webHidden/>
              </w:rPr>
              <w:tab/>
              <w:t>3</w:t>
            </w:r>
          </w:hyperlink>
        </w:p>
        <w:p w14:paraId="2FBD5ACF" w14:textId="0074B646" w:rsidR="00E97CE7" w:rsidRDefault="0069665E">
          <w:pPr>
            <w:pStyle w:val="TOC2"/>
            <w:tabs>
              <w:tab w:val="right" w:leader="dot" w:pos="9016"/>
            </w:tabs>
            <w:rPr>
              <w:rFonts w:eastAsiaTheme="minorEastAsia"/>
              <w:noProof/>
              <w:lang w:eastAsia="en-GB"/>
            </w:rPr>
          </w:pPr>
          <w:hyperlink w:anchor="_Toc72677630" w:history="1">
            <w:r w:rsidR="00E97CE7" w:rsidRPr="009B0463">
              <w:rPr>
                <w:rStyle w:val="Hyperlink"/>
                <w:noProof/>
              </w:rPr>
              <w:t>Major events of Tesco over the past decade</w:t>
            </w:r>
            <w:r w:rsidR="00E97CE7">
              <w:rPr>
                <w:noProof/>
                <w:webHidden/>
              </w:rPr>
              <w:tab/>
              <w:t>3</w:t>
            </w:r>
          </w:hyperlink>
        </w:p>
        <w:p w14:paraId="0E5194A3" w14:textId="2715468C" w:rsidR="00E97CE7" w:rsidRDefault="0069665E">
          <w:pPr>
            <w:pStyle w:val="TOC1"/>
            <w:tabs>
              <w:tab w:val="left" w:pos="660"/>
              <w:tab w:val="right" w:leader="dot" w:pos="9016"/>
            </w:tabs>
            <w:rPr>
              <w:rFonts w:eastAsiaTheme="minorEastAsia"/>
              <w:noProof/>
              <w:lang w:eastAsia="en-GB"/>
            </w:rPr>
          </w:pPr>
          <w:hyperlink w:anchor="_Toc72677631" w:history="1">
            <w:r w:rsidR="00E97CE7" w:rsidRPr="009B0463">
              <w:rPr>
                <w:rStyle w:val="Hyperlink"/>
                <w:noProof/>
              </w:rPr>
              <w:t>2.0</w:t>
            </w:r>
            <w:r w:rsidR="00E97CE7">
              <w:rPr>
                <w:rFonts w:eastAsiaTheme="minorEastAsia"/>
                <w:noProof/>
                <w:lang w:eastAsia="en-GB"/>
              </w:rPr>
              <w:tab/>
            </w:r>
            <w:r w:rsidR="00E97CE7" w:rsidRPr="009B0463">
              <w:rPr>
                <w:rStyle w:val="Hyperlink"/>
                <w:noProof/>
              </w:rPr>
              <w:t>Financial Performance</w:t>
            </w:r>
            <w:r w:rsidR="00E97CE7">
              <w:rPr>
                <w:noProof/>
                <w:webHidden/>
              </w:rPr>
              <w:tab/>
              <w:t>3</w:t>
            </w:r>
          </w:hyperlink>
        </w:p>
        <w:p w14:paraId="6ABFF818" w14:textId="5C4C0579" w:rsidR="00E97CE7" w:rsidRDefault="0069665E">
          <w:pPr>
            <w:pStyle w:val="TOC1"/>
            <w:tabs>
              <w:tab w:val="right" w:leader="dot" w:pos="9016"/>
            </w:tabs>
            <w:rPr>
              <w:rFonts w:eastAsiaTheme="minorEastAsia"/>
              <w:noProof/>
              <w:lang w:eastAsia="en-GB"/>
            </w:rPr>
          </w:pPr>
          <w:hyperlink w:anchor="_Toc72677632" w:history="1">
            <w:r w:rsidR="00E97CE7" w:rsidRPr="009B0463">
              <w:rPr>
                <w:rStyle w:val="Hyperlink"/>
                <w:noProof/>
              </w:rPr>
              <w:t>3.1 Profitability Ratios</w:t>
            </w:r>
            <w:r w:rsidR="00E97CE7">
              <w:rPr>
                <w:noProof/>
                <w:webHidden/>
              </w:rPr>
              <w:tab/>
              <w:t>4</w:t>
            </w:r>
          </w:hyperlink>
        </w:p>
        <w:p w14:paraId="619DAA7A" w14:textId="307DC250" w:rsidR="00E97CE7" w:rsidRDefault="0069665E">
          <w:pPr>
            <w:pStyle w:val="TOC2"/>
            <w:tabs>
              <w:tab w:val="right" w:leader="dot" w:pos="9016"/>
            </w:tabs>
            <w:rPr>
              <w:rFonts w:eastAsiaTheme="minorEastAsia"/>
              <w:noProof/>
              <w:lang w:eastAsia="en-GB"/>
            </w:rPr>
          </w:pPr>
          <w:hyperlink w:anchor="_Toc72677633" w:history="1">
            <w:r w:rsidR="00E97CE7" w:rsidRPr="009B0463">
              <w:rPr>
                <w:rStyle w:val="Hyperlink"/>
                <w:noProof/>
              </w:rPr>
              <w:t>Gross Profit Margin</w:t>
            </w:r>
            <w:r w:rsidR="00E97CE7">
              <w:rPr>
                <w:noProof/>
                <w:webHidden/>
              </w:rPr>
              <w:tab/>
              <w:t>4</w:t>
            </w:r>
          </w:hyperlink>
        </w:p>
        <w:p w14:paraId="78A1EA86" w14:textId="4ED67CE5" w:rsidR="00E97CE7" w:rsidRDefault="0069665E">
          <w:pPr>
            <w:pStyle w:val="TOC2"/>
            <w:tabs>
              <w:tab w:val="right" w:leader="dot" w:pos="9016"/>
            </w:tabs>
            <w:rPr>
              <w:rFonts w:eastAsiaTheme="minorEastAsia"/>
              <w:noProof/>
              <w:lang w:eastAsia="en-GB"/>
            </w:rPr>
          </w:pPr>
          <w:hyperlink w:anchor="_Toc72677634" w:history="1">
            <w:r w:rsidR="00E97CE7" w:rsidRPr="009B0463">
              <w:rPr>
                <w:rStyle w:val="Hyperlink"/>
                <w:noProof/>
              </w:rPr>
              <w:t>Net Profit Margin</w:t>
            </w:r>
            <w:r w:rsidR="00E97CE7">
              <w:rPr>
                <w:noProof/>
                <w:webHidden/>
              </w:rPr>
              <w:tab/>
              <w:t>6</w:t>
            </w:r>
          </w:hyperlink>
        </w:p>
        <w:p w14:paraId="76AF1F92" w14:textId="7D43D6ED" w:rsidR="00E97CE7" w:rsidRDefault="0069665E">
          <w:pPr>
            <w:pStyle w:val="TOC1"/>
            <w:tabs>
              <w:tab w:val="right" w:leader="dot" w:pos="9016"/>
            </w:tabs>
            <w:rPr>
              <w:rFonts w:eastAsiaTheme="minorEastAsia"/>
              <w:noProof/>
              <w:lang w:eastAsia="en-GB"/>
            </w:rPr>
          </w:pPr>
          <w:hyperlink w:anchor="_Toc72677635" w:history="1">
            <w:r w:rsidR="00E97CE7" w:rsidRPr="009B0463">
              <w:rPr>
                <w:rStyle w:val="Hyperlink"/>
                <w:rFonts w:asciiTheme="majorHAnsi" w:eastAsiaTheme="majorEastAsia" w:hAnsiTheme="majorHAnsi" w:cstheme="majorBidi"/>
                <w:noProof/>
              </w:rPr>
              <w:t>3.2 Liquidity Ratios</w:t>
            </w:r>
            <w:r w:rsidR="00E97CE7">
              <w:rPr>
                <w:noProof/>
                <w:webHidden/>
              </w:rPr>
              <w:tab/>
              <w:t>7</w:t>
            </w:r>
          </w:hyperlink>
        </w:p>
        <w:p w14:paraId="375B1ED9" w14:textId="76E4329C" w:rsidR="00E97CE7" w:rsidRDefault="0069665E">
          <w:pPr>
            <w:pStyle w:val="TOC2"/>
            <w:tabs>
              <w:tab w:val="right" w:leader="dot" w:pos="9016"/>
            </w:tabs>
            <w:rPr>
              <w:rFonts w:eastAsiaTheme="minorEastAsia"/>
              <w:noProof/>
              <w:lang w:eastAsia="en-GB"/>
            </w:rPr>
          </w:pPr>
          <w:hyperlink w:anchor="_Toc72677636" w:history="1">
            <w:r w:rsidR="00E97CE7" w:rsidRPr="009B0463">
              <w:rPr>
                <w:rStyle w:val="Hyperlink"/>
                <w:noProof/>
              </w:rPr>
              <w:t>Current Ratio</w:t>
            </w:r>
            <w:r w:rsidR="00E97CE7">
              <w:rPr>
                <w:noProof/>
                <w:webHidden/>
              </w:rPr>
              <w:tab/>
              <w:t>8</w:t>
            </w:r>
          </w:hyperlink>
        </w:p>
        <w:p w14:paraId="3DBB3995" w14:textId="6A333388" w:rsidR="00E97CE7" w:rsidRDefault="0069665E">
          <w:pPr>
            <w:pStyle w:val="TOC2"/>
            <w:tabs>
              <w:tab w:val="right" w:leader="dot" w:pos="9016"/>
            </w:tabs>
            <w:rPr>
              <w:rFonts w:eastAsiaTheme="minorEastAsia"/>
              <w:noProof/>
              <w:lang w:eastAsia="en-GB"/>
            </w:rPr>
          </w:pPr>
          <w:hyperlink w:anchor="_Toc72677637" w:history="1">
            <w:r w:rsidR="00E97CE7" w:rsidRPr="009B0463">
              <w:rPr>
                <w:rStyle w:val="Hyperlink"/>
                <w:noProof/>
              </w:rPr>
              <w:t>Quick Ratio</w:t>
            </w:r>
            <w:r w:rsidR="00E97CE7">
              <w:rPr>
                <w:noProof/>
                <w:webHidden/>
              </w:rPr>
              <w:tab/>
              <w:t>9</w:t>
            </w:r>
          </w:hyperlink>
        </w:p>
        <w:p w14:paraId="529CDF4C" w14:textId="471F2A6B" w:rsidR="00E97CE7" w:rsidRDefault="0069665E">
          <w:pPr>
            <w:pStyle w:val="TOC1"/>
            <w:tabs>
              <w:tab w:val="right" w:leader="dot" w:pos="9016"/>
            </w:tabs>
            <w:rPr>
              <w:rFonts w:eastAsiaTheme="minorEastAsia"/>
              <w:noProof/>
              <w:lang w:eastAsia="en-GB"/>
            </w:rPr>
          </w:pPr>
          <w:hyperlink w:anchor="_Toc72677638" w:history="1">
            <w:r w:rsidR="00E97CE7" w:rsidRPr="009B0463">
              <w:rPr>
                <w:rStyle w:val="Hyperlink"/>
                <w:rFonts w:asciiTheme="majorHAnsi" w:eastAsiaTheme="majorEastAsia" w:hAnsiTheme="majorHAnsi" w:cstheme="majorBidi"/>
                <w:noProof/>
              </w:rPr>
              <w:t>3.3 Leverage Ratios</w:t>
            </w:r>
            <w:r w:rsidR="00E97CE7">
              <w:rPr>
                <w:noProof/>
                <w:webHidden/>
              </w:rPr>
              <w:tab/>
              <w:t>11</w:t>
            </w:r>
          </w:hyperlink>
        </w:p>
        <w:p w14:paraId="672F3C1A" w14:textId="08EED02D" w:rsidR="00E97CE7" w:rsidRDefault="0069665E">
          <w:pPr>
            <w:pStyle w:val="TOC2"/>
            <w:tabs>
              <w:tab w:val="right" w:leader="dot" w:pos="9016"/>
            </w:tabs>
            <w:rPr>
              <w:rFonts w:eastAsiaTheme="minorEastAsia"/>
              <w:noProof/>
              <w:lang w:eastAsia="en-GB"/>
            </w:rPr>
          </w:pPr>
          <w:hyperlink w:anchor="_Toc72677639" w:history="1">
            <w:r w:rsidR="00E97CE7" w:rsidRPr="009B0463">
              <w:rPr>
                <w:rStyle w:val="Hyperlink"/>
                <w:noProof/>
              </w:rPr>
              <w:t>Debt-to-equity ratio</w:t>
            </w:r>
            <w:r w:rsidR="00E97CE7">
              <w:rPr>
                <w:noProof/>
                <w:webHidden/>
              </w:rPr>
              <w:tab/>
              <w:t>11</w:t>
            </w:r>
          </w:hyperlink>
        </w:p>
        <w:p w14:paraId="1A2194F4" w14:textId="394E3F4B" w:rsidR="00E97CE7" w:rsidRDefault="0069665E">
          <w:pPr>
            <w:pStyle w:val="TOC2"/>
            <w:tabs>
              <w:tab w:val="right" w:leader="dot" w:pos="9016"/>
            </w:tabs>
            <w:rPr>
              <w:rFonts w:eastAsiaTheme="minorEastAsia"/>
              <w:noProof/>
              <w:lang w:eastAsia="en-GB"/>
            </w:rPr>
          </w:pPr>
          <w:hyperlink w:anchor="_Toc72677640" w:history="1">
            <w:r w:rsidR="00E97CE7" w:rsidRPr="009B0463">
              <w:rPr>
                <w:rStyle w:val="Hyperlink"/>
                <w:noProof/>
              </w:rPr>
              <w:t>Debt-to-assets ratio</w:t>
            </w:r>
            <w:r w:rsidR="00E97CE7">
              <w:rPr>
                <w:noProof/>
                <w:webHidden/>
              </w:rPr>
              <w:tab/>
              <w:t>12</w:t>
            </w:r>
          </w:hyperlink>
        </w:p>
        <w:p w14:paraId="155C1083" w14:textId="6E2D0505" w:rsidR="00E97CE7" w:rsidRDefault="0069665E">
          <w:pPr>
            <w:pStyle w:val="TOC1"/>
            <w:tabs>
              <w:tab w:val="right" w:leader="dot" w:pos="9016"/>
            </w:tabs>
            <w:rPr>
              <w:rFonts w:eastAsiaTheme="minorEastAsia"/>
              <w:noProof/>
              <w:lang w:eastAsia="en-GB"/>
            </w:rPr>
          </w:pPr>
          <w:hyperlink w:anchor="_Toc72677641" w:history="1">
            <w:r w:rsidR="00E97CE7" w:rsidRPr="009B0463">
              <w:rPr>
                <w:rStyle w:val="Hyperlink"/>
                <w:rFonts w:asciiTheme="majorHAnsi" w:eastAsiaTheme="majorEastAsia" w:hAnsiTheme="majorHAnsi" w:cstheme="majorBidi"/>
                <w:noProof/>
              </w:rPr>
              <w:t>3.4 Efficiency ratios</w:t>
            </w:r>
            <w:r w:rsidR="00E97CE7">
              <w:rPr>
                <w:noProof/>
                <w:webHidden/>
              </w:rPr>
              <w:tab/>
              <w:t>13</w:t>
            </w:r>
          </w:hyperlink>
        </w:p>
        <w:p w14:paraId="07F22A17" w14:textId="7AF0475C" w:rsidR="00E97CE7" w:rsidRDefault="0069665E">
          <w:pPr>
            <w:pStyle w:val="TOC1"/>
            <w:tabs>
              <w:tab w:val="right" w:leader="dot" w:pos="9016"/>
            </w:tabs>
            <w:rPr>
              <w:rFonts w:eastAsiaTheme="minorEastAsia"/>
              <w:noProof/>
              <w:lang w:eastAsia="en-GB"/>
            </w:rPr>
          </w:pPr>
          <w:hyperlink w:anchor="_Toc72677642" w:history="1">
            <w:r w:rsidR="00E97CE7" w:rsidRPr="009B0463">
              <w:rPr>
                <w:rStyle w:val="Hyperlink"/>
                <w:rFonts w:asciiTheme="majorHAnsi" w:eastAsiaTheme="majorEastAsia" w:hAnsiTheme="majorHAnsi" w:cstheme="majorBidi"/>
                <w:noProof/>
              </w:rPr>
              <w:t>Total Asset Turnover</w:t>
            </w:r>
            <w:r w:rsidR="00E97CE7">
              <w:rPr>
                <w:noProof/>
                <w:webHidden/>
              </w:rPr>
              <w:tab/>
              <w:t>14</w:t>
            </w:r>
          </w:hyperlink>
        </w:p>
        <w:p w14:paraId="7045662E" w14:textId="7575E311" w:rsidR="00E97CE7" w:rsidRDefault="0069665E">
          <w:pPr>
            <w:pStyle w:val="TOC2"/>
            <w:tabs>
              <w:tab w:val="right" w:leader="dot" w:pos="9016"/>
            </w:tabs>
            <w:rPr>
              <w:rFonts w:eastAsiaTheme="minorEastAsia"/>
              <w:noProof/>
              <w:lang w:eastAsia="en-GB"/>
            </w:rPr>
          </w:pPr>
          <w:hyperlink w:anchor="_Toc72677643" w:history="1">
            <w:r w:rsidR="00E97CE7" w:rsidRPr="009B0463">
              <w:rPr>
                <w:rStyle w:val="Hyperlink"/>
                <w:noProof/>
              </w:rPr>
              <w:t>Fixed Asset Turnover</w:t>
            </w:r>
            <w:r w:rsidR="00E97CE7">
              <w:rPr>
                <w:noProof/>
                <w:webHidden/>
              </w:rPr>
              <w:tab/>
              <w:t>15</w:t>
            </w:r>
          </w:hyperlink>
        </w:p>
        <w:p w14:paraId="316DEAE6" w14:textId="1ED832AF" w:rsidR="00E97CE7" w:rsidRDefault="0069665E">
          <w:pPr>
            <w:pStyle w:val="TOC1"/>
            <w:tabs>
              <w:tab w:val="right" w:leader="dot" w:pos="9016"/>
            </w:tabs>
            <w:rPr>
              <w:rFonts w:eastAsiaTheme="minorEastAsia"/>
              <w:noProof/>
              <w:lang w:eastAsia="en-GB"/>
            </w:rPr>
          </w:pPr>
          <w:hyperlink w:anchor="_Toc72677644" w:history="1">
            <w:r w:rsidR="00E97CE7" w:rsidRPr="009B0463">
              <w:rPr>
                <w:rStyle w:val="Hyperlink"/>
                <w:rFonts w:asciiTheme="majorHAnsi" w:eastAsiaTheme="majorEastAsia" w:hAnsiTheme="majorHAnsi" w:cstheme="majorBidi"/>
                <w:noProof/>
                <w:lang w:eastAsia="en-GB"/>
              </w:rPr>
              <w:t>4.0 Investment Appraisal</w:t>
            </w:r>
            <w:r w:rsidR="00E97CE7">
              <w:rPr>
                <w:noProof/>
                <w:webHidden/>
              </w:rPr>
              <w:tab/>
              <w:t>15</w:t>
            </w:r>
          </w:hyperlink>
        </w:p>
        <w:p w14:paraId="60D93A84" w14:textId="51229D1C" w:rsidR="00E97CE7" w:rsidRDefault="0069665E">
          <w:pPr>
            <w:pStyle w:val="TOC1"/>
            <w:tabs>
              <w:tab w:val="right" w:leader="dot" w:pos="9016"/>
            </w:tabs>
            <w:rPr>
              <w:rFonts w:eastAsiaTheme="minorEastAsia"/>
              <w:noProof/>
              <w:lang w:eastAsia="en-GB"/>
            </w:rPr>
          </w:pPr>
          <w:hyperlink w:anchor="_Toc72677645" w:history="1">
            <w:r w:rsidR="00E97CE7" w:rsidRPr="009B0463">
              <w:rPr>
                <w:rStyle w:val="Hyperlink"/>
                <w:rFonts w:asciiTheme="majorHAnsi" w:eastAsiaTheme="majorEastAsia" w:hAnsiTheme="majorHAnsi" w:cstheme="majorBidi"/>
                <w:noProof/>
                <w:lang w:eastAsia="en-GB"/>
              </w:rPr>
              <w:t>4.1 Traditional Methods of Investment Appraisal</w:t>
            </w:r>
            <w:r w:rsidR="00E97CE7">
              <w:rPr>
                <w:noProof/>
                <w:webHidden/>
              </w:rPr>
              <w:tab/>
              <w:t>16</w:t>
            </w:r>
          </w:hyperlink>
        </w:p>
        <w:p w14:paraId="08A6C64E" w14:textId="7D090D1A" w:rsidR="00E97CE7" w:rsidRDefault="0069665E">
          <w:pPr>
            <w:pStyle w:val="TOC2"/>
            <w:tabs>
              <w:tab w:val="right" w:leader="dot" w:pos="9016"/>
            </w:tabs>
            <w:rPr>
              <w:rFonts w:eastAsiaTheme="minorEastAsia"/>
              <w:noProof/>
              <w:lang w:eastAsia="en-GB"/>
            </w:rPr>
          </w:pPr>
          <w:hyperlink w:anchor="_Toc72677646" w:history="1">
            <w:r w:rsidR="00E97CE7" w:rsidRPr="009B0463">
              <w:rPr>
                <w:rStyle w:val="Hyperlink"/>
                <w:rFonts w:asciiTheme="majorHAnsi" w:eastAsiaTheme="majorEastAsia" w:hAnsiTheme="majorHAnsi" w:cstheme="majorBidi"/>
                <w:noProof/>
                <w:lang w:eastAsia="en-GB"/>
              </w:rPr>
              <w:t>Payback Period</w:t>
            </w:r>
            <w:r w:rsidR="00E97CE7">
              <w:rPr>
                <w:noProof/>
                <w:webHidden/>
              </w:rPr>
              <w:tab/>
              <w:t>16</w:t>
            </w:r>
          </w:hyperlink>
        </w:p>
        <w:p w14:paraId="0112447B" w14:textId="2D09153B" w:rsidR="00E97CE7" w:rsidRDefault="0069665E">
          <w:pPr>
            <w:pStyle w:val="TOC2"/>
            <w:tabs>
              <w:tab w:val="right" w:leader="dot" w:pos="9016"/>
            </w:tabs>
            <w:rPr>
              <w:rFonts w:eastAsiaTheme="minorEastAsia"/>
              <w:noProof/>
              <w:lang w:eastAsia="en-GB"/>
            </w:rPr>
          </w:pPr>
          <w:hyperlink w:anchor="_Toc72677647" w:history="1">
            <w:r w:rsidR="00E97CE7" w:rsidRPr="009B0463">
              <w:rPr>
                <w:rStyle w:val="Hyperlink"/>
                <w:rFonts w:asciiTheme="majorHAnsi" w:eastAsiaTheme="majorEastAsia" w:hAnsiTheme="majorHAnsi" w:cstheme="majorBidi"/>
                <w:noProof/>
                <w:lang w:eastAsia="en-GB"/>
              </w:rPr>
              <w:t>Accounting Rate of Return</w:t>
            </w:r>
            <w:r w:rsidR="00E97CE7">
              <w:rPr>
                <w:noProof/>
                <w:webHidden/>
              </w:rPr>
              <w:tab/>
              <w:t>16</w:t>
            </w:r>
          </w:hyperlink>
        </w:p>
        <w:p w14:paraId="34D9C141" w14:textId="18AF8CC7" w:rsidR="00E97CE7" w:rsidRDefault="0069665E">
          <w:pPr>
            <w:pStyle w:val="TOC2"/>
            <w:tabs>
              <w:tab w:val="right" w:leader="dot" w:pos="9016"/>
            </w:tabs>
            <w:rPr>
              <w:rFonts w:eastAsiaTheme="minorEastAsia"/>
              <w:noProof/>
              <w:lang w:eastAsia="en-GB"/>
            </w:rPr>
          </w:pPr>
          <w:hyperlink w:anchor="_Toc72677648" w:history="1">
            <w:r w:rsidR="00E97CE7" w:rsidRPr="009B0463">
              <w:rPr>
                <w:rStyle w:val="Hyperlink"/>
                <w:rFonts w:asciiTheme="majorHAnsi" w:eastAsiaTheme="majorEastAsia" w:hAnsiTheme="majorHAnsi" w:cstheme="majorBidi"/>
                <w:noProof/>
                <w:lang w:eastAsia="en-GB"/>
              </w:rPr>
              <w:t>Net Present Value</w:t>
            </w:r>
            <w:r w:rsidR="00E97CE7">
              <w:rPr>
                <w:noProof/>
                <w:webHidden/>
              </w:rPr>
              <w:tab/>
              <w:t>16</w:t>
            </w:r>
          </w:hyperlink>
        </w:p>
        <w:p w14:paraId="20D7B8A7" w14:textId="772346DD" w:rsidR="00E97CE7" w:rsidRDefault="0069665E">
          <w:pPr>
            <w:pStyle w:val="TOC1"/>
            <w:tabs>
              <w:tab w:val="right" w:leader="dot" w:pos="9016"/>
            </w:tabs>
            <w:rPr>
              <w:rFonts w:eastAsiaTheme="minorEastAsia"/>
              <w:noProof/>
              <w:lang w:eastAsia="en-GB"/>
            </w:rPr>
          </w:pPr>
          <w:hyperlink w:anchor="_Toc72677649" w:history="1">
            <w:r w:rsidR="00E97CE7" w:rsidRPr="009B0463">
              <w:rPr>
                <w:rStyle w:val="Hyperlink"/>
                <w:rFonts w:asciiTheme="majorHAnsi" w:eastAsiaTheme="majorEastAsia" w:hAnsiTheme="majorHAnsi" w:cstheme="majorBidi"/>
                <w:noProof/>
                <w:lang w:eastAsia="en-GB"/>
              </w:rPr>
              <w:t>4.2 Project investment appraisal for Tesco</w:t>
            </w:r>
            <w:r w:rsidR="00E97CE7">
              <w:rPr>
                <w:noProof/>
                <w:webHidden/>
              </w:rPr>
              <w:tab/>
              <w:t>16</w:t>
            </w:r>
          </w:hyperlink>
        </w:p>
        <w:p w14:paraId="0ED39C13" w14:textId="31EDEFA7" w:rsidR="00E97CE7" w:rsidRDefault="0069665E">
          <w:pPr>
            <w:pStyle w:val="TOC1"/>
            <w:tabs>
              <w:tab w:val="right" w:leader="dot" w:pos="9016"/>
            </w:tabs>
            <w:rPr>
              <w:rFonts w:eastAsiaTheme="minorEastAsia"/>
              <w:noProof/>
              <w:lang w:eastAsia="en-GB"/>
            </w:rPr>
          </w:pPr>
          <w:hyperlink w:anchor="_Toc72677650" w:history="1">
            <w:r w:rsidR="00E97CE7" w:rsidRPr="009B0463">
              <w:rPr>
                <w:rStyle w:val="Hyperlink"/>
                <w:rFonts w:asciiTheme="majorHAnsi" w:eastAsiaTheme="majorEastAsia" w:hAnsiTheme="majorHAnsi" w:cstheme="majorBidi"/>
                <w:noProof/>
                <w:lang w:eastAsia="en-GB"/>
              </w:rPr>
              <w:t>4.3 Investment A Results – Digital Price tags</w:t>
            </w:r>
            <w:r w:rsidR="00E97CE7">
              <w:rPr>
                <w:noProof/>
                <w:webHidden/>
              </w:rPr>
              <w:tab/>
              <w:t>17</w:t>
            </w:r>
          </w:hyperlink>
        </w:p>
        <w:p w14:paraId="671745FA" w14:textId="22012060" w:rsidR="00E97CE7" w:rsidRDefault="0069665E">
          <w:pPr>
            <w:pStyle w:val="TOC1"/>
            <w:tabs>
              <w:tab w:val="right" w:leader="dot" w:pos="9016"/>
            </w:tabs>
            <w:rPr>
              <w:rFonts w:eastAsiaTheme="minorEastAsia"/>
              <w:noProof/>
              <w:lang w:eastAsia="en-GB"/>
            </w:rPr>
          </w:pPr>
          <w:hyperlink w:anchor="_Toc72677651" w:history="1">
            <w:r w:rsidR="00E97CE7" w:rsidRPr="009B0463">
              <w:rPr>
                <w:rStyle w:val="Hyperlink"/>
                <w:rFonts w:asciiTheme="majorHAnsi" w:eastAsiaTheme="majorEastAsia" w:hAnsiTheme="majorHAnsi" w:cstheme="majorBidi"/>
                <w:noProof/>
                <w:lang w:eastAsia="en-GB"/>
              </w:rPr>
              <w:t>Investment B Results – QR Coding on Tesco Brand Products</w:t>
            </w:r>
            <w:r w:rsidR="00E97CE7">
              <w:rPr>
                <w:noProof/>
                <w:webHidden/>
              </w:rPr>
              <w:tab/>
              <w:t>18</w:t>
            </w:r>
          </w:hyperlink>
        </w:p>
        <w:p w14:paraId="02E46B71" w14:textId="02889984" w:rsidR="00E97CE7" w:rsidRDefault="0069665E">
          <w:pPr>
            <w:pStyle w:val="TOC1"/>
            <w:tabs>
              <w:tab w:val="right" w:leader="dot" w:pos="9016"/>
            </w:tabs>
            <w:rPr>
              <w:rFonts w:eastAsiaTheme="minorEastAsia"/>
              <w:noProof/>
              <w:lang w:eastAsia="en-GB"/>
            </w:rPr>
          </w:pPr>
          <w:hyperlink w:anchor="_Toc72677652" w:history="1">
            <w:r w:rsidR="00E97CE7" w:rsidRPr="009B0463">
              <w:rPr>
                <w:rStyle w:val="Hyperlink"/>
                <w:rFonts w:asciiTheme="majorHAnsi" w:eastAsiaTheme="majorEastAsia" w:hAnsiTheme="majorHAnsi" w:cstheme="majorBidi"/>
                <w:noProof/>
                <w:lang w:eastAsia="en-GB"/>
              </w:rPr>
              <w:t>4.5 Discussion on Chosen Project</w:t>
            </w:r>
            <w:r w:rsidR="00E97CE7">
              <w:rPr>
                <w:noProof/>
                <w:webHidden/>
              </w:rPr>
              <w:tab/>
              <w:t>19</w:t>
            </w:r>
          </w:hyperlink>
        </w:p>
        <w:p w14:paraId="0FFA8128" w14:textId="5EBC6D55" w:rsidR="00E97CE7" w:rsidRDefault="0069665E">
          <w:pPr>
            <w:pStyle w:val="TOC1"/>
            <w:tabs>
              <w:tab w:val="right" w:leader="dot" w:pos="9016"/>
            </w:tabs>
            <w:rPr>
              <w:rFonts w:eastAsiaTheme="minorEastAsia"/>
              <w:noProof/>
              <w:lang w:eastAsia="en-GB"/>
            </w:rPr>
          </w:pPr>
          <w:hyperlink w:anchor="_Toc72677653" w:history="1">
            <w:r w:rsidR="00E97CE7" w:rsidRPr="009B0463">
              <w:rPr>
                <w:rStyle w:val="Hyperlink"/>
                <w:rFonts w:asciiTheme="majorHAnsi" w:eastAsiaTheme="majorEastAsia" w:hAnsiTheme="majorHAnsi" w:cstheme="majorBidi"/>
                <w:noProof/>
                <w:lang w:eastAsia="en-GB"/>
              </w:rPr>
              <w:t>4.6 Disadvantages and advantages of investment appraisal techniques</w:t>
            </w:r>
            <w:r w:rsidR="00E97CE7">
              <w:rPr>
                <w:noProof/>
                <w:webHidden/>
              </w:rPr>
              <w:tab/>
              <w:t>19</w:t>
            </w:r>
          </w:hyperlink>
        </w:p>
        <w:p w14:paraId="18398A5E" w14:textId="64044938" w:rsidR="00E97CE7" w:rsidRDefault="0069665E">
          <w:pPr>
            <w:pStyle w:val="TOC1"/>
            <w:tabs>
              <w:tab w:val="right" w:leader="dot" w:pos="9016"/>
            </w:tabs>
            <w:rPr>
              <w:rFonts w:eastAsiaTheme="minorEastAsia"/>
              <w:noProof/>
              <w:lang w:eastAsia="en-GB"/>
            </w:rPr>
          </w:pPr>
          <w:hyperlink w:anchor="_Toc72677654" w:history="1">
            <w:r w:rsidR="00E97CE7" w:rsidRPr="009B0463">
              <w:rPr>
                <w:rStyle w:val="Hyperlink"/>
                <w:rFonts w:asciiTheme="majorHAnsi" w:eastAsiaTheme="majorEastAsia" w:hAnsiTheme="majorHAnsi" w:cstheme="majorBidi"/>
                <w:noProof/>
                <w:lang w:eastAsia="en-GB"/>
              </w:rPr>
              <w:t>5.0 Conclusion</w:t>
            </w:r>
            <w:r w:rsidR="00E97CE7">
              <w:rPr>
                <w:noProof/>
                <w:webHidden/>
              </w:rPr>
              <w:tab/>
              <w:t>20</w:t>
            </w:r>
          </w:hyperlink>
        </w:p>
        <w:p w14:paraId="727DF06B" w14:textId="0217EAA3" w:rsidR="00E97CE7" w:rsidRDefault="0069665E">
          <w:pPr>
            <w:pStyle w:val="TOC1"/>
            <w:tabs>
              <w:tab w:val="right" w:leader="dot" w:pos="9016"/>
            </w:tabs>
            <w:rPr>
              <w:rFonts w:eastAsiaTheme="minorEastAsia"/>
              <w:noProof/>
              <w:lang w:eastAsia="en-GB"/>
            </w:rPr>
          </w:pPr>
          <w:hyperlink w:anchor="_Toc72677655" w:history="1">
            <w:r w:rsidR="00E97CE7" w:rsidRPr="009B0463">
              <w:rPr>
                <w:rStyle w:val="Hyperlink"/>
                <w:noProof/>
              </w:rPr>
              <w:t>References</w:t>
            </w:r>
            <w:r w:rsidR="00E97CE7">
              <w:rPr>
                <w:noProof/>
                <w:webHidden/>
              </w:rPr>
              <w:tab/>
              <w:t>21</w:t>
            </w:r>
          </w:hyperlink>
        </w:p>
        <w:p w14:paraId="073E692C" w14:textId="647D2285" w:rsidR="00B57F3E" w:rsidRDefault="0069665E">
          <w:pPr>
            <w:rPr>
              <w:b/>
              <w:bCs/>
              <w:noProof/>
            </w:rPr>
          </w:pPr>
        </w:p>
      </w:sdtContent>
    </w:sdt>
    <w:p w14:paraId="36F10A51" w14:textId="317C43B6" w:rsidR="00B57F3E" w:rsidRPr="00B57F3E" w:rsidRDefault="00B57F3E">
      <w:r>
        <w:br w:type="page"/>
      </w:r>
    </w:p>
    <w:p w14:paraId="45BB5376" w14:textId="164A2EC5" w:rsidR="00B57F3E" w:rsidRDefault="00823482" w:rsidP="00823482">
      <w:pPr>
        <w:pStyle w:val="Heading1"/>
        <w:numPr>
          <w:ilvl w:val="0"/>
          <w:numId w:val="1"/>
        </w:numPr>
      </w:pPr>
      <w:bookmarkStart w:id="0" w:name="_Toc72677626"/>
      <w:r>
        <w:t>Introduction</w:t>
      </w:r>
      <w:bookmarkEnd w:id="0"/>
    </w:p>
    <w:p w14:paraId="0644AAC9" w14:textId="34B2EDC4" w:rsidR="00823482" w:rsidRPr="00823482" w:rsidRDefault="00823482" w:rsidP="00B7142A">
      <w:pPr>
        <w:jc w:val="both"/>
      </w:pPr>
      <w:r>
        <w:t xml:space="preserve">In an era where the business environment and economy </w:t>
      </w:r>
      <w:r w:rsidR="00C61364">
        <w:t>are</w:t>
      </w:r>
      <w:r>
        <w:t xml:space="preserve"> changing due to external influences, organisations are expected to act appropriately and promptly towards market pressures which are high, to assure </w:t>
      </w:r>
      <w:r w:rsidR="00C61364">
        <w:t>customers’</w:t>
      </w:r>
      <w:r>
        <w:t xml:space="preserve"> needs are met due to changes in customers behaviours and the increasing competition within </w:t>
      </w:r>
      <w:r w:rsidR="0058323F">
        <w:t xml:space="preserve">markets which are growing (Illmeyer et al, 2017). In a situation like this, the most critical and basic aspect is to control the companies finance appropriately such as financial planning and managing liquidity (Kozubikova et al, 2017). Therefore, the organisations are more concerned with profits and turnover margins these days rather </w:t>
      </w:r>
      <w:r w:rsidR="00766299">
        <w:t xml:space="preserve">then keeping liquidity and financial goals as prime objectives (Kijucnikov et al, 2017). However, there are other aspects which are notable within the competitive market which is increasing and demands organisations to be understanding to gain maximum levels within the </w:t>
      </w:r>
      <w:r w:rsidR="00C61364">
        <w:t>companies’</w:t>
      </w:r>
      <w:r w:rsidR="00766299">
        <w:t xml:space="preserve"> respective industry to gain a competitive advantage (Illmeyer et al, 2017).</w:t>
      </w:r>
    </w:p>
    <w:p w14:paraId="1F3AEEA5" w14:textId="61745C52" w:rsidR="00B7142A" w:rsidRDefault="00766299" w:rsidP="00C61364">
      <w:pPr>
        <w:jc w:val="both"/>
      </w:pPr>
      <w:r>
        <w:t xml:space="preserve">The purpose of this report is to analyse Tesco performance revenue over the past five years alongside </w:t>
      </w:r>
      <w:r w:rsidR="00B7142A">
        <w:t xml:space="preserve">Tesco </w:t>
      </w:r>
      <w:r w:rsidR="00C61364">
        <w:t>competitor’s</w:t>
      </w:r>
      <w:r>
        <w:t xml:space="preserve"> financial ratios for the year 2020. Several financial performance techniques and methods will be used to analyse Tesco current financial position. The second section of this report </w:t>
      </w:r>
      <w:r w:rsidR="00B7142A">
        <w:t xml:space="preserve">analyses </w:t>
      </w:r>
      <w:r w:rsidR="00B7142A" w:rsidRPr="00C969C3">
        <w:rPr>
          <w:color w:val="000000" w:themeColor="text1"/>
        </w:rPr>
        <w:t>to</w:t>
      </w:r>
      <w:r w:rsidR="00B7142A">
        <w:t xml:space="preserve"> investments that have been proposed to Tesco regarding digital price tags and QR coding of Tesco brand products. The investments will be analysed through using several capital budgeting methods and techniques to select the appropriate project.</w:t>
      </w:r>
    </w:p>
    <w:p w14:paraId="47CFF910" w14:textId="20682AFB" w:rsidR="00C61364" w:rsidRDefault="00C61364" w:rsidP="00C61364">
      <w:pPr>
        <w:pStyle w:val="Heading1"/>
      </w:pPr>
      <w:bookmarkStart w:id="1" w:name="_Toc72677627"/>
      <w:r>
        <w:t>2.0 Brief History of Tesco PLC</w:t>
      </w:r>
      <w:bookmarkEnd w:id="1"/>
    </w:p>
    <w:p w14:paraId="1092C570" w14:textId="24AA9CF6" w:rsidR="00C61364" w:rsidRDefault="00C61364" w:rsidP="00C61364">
      <w:pPr>
        <w:jc w:val="both"/>
      </w:pPr>
      <w:r>
        <w:t xml:space="preserve">Tesco PLC is a multinational food retailer which was founded by a man named Jack Cohen in 1919 (Tesco PLC, 2021). Tesco PLC was originally a stall which sold groceries in East London and made a revenue of £4 with a £1 profit (Clark and Chan, 2014). The first build Tesco supermarket was in the early 1950’s while outlets increased over a five-year period by 500 outlets (Tesco PLC, 2021). Tesco share in the market rose to 27.4% up by 0.2% for the first time in four years with sales up 15% during February 2021 (Whiterow, 2021). Tesco have a workforce of 450,000 employees who operate over 6,800 stores worldwide (Tesco PLC, 2021b). UK and ROI revenue of Tesco amounted to the sum of £45.752M, showing a growth increase of 1.9% on the previous year revenue of £44,909M Tesco Annual Report and Financial Statement, 2020). Tesco recently appointed a new CEO in 2019, Ken Murphy. Tesco shares are currently 226.70p which is up 25p and 11% (Tesco PLC, 2021). </w:t>
      </w:r>
    </w:p>
    <w:p w14:paraId="69AD1F5E" w14:textId="77777777" w:rsidR="00C61364" w:rsidRDefault="00C61364" w:rsidP="00C61364">
      <w:pPr>
        <w:pStyle w:val="Heading2"/>
      </w:pPr>
      <w:bookmarkStart w:id="2" w:name="_Toc72677628"/>
      <w:r>
        <w:t>Tesco Business Model</w:t>
      </w:r>
      <w:bookmarkEnd w:id="2"/>
    </w:p>
    <w:p w14:paraId="31995681" w14:textId="7FB8D154" w:rsidR="00C61364" w:rsidRDefault="00C61364" w:rsidP="00C61364">
      <w:pPr>
        <w:jc w:val="both"/>
      </w:pPr>
      <w:r>
        <w:t>Tesco are successful due to customers being their main priority, everything Tesco do is for the customer. Tesco business model is developed through three operational headlines, listening, understanding, and connecting with customers to develop the most appropriate offer. Tesco work closely with UK suppliers and growers to produce superior products which helps in delivering customers with the best value. Tesco work across multiple channels to give customers the availability to products. For example, Tesco have miniature stores such as Tesco metro and Tesco express that can be found on high streets and petrol stations (Dimitrova et al, 2018). Tesco aim to ensure all in the company is set up to be most efficient when creating value for customers. Through focusing on the areas of the business model with the skills, reach, capabilities Tesco have within their company, Tesco are placed uniquely to deliver superior offers and by doing this have earned a loyal customer base. Therefore, through creating a sustainable value for customers, creates increased value for shareholders (Tesco Annual Report and Financial Statements, 2021).</w:t>
      </w:r>
    </w:p>
    <w:p w14:paraId="62986848" w14:textId="77777777" w:rsidR="00C61364" w:rsidRDefault="00C61364" w:rsidP="00C61364">
      <w:pPr>
        <w:jc w:val="center"/>
      </w:pPr>
      <w:r>
        <w:rPr>
          <w:noProof/>
        </w:rPr>
        <w:drawing>
          <wp:inline distT="0" distB="0" distL="0" distR="0" wp14:anchorId="1F0A069B" wp14:editId="5EAC19FC">
            <wp:extent cx="5552237" cy="3239576"/>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7271" cy="3242513"/>
                    </a:xfrm>
                    <a:prstGeom prst="rect">
                      <a:avLst/>
                    </a:prstGeom>
                    <a:noFill/>
                    <a:ln>
                      <a:noFill/>
                    </a:ln>
                  </pic:spPr>
                </pic:pic>
              </a:graphicData>
            </a:graphic>
          </wp:inline>
        </w:drawing>
      </w:r>
    </w:p>
    <w:p w14:paraId="0BE56EB2" w14:textId="77777777" w:rsidR="00C61364" w:rsidRPr="00C61364" w:rsidRDefault="00C61364" w:rsidP="00C61364">
      <w:pPr>
        <w:pStyle w:val="ListParagraph"/>
        <w:ind w:left="480" w:firstLine="240"/>
        <w:jc w:val="center"/>
        <w:rPr>
          <w:b/>
          <w:bCs/>
        </w:rPr>
      </w:pPr>
      <w:r w:rsidRPr="00C61364">
        <w:rPr>
          <w:b/>
          <w:bCs/>
        </w:rPr>
        <w:t>Tesco Business model (Zerodha, 2020)</w:t>
      </w:r>
    </w:p>
    <w:p w14:paraId="7BD462A6" w14:textId="77777777" w:rsidR="00C61364" w:rsidRDefault="00C61364" w:rsidP="00C61364">
      <w:pPr>
        <w:pStyle w:val="Heading2"/>
      </w:pPr>
      <w:bookmarkStart w:id="3" w:name="_Toc72677629"/>
      <w:r>
        <w:t>Tesco marketplace and competitors</w:t>
      </w:r>
      <w:bookmarkEnd w:id="3"/>
    </w:p>
    <w:p w14:paraId="1DD97F28" w14:textId="21A62331" w:rsidR="00C61364" w:rsidRPr="008B2942" w:rsidRDefault="00C61364" w:rsidP="00943ECF">
      <w:pPr>
        <w:jc w:val="both"/>
      </w:pPr>
      <w:r>
        <w:t>According to Coppola (2021), Tesco brand value in the Uk is worth £8.5b, Tesco own 25% of the grocery retail market and</w:t>
      </w:r>
      <w:r w:rsidR="00C969C3">
        <w:t xml:space="preserve"> </w:t>
      </w:r>
      <w:r w:rsidR="00C969C3" w:rsidRPr="00C969C3">
        <w:rPr>
          <w:color w:val="000000" w:themeColor="text1"/>
        </w:rPr>
        <w:t>are</w:t>
      </w:r>
      <w:r>
        <w:t xml:space="preserve"> classed as one of the big four. Tesco have many competitors within the Uk which include Morrison, Asda, Aldi, Sainsbury, Lidl and more (Downie, 2021).</w:t>
      </w:r>
    </w:p>
    <w:p w14:paraId="3BEFD6F5" w14:textId="77777777" w:rsidR="00C61364" w:rsidRDefault="00C61364" w:rsidP="00C61364">
      <w:pPr>
        <w:pStyle w:val="Heading2"/>
      </w:pPr>
      <w:bookmarkStart w:id="4" w:name="_Toc72677630"/>
      <w:r>
        <w:t>Major events of Tesco over the past decade</w:t>
      </w:r>
      <w:bookmarkEnd w:id="4"/>
    </w:p>
    <w:p w14:paraId="7B163C08" w14:textId="12330988" w:rsidR="00C61364" w:rsidRDefault="00C61364" w:rsidP="00943ECF">
      <w:pPr>
        <w:jc w:val="both"/>
      </w:pPr>
      <w:r>
        <w:t>However, over the years Tesco have</w:t>
      </w:r>
      <w:r w:rsidR="00C969C3">
        <w:t xml:space="preserve"> </w:t>
      </w:r>
      <w:r w:rsidR="00C969C3" w:rsidRPr="00C969C3">
        <w:rPr>
          <w:color w:val="000000" w:themeColor="text1"/>
        </w:rPr>
        <w:t>been</w:t>
      </w:r>
      <w:r>
        <w:t xml:space="preserve"> caught in several controversies which have impacted in negative reactions from customers due to Tesco not handling situations appropriately or professionally. In 2013, Tesco product</w:t>
      </w:r>
      <w:r w:rsidR="00C969C3">
        <w:t>s</w:t>
      </w:r>
      <w:r>
        <w:t xml:space="preserve"> were found to contain 29%s of horse meat. Which was not labelled. This caused customers to boycott the brand, and this had effect on shares and shareholders (Barnard and O’Connor, 2017). Tesco were also involved in an accounting scandal which cost the company £235m to settle investigations from the fraud office in 2017 and also had an impact on Tesco stock price (Corbet and McMullan, 2018). Tesco also acquired the acquisition of Booker for a fee off £3.7b and in 2018 which is set to improve the revenue of Tesco (Bentham, 2018).</w:t>
      </w:r>
    </w:p>
    <w:p w14:paraId="43E28A0F" w14:textId="74FA5B7F" w:rsidR="00C61364" w:rsidRDefault="00D41ECE" w:rsidP="00943ECF">
      <w:pPr>
        <w:pStyle w:val="Heading1"/>
        <w:numPr>
          <w:ilvl w:val="0"/>
          <w:numId w:val="1"/>
        </w:numPr>
      </w:pPr>
      <w:bookmarkStart w:id="5" w:name="_Toc72677631"/>
      <w:r>
        <w:t>Financial Performance</w:t>
      </w:r>
      <w:bookmarkEnd w:id="5"/>
      <w:r>
        <w:t xml:space="preserve"> </w:t>
      </w:r>
    </w:p>
    <w:p w14:paraId="22D823DC" w14:textId="5206C922" w:rsidR="00943ECF" w:rsidRPr="00943ECF" w:rsidRDefault="00943ECF" w:rsidP="00943ECF">
      <w:pPr>
        <w:jc w:val="both"/>
      </w:pPr>
      <w:r w:rsidRPr="00FA0B5C">
        <w:t>Performance is the sum of an organization's financial status, capabilities, and willingness to meet its long-term financial obligations and service commitments in the near future (). Financing is the execution of financial activities. Performance usually refers to the achievement or degree of achievement of financial goals. This is the process of measuring the performance of company policies and activities in currency. Performance is often viewed as the ability to achieve a company's financial goals. Performance and investor performance are two important performance indicators. Investor performance measured from the perspective of shareholders focuses on the company's response to different management policies (</w:t>
      </w:r>
      <w:r>
        <w:t>Ganyam and Ivungu, 2019</w:t>
      </w:r>
      <w:r w:rsidRPr="00FA0B5C">
        <w:t>).  According to a survey conducted by Farah</w:t>
      </w:r>
      <w:r>
        <w:t xml:space="preserve"> et al,</w:t>
      </w:r>
      <w:r w:rsidRPr="00FA0B5C">
        <w:t xml:space="preserve"> (2016), financial performance is an indicator of a company's financial status over a period of time. In other words, this is a financial practice that creates high sales, </w:t>
      </w:r>
      <w:r w:rsidR="00E97CE7" w:rsidRPr="00FA0B5C">
        <w:t>profits,</w:t>
      </w:r>
      <w:r w:rsidRPr="00FA0B5C">
        <w:t xml:space="preserve"> and business value for shareholders through long-term liquid asset management. Income and capital expenditure financing. Its main purpose is to provide financial information so that shareholders and stakeholders can make reasonable investment decisions. It can be used to evaluate similar companies in the same industry and compare entire industries</w:t>
      </w:r>
      <w:r>
        <w:t>.</w:t>
      </w:r>
    </w:p>
    <w:p w14:paraId="568AD7A6" w14:textId="0997ACBA" w:rsidR="00B7142A" w:rsidRDefault="00D41ECE" w:rsidP="00D41ECE">
      <w:pPr>
        <w:pStyle w:val="Heading1"/>
      </w:pPr>
      <w:bookmarkStart w:id="6" w:name="_Toc72677632"/>
      <w:r>
        <w:t>3.1 Profitability Ratios</w:t>
      </w:r>
      <w:bookmarkEnd w:id="6"/>
      <w:r>
        <w:t xml:space="preserve">  </w:t>
      </w:r>
    </w:p>
    <w:p w14:paraId="33271656" w14:textId="77777777" w:rsidR="00D41ECE" w:rsidRDefault="00D41ECE" w:rsidP="00D41ECE">
      <w:pPr>
        <w:jc w:val="both"/>
      </w:pPr>
      <w:r>
        <w:t>According to Robinson et al (2015), profitability ratios relate to the ability of the company to generate profits on the return of funds from investments. Therefore, profitability ratios can be implemented to review Tesco’s competitive situation relating to the quality of financial management, due to profitability ratios measures the ability and success of generating profits on returned funds. According to Aziz and Rahman (2017), there are several techniques that can be used by financial analyst to review a company’s ability to generate profits, these include Gross Profit Margin, Operating Profit Margin, Net Profit Margin, Return on Capital Investment and more. The techniques that will be implemented to review Tesco’s profitability ratio for a five-year period between 2016-2020 and to compare ratios alongside competitive rivals, will be Gross Profit Margin, Operating Profit Margin and Net Profit Margin.</w:t>
      </w:r>
    </w:p>
    <w:p w14:paraId="72177075" w14:textId="571FF9AB" w:rsidR="00B7142A" w:rsidRDefault="00D41ECE" w:rsidP="00B7142A">
      <w:r>
        <w:rPr>
          <w:noProof/>
        </w:rPr>
        <w:drawing>
          <wp:inline distT="0" distB="0" distL="0" distR="0" wp14:anchorId="00B9E719" wp14:editId="7E56AD46">
            <wp:extent cx="5731510" cy="2799715"/>
            <wp:effectExtent l="0" t="0" r="2540" b="635"/>
            <wp:docPr id="1" name="Chart 1">
              <a:extLst xmlns:a="http://schemas.openxmlformats.org/drawingml/2006/main">
                <a:ext uri="{FF2B5EF4-FFF2-40B4-BE49-F238E27FC236}">
                  <a16:creationId xmlns:a16="http://schemas.microsoft.com/office/drawing/2014/main" id="{F41053C5-079C-41B8-8B8A-CC26BD2BE6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ECEF3AC" w14:textId="2DB75F34" w:rsidR="00D41ECE" w:rsidRPr="00D41ECE" w:rsidRDefault="00D41ECE" w:rsidP="00D41ECE">
      <w:pPr>
        <w:jc w:val="center"/>
        <w:rPr>
          <w:b/>
          <w:bCs/>
        </w:rPr>
      </w:pPr>
      <w:r>
        <w:rPr>
          <w:b/>
          <w:bCs/>
        </w:rPr>
        <w:t>Tesco Profitability Ratios</w:t>
      </w:r>
    </w:p>
    <w:p w14:paraId="6BC1B020" w14:textId="7EE2D33E" w:rsidR="00D41ECE" w:rsidRPr="00D41ECE" w:rsidRDefault="00D41ECE" w:rsidP="00B57F3E">
      <w:pPr>
        <w:pStyle w:val="Heading2"/>
      </w:pPr>
      <w:bookmarkStart w:id="7" w:name="_Toc72677633"/>
      <w:r w:rsidRPr="00D41ECE">
        <w:t>Gross Profit Margin</w:t>
      </w:r>
      <w:bookmarkEnd w:id="7"/>
    </w:p>
    <w:p w14:paraId="008EB550" w14:textId="1F35C2C9" w:rsidR="00D41ECE" w:rsidRPr="00D41ECE" w:rsidRDefault="00D41ECE" w:rsidP="00D41ECE">
      <w:pPr>
        <w:jc w:val="both"/>
      </w:pPr>
      <w:r w:rsidRPr="00D41ECE">
        <w:t xml:space="preserve">According to Rinaldo and Endri (2020), Gross Profit Margin (GPM) is a technique which is used by financial </w:t>
      </w:r>
      <w:r w:rsidR="00C969C3" w:rsidRPr="00D41ECE">
        <w:t>analysist</w:t>
      </w:r>
      <w:r w:rsidR="00C969C3">
        <w:t>s</w:t>
      </w:r>
      <w:r w:rsidRPr="00D41ECE">
        <w:t xml:space="preserve"> to detect the efficiency of a company to yield while setting selling prices to generate a profit. Thus, is emphasised by Nariswari and Nugraha (2020) who claim, GPM measures the percentage that is remaining from sales after the company has paid for the cost of goods sold (COGS) and services. To calculate a company’s GPM, gross profit should be divided by revenue and times by 100.</w:t>
      </w:r>
    </w:p>
    <w:p w14:paraId="7DCE70EF" w14:textId="77777777" w:rsidR="00D41ECE" w:rsidRPr="00D41ECE" w:rsidRDefault="00D41ECE" w:rsidP="00D41ECE">
      <w:pPr>
        <w:jc w:val="both"/>
        <w:rPr>
          <w:rFonts w:eastAsiaTheme="minorEastAsia"/>
        </w:rPr>
      </w:pPr>
      <w:r w:rsidRPr="00D41ECE">
        <w:t xml:space="preserve"> </w:t>
      </w:r>
      <m:oMath>
        <m:r>
          <w:rPr>
            <w:rFonts w:ascii="Cambria Math" w:hAnsi="Cambria Math"/>
          </w:rPr>
          <m:t>Gross Profit Margin=</m:t>
        </m:r>
        <m:f>
          <m:fPr>
            <m:ctrlPr>
              <w:rPr>
                <w:rFonts w:ascii="Cambria Math" w:hAnsi="Cambria Math"/>
                <w:i/>
              </w:rPr>
            </m:ctrlPr>
          </m:fPr>
          <m:num>
            <m:r>
              <w:rPr>
                <w:rFonts w:ascii="Cambria Math" w:hAnsi="Cambria Math"/>
              </w:rPr>
              <m:t>Gross Profit</m:t>
            </m:r>
          </m:num>
          <m:den>
            <m:r>
              <w:rPr>
                <w:rFonts w:ascii="Cambria Math" w:hAnsi="Cambria Math"/>
              </w:rPr>
              <m:t>Revenue</m:t>
            </m:r>
          </m:den>
        </m:f>
        <m:r>
          <w:rPr>
            <w:rFonts w:ascii="Cambria Math" w:hAnsi="Cambria Math"/>
          </w:rPr>
          <m:t xml:space="preserve">x 100 </m:t>
        </m:r>
      </m:oMath>
    </w:p>
    <w:p w14:paraId="6FEAE50C" w14:textId="4D5FE923" w:rsidR="00B7142A" w:rsidRDefault="00D41ECE" w:rsidP="00D41ECE">
      <w:pPr>
        <w:jc w:val="center"/>
      </w:pPr>
      <w:r>
        <w:rPr>
          <w:noProof/>
        </w:rPr>
        <w:drawing>
          <wp:inline distT="0" distB="0" distL="0" distR="0" wp14:anchorId="130FC432" wp14:editId="6D362294">
            <wp:extent cx="5727802" cy="2743200"/>
            <wp:effectExtent l="0" t="0" r="6350" b="0"/>
            <wp:docPr id="4" name="Chart 4">
              <a:extLst xmlns:a="http://schemas.openxmlformats.org/drawingml/2006/main">
                <a:ext uri="{FF2B5EF4-FFF2-40B4-BE49-F238E27FC236}">
                  <a16:creationId xmlns:a16="http://schemas.microsoft.com/office/drawing/2014/main" id="{978883FB-6BAE-4477-929C-EE5DEEB4DB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7FCEA2" w14:textId="34795948" w:rsidR="00D41ECE" w:rsidRDefault="00D41ECE" w:rsidP="00D41ECE">
      <w:pPr>
        <w:jc w:val="center"/>
        <w:rPr>
          <w:b/>
          <w:bCs/>
        </w:rPr>
      </w:pPr>
      <w:r w:rsidRPr="00D41ECE">
        <w:rPr>
          <w:b/>
          <w:bCs/>
        </w:rPr>
        <w:t>Tesco Gross Profit</w:t>
      </w:r>
      <w:r>
        <w:rPr>
          <w:b/>
          <w:bCs/>
        </w:rPr>
        <w:t xml:space="preserve"> Margin</w:t>
      </w:r>
      <w:r w:rsidRPr="00D41ECE">
        <w:rPr>
          <w:b/>
          <w:bCs/>
        </w:rPr>
        <w:t xml:space="preserve"> 2016-2020</w:t>
      </w:r>
    </w:p>
    <w:p w14:paraId="73AE8F8A" w14:textId="77777777" w:rsidR="00D41ECE" w:rsidRPr="00D41ECE" w:rsidRDefault="00D41ECE" w:rsidP="00D41ECE">
      <w:pPr>
        <w:jc w:val="both"/>
      </w:pPr>
      <w:r w:rsidRPr="00D41ECE">
        <w:t>The graph above relates to Tesco GPM over a five-year period from 2016-2020. The results indicate that between 2016-2020 Tesco GPM did not fluctuate much and increased steadily from 5.2% in 2016 to 7.1% in 2020, this is a 1.9% increase. Tesco peak GPM was 7.3% in 2019 and declined to 7.1% in 2020, which was a decrease of 1%. According to Rinaldo and Endri (2020), GPM margins that are high indicate that the company is generating higher profits through revenue sales. The gross profit represents how much the company are making on every £ that is accumulated from revenue after COGS and services have been paid. In 2020, the graph shows that for every £1 that is generated, Tesco earned 7.3p in profits from the revenue sales. This shows that Tesco profit per the £ has increased from 2016 when Tesco GPM was 5.2p per £ to 7.2p per £ in 2020. This is due to Tesco sales revenue rising from £54.4b in 2016 to £64.8b which is an increase of £14.4B. However, between 2019 and 2020 Tesco GPM decreased by 25%.</w:t>
      </w:r>
    </w:p>
    <w:p w14:paraId="0AC592F4" w14:textId="28902258" w:rsidR="00D41ECE" w:rsidRPr="00D41ECE" w:rsidRDefault="00D41ECE" w:rsidP="00D41ECE">
      <w:r>
        <w:rPr>
          <w:noProof/>
        </w:rPr>
        <w:drawing>
          <wp:inline distT="0" distB="0" distL="0" distR="0" wp14:anchorId="79D1DCB2" wp14:editId="3CCE31FA">
            <wp:extent cx="5786323" cy="2743200"/>
            <wp:effectExtent l="0" t="0" r="5080" b="0"/>
            <wp:docPr id="10" name="Chart 10">
              <a:extLst xmlns:a="http://schemas.openxmlformats.org/drawingml/2006/main">
                <a:ext uri="{FF2B5EF4-FFF2-40B4-BE49-F238E27FC236}">
                  <a16:creationId xmlns:a16="http://schemas.microsoft.com/office/drawing/2014/main" id="{AC33F53B-E02E-4B4D-B0FC-4F7A1FC6A4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A34AD1" w14:textId="7AED6413" w:rsidR="00D41ECE" w:rsidRPr="00D41ECE" w:rsidRDefault="00D41ECE" w:rsidP="00D41ECE">
      <w:pPr>
        <w:jc w:val="both"/>
        <w:rPr>
          <w:rFonts w:eastAsiaTheme="minorEastAsia"/>
        </w:rPr>
      </w:pPr>
      <w:r w:rsidRPr="00D41ECE">
        <w:t xml:space="preserve">The graph above highlights Tesco GPM vs Morison and Sainsburys for the year 2020. Morrison had the lowest GPM at 3.6 % with Tesco generating the highest GPM of the three with 7.1%. However, Sainsburys are not far behind Tesco with a GPM of 7.1%. This indicates that Morrison are not </w:t>
      </w:r>
      <w:r w:rsidR="0069665E">
        <w:t xml:space="preserve">in </w:t>
      </w:r>
      <w:r w:rsidRPr="00D41ECE">
        <w:t>as good a situation as the top 2 when generating profits from revenues. During this period Tesco made a gross profit of £4.6b whereas Morrison generated £388m and Sainsbury generated £2B. These results are due to increased sales and decrease in COGS and services by Tesco. This indicates that relating to GPM Sainsbury are Tesco main rival</w:t>
      </w:r>
      <w:r w:rsidR="0069665E">
        <w:t>s</w:t>
      </w:r>
      <w:r w:rsidRPr="00D41ECE">
        <w:t>. Tesco will need to adapt new Strategies to improve GPM under new CEO Ken Murphy who was appointed in 2019. Sainsbury have also invested £15m into advertising and promotions, which can generate new customers and would increase sales.</w:t>
      </w:r>
    </w:p>
    <w:p w14:paraId="6900D53D" w14:textId="77777777" w:rsidR="00D41ECE" w:rsidRPr="00D41ECE" w:rsidRDefault="00D41ECE" w:rsidP="00D41ECE">
      <w:pPr>
        <w:keepNext/>
        <w:keepLines/>
        <w:spacing w:before="40" w:after="0"/>
        <w:jc w:val="both"/>
        <w:outlineLvl w:val="1"/>
        <w:rPr>
          <w:rFonts w:asciiTheme="majorHAnsi" w:eastAsiaTheme="majorEastAsia" w:hAnsiTheme="majorHAnsi" w:cstheme="majorBidi"/>
          <w:color w:val="2F5496" w:themeColor="accent1" w:themeShade="BF"/>
          <w:sz w:val="26"/>
          <w:szCs w:val="26"/>
        </w:rPr>
      </w:pPr>
    </w:p>
    <w:p w14:paraId="60016943" w14:textId="77777777" w:rsidR="00D41ECE" w:rsidRPr="00D41ECE" w:rsidRDefault="00D41ECE" w:rsidP="00B57F3E">
      <w:pPr>
        <w:pStyle w:val="Heading2"/>
      </w:pPr>
      <w:bookmarkStart w:id="8" w:name="_Toc72677634"/>
      <w:r w:rsidRPr="00D41ECE">
        <w:t>Net Profit Margin</w:t>
      </w:r>
      <w:bookmarkEnd w:id="8"/>
    </w:p>
    <w:p w14:paraId="313022F5" w14:textId="77777777" w:rsidR="00D41ECE" w:rsidRPr="00D41ECE" w:rsidRDefault="00D41ECE" w:rsidP="00D41ECE">
      <w:pPr>
        <w:jc w:val="both"/>
      </w:pPr>
      <w:r w:rsidRPr="00D41ECE">
        <w:t xml:space="preserve"> According to Rinaldo and Endri (2020), Net Profit Margin (NPM) or return on sales refers to the amount of profit that Tesco obtains. If the industries average is greater than Tesco’s profit margins this could be an indicator that prices are higher than competitors or due to Tesco’s Value from the competition. A NPM with a higher ratio would indicate higher profits for Tesco, which attracts the attention of investors to invest at Tesco. By generating increased profits, price of stocks will be impacted with an increase in share value for shareholders. Thus, emphasised by Sawangarreerak and Thanathamathee (2021) who claims that NPM reveals profitability of an entity in a percentage of sales. To calculate Tesco NPM, the following formula will be used.</w:t>
      </w:r>
    </w:p>
    <w:p w14:paraId="1EB9CEE6" w14:textId="77777777" w:rsidR="00D41ECE" w:rsidRPr="00D41ECE" w:rsidRDefault="00D41ECE" w:rsidP="00D41ECE">
      <w:pPr>
        <w:jc w:val="both"/>
      </w:pPr>
      <m:oMath>
        <m:r>
          <w:rPr>
            <w:rFonts w:ascii="Cambria Math" w:hAnsi="Cambria Math"/>
          </w:rPr>
          <m:t>Net Profit Margin=</m:t>
        </m:r>
        <m:f>
          <m:fPr>
            <m:ctrlPr>
              <w:rPr>
                <w:rFonts w:ascii="Cambria Math" w:hAnsi="Cambria Math"/>
                <w:i/>
              </w:rPr>
            </m:ctrlPr>
          </m:fPr>
          <m:num>
            <m:r>
              <w:rPr>
                <w:rFonts w:ascii="Cambria Math" w:hAnsi="Cambria Math"/>
              </w:rPr>
              <m:t>Net Profit</m:t>
            </m:r>
          </m:num>
          <m:den>
            <m:r>
              <w:rPr>
                <w:rFonts w:ascii="Cambria Math" w:hAnsi="Cambria Math"/>
              </w:rPr>
              <m:t>Total Revenue</m:t>
            </m:r>
          </m:den>
        </m:f>
        <m:r>
          <w:rPr>
            <w:rFonts w:ascii="Cambria Math" w:hAnsi="Cambria Math"/>
          </w:rPr>
          <m:t xml:space="preserve"> x 100</m:t>
        </m:r>
      </m:oMath>
      <w:r w:rsidRPr="00D41ECE">
        <w:t xml:space="preserve"> </w:t>
      </w:r>
    </w:p>
    <w:p w14:paraId="59430261" w14:textId="2EA2C4C7" w:rsidR="00D41ECE" w:rsidRDefault="00EE6BCA" w:rsidP="00D41ECE">
      <w:r>
        <w:rPr>
          <w:noProof/>
        </w:rPr>
        <w:drawing>
          <wp:inline distT="0" distB="0" distL="0" distR="0" wp14:anchorId="3563CE86" wp14:editId="632753CF">
            <wp:extent cx="5701665" cy="2743200"/>
            <wp:effectExtent l="0" t="0" r="0" b="0"/>
            <wp:docPr id="16" name="Chart 16">
              <a:extLst xmlns:a="http://schemas.openxmlformats.org/drawingml/2006/main">
                <a:ext uri="{FF2B5EF4-FFF2-40B4-BE49-F238E27FC236}">
                  <a16:creationId xmlns:a16="http://schemas.microsoft.com/office/drawing/2014/main" id="{5F3DBBCE-D4C0-4032-898E-DC862D7107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DFA58E" w14:textId="1DFDFEC4" w:rsidR="006D3153" w:rsidRPr="00D41ECE" w:rsidRDefault="006D3153" w:rsidP="006D3153">
      <w:pPr>
        <w:jc w:val="center"/>
        <w:rPr>
          <w:b/>
          <w:bCs/>
        </w:rPr>
      </w:pPr>
      <w:r w:rsidRPr="006D3153">
        <w:rPr>
          <w:b/>
          <w:bCs/>
        </w:rPr>
        <w:t>Tesco Net Profit Margin 2016-2020</w:t>
      </w:r>
    </w:p>
    <w:p w14:paraId="7ABF1F3F" w14:textId="6CC925D0" w:rsidR="00D41ECE" w:rsidRPr="00D41ECE" w:rsidRDefault="00D41ECE" w:rsidP="00D41ECE">
      <w:pPr>
        <w:jc w:val="both"/>
      </w:pPr>
      <w:r w:rsidRPr="00D41ECE">
        <w:t xml:space="preserve">The graph above shows that Tesco NPM has improved to 1.5% in 2020 from 0.2% in 2016. Tesco was involved in several controversial matters prior to 2016 </w:t>
      </w:r>
      <w:r w:rsidR="00E97CE7" w:rsidRPr="00D41ECE">
        <w:t>regarding</w:t>
      </w:r>
      <w:r w:rsidRPr="00D41ECE">
        <w:t xml:space="preserve"> the horse meat scandal and a scandal relating to accounting. Many customers boycotted the </w:t>
      </w:r>
      <w:r w:rsidR="00E97CE7" w:rsidRPr="00D41ECE">
        <w:t>stores,</w:t>
      </w:r>
      <w:r w:rsidRPr="00D41ECE">
        <w:t xml:space="preserve"> and this shows in the results. However, between 2017 and 2018 NPM increased from -0.1% to 2.1%, this in </w:t>
      </w:r>
      <w:r w:rsidR="00E97CE7" w:rsidRPr="00D41ECE">
        <w:t>an</w:t>
      </w:r>
      <w:r w:rsidRPr="00D41ECE">
        <w:t xml:space="preserve"> increase of 2.2%. Since 2018, NPM has slumped to 1.5% in 2020 which is a decrease of 0.7%. In terms of money, Tesco make 1.5p on every £ generated in 2018 compared to 2019. The rise could be due to the increase of sales during the pandemic where individuals were buying items as a measure of panic buying relating to lockdown regulations.</w:t>
      </w:r>
    </w:p>
    <w:p w14:paraId="111EB631" w14:textId="0CEF1192" w:rsidR="00D41ECE" w:rsidRPr="00D41ECE" w:rsidRDefault="00D41ECE" w:rsidP="00D41ECE">
      <w:r w:rsidRPr="00D41ECE">
        <w:t xml:space="preserve"> </w:t>
      </w:r>
      <w:r>
        <w:rPr>
          <w:noProof/>
        </w:rPr>
        <w:drawing>
          <wp:inline distT="0" distB="0" distL="0" distR="0" wp14:anchorId="0F8B4BC7" wp14:editId="001F1340">
            <wp:extent cx="5702249" cy="2743200"/>
            <wp:effectExtent l="0" t="0" r="0" b="0"/>
            <wp:docPr id="11" name="Chart 11">
              <a:extLst xmlns:a="http://schemas.openxmlformats.org/drawingml/2006/main">
                <a:ext uri="{FF2B5EF4-FFF2-40B4-BE49-F238E27FC236}">
                  <a16:creationId xmlns:a16="http://schemas.microsoft.com/office/drawing/2014/main" id="{E26C80C0-1ABE-4506-91ED-939003EC48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240247B" w14:textId="2D3A910F" w:rsidR="00D41ECE" w:rsidRPr="00D41ECE" w:rsidRDefault="006D3153" w:rsidP="006D3153">
      <w:pPr>
        <w:jc w:val="center"/>
        <w:rPr>
          <w:b/>
          <w:bCs/>
        </w:rPr>
      </w:pPr>
      <w:r w:rsidRPr="006D3153">
        <w:rPr>
          <w:b/>
          <w:bCs/>
        </w:rPr>
        <w:t>Comparison of Net Profit Margin between Tesco, Sainsbury</w:t>
      </w:r>
      <w:r>
        <w:rPr>
          <w:b/>
          <w:bCs/>
        </w:rPr>
        <w:t>,</w:t>
      </w:r>
      <w:r w:rsidRPr="006D3153">
        <w:rPr>
          <w:b/>
          <w:bCs/>
        </w:rPr>
        <w:t xml:space="preserve"> and Morrison 2020</w:t>
      </w:r>
    </w:p>
    <w:p w14:paraId="51C462BE" w14:textId="77777777" w:rsidR="00D41ECE" w:rsidRPr="00D41ECE" w:rsidRDefault="00D41ECE" w:rsidP="00D855C1">
      <w:pPr>
        <w:jc w:val="both"/>
      </w:pPr>
      <w:r w:rsidRPr="00D41ECE">
        <w:t>The graph above illustrates that Tesco NPM was 0.5% lower at 1.5% compared to Morrison who generated 2.0% NPM and 1.0% higher than Sainsbury who generated 0.5% NPM. This indicates that for every £ that is generated Tesco will earn 1.5p, Sainsbury will earn .5p and Sainsbury will earn 2p. Thus, shows that Morrison performed the best during 2020 when generating profits from net income.</w:t>
      </w:r>
    </w:p>
    <w:p w14:paraId="681E7502" w14:textId="7B74F3DF" w:rsidR="00D41ECE" w:rsidRPr="00D41ECE" w:rsidRDefault="00D41ECE" w:rsidP="00D41ECE">
      <w:pPr>
        <w:keepNext/>
        <w:keepLines/>
        <w:spacing w:before="240" w:after="0"/>
        <w:outlineLvl w:val="0"/>
        <w:rPr>
          <w:rFonts w:asciiTheme="majorHAnsi" w:eastAsiaTheme="majorEastAsia" w:hAnsiTheme="majorHAnsi" w:cstheme="majorBidi"/>
          <w:color w:val="2F5496" w:themeColor="accent1" w:themeShade="BF"/>
          <w:sz w:val="32"/>
          <w:szCs w:val="32"/>
        </w:rPr>
      </w:pPr>
      <w:bookmarkStart w:id="9" w:name="_Toc72677635"/>
      <w:r w:rsidRPr="00D41ECE">
        <w:rPr>
          <w:rFonts w:asciiTheme="majorHAnsi" w:eastAsiaTheme="majorEastAsia" w:hAnsiTheme="majorHAnsi" w:cstheme="majorBidi"/>
          <w:color w:val="2F5496" w:themeColor="accent1" w:themeShade="BF"/>
          <w:sz w:val="32"/>
          <w:szCs w:val="32"/>
        </w:rPr>
        <w:t>3.2 Liquidity Ratios</w:t>
      </w:r>
      <w:bookmarkEnd w:id="9"/>
      <w:r w:rsidRPr="00D41ECE">
        <w:rPr>
          <w:rFonts w:asciiTheme="majorHAnsi" w:eastAsiaTheme="majorEastAsia" w:hAnsiTheme="majorHAnsi" w:cstheme="majorBidi"/>
          <w:color w:val="2F5496" w:themeColor="accent1" w:themeShade="BF"/>
          <w:sz w:val="32"/>
          <w:szCs w:val="32"/>
        </w:rPr>
        <w:t xml:space="preserve"> </w:t>
      </w:r>
    </w:p>
    <w:p w14:paraId="737BBB0B" w14:textId="47343212" w:rsidR="00D41ECE" w:rsidRDefault="00D41ECE" w:rsidP="00D855C1">
      <w:pPr>
        <w:jc w:val="both"/>
      </w:pPr>
      <w:r w:rsidRPr="00D41ECE">
        <w:t xml:space="preserve">According to Chen and Lu (2017), Liquidity ratios measures the ability of the company to meet obligations which are current/short-term. liquidity ratio defines how quick a company converts assets into monetary to encounter debt. According to Rashid (2018), there are three techniques that can be applied to measure a </w:t>
      </w:r>
      <w:r w:rsidR="00E97CE7" w:rsidRPr="00D41ECE">
        <w:t>company’s</w:t>
      </w:r>
      <w:r w:rsidRPr="00D41ECE">
        <w:t xml:space="preserve"> liquidity which include Current Ratio, Quick Ratio and Acid Test Ratio. The two techniques that will be adapted will be adapted to conduct a financial performance review relating to Tesco and </w:t>
      </w:r>
      <w:r w:rsidR="00E97CE7" w:rsidRPr="00D41ECE">
        <w:t>rival’s</w:t>
      </w:r>
      <w:r w:rsidRPr="00D41ECE">
        <w:t xml:space="preserve"> ability to generate assets into cash to repay short-term obligations are Current Ratio and Quick Ratio.</w:t>
      </w:r>
    </w:p>
    <w:p w14:paraId="732B09F5" w14:textId="3F51DB33" w:rsidR="00D855C1" w:rsidRDefault="00D855C1" w:rsidP="00D855C1">
      <w:pPr>
        <w:jc w:val="center"/>
      </w:pPr>
      <w:r>
        <w:rPr>
          <w:noProof/>
        </w:rPr>
        <w:drawing>
          <wp:inline distT="0" distB="0" distL="0" distR="0" wp14:anchorId="1AAEF48B" wp14:editId="5976D839">
            <wp:extent cx="5786323" cy="2787015"/>
            <wp:effectExtent l="0" t="0" r="5080" b="0"/>
            <wp:docPr id="13" name="Chart 13">
              <a:extLst xmlns:a="http://schemas.openxmlformats.org/drawingml/2006/main">
                <a:ext uri="{FF2B5EF4-FFF2-40B4-BE49-F238E27FC236}">
                  <a16:creationId xmlns:a16="http://schemas.microsoft.com/office/drawing/2014/main" id="{B8DCC370-FAC2-4692-B876-9160A47CDE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52FADC" w14:textId="69CDAF3C" w:rsidR="00D855C1" w:rsidRPr="00D41ECE" w:rsidRDefault="00D855C1" w:rsidP="00D855C1">
      <w:pPr>
        <w:jc w:val="center"/>
        <w:rPr>
          <w:b/>
          <w:bCs/>
        </w:rPr>
      </w:pPr>
      <w:r w:rsidRPr="00D855C1">
        <w:rPr>
          <w:b/>
          <w:bCs/>
        </w:rPr>
        <w:t>Tesco Liquidity Ratios between 2016-2020</w:t>
      </w:r>
    </w:p>
    <w:p w14:paraId="78657AB2" w14:textId="77777777" w:rsidR="00D41ECE" w:rsidRPr="00D41ECE" w:rsidRDefault="00D41ECE" w:rsidP="00183992">
      <w:pPr>
        <w:pStyle w:val="Heading2"/>
      </w:pPr>
      <w:bookmarkStart w:id="10" w:name="_Toc72677636"/>
      <w:r w:rsidRPr="00D41ECE">
        <w:t>Current Ratio</w:t>
      </w:r>
      <w:bookmarkEnd w:id="10"/>
    </w:p>
    <w:p w14:paraId="682103E2" w14:textId="77777777" w:rsidR="00D41ECE" w:rsidRPr="00D41ECE" w:rsidRDefault="00D41ECE" w:rsidP="00D41ECE">
      <w:pPr>
        <w:jc w:val="both"/>
      </w:pPr>
      <w:r w:rsidRPr="00D41ECE">
        <w:t xml:space="preserve">According to Siringi (2021), Current Ratio (CR) is known also as the “working capital ratio”, thus ratio measures the company’s short-term solvency. This indicates that CR is the ability of the company to meet obligations in the short-term. It is claimed by Lalithchandra and Rajendhiran (2021), CR which are higher indicate that there is more money available per the pound of the current liability, thus means that companies have the ability to meet obligations which are current and ensures the safety of creditors funds in the short-term. When a current ratio increases the liquidity of the company improves, whereas if the current ratio decreases it is a sign of deterioration within liquidity of the company’s position. According to Siringi (2021), a 2:1 current ratio is considered satisfactory, there is no fast and hard rule.  According to Sawangarreerak and Thanathamathee (2021), to discover the current ratio between the companies current-assets and current liabilities to measure the company’s ability to pay obligations which are short the term, the following formula can be implemented. </w:t>
      </w:r>
      <m:oMath>
        <m:r>
          <w:rPr>
            <w:rFonts w:ascii="Cambria Math" w:hAnsi="Cambria Math"/>
          </w:rPr>
          <m:t>Current Ratio=</m:t>
        </m:r>
        <m:f>
          <m:fPr>
            <m:ctrlPr>
              <w:rPr>
                <w:rFonts w:ascii="Cambria Math" w:hAnsi="Cambria Math"/>
                <w:i/>
              </w:rPr>
            </m:ctrlPr>
          </m:fPr>
          <m:num>
            <m:r>
              <w:rPr>
                <w:rFonts w:ascii="Cambria Math" w:hAnsi="Cambria Math"/>
              </w:rPr>
              <m:t>Current Assets</m:t>
            </m:r>
          </m:num>
          <m:den>
            <m:r>
              <w:rPr>
                <w:rFonts w:ascii="Cambria Math" w:hAnsi="Cambria Math"/>
              </w:rPr>
              <m:t>Current Liabilities</m:t>
            </m:r>
          </m:den>
        </m:f>
      </m:oMath>
    </w:p>
    <w:p w14:paraId="559EF3CE" w14:textId="26AC6B0C" w:rsidR="00D41ECE" w:rsidRDefault="00D855C1" w:rsidP="00D41ECE">
      <w:r>
        <w:rPr>
          <w:noProof/>
        </w:rPr>
        <w:drawing>
          <wp:inline distT="0" distB="0" distL="0" distR="0" wp14:anchorId="5A2DE89B" wp14:editId="63A8B56D">
            <wp:extent cx="5917997" cy="2772461"/>
            <wp:effectExtent l="0" t="0" r="6985" b="8890"/>
            <wp:docPr id="14" name="Chart 14">
              <a:extLst xmlns:a="http://schemas.openxmlformats.org/drawingml/2006/main">
                <a:ext uri="{FF2B5EF4-FFF2-40B4-BE49-F238E27FC236}">
                  <a16:creationId xmlns:a16="http://schemas.microsoft.com/office/drawing/2014/main" id="{824005AA-D2FE-4BC1-9B04-C9295B1317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FC0598" w14:textId="77777777" w:rsidR="00D41ECE" w:rsidRPr="00D41ECE" w:rsidRDefault="00D41ECE" w:rsidP="00D41ECE"/>
    <w:p w14:paraId="586F774D" w14:textId="77777777" w:rsidR="00D41ECE" w:rsidRPr="00D41ECE" w:rsidRDefault="00D41ECE" w:rsidP="00D855C1">
      <w:pPr>
        <w:jc w:val="both"/>
      </w:pPr>
      <w:r w:rsidRPr="00D41ECE">
        <w:t xml:space="preserve">As mentioned above current ratio shows the ability of Tesco to generate cash from converted assets. From the graph above Tesco current ratio has fluctuated from 2016 to 2020 from 0.75 to 0.73, which is not much. Tesco have decreased since 2016 to 2020 by 0.02. These results indicate that Tesco have 75% of assets that would cover current liabilities. For example, in 2020 Tesco current assets accounted for 0.75p of every £ of current liabilities. This shows that Tesco can pay of 75% of current liabilities by current asset. According to Rashid (2018), current assets include cash and assets that can be converted into funds within a short-term period, these include receivables, prepared expenses, marketable securities, and inventories. However, liabilities that are current include obligations that mature with the year, these include bills payable, accrued expenses, accounts payable, tax liabilities and note payable. </w:t>
      </w:r>
    </w:p>
    <w:p w14:paraId="4740B211" w14:textId="57B971A0" w:rsidR="00D41ECE" w:rsidRDefault="00D855C1" w:rsidP="00D41ECE">
      <w:r>
        <w:rPr>
          <w:noProof/>
        </w:rPr>
        <w:drawing>
          <wp:inline distT="0" distB="0" distL="0" distR="0" wp14:anchorId="04C0F6C3" wp14:editId="089051C9">
            <wp:extent cx="5742432" cy="2582265"/>
            <wp:effectExtent l="0" t="0" r="0" b="8890"/>
            <wp:docPr id="15" name="Chart 15">
              <a:extLst xmlns:a="http://schemas.openxmlformats.org/drawingml/2006/main">
                <a:ext uri="{FF2B5EF4-FFF2-40B4-BE49-F238E27FC236}">
                  <a16:creationId xmlns:a16="http://schemas.microsoft.com/office/drawing/2014/main" id="{A80A05A9-22EF-4C02-9EDE-F7CC792CFB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48F2A7" w14:textId="5FD0C908" w:rsidR="009D0664" w:rsidRPr="00D41ECE" w:rsidRDefault="009D0664" w:rsidP="009D0664">
      <w:pPr>
        <w:jc w:val="center"/>
        <w:rPr>
          <w:b/>
          <w:bCs/>
        </w:rPr>
      </w:pPr>
      <w:r w:rsidRPr="009D0664">
        <w:rPr>
          <w:b/>
          <w:bCs/>
        </w:rPr>
        <w:t>Current Ratio Comparison Between Tesco, Sainsbury, and Morrison.</w:t>
      </w:r>
    </w:p>
    <w:p w14:paraId="17FC2200" w14:textId="43FFA37D" w:rsidR="00D41ECE" w:rsidRPr="00D41ECE" w:rsidRDefault="00D41ECE" w:rsidP="00D41ECE">
      <w:pPr>
        <w:jc w:val="both"/>
      </w:pPr>
      <w:r w:rsidRPr="00D41ECE">
        <w:t xml:space="preserve">In can be seen from the illustration above that Tesco have the higher current ratio over </w:t>
      </w:r>
      <w:r w:rsidR="00E97CE7" w:rsidRPr="00D41ECE">
        <w:t>their</w:t>
      </w:r>
      <w:r w:rsidRPr="00D41ECE">
        <w:t xml:space="preserve"> rivals. Tesco have a current ratio of 0.73 compared to Sainsburys CR of 0.63 and Morrison CR of 0.04. The most alarming situation is of Morrison who have only 0.04% of current assets to cover the cost of current liabilities. This shows that for every £ of current liability that is due Morrison assets only account for 0.04p per £. Tesco and Sainsbury, however, are in a better situation with Tesco having assets that cover for 73% of current liabilities and Sainsbury having assets worth 63% of the current liabilities. According to Siringi (2021), a 2:1 current ratio is considered satisfactory, there is no fast and hard rule. However, every industry </w:t>
      </w:r>
      <w:r w:rsidR="00E97CE7" w:rsidRPr="00D41ECE">
        <w:t>ratio</w:t>
      </w:r>
      <w:r w:rsidRPr="00D41ECE">
        <w:t xml:space="preserve"> </w:t>
      </w:r>
      <w:r w:rsidR="00E97CE7" w:rsidRPr="00D41ECE">
        <w:t>is</w:t>
      </w:r>
      <w:r w:rsidRPr="00D41ECE">
        <w:t xml:space="preserve"> different. For instance, retail chain stores are seen to be satisfactory with ratios of 0.7 due to the volumes of customers and sales (1). This indicates that Tesco are in an attractive position to pay short term obligations.</w:t>
      </w:r>
    </w:p>
    <w:p w14:paraId="3EB11C16" w14:textId="77777777" w:rsidR="00D41ECE" w:rsidRPr="00D41ECE" w:rsidRDefault="00D41ECE" w:rsidP="00183992">
      <w:pPr>
        <w:pStyle w:val="Heading2"/>
      </w:pPr>
      <w:bookmarkStart w:id="11" w:name="_Toc72677637"/>
      <w:r w:rsidRPr="00D41ECE">
        <w:t>Quick Ratio</w:t>
      </w:r>
      <w:bookmarkEnd w:id="11"/>
      <w:r w:rsidRPr="00D41ECE">
        <w:t xml:space="preserve"> </w:t>
      </w:r>
    </w:p>
    <w:p w14:paraId="2B8F59C6" w14:textId="617967E5" w:rsidR="00D41ECE" w:rsidRPr="00D41ECE" w:rsidRDefault="00D41ECE" w:rsidP="00D41ECE">
      <w:pPr>
        <w:jc w:val="both"/>
      </w:pPr>
      <w:r w:rsidRPr="00D41ECE">
        <w:t xml:space="preserve"> Quick Ratio (QR) is another liquidity technique that can be used to measure liquidity of the company’s current assets. According to Guo and Wang (2019), QR is the ability of the company to meet liabilities which are short term with assets that can be quickly converted to cash within a period of 90 days. According to Lalithchandra and Rajendhiran (2021), an average of 2.1 is a sign that the </w:t>
      </w:r>
      <w:r w:rsidR="00E97CE7" w:rsidRPr="00D41ECE">
        <w:t>company’s</w:t>
      </w:r>
      <w:r w:rsidRPr="00D41ECE">
        <w:t xml:space="preserve"> liquidity flow is good and can be measured by comparing stock prices to per share cash amount. However, the formula that will be used to analyse Tesco ability to meet short term obligations is as followed.</w:t>
      </w:r>
    </w:p>
    <w:p w14:paraId="3573DC58" w14:textId="77777777" w:rsidR="00D41ECE" w:rsidRPr="00D41ECE" w:rsidRDefault="00D41ECE" w:rsidP="00D41ECE">
      <w:pPr>
        <w:jc w:val="both"/>
      </w:pPr>
      <m:oMath>
        <m:r>
          <w:rPr>
            <w:rFonts w:ascii="Cambria Math" w:hAnsi="Cambria Math"/>
          </w:rPr>
          <m:t>Quick Ratio=</m:t>
        </m:r>
        <m:f>
          <m:fPr>
            <m:ctrlPr>
              <w:rPr>
                <w:rFonts w:ascii="Cambria Math" w:hAnsi="Cambria Math"/>
                <w:i/>
              </w:rPr>
            </m:ctrlPr>
          </m:fPr>
          <m:num>
            <m:r>
              <w:rPr>
                <w:rFonts w:ascii="Cambria Math" w:hAnsi="Cambria Math"/>
              </w:rPr>
              <m:t xml:space="preserve">Current Assets-Inventory </m:t>
            </m:r>
          </m:num>
          <m:den>
            <m:r>
              <w:rPr>
                <w:rFonts w:ascii="Cambria Math" w:hAnsi="Cambria Math"/>
              </w:rPr>
              <m:t>Current Liabilities</m:t>
            </m:r>
          </m:den>
        </m:f>
      </m:oMath>
      <w:r w:rsidRPr="00D41ECE">
        <w:t xml:space="preserve">  (</w:t>
      </w:r>
      <w:bookmarkStart w:id="12" w:name="_Hlk72250791"/>
      <w:r w:rsidRPr="00D41ECE">
        <w:t>Sawangarreerak and Thanthamathee, 2021</w:t>
      </w:r>
      <w:bookmarkEnd w:id="12"/>
      <w:r w:rsidRPr="00D41ECE">
        <w:t>).</w:t>
      </w:r>
    </w:p>
    <w:p w14:paraId="38D8E686" w14:textId="022E2CBA" w:rsidR="00D41ECE" w:rsidRPr="00D41ECE" w:rsidRDefault="00AF5048" w:rsidP="00D41ECE">
      <w:r>
        <w:rPr>
          <w:noProof/>
        </w:rPr>
        <w:drawing>
          <wp:inline distT="0" distB="0" distL="0" distR="0" wp14:anchorId="4076926B" wp14:editId="10094199">
            <wp:extent cx="5771693" cy="2787092"/>
            <wp:effectExtent l="0" t="0" r="635" b="0"/>
            <wp:docPr id="19" name="Chart 19">
              <a:extLst xmlns:a="http://schemas.openxmlformats.org/drawingml/2006/main">
                <a:ext uri="{FF2B5EF4-FFF2-40B4-BE49-F238E27FC236}">
                  <a16:creationId xmlns:a16="http://schemas.microsoft.com/office/drawing/2014/main" id="{7F91FF50-9B37-4B3F-A537-EF8B161B3E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4107240" w14:textId="00930431" w:rsidR="00D41ECE" w:rsidRDefault="00D41ECE" w:rsidP="00AF5048">
      <w:pPr>
        <w:jc w:val="both"/>
      </w:pPr>
      <w:r w:rsidRPr="00D41ECE">
        <w:t xml:space="preserve">According to illustration above, Tesco ability to turn current assets into cash within the space of a short-term period to pay current liabilities has steadily stayed the same. Previously in 2020 Tesco quick ratio was 0.63 which declined in 2019 to .47 in 2018 and has since risen to 0.60 in 2020. In 2019 Tesco appointed a new CEO Ken Murphy who has implemented new strategies within the company. The graph indicates that in 2020 Tesco could turn assets into cash within a </w:t>
      </w:r>
      <w:r w:rsidR="00E97CE7" w:rsidRPr="00D41ECE">
        <w:t>short-term</w:t>
      </w:r>
      <w:r w:rsidRPr="00D41ECE">
        <w:t xml:space="preserve"> period to pay of 60% of their current liabilities.</w:t>
      </w:r>
    </w:p>
    <w:p w14:paraId="1A480C54" w14:textId="4938D6C7" w:rsidR="00CB711F" w:rsidRDefault="00CB711F" w:rsidP="00AF5048">
      <w:pPr>
        <w:jc w:val="both"/>
      </w:pPr>
      <w:r>
        <w:rPr>
          <w:noProof/>
        </w:rPr>
        <w:drawing>
          <wp:inline distT="0" distB="0" distL="0" distR="0" wp14:anchorId="59E84476" wp14:editId="1617E963">
            <wp:extent cx="5501030" cy="2743200"/>
            <wp:effectExtent l="0" t="0" r="4445" b="0"/>
            <wp:docPr id="21" name="Chart 21">
              <a:extLst xmlns:a="http://schemas.openxmlformats.org/drawingml/2006/main">
                <a:ext uri="{FF2B5EF4-FFF2-40B4-BE49-F238E27FC236}">
                  <a16:creationId xmlns:a16="http://schemas.microsoft.com/office/drawing/2014/main" id="{D0886D05-CF65-4F25-B8AE-5B1236E4B8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946E41" w14:textId="64DA932B" w:rsidR="00D97FCF" w:rsidRPr="00D41ECE" w:rsidRDefault="00573F49" w:rsidP="00AF5048">
      <w:pPr>
        <w:jc w:val="both"/>
      </w:pPr>
      <w:r>
        <w:t xml:space="preserve">The illustration above </w:t>
      </w:r>
      <w:r w:rsidR="00E97CE7">
        <w:t>highlights</w:t>
      </w:r>
      <w:r>
        <w:t xml:space="preserve"> the ratios of Tesco, </w:t>
      </w:r>
      <w:r w:rsidR="00E97CE7">
        <w:t>Sainsbury,</w:t>
      </w:r>
      <w:r>
        <w:t xml:space="preserve"> and Morrison to repay debts with assets that can be turned into cash quickly. Tesco have the highest ratio</w:t>
      </w:r>
      <w:r w:rsidR="00AB35B1">
        <w:t xml:space="preserve"> at 0.6, Sainsbury have a ratio of 0.5 and Morrison have the lowest ratio of 0.2. These results show that Morrison would struggle to pay debts through short term assets with only 20% of debts that can be paid. Tesco and Sainsbury can cover 50% or more of debts in the short term through current assets. Tesco Quick ratio is 200% higher than Morrison. Sainsbury are the biggest threat to Tesco according to graph above with the closest ratio of </w:t>
      </w:r>
      <w:r w:rsidR="003E458E">
        <w:t>0.5</w:t>
      </w:r>
      <w:r w:rsidR="00AB35B1">
        <w:t>.</w:t>
      </w:r>
      <w:r w:rsidR="003E458E">
        <w:t xml:space="preserve"> </w:t>
      </w:r>
    </w:p>
    <w:p w14:paraId="35FBFDB5" w14:textId="77777777" w:rsidR="00D41ECE" w:rsidRPr="00D41ECE" w:rsidRDefault="00D41ECE" w:rsidP="00D41ECE">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3" w:name="_Toc72677638"/>
      <w:r w:rsidRPr="00D41ECE">
        <w:rPr>
          <w:rFonts w:asciiTheme="majorHAnsi" w:eastAsiaTheme="majorEastAsia" w:hAnsiTheme="majorHAnsi" w:cstheme="majorBidi"/>
          <w:color w:val="2F5496" w:themeColor="accent1" w:themeShade="BF"/>
          <w:sz w:val="32"/>
          <w:szCs w:val="32"/>
        </w:rPr>
        <w:t>3.3 Leverage Ratios</w:t>
      </w:r>
      <w:bookmarkEnd w:id="13"/>
    </w:p>
    <w:p w14:paraId="1F40D75B" w14:textId="7B4FD1DA" w:rsidR="00D41ECE" w:rsidRDefault="00D41ECE" w:rsidP="00D41ECE">
      <w:pPr>
        <w:jc w:val="both"/>
      </w:pPr>
      <w:r w:rsidRPr="00D41ECE">
        <w:t>According to Ginting (2021), leverage ratios is a metric that is used to measure the company’s ability to meet obligations which are long term. A company which is classed as solvable, is capable of meeting obligations which are long term. Whereas, if the company fails to meet obligations which are long term the “company is considered a solvable”. According to Aziz and Rahman (2017), there are several leverage ratios which can be implemented to measure the company’s ability of paying debts which are long term, these ratios include interest coverage, long term debt-to-equity, debt-to-asset, long term debt-to-asset, debt-to-equity, and debt-to-asset. The two techniques that will be implemented to review, How Tesco’s handle their long-term obligations are debt-to-equity and debt-to-assets.</w:t>
      </w:r>
    </w:p>
    <w:p w14:paraId="40328DC2" w14:textId="03FD0C48" w:rsidR="00EE6BCA" w:rsidRPr="00D41ECE" w:rsidRDefault="00EE6BCA" w:rsidP="00D41ECE">
      <w:pPr>
        <w:jc w:val="both"/>
      </w:pPr>
      <w:r>
        <w:rPr>
          <w:noProof/>
        </w:rPr>
        <w:drawing>
          <wp:inline distT="0" distB="0" distL="0" distR="0" wp14:anchorId="1DCCCA0D" wp14:editId="5BAAEC51">
            <wp:extent cx="5896051" cy="2743200"/>
            <wp:effectExtent l="0" t="0" r="0" b="0"/>
            <wp:docPr id="17" name="Chart 17">
              <a:extLst xmlns:a="http://schemas.openxmlformats.org/drawingml/2006/main">
                <a:ext uri="{FF2B5EF4-FFF2-40B4-BE49-F238E27FC236}">
                  <a16:creationId xmlns:a16="http://schemas.microsoft.com/office/drawing/2014/main" id="{9DDA61BD-291E-4F57-94E4-FB6122DEE0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592864B" w14:textId="77777777" w:rsidR="00D41ECE" w:rsidRPr="00D41ECE" w:rsidRDefault="00D41ECE" w:rsidP="00183992">
      <w:pPr>
        <w:pStyle w:val="Heading2"/>
      </w:pPr>
      <w:bookmarkStart w:id="14" w:name="_Toc72677639"/>
      <w:r w:rsidRPr="00D41ECE">
        <w:t>Debt-to-equity ratio</w:t>
      </w:r>
      <w:bookmarkEnd w:id="14"/>
    </w:p>
    <w:p w14:paraId="3136A29F" w14:textId="3B1020AA" w:rsidR="00D41ECE" w:rsidRPr="00D41ECE" w:rsidRDefault="00D41ECE" w:rsidP="00235420">
      <w:pPr>
        <w:jc w:val="both"/>
      </w:pPr>
      <w:r w:rsidRPr="00D41ECE">
        <w:t xml:space="preserve">According to </w:t>
      </w:r>
      <w:r w:rsidR="00E97CE7" w:rsidRPr="00D41ECE">
        <w:t>Herewati</w:t>
      </w:r>
      <w:r w:rsidRPr="00D41ECE">
        <w:t xml:space="preserve"> and Fauzia (2018), Debt-to-Equity Ratio (DER) is a technique that indicates the extent to the companies finance by debt. DER is an indicator to what the creditors </w:t>
      </w:r>
      <w:r w:rsidR="00E97CE7" w:rsidRPr="00D41ECE">
        <w:t>provides</w:t>
      </w:r>
      <w:r w:rsidRPr="00D41ECE">
        <w:t xml:space="preserve"> in finance for the company. According to Sugiarto (2015), DER initiates the </w:t>
      </w:r>
      <w:r w:rsidR="00E97CE7" w:rsidRPr="00D41ECE">
        <w:t>companies’</w:t>
      </w:r>
      <w:r w:rsidRPr="00D41ECE">
        <w:t xml:space="preserve"> ability meeting obligations, this is shown through how much of the capital is used to repay debts.</w:t>
      </w:r>
    </w:p>
    <w:p w14:paraId="18096A28" w14:textId="4CF9254B" w:rsidR="00D41ECE" w:rsidRPr="00D41ECE" w:rsidRDefault="00D41ECE" w:rsidP="00235420">
      <w:pPr>
        <w:jc w:val="both"/>
      </w:pPr>
      <w:r w:rsidRPr="00D41ECE">
        <w:t xml:space="preserve">DER informs that creditors provide the financing amount for the shareholders. According to Herewati and Fauzia (2018), creditors intend to prefer ratios which are low, due to ratios that are lower represents higher levels of the companies financing through shareholders, and the bigger creditor cushions in the situation of shrinking asset value or loss outright. According to </w:t>
      </w:r>
      <w:r w:rsidR="00E97CE7" w:rsidRPr="00D41ECE">
        <w:t>Bindura</w:t>
      </w:r>
      <w:r w:rsidRPr="00D41ECE">
        <w:t xml:space="preserve"> (2020), the formula that can be implemented t measure Debt-to-equity ratio is as follows.</w:t>
      </w:r>
    </w:p>
    <w:p w14:paraId="3C3A4371" w14:textId="148806BC" w:rsidR="00D41ECE" w:rsidRDefault="00D41ECE" w:rsidP="00D41ECE">
      <w:pPr>
        <w:rPr>
          <w:rFonts w:eastAsiaTheme="minorEastAsia"/>
        </w:rPr>
      </w:pPr>
      <w:r w:rsidRPr="00D41ECE">
        <w:t xml:space="preserve"> </w:t>
      </w:r>
      <m:oMath>
        <m:r>
          <w:rPr>
            <w:rFonts w:ascii="Cambria Math" w:hAnsi="Cambria Math"/>
          </w:rPr>
          <m:t>Debt-to-equity ratio=</m:t>
        </m:r>
        <m:f>
          <m:fPr>
            <m:ctrlPr>
              <w:rPr>
                <w:rFonts w:ascii="Cambria Math" w:hAnsi="Cambria Math"/>
                <w:i/>
              </w:rPr>
            </m:ctrlPr>
          </m:fPr>
          <m:num>
            <m:r>
              <w:rPr>
                <w:rFonts w:ascii="Cambria Math" w:hAnsi="Cambria Math"/>
              </w:rPr>
              <m:t>Total Liabilities</m:t>
            </m:r>
          </m:num>
          <m:den>
            <m:r>
              <w:rPr>
                <w:rFonts w:ascii="Cambria Math" w:hAnsi="Cambria Math"/>
              </w:rPr>
              <m:t xml:space="preserve">Total Shareholders Equity </m:t>
            </m:r>
          </m:den>
        </m:f>
      </m:oMath>
    </w:p>
    <w:p w14:paraId="41772347" w14:textId="3B16AD31" w:rsidR="00450AB5" w:rsidRDefault="00450AB5" w:rsidP="00D41ECE">
      <w:pPr>
        <w:rPr>
          <w:rFonts w:eastAsiaTheme="minorEastAsia"/>
        </w:rPr>
      </w:pPr>
    </w:p>
    <w:p w14:paraId="29672670" w14:textId="6FFEFEF3" w:rsidR="00DF2F4F" w:rsidRDefault="00D97FCF" w:rsidP="00D41ECE">
      <w:r>
        <w:rPr>
          <w:noProof/>
        </w:rPr>
        <w:drawing>
          <wp:inline distT="0" distB="0" distL="0" distR="0" wp14:anchorId="3E4D2FC2" wp14:editId="0B915877">
            <wp:extent cx="5861050" cy="2743200"/>
            <wp:effectExtent l="0" t="0" r="6350" b="0"/>
            <wp:docPr id="23" name="Chart 23">
              <a:extLst xmlns:a="http://schemas.openxmlformats.org/drawingml/2006/main">
                <a:ext uri="{FF2B5EF4-FFF2-40B4-BE49-F238E27FC236}">
                  <a16:creationId xmlns:a16="http://schemas.microsoft.com/office/drawing/2014/main" id="{72BF9B3B-8857-4E3A-8CBD-30136A42B9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4879B6D" w14:textId="7FDC14AA" w:rsidR="00450AB5" w:rsidRPr="00D41ECE" w:rsidRDefault="00450AB5" w:rsidP="00D41ECE">
      <w:r>
        <w:t xml:space="preserve">According to the illustration above, Tesco DER has fluctuated through the five years. In 2016, Tesco DER was 4.1 which fell to 3.3 in 2017. Tesco DER hit its peak in 2018 at 6.1 before declining to 3.0 in 2020. DER highlights the </w:t>
      </w:r>
      <w:r w:rsidR="00E97CE7">
        <w:t>company’s</w:t>
      </w:r>
      <w:r>
        <w:t xml:space="preserve"> ability to meet obligations through the capital. This shows that in 2020, Tesco could pay </w:t>
      </w:r>
      <w:r w:rsidR="00B10202">
        <w:t>obligations 300% over.</w:t>
      </w:r>
    </w:p>
    <w:p w14:paraId="3BA2007E" w14:textId="77777777" w:rsidR="00B10202" w:rsidRDefault="00B10202" w:rsidP="00D41ECE">
      <w:r>
        <w:rPr>
          <w:noProof/>
        </w:rPr>
        <w:drawing>
          <wp:inline distT="0" distB="0" distL="0" distR="0" wp14:anchorId="3121B4AC" wp14:editId="71161B31">
            <wp:extent cx="5740400" cy="2686050"/>
            <wp:effectExtent l="0" t="0" r="0" b="0"/>
            <wp:docPr id="24" name="Chart 24">
              <a:extLst xmlns:a="http://schemas.openxmlformats.org/drawingml/2006/main">
                <a:ext uri="{FF2B5EF4-FFF2-40B4-BE49-F238E27FC236}">
                  <a16:creationId xmlns:a16="http://schemas.microsoft.com/office/drawing/2014/main" id="{B3E92745-D5A1-4A91-9340-473DC96DEB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9005969" w14:textId="5B1D70AE" w:rsidR="00D41ECE" w:rsidRPr="00D41ECE" w:rsidRDefault="00D41ECE" w:rsidP="00235420">
      <w:pPr>
        <w:jc w:val="both"/>
      </w:pPr>
      <w:r w:rsidRPr="00D41ECE">
        <w:t xml:space="preserve">According to Herewati and Fauzia (2018), comparing DER between companies and their competitors can give </w:t>
      </w:r>
      <w:r w:rsidR="00E97CE7" w:rsidRPr="00D41ECE">
        <w:t>an</w:t>
      </w:r>
      <w:r w:rsidRPr="00D41ECE">
        <w:t xml:space="preserve"> indication of the </w:t>
      </w:r>
      <w:r w:rsidR="00E97CE7" w:rsidRPr="00D41ECE">
        <w:t>company’s</w:t>
      </w:r>
      <w:r w:rsidRPr="00D41ECE">
        <w:t xml:space="preserve"> financial risk and credit worthiness.</w:t>
      </w:r>
      <w:r w:rsidR="00A14F42">
        <w:t xml:space="preserve"> The illustration above, shows the following. Tesco have highest DER at 3.0, with Sainsbury in second position with a ratio of 2.6, and in the lowest position was Morrison with a 1.4 ratio. According to Investopedia (2019), a debt-to-equity ratio should not exceed a ratio of 2.0. </w:t>
      </w:r>
      <w:r w:rsidR="00E97CE7">
        <w:t>Thus,</w:t>
      </w:r>
      <w:r w:rsidR="00A14F42">
        <w:t xml:space="preserve"> emphasises that Tesco and Sainsbury are above that ratio which is an indicator that Tesco derive 3 quarters of capital financing </w:t>
      </w:r>
      <w:r w:rsidR="00DA6313">
        <w:t>from debt and 1 quarter from shareholders. Tesco DER ratio is 66.7% higher than Sainsbury and roughly 200% higher than Morrison.</w:t>
      </w:r>
      <w:r w:rsidR="00A14F42">
        <w:t xml:space="preserve"> </w:t>
      </w:r>
    </w:p>
    <w:p w14:paraId="3D72E058" w14:textId="77777777" w:rsidR="00D41ECE" w:rsidRPr="00D41ECE" w:rsidRDefault="00D41ECE" w:rsidP="00183992">
      <w:pPr>
        <w:pStyle w:val="Heading2"/>
      </w:pPr>
      <w:bookmarkStart w:id="15" w:name="_Toc72677640"/>
      <w:r w:rsidRPr="00D41ECE">
        <w:t>Debt-to-assets ratio</w:t>
      </w:r>
      <w:bookmarkEnd w:id="15"/>
    </w:p>
    <w:p w14:paraId="7B156994" w14:textId="733DD425" w:rsidR="00D41ECE" w:rsidRDefault="00D41ECE" w:rsidP="00235420">
      <w:pPr>
        <w:jc w:val="both"/>
      </w:pPr>
      <w:r w:rsidRPr="00D41ECE">
        <w:t xml:space="preserve">According to Rinaldo and Endri (2020), Debt-To-Asset (DTA) measures the comparison between the total debt and overall assets. Creditors intend to like ratios which are low due the risk levels being lower for creditors. For example, if the ratio debt level increases while fixed assets increase, the </w:t>
      </w:r>
      <w:r w:rsidR="00E97CE7" w:rsidRPr="00D41ECE">
        <w:t>company’s</w:t>
      </w:r>
      <w:r w:rsidRPr="00D41ECE">
        <w:t xml:space="preserve"> debt will increase. This will be reflected in the failure rate or financial ratio of the company increasing to meet their obligations.</w:t>
      </w:r>
      <w:r w:rsidRPr="00D41ECE">
        <w:rPr>
          <w:rFonts w:eastAsiaTheme="minorEastAsia"/>
          <w:lang w:eastAsia="en-GB"/>
        </w:rPr>
        <w:t xml:space="preserve"> The formula that will be used to measure Tesco’s debt-to-assets will be as followed. </w:t>
      </w:r>
      <m:oMath>
        <m:r>
          <w:rPr>
            <w:rFonts w:ascii="Cambria Math" w:eastAsiaTheme="minorEastAsia" w:hAnsi="Cambria Math"/>
            <w:lang w:eastAsia="en-GB"/>
          </w:rPr>
          <m:t>Debt-to-assets ratio=</m:t>
        </m:r>
        <m:f>
          <m:fPr>
            <m:ctrlPr>
              <w:rPr>
                <w:rFonts w:ascii="Cambria Math" w:eastAsiaTheme="minorEastAsia" w:hAnsi="Cambria Math"/>
                <w:i/>
                <w:lang w:eastAsia="en-GB"/>
              </w:rPr>
            </m:ctrlPr>
          </m:fPr>
          <m:num>
            <m:r>
              <w:rPr>
                <w:rFonts w:ascii="Cambria Math" w:eastAsiaTheme="minorEastAsia" w:hAnsi="Cambria Math"/>
                <w:lang w:eastAsia="en-GB"/>
              </w:rPr>
              <m:t>Total liabilities</m:t>
            </m:r>
          </m:num>
          <m:den>
            <m:r>
              <w:rPr>
                <w:rFonts w:ascii="Cambria Math" w:eastAsiaTheme="minorEastAsia" w:hAnsi="Cambria Math"/>
                <w:lang w:eastAsia="en-GB"/>
              </w:rPr>
              <m:t>Total assets</m:t>
            </m:r>
          </m:den>
        </m:f>
      </m:oMath>
      <w:r w:rsidRPr="00D41ECE">
        <w:rPr>
          <w:rFonts w:eastAsiaTheme="minorEastAsia"/>
          <w:lang w:eastAsia="en-GB"/>
        </w:rPr>
        <w:t xml:space="preserve"> (</w:t>
      </w:r>
      <w:r w:rsidRPr="00D41ECE">
        <w:t>Sawangarreerak and Thanthamathee, 2021).</w:t>
      </w:r>
    </w:p>
    <w:p w14:paraId="70914C15" w14:textId="6EF267D6" w:rsidR="00312A82" w:rsidRDefault="00312A82" w:rsidP="00D41ECE">
      <w:r>
        <w:rPr>
          <w:noProof/>
        </w:rPr>
        <w:drawing>
          <wp:inline distT="0" distB="0" distL="0" distR="0" wp14:anchorId="64866D0F" wp14:editId="702E7C3C">
            <wp:extent cx="5588000" cy="2762250"/>
            <wp:effectExtent l="0" t="0" r="0" b="0"/>
            <wp:docPr id="26" name="Chart 26">
              <a:extLst xmlns:a="http://schemas.openxmlformats.org/drawingml/2006/main">
                <a:ext uri="{FF2B5EF4-FFF2-40B4-BE49-F238E27FC236}">
                  <a16:creationId xmlns:a16="http://schemas.microsoft.com/office/drawing/2014/main" id="{3FD3B307-BB35-471F-BB69-D3221A7F91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87ED1B4" w14:textId="1D188BB0" w:rsidR="00312A82" w:rsidRPr="00D41ECE" w:rsidRDefault="00312A82" w:rsidP="007B68CB">
      <w:pPr>
        <w:jc w:val="both"/>
      </w:pPr>
      <w:r>
        <w:t xml:space="preserve">The Illustration above indicates that Tesco DAR has decreased between 2016 and 2020 from 0.8 to 0.7. Tesco peak was in 2018 at 0.9 this shows that during this period </w:t>
      </w:r>
      <w:r w:rsidR="007B68CB">
        <w:t xml:space="preserve">Tesco were financing 90% of assets through debt. However, this has decreased </w:t>
      </w:r>
      <w:r w:rsidR="00E97CE7">
        <w:t>in</w:t>
      </w:r>
      <w:r w:rsidR="007B68CB">
        <w:t xml:space="preserve"> 2020 to 70%</w:t>
      </w:r>
    </w:p>
    <w:p w14:paraId="7A6035CD" w14:textId="77777777" w:rsidR="00D41ECE" w:rsidRPr="00D41ECE" w:rsidRDefault="00D41ECE" w:rsidP="00D41ECE">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6" w:name="_Toc72677641"/>
      <w:r w:rsidRPr="00D41ECE">
        <w:rPr>
          <w:rFonts w:asciiTheme="majorHAnsi" w:eastAsiaTheme="majorEastAsia" w:hAnsiTheme="majorHAnsi" w:cstheme="majorBidi"/>
          <w:color w:val="2F5496" w:themeColor="accent1" w:themeShade="BF"/>
          <w:sz w:val="32"/>
          <w:szCs w:val="32"/>
        </w:rPr>
        <w:t>3.4 Efficiency ratios</w:t>
      </w:r>
      <w:bookmarkEnd w:id="16"/>
    </w:p>
    <w:p w14:paraId="57FCF3FB" w14:textId="3DC5DC78" w:rsidR="00D41ECE" w:rsidRPr="00D41ECE" w:rsidRDefault="00D41ECE" w:rsidP="00D41ECE">
      <w:pPr>
        <w:jc w:val="both"/>
      </w:pPr>
      <w:r w:rsidRPr="00D41ECE">
        <w:t xml:space="preserve">According to Desai (2019), Efficiency Ratios is a technique to measure the </w:t>
      </w:r>
      <w:r w:rsidR="00E97CE7" w:rsidRPr="00D41ECE">
        <w:t>company’s</w:t>
      </w:r>
      <w:r w:rsidRPr="00D41ECE">
        <w:t xml:space="preserve"> ability to “use assets and liabilities” when generating sales. Organisations which are highly effective minimise their “net investment in assets”, this requires capital to be lower and the debt to remain. </w:t>
      </w:r>
      <w:r w:rsidR="00E97CE7" w:rsidRPr="00D41ECE">
        <w:t>Thus,</w:t>
      </w:r>
      <w:r w:rsidRPr="00D41ECE">
        <w:t xml:space="preserve"> emphasises that efficiency ratios indicate how effective the company are using resources to generate while increasing revenue. According to the Corporate Financial Institute (2021), there are several techniques which can be used to review how the company employ resources, these techniques include Inventory Turnover Ratio, Accounts Receivable Turnover Ratio, Accounts Payable Turnover Ratio, Asset Turnover Ratio and Day’s Sales in Inventory. The two techniques that will be implemented to Tesco to analyse how resources are employed, will be Total Asset Turnover and Fixed Asset Turnover.</w:t>
      </w:r>
    </w:p>
    <w:p w14:paraId="1E28BD6D" w14:textId="3C336F8B" w:rsidR="00D41ECE" w:rsidRPr="00D41ECE" w:rsidRDefault="00D41ECE" w:rsidP="00D41ECE">
      <w:pPr>
        <w:jc w:val="both"/>
      </w:pPr>
      <w:r w:rsidRPr="00D41ECE">
        <w:t xml:space="preserve"> </w:t>
      </w:r>
      <w:r w:rsidR="007B68CB">
        <w:rPr>
          <w:noProof/>
        </w:rPr>
        <w:drawing>
          <wp:inline distT="0" distB="0" distL="0" distR="0" wp14:anchorId="1C4AFBDE" wp14:editId="5777E7E1">
            <wp:extent cx="5778500" cy="2597150"/>
            <wp:effectExtent l="0" t="0" r="0" b="0"/>
            <wp:docPr id="27" name="Chart 27">
              <a:extLst xmlns:a="http://schemas.openxmlformats.org/drawingml/2006/main">
                <a:ext uri="{FF2B5EF4-FFF2-40B4-BE49-F238E27FC236}">
                  <a16:creationId xmlns:a16="http://schemas.microsoft.com/office/drawing/2014/main" id="{AB237F36-7C78-42D3-8C3D-EE42181426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BF7BEE3" w14:textId="77777777" w:rsidR="00D41ECE" w:rsidRPr="00D41ECE" w:rsidRDefault="00D41ECE" w:rsidP="00D41ECE">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7" w:name="_Toc72677642"/>
      <w:r w:rsidRPr="00D41ECE">
        <w:rPr>
          <w:rFonts w:asciiTheme="majorHAnsi" w:eastAsiaTheme="majorEastAsia" w:hAnsiTheme="majorHAnsi" w:cstheme="majorBidi"/>
          <w:color w:val="2F5496" w:themeColor="accent1" w:themeShade="BF"/>
          <w:sz w:val="32"/>
          <w:szCs w:val="32"/>
        </w:rPr>
        <w:t>Total Asset Turnover</w:t>
      </w:r>
      <w:bookmarkEnd w:id="17"/>
      <w:r w:rsidRPr="00D41ECE">
        <w:rPr>
          <w:rFonts w:asciiTheme="majorHAnsi" w:eastAsiaTheme="majorEastAsia" w:hAnsiTheme="majorHAnsi" w:cstheme="majorBidi"/>
          <w:color w:val="2F5496" w:themeColor="accent1" w:themeShade="BF"/>
          <w:sz w:val="32"/>
          <w:szCs w:val="32"/>
        </w:rPr>
        <w:t xml:space="preserve"> </w:t>
      </w:r>
    </w:p>
    <w:p w14:paraId="0A62DE77" w14:textId="72EF13E6" w:rsidR="00D41ECE" w:rsidRPr="00D41ECE" w:rsidRDefault="00D41ECE" w:rsidP="00235420">
      <w:pPr>
        <w:jc w:val="both"/>
      </w:pPr>
      <w:r w:rsidRPr="00D41ECE">
        <w:t xml:space="preserve">According to Kurniawan (2021), Total Asset Turnover (TATO) ratio is a technique which is used to measure the </w:t>
      </w:r>
      <w:r w:rsidR="00E97CE7" w:rsidRPr="00D41ECE">
        <w:t>company’s</w:t>
      </w:r>
      <w:r w:rsidRPr="00D41ECE">
        <w:t xml:space="preserve"> efficiency relating to how assets of the company are employed to support sales. According to (1), if sales exceed total assets the </w:t>
      </w:r>
      <w:r w:rsidR="00E97CE7" w:rsidRPr="00D41ECE">
        <w:t>company’s</w:t>
      </w:r>
      <w:r w:rsidRPr="00D41ECE">
        <w:t xml:space="preserve"> rate of return regarding profits that are retained will be increased, this is due to larger sales indicate profits that are larger for the company. Therefore. If the total assets of the company exceed sales, returns will be lower (2). This is emphasised by (4) who claims, TATO is a technique which indicates the relationship between the </w:t>
      </w:r>
      <w:r w:rsidR="00E97CE7" w:rsidRPr="00D41ECE">
        <w:t>company’s</w:t>
      </w:r>
      <w:r w:rsidRPr="00D41ECE">
        <w:t xml:space="preserve"> total sales and fixed assets, showing the </w:t>
      </w:r>
      <w:r w:rsidR="00E97CE7" w:rsidRPr="00D41ECE">
        <w:t>number</w:t>
      </w:r>
      <w:r w:rsidRPr="00D41ECE">
        <w:t xml:space="preserve"> of times of funds invested within fixed assets during a certain period. The formula that will be implemented to review Tesco’s TATO will be as followed.</w:t>
      </w:r>
    </w:p>
    <w:p w14:paraId="0DFD2019" w14:textId="7F086A6F" w:rsidR="00D41ECE" w:rsidRDefault="00D41ECE" w:rsidP="00D41ECE">
      <w:pPr>
        <w:rPr>
          <w:rFonts w:eastAsiaTheme="minorEastAsia"/>
        </w:rPr>
      </w:pPr>
      <w:r w:rsidRPr="00D41ECE">
        <w:t xml:space="preserve"> </w:t>
      </w:r>
      <m:oMath>
        <m:r>
          <w:rPr>
            <w:rFonts w:ascii="Cambria Math" w:hAnsi="Cambria Math"/>
          </w:rPr>
          <m:t>Total Asset Turnover=</m:t>
        </m:r>
        <m:f>
          <m:fPr>
            <m:ctrlPr>
              <w:rPr>
                <w:rFonts w:ascii="Cambria Math" w:hAnsi="Cambria Math"/>
                <w:i/>
              </w:rPr>
            </m:ctrlPr>
          </m:fPr>
          <m:num>
            <m:r>
              <w:rPr>
                <w:rFonts w:ascii="Cambria Math" w:hAnsi="Cambria Math"/>
              </w:rPr>
              <m:t>Net Sales</m:t>
            </m:r>
          </m:num>
          <m:den>
            <m:r>
              <w:rPr>
                <w:rFonts w:ascii="Cambria Math" w:hAnsi="Cambria Math"/>
              </w:rPr>
              <m:t xml:space="preserve">Total Assets </m:t>
            </m:r>
          </m:den>
        </m:f>
      </m:oMath>
    </w:p>
    <w:p w14:paraId="00E82654" w14:textId="06363DAD" w:rsidR="007B68CB" w:rsidRDefault="00C7424D" w:rsidP="00D41ECE">
      <w:pPr>
        <w:rPr>
          <w:rFonts w:eastAsiaTheme="minorEastAsia"/>
        </w:rPr>
      </w:pPr>
      <w:r>
        <w:rPr>
          <w:noProof/>
        </w:rPr>
        <w:drawing>
          <wp:inline distT="0" distB="0" distL="0" distR="0" wp14:anchorId="2364AF7F" wp14:editId="267589DA">
            <wp:extent cx="5791200" cy="2736850"/>
            <wp:effectExtent l="0" t="0" r="0" b="6350"/>
            <wp:docPr id="28" name="Chart 28">
              <a:extLst xmlns:a="http://schemas.openxmlformats.org/drawingml/2006/main">
                <a:ext uri="{FF2B5EF4-FFF2-40B4-BE49-F238E27FC236}">
                  <a16:creationId xmlns:a16="http://schemas.microsoft.com/office/drawing/2014/main" id="{C8618C68-DDFA-4D96-93F1-120EBAB0E7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9E8C247" w14:textId="234113F5" w:rsidR="00C7424D" w:rsidRPr="00D41ECE" w:rsidRDefault="00C7424D" w:rsidP="00235420">
      <w:pPr>
        <w:jc w:val="both"/>
        <w:rPr>
          <w:rFonts w:eastAsiaTheme="minorEastAsia"/>
        </w:rPr>
      </w:pPr>
      <w:r>
        <w:rPr>
          <w:rFonts w:eastAsiaTheme="minorEastAsia"/>
        </w:rPr>
        <w:t xml:space="preserve">The illustration above indicates that between 2016 and 2020, FAT increased from a ratio of 3.0 to 3.4. This could be due to sales of Tesco have risen each year, in 2016 sales were </w:t>
      </w:r>
      <w:r w:rsidR="00AD0831">
        <w:rPr>
          <w:rFonts w:eastAsiaTheme="minorEastAsia"/>
        </w:rPr>
        <w:t>£54.4b, 2017 was £56b, 2018 was £57.5b, 2019 was £64b and in 2018 sales were £65b. Tesco have shown a 13.3% increase between 2016 and 2020. This indicates that Tesco are improving sales and decreasing assets which improve profits.</w:t>
      </w:r>
    </w:p>
    <w:p w14:paraId="42C520A5" w14:textId="77777777" w:rsidR="00D41ECE" w:rsidRPr="00D41ECE" w:rsidRDefault="00D41ECE" w:rsidP="00235420">
      <w:pPr>
        <w:pStyle w:val="Heading2"/>
        <w:jc w:val="both"/>
        <w:rPr>
          <w:rFonts w:eastAsiaTheme="minorEastAsia"/>
        </w:rPr>
      </w:pPr>
      <w:bookmarkStart w:id="18" w:name="_Toc72677643"/>
      <w:r w:rsidRPr="00D41ECE">
        <w:rPr>
          <w:rFonts w:eastAsiaTheme="minorEastAsia"/>
        </w:rPr>
        <w:t>Fixed Asset Turnover</w:t>
      </w:r>
      <w:bookmarkEnd w:id="18"/>
    </w:p>
    <w:p w14:paraId="1F82314F" w14:textId="649CD16F" w:rsidR="00D41ECE" w:rsidRDefault="00D41ECE" w:rsidP="00235420">
      <w:pPr>
        <w:jc w:val="both"/>
        <w:rPr>
          <w:rFonts w:eastAsiaTheme="minorEastAsia"/>
        </w:rPr>
      </w:pPr>
      <w:r w:rsidRPr="00D41ECE">
        <w:t xml:space="preserve">According to Investopedia (2021), Fixed Asset Turnover (FAT) is a technique to measure the companies operating performance and Is used by analyst. FAT compares the efficiency of net sales (found on the income statement) to the companies fixed assets (found on the balance sheet) and measures the ability of a company to generate sales from their fixed assets, fixed assets are also known as property, plant, and equipment. The fixed asset is used as a total balance of depreciation accumulated. Thus, is emphasised by Rely and </w:t>
      </w:r>
      <w:r w:rsidR="00E97CE7" w:rsidRPr="00D41ECE">
        <w:t>Rajah</w:t>
      </w:r>
      <w:r w:rsidRPr="00D41ECE">
        <w:t xml:space="preserve"> (2018) who claims, FAT ratio calculates how much money has been generated from sales per each unit invested in the companies fixed assets, FAT unit turnover is per year. According to (2), A FAT with a ratio higher insinuates the effectiveness of the </w:t>
      </w:r>
      <w:r w:rsidR="00E97CE7" w:rsidRPr="00D41ECE">
        <w:t>company’s</w:t>
      </w:r>
      <w:r w:rsidRPr="00D41ECE">
        <w:t xml:space="preserve"> ability to use investments within fixed assets to accumulate sales. The formula that will be used to measure Tesco and competitors FAT ratio, will be as followed. </w:t>
      </w:r>
      <m:oMath>
        <m:r>
          <w:rPr>
            <w:rFonts w:ascii="Cambria Math" w:hAnsi="Cambria Math"/>
          </w:rPr>
          <m:t>Fixed Asset Turnover=</m:t>
        </m:r>
        <m:f>
          <m:fPr>
            <m:ctrlPr>
              <w:rPr>
                <w:rFonts w:ascii="Cambria Math" w:hAnsi="Cambria Math"/>
                <w:i/>
              </w:rPr>
            </m:ctrlPr>
          </m:fPr>
          <m:num>
            <m:r>
              <w:rPr>
                <w:rFonts w:ascii="Cambria Math" w:hAnsi="Cambria Math"/>
              </w:rPr>
              <m:t xml:space="preserve">Sales </m:t>
            </m:r>
          </m:num>
          <m:den>
            <m:r>
              <w:rPr>
                <w:rFonts w:ascii="Cambria Math" w:hAnsi="Cambria Math"/>
              </w:rPr>
              <m:t>Fixed Assets</m:t>
            </m:r>
          </m:den>
        </m:f>
      </m:oMath>
      <w:r w:rsidRPr="00D41ECE">
        <w:rPr>
          <w:rFonts w:eastAsiaTheme="minorEastAsia"/>
        </w:rPr>
        <w:t xml:space="preserve"> (Rely and </w:t>
      </w:r>
      <w:r w:rsidR="00E97CE7" w:rsidRPr="00D41ECE">
        <w:rPr>
          <w:rFonts w:eastAsiaTheme="minorEastAsia"/>
        </w:rPr>
        <w:t>Rajah</w:t>
      </w:r>
      <w:r w:rsidRPr="00D41ECE">
        <w:rPr>
          <w:rFonts w:eastAsiaTheme="minorEastAsia"/>
        </w:rPr>
        <w:t>, 2018).</w:t>
      </w:r>
    </w:p>
    <w:p w14:paraId="2C597FA7" w14:textId="395D5D25" w:rsidR="00AD0831" w:rsidRDefault="00AD0831" w:rsidP="00D41ECE">
      <w:r>
        <w:rPr>
          <w:noProof/>
        </w:rPr>
        <w:drawing>
          <wp:inline distT="0" distB="0" distL="0" distR="0" wp14:anchorId="3D780068" wp14:editId="09CE3323">
            <wp:extent cx="5731510" cy="2708641"/>
            <wp:effectExtent l="0" t="0" r="2540" b="0"/>
            <wp:docPr id="29" name="Chart 29">
              <a:extLst xmlns:a="http://schemas.openxmlformats.org/drawingml/2006/main">
                <a:ext uri="{FF2B5EF4-FFF2-40B4-BE49-F238E27FC236}">
                  <a16:creationId xmlns:a16="http://schemas.microsoft.com/office/drawing/2014/main" id="{C8618C68-DDFA-4D96-93F1-120EBAB0E7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DCB1D0C" w14:textId="70396630" w:rsidR="00AD0831" w:rsidRPr="00AD0831" w:rsidRDefault="00AD0831" w:rsidP="00235420">
      <w:pPr>
        <w:jc w:val="both"/>
        <w:rPr>
          <w:rFonts w:eastAsiaTheme="minorEastAsia"/>
        </w:rPr>
      </w:pPr>
      <w:r>
        <w:rPr>
          <w:rFonts w:eastAsiaTheme="minorEastAsia"/>
        </w:rPr>
        <w:t>The illustration above indicates that between 2016 and 2020, FAT increased from a ratio of 3.0 to 3.4. This could be due to sales of Tesco have risen each year, in 2016 sales were £54.4b, 2017 was £56b, 2018 was £57.5b, 2019 was £64b and in 2018 sales were £65b. Tesco have shown a 13.3% increase between 2016 and 2020. This indicates that Tesco are improving sales and decreasing fixed asset cost which improve profits.</w:t>
      </w:r>
    </w:p>
    <w:p w14:paraId="77C12D91" w14:textId="0E9A0145" w:rsidR="00B57F3E" w:rsidRPr="00B57F3E" w:rsidRDefault="00B57F3E" w:rsidP="00235420">
      <w:pPr>
        <w:keepNext/>
        <w:keepLines/>
        <w:spacing w:before="240" w:after="0" w:line="240" w:lineRule="auto"/>
        <w:jc w:val="both"/>
        <w:outlineLvl w:val="0"/>
        <w:rPr>
          <w:rFonts w:asciiTheme="majorHAnsi" w:eastAsiaTheme="majorEastAsia" w:hAnsiTheme="majorHAnsi" w:cstheme="majorBidi"/>
          <w:color w:val="2F5496" w:themeColor="accent1" w:themeShade="BF"/>
          <w:sz w:val="32"/>
          <w:szCs w:val="32"/>
          <w:lang w:eastAsia="en-GB"/>
        </w:rPr>
      </w:pPr>
      <w:bookmarkStart w:id="19" w:name="_Toc72677644"/>
      <w:r>
        <w:rPr>
          <w:rFonts w:asciiTheme="majorHAnsi" w:eastAsiaTheme="majorEastAsia" w:hAnsiTheme="majorHAnsi" w:cstheme="majorBidi"/>
          <w:color w:val="2F5496" w:themeColor="accent1" w:themeShade="BF"/>
          <w:sz w:val="32"/>
          <w:szCs w:val="32"/>
          <w:lang w:eastAsia="en-GB"/>
        </w:rPr>
        <w:t>4</w:t>
      </w:r>
      <w:r w:rsidRPr="00B57F3E">
        <w:rPr>
          <w:rFonts w:asciiTheme="majorHAnsi" w:eastAsiaTheme="majorEastAsia" w:hAnsiTheme="majorHAnsi" w:cstheme="majorBidi"/>
          <w:color w:val="2F5496" w:themeColor="accent1" w:themeShade="BF"/>
          <w:sz w:val="32"/>
          <w:szCs w:val="32"/>
          <w:lang w:eastAsia="en-GB"/>
        </w:rPr>
        <w:t>.0 Investment Appraisal</w:t>
      </w:r>
      <w:bookmarkEnd w:id="19"/>
      <w:r w:rsidRPr="00B57F3E">
        <w:rPr>
          <w:rFonts w:asciiTheme="majorHAnsi" w:eastAsiaTheme="majorEastAsia" w:hAnsiTheme="majorHAnsi" w:cstheme="majorBidi"/>
          <w:color w:val="2F5496" w:themeColor="accent1" w:themeShade="BF"/>
          <w:sz w:val="32"/>
          <w:szCs w:val="32"/>
          <w:lang w:eastAsia="en-GB"/>
        </w:rPr>
        <w:t xml:space="preserve"> </w:t>
      </w:r>
    </w:p>
    <w:p w14:paraId="48FE1DC5"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 xml:space="preserve">Investment appraisal is mentioned within literature in the financial industry and is also known as Capital budgeting (Kengatharan and Diluxshan, 2017). According to warren and Seal (2018), capital budgeting is seen as an integral element relating to the corporate planning of a company. Capital budgeting is the procedure of evaluating and selecting investment for the long-term future which is consistent with the company’s goals to maximise the wealth of the company (Huikku et al, 2018). Capital budgeting a key aspect when decision making and is the process of selecting the best option of investment projects which will generate an increased yielding and maximise all shareholders value (Kotlar, 2018). According to Kengatharan and Diluxshan (2017), Capital budget is simply the stipulated avenue that financial managers take to invest current funds effectively and efficiently for the long-term future. However, according to current financial theory, companies are required to maximise the market value of shares for stakeholders (Kotlar et al, 2018). Due to capital budgeting/capital investing decisions dealing with large quantity of funds, it can impact changes for the better or worse in the company as well as the entire economy (Huikku et al, 2018). Moreover, thus emphasises the importance of capital investment when making decision that could be crucial and critical to the companies’ growth as well as the development of the economy so tremendous care and thought should form financial managers should be implemented. </w:t>
      </w:r>
      <w:bookmarkStart w:id="20" w:name="_Hlk72572871"/>
      <w:r w:rsidRPr="00B57F3E">
        <w:rPr>
          <w:rFonts w:eastAsiaTheme="minorEastAsia"/>
          <w:lang w:eastAsia="en-GB"/>
        </w:rPr>
        <w:t>According to Dedunu (2019), there are seven techniques which are used by Financial managers to evaluate project capabilities and incapability which include payback period, internal rate of return, net present value, discounted payback, profitability index, modified internal rate of return and accounting rate of return. During the decision-making process of the investment appraisal, three techniques will be adapted and implemented to indicate the better project to invest, these three techniques will be payback, accounted rate of return and net present value</w:t>
      </w:r>
    </w:p>
    <w:bookmarkEnd w:id="20"/>
    <w:p w14:paraId="57C8DF6A" w14:textId="77777777" w:rsidR="00B57F3E" w:rsidRPr="00B57F3E" w:rsidRDefault="00B57F3E" w:rsidP="00235420">
      <w:pPr>
        <w:spacing w:after="0" w:line="240" w:lineRule="auto"/>
        <w:jc w:val="both"/>
        <w:rPr>
          <w:rFonts w:eastAsiaTheme="minorEastAsia"/>
          <w:lang w:eastAsia="en-GB"/>
        </w:rPr>
      </w:pPr>
    </w:p>
    <w:p w14:paraId="502FBEF9" w14:textId="467EB2D9" w:rsidR="00B57F3E" w:rsidRPr="00B57F3E" w:rsidRDefault="00B57F3E" w:rsidP="00235420">
      <w:pPr>
        <w:keepNext/>
        <w:keepLines/>
        <w:spacing w:before="240" w:after="0" w:line="240" w:lineRule="auto"/>
        <w:jc w:val="both"/>
        <w:outlineLvl w:val="0"/>
        <w:rPr>
          <w:rFonts w:asciiTheme="majorHAnsi" w:eastAsiaTheme="majorEastAsia" w:hAnsiTheme="majorHAnsi" w:cstheme="majorBidi"/>
          <w:color w:val="2F5496" w:themeColor="accent1" w:themeShade="BF"/>
          <w:sz w:val="32"/>
          <w:szCs w:val="32"/>
          <w:lang w:eastAsia="en-GB"/>
        </w:rPr>
      </w:pPr>
      <w:bookmarkStart w:id="21" w:name="_Toc72677645"/>
      <w:r>
        <w:rPr>
          <w:rFonts w:asciiTheme="majorHAnsi" w:eastAsiaTheme="majorEastAsia" w:hAnsiTheme="majorHAnsi" w:cstheme="majorBidi"/>
          <w:color w:val="2F5496" w:themeColor="accent1" w:themeShade="BF"/>
          <w:sz w:val="32"/>
          <w:szCs w:val="32"/>
          <w:lang w:eastAsia="en-GB"/>
        </w:rPr>
        <w:t>4</w:t>
      </w:r>
      <w:r w:rsidRPr="00B57F3E">
        <w:rPr>
          <w:rFonts w:asciiTheme="majorHAnsi" w:eastAsiaTheme="majorEastAsia" w:hAnsiTheme="majorHAnsi" w:cstheme="majorBidi"/>
          <w:color w:val="2F5496" w:themeColor="accent1" w:themeShade="BF"/>
          <w:sz w:val="32"/>
          <w:szCs w:val="32"/>
          <w:lang w:eastAsia="en-GB"/>
        </w:rPr>
        <w:t>.1 Traditional Methods of Investment Appraisal</w:t>
      </w:r>
      <w:bookmarkEnd w:id="21"/>
      <w:r w:rsidRPr="00B57F3E">
        <w:rPr>
          <w:rFonts w:asciiTheme="majorHAnsi" w:eastAsiaTheme="majorEastAsia" w:hAnsiTheme="majorHAnsi" w:cstheme="majorBidi"/>
          <w:color w:val="2F5496" w:themeColor="accent1" w:themeShade="BF"/>
          <w:sz w:val="32"/>
          <w:szCs w:val="32"/>
          <w:lang w:eastAsia="en-GB"/>
        </w:rPr>
        <w:t xml:space="preserve"> </w:t>
      </w:r>
    </w:p>
    <w:p w14:paraId="52BE2BA6"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According to Dedunu (2019), there are seven techniques which are used by Financial managers to evaluate project capabilities and incapability which include payback period, internal rate of return, net present value, discounted payback, profitability index, modified internal rate of return and accounting rate of return. During the decision-making process of the investment appraisal, three techniques will be adapted and implemented to indicate the better project to invest, these three techniques will be payback, accounted rate of return and net present value.</w:t>
      </w:r>
    </w:p>
    <w:p w14:paraId="649D6D4C" w14:textId="77777777" w:rsidR="00B57F3E" w:rsidRPr="00B57F3E" w:rsidRDefault="00B57F3E" w:rsidP="00235420">
      <w:pPr>
        <w:keepNext/>
        <w:keepLines/>
        <w:spacing w:before="40" w:after="0" w:line="240" w:lineRule="auto"/>
        <w:jc w:val="both"/>
        <w:outlineLvl w:val="1"/>
        <w:rPr>
          <w:rFonts w:asciiTheme="majorHAnsi" w:eastAsiaTheme="majorEastAsia" w:hAnsiTheme="majorHAnsi" w:cstheme="majorBidi"/>
          <w:color w:val="2F5496" w:themeColor="accent1" w:themeShade="BF"/>
          <w:sz w:val="26"/>
          <w:szCs w:val="26"/>
          <w:lang w:eastAsia="en-GB"/>
        </w:rPr>
      </w:pPr>
    </w:p>
    <w:p w14:paraId="0676EF54" w14:textId="3D92625B" w:rsidR="00B57F3E" w:rsidRDefault="00B57F3E" w:rsidP="00235420">
      <w:pPr>
        <w:keepNext/>
        <w:keepLines/>
        <w:spacing w:before="40" w:after="0" w:line="240" w:lineRule="auto"/>
        <w:jc w:val="both"/>
        <w:outlineLvl w:val="1"/>
        <w:rPr>
          <w:rFonts w:asciiTheme="majorHAnsi" w:eastAsiaTheme="majorEastAsia" w:hAnsiTheme="majorHAnsi" w:cstheme="majorBidi"/>
          <w:color w:val="2F5496" w:themeColor="accent1" w:themeShade="BF"/>
          <w:sz w:val="26"/>
          <w:szCs w:val="26"/>
          <w:lang w:eastAsia="en-GB"/>
        </w:rPr>
      </w:pPr>
      <w:bookmarkStart w:id="22" w:name="_Toc72677646"/>
      <w:r w:rsidRPr="00B57F3E">
        <w:rPr>
          <w:rFonts w:asciiTheme="majorHAnsi" w:eastAsiaTheme="majorEastAsia" w:hAnsiTheme="majorHAnsi" w:cstheme="majorBidi"/>
          <w:color w:val="2F5496" w:themeColor="accent1" w:themeShade="BF"/>
          <w:sz w:val="26"/>
          <w:szCs w:val="26"/>
          <w:lang w:eastAsia="en-GB"/>
        </w:rPr>
        <w:t>Payback Period</w:t>
      </w:r>
      <w:bookmarkEnd w:id="22"/>
    </w:p>
    <w:p w14:paraId="33D40C42" w14:textId="513F244C" w:rsidR="00943ECF" w:rsidRPr="00B57F3E" w:rsidRDefault="00943ECF" w:rsidP="00235420">
      <w:pPr>
        <w:jc w:val="both"/>
        <w:rPr>
          <w:lang w:eastAsia="en-GB"/>
        </w:rPr>
      </w:pPr>
      <w:r w:rsidRPr="00943ECF">
        <w:rPr>
          <w:lang w:eastAsia="en-GB"/>
        </w:rPr>
        <w:t xml:space="preserve">The payback length is the time it takes to recoup the price of the investment. Simply put, the payback duration is the time it takes for </w:t>
      </w:r>
      <w:r w:rsidR="00E97CE7" w:rsidRPr="00943ECF">
        <w:rPr>
          <w:lang w:eastAsia="en-GB"/>
        </w:rPr>
        <w:t>a</w:t>
      </w:r>
      <w:r w:rsidRPr="00943ECF">
        <w:rPr>
          <w:lang w:eastAsia="en-GB"/>
        </w:rPr>
        <w:t xml:space="preserve"> funding to attain its breakeven point. The desirability of </w:t>
      </w:r>
      <w:r w:rsidR="00E97CE7" w:rsidRPr="00943ECF">
        <w:rPr>
          <w:lang w:eastAsia="en-GB"/>
        </w:rPr>
        <w:t>a</w:t>
      </w:r>
      <w:r w:rsidRPr="00943ECF">
        <w:rPr>
          <w:lang w:eastAsia="en-GB"/>
        </w:rPr>
        <w:t xml:space="preserve"> funding is directly related to its payback period. Shorter paybacks mean greater captivating investments</w:t>
      </w:r>
      <w:r>
        <w:rPr>
          <w:lang w:eastAsia="en-GB"/>
        </w:rPr>
        <w:t xml:space="preserve"> (Kagan, 2021)</w:t>
      </w:r>
      <w:r w:rsidRPr="00943ECF">
        <w:rPr>
          <w:lang w:eastAsia="en-GB"/>
        </w:rPr>
        <w:t>.</w:t>
      </w:r>
    </w:p>
    <w:p w14:paraId="1BC82084" w14:textId="31E3F82C" w:rsidR="00B57F3E" w:rsidRDefault="00B57F3E" w:rsidP="00235420">
      <w:pPr>
        <w:keepNext/>
        <w:keepLines/>
        <w:spacing w:before="40" w:after="0" w:line="240" w:lineRule="auto"/>
        <w:jc w:val="both"/>
        <w:outlineLvl w:val="1"/>
        <w:rPr>
          <w:rFonts w:asciiTheme="majorHAnsi" w:eastAsiaTheme="majorEastAsia" w:hAnsiTheme="majorHAnsi" w:cstheme="majorBidi"/>
          <w:color w:val="2F5496" w:themeColor="accent1" w:themeShade="BF"/>
          <w:sz w:val="26"/>
          <w:szCs w:val="26"/>
          <w:lang w:eastAsia="en-GB"/>
        </w:rPr>
      </w:pPr>
      <w:bookmarkStart w:id="23" w:name="_Toc72677647"/>
      <w:r w:rsidRPr="00B57F3E">
        <w:rPr>
          <w:rFonts w:asciiTheme="majorHAnsi" w:eastAsiaTheme="majorEastAsia" w:hAnsiTheme="majorHAnsi" w:cstheme="majorBidi"/>
          <w:color w:val="2F5496" w:themeColor="accent1" w:themeShade="BF"/>
          <w:sz w:val="26"/>
          <w:szCs w:val="26"/>
          <w:lang w:eastAsia="en-GB"/>
        </w:rPr>
        <w:t>Accounting Rate of Return</w:t>
      </w:r>
      <w:bookmarkEnd w:id="23"/>
      <w:r w:rsidRPr="00B57F3E">
        <w:rPr>
          <w:rFonts w:asciiTheme="majorHAnsi" w:eastAsiaTheme="majorEastAsia" w:hAnsiTheme="majorHAnsi" w:cstheme="majorBidi"/>
          <w:color w:val="2F5496" w:themeColor="accent1" w:themeShade="BF"/>
          <w:sz w:val="26"/>
          <w:szCs w:val="26"/>
          <w:lang w:eastAsia="en-GB"/>
        </w:rPr>
        <w:t xml:space="preserve"> </w:t>
      </w:r>
    </w:p>
    <w:p w14:paraId="11B47063" w14:textId="794656A2" w:rsidR="00943ECF" w:rsidRPr="00B57F3E" w:rsidRDefault="00943ECF" w:rsidP="00235420">
      <w:pPr>
        <w:jc w:val="both"/>
        <w:rPr>
          <w:lang w:eastAsia="en-GB"/>
        </w:rPr>
      </w:pPr>
      <w:r w:rsidRPr="00943ECF">
        <w:rPr>
          <w:lang w:eastAsia="en-GB"/>
        </w:rPr>
        <w:t>Accounting rate of return (ARR) is the average net income expected to generate from an asset divided by its average cost of capital (expressed as an annual percentage). ARR is a formula used to make capital budgeting decisions. It is used when the company decides whether to invest in assets (projects, acquisitions, etc.) based on the expected future net income and the cost of capital</w:t>
      </w:r>
      <w:r>
        <w:rPr>
          <w:lang w:eastAsia="en-GB"/>
        </w:rPr>
        <w:t xml:space="preserve"> (Corporate finance Institute, 2021).</w:t>
      </w:r>
    </w:p>
    <w:p w14:paraId="679427DD" w14:textId="77777777" w:rsidR="00B57F3E" w:rsidRPr="00B57F3E" w:rsidRDefault="00B57F3E" w:rsidP="00235420">
      <w:pPr>
        <w:keepNext/>
        <w:keepLines/>
        <w:spacing w:before="40" w:after="0" w:line="240" w:lineRule="auto"/>
        <w:jc w:val="both"/>
        <w:outlineLvl w:val="1"/>
        <w:rPr>
          <w:rFonts w:asciiTheme="majorHAnsi" w:eastAsiaTheme="majorEastAsia" w:hAnsiTheme="majorHAnsi" w:cstheme="majorBidi"/>
          <w:color w:val="2F5496" w:themeColor="accent1" w:themeShade="BF"/>
          <w:sz w:val="26"/>
          <w:szCs w:val="26"/>
          <w:lang w:eastAsia="en-GB"/>
        </w:rPr>
      </w:pPr>
      <w:bookmarkStart w:id="24" w:name="_Toc72677648"/>
      <w:r w:rsidRPr="00B57F3E">
        <w:rPr>
          <w:rFonts w:asciiTheme="majorHAnsi" w:eastAsiaTheme="majorEastAsia" w:hAnsiTheme="majorHAnsi" w:cstheme="majorBidi"/>
          <w:color w:val="2F5496" w:themeColor="accent1" w:themeShade="BF"/>
          <w:sz w:val="26"/>
          <w:szCs w:val="26"/>
          <w:lang w:eastAsia="en-GB"/>
        </w:rPr>
        <w:t>Net Present Value</w:t>
      </w:r>
      <w:bookmarkEnd w:id="24"/>
    </w:p>
    <w:p w14:paraId="39CA472A" w14:textId="54FBB1D0" w:rsidR="00B57F3E" w:rsidRPr="00B57F3E" w:rsidRDefault="009273DF" w:rsidP="00235420">
      <w:pPr>
        <w:spacing w:after="0" w:line="240" w:lineRule="auto"/>
        <w:jc w:val="both"/>
        <w:rPr>
          <w:rFonts w:eastAsiaTheme="minorEastAsia"/>
          <w:lang w:eastAsia="en-GB"/>
        </w:rPr>
      </w:pPr>
      <w:r w:rsidRPr="009273DF">
        <w:rPr>
          <w:rFonts w:eastAsiaTheme="minorEastAsia"/>
          <w:lang w:eastAsia="en-GB"/>
        </w:rPr>
        <w:t>Accounting rate of return (ARR) is the average net income expected to generate from an asset divided by its average cost of capital (expressed as an annual percentage).</w:t>
      </w:r>
      <w:r>
        <w:rPr>
          <w:rFonts w:eastAsiaTheme="minorEastAsia"/>
          <w:lang w:eastAsia="en-GB"/>
        </w:rPr>
        <w:t xml:space="preserve"> </w:t>
      </w:r>
      <w:r w:rsidRPr="009273DF">
        <w:rPr>
          <w:rFonts w:eastAsiaTheme="minorEastAsia"/>
          <w:lang w:eastAsia="en-GB"/>
        </w:rPr>
        <w:t>ARR is a formula used to make capital budgeting decisions.</w:t>
      </w:r>
      <w:r>
        <w:rPr>
          <w:rFonts w:eastAsiaTheme="minorEastAsia"/>
          <w:lang w:eastAsia="en-GB"/>
        </w:rPr>
        <w:t xml:space="preserve"> </w:t>
      </w:r>
      <w:r w:rsidRPr="009273DF">
        <w:rPr>
          <w:rFonts w:eastAsiaTheme="minorEastAsia"/>
          <w:lang w:eastAsia="en-GB"/>
        </w:rPr>
        <w:t>It is used when the company decides whether to invest in assets (projects, acquisitions, etc.) based on the expected future net income and the cost of capital</w:t>
      </w:r>
      <w:r>
        <w:rPr>
          <w:rFonts w:eastAsiaTheme="minorEastAsia"/>
          <w:lang w:eastAsia="en-GB"/>
        </w:rPr>
        <w:t xml:space="preserve"> (Ong and </w:t>
      </w:r>
      <w:r w:rsidR="00E97CE7">
        <w:rPr>
          <w:rFonts w:eastAsiaTheme="minorEastAsia"/>
          <w:lang w:eastAsia="en-GB"/>
        </w:rPr>
        <w:t>Thump</w:t>
      </w:r>
      <w:r>
        <w:rPr>
          <w:rFonts w:eastAsiaTheme="minorEastAsia"/>
          <w:lang w:eastAsia="en-GB"/>
        </w:rPr>
        <w:t>, 2013)</w:t>
      </w:r>
      <w:r w:rsidRPr="009273DF">
        <w:rPr>
          <w:rFonts w:eastAsiaTheme="minorEastAsia"/>
          <w:lang w:eastAsia="en-GB"/>
        </w:rPr>
        <w:t>.</w:t>
      </w:r>
    </w:p>
    <w:p w14:paraId="2018F618" w14:textId="69AFC6AD" w:rsidR="00B57F3E" w:rsidRPr="00B57F3E" w:rsidRDefault="00B57F3E" w:rsidP="00235420">
      <w:pPr>
        <w:keepNext/>
        <w:keepLines/>
        <w:spacing w:before="240" w:after="0" w:line="240" w:lineRule="auto"/>
        <w:jc w:val="both"/>
        <w:outlineLvl w:val="0"/>
        <w:rPr>
          <w:rFonts w:asciiTheme="majorHAnsi" w:eastAsiaTheme="majorEastAsia" w:hAnsiTheme="majorHAnsi" w:cstheme="majorBidi"/>
          <w:color w:val="2F5496" w:themeColor="accent1" w:themeShade="BF"/>
          <w:sz w:val="32"/>
          <w:szCs w:val="32"/>
          <w:lang w:eastAsia="en-GB"/>
        </w:rPr>
      </w:pPr>
      <w:bookmarkStart w:id="25" w:name="_Toc72677649"/>
      <w:r>
        <w:rPr>
          <w:rFonts w:asciiTheme="majorHAnsi" w:eastAsiaTheme="majorEastAsia" w:hAnsiTheme="majorHAnsi" w:cstheme="majorBidi"/>
          <w:color w:val="2F5496" w:themeColor="accent1" w:themeShade="BF"/>
          <w:sz w:val="32"/>
          <w:szCs w:val="32"/>
          <w:lang w:eastAsia="en-GB"/>
        </w:rPr>
        <w:t>4</w:t>
      </w:r>
      <w:r w:rsidRPr="00B57F3E">
        <w:rPr>
          <w:rFonts w:asciiTheme="majorHAnsi" w:eastAsiaTheme="majorEastAsia" w:hAnsiTheme="majorHAnsi" w:cstheme="majorBidi"/>
          <w:color w:val="2F5496" w:themeColor="accent1" w:themeShade="BF"/>
          <w:sz w:val="32"/>
          <w:szCs w:val="32"/>
          <w:lang w:eastAsia="en-GB"/>
        </w:rPr>
        <w:t>.2 Project investment appraisal for Tesco</w:t>
      </w:r>
      <w:bookmarkEnd w:id="25"/>
      <w:r w:rsidRPr="00B57F3E">
        <w:rPr>
          <w:rFonts w:asciiTheme="majorHAnsi" w:eastAsiaTheme="majorEastAsia" w:hAnsiTheme="majorHAnsi" w:cstheme="majorBidi"/>
          <w:color w:val="2F5496" w:themeColor="accent1" w:themeShade="BF"/>
          <w:sz w:val="32"/>
          <w:szCs w:val="32"/>
          <w:lang w:eastAsia="en-GB"/>
        </w:rPr>
        <w:t xml:space="preserve"> </w:t>
      </w:r>
    </w:p>
    <w:p w14:paraId="78A5B668"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 xml:space="preserve">The investment appraisal that will be shown below in a stage-by-stage process is for two projects that Tesco have been researching. </w:t>
      </w:r>
    </w:p>
    <w:p w14:paraId="08539CC2" w14:textId="77777777" w:rsidR="00B57F3E" w:rsidRPr="00B57F3E" w:rsidRDefault="00B57F3E" w:rsidP="00235420">
      <w:pPr>
        <w:spacing w:after="0" w:line="240" w:lineRule="auto"/>
        <w:jc w:val="both"/>
        <w:rPr>
          <w:rFonts w:eastAsiaTheme="minorEastAsia"/>
          <w:lang w:eastAsia="en-GB"/>
        </w:rPr>
      </w:pPr>
      <w:bookmarkStart w:id="26" w:name="_Hlk72592387"/>
      <w:r w:rsidRPr="00B57F3E">
        <w:rPr>
          <w:rFonts w:eastAsiaTheme="minorEastAsia"/>
          <w:lang w:eastAsia="en-GB"/>
        </w:rPr>
        <w:t>The first investment appraisal is for project A. Project A, is an investment for digital price tags instore. Digital price tags will allow the prices on the shelves instore, to be automatically updated when prices change, and new promotions are offered. This will increase the brands image as fashionable store which is up to date with the latest technology. It will also stop confusion regarding prices which have been changed and can show customers the amount they save on the product compared to competitors.</w:t>
      </w:r>
    </w:p>
    <w:bookmarkEnd w:id="26"/>
    <w:p w14:paraId="0AB18463"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The second investment appraisal is for Project B. project B, is an investment to introduce QR codes on Tesco brand products. This will allow customers to check the info digitally regarding the products production date, ingredients, expiry date and more. This investment is beneficial for customers who have allergies or want to check for suitable ingredients and calories.</w:t>
      </w:r>
    </w:p>
    <w:p w14:paraId="57308F7F"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These two promising projects are mutually exclusive, meaning only one can be selected and the details for both projects are listed below.</w:t>
      </w:r>
    </w:p>
    <w:p w14:paraId="7CFDEA8D" w14:textId="77777777" w:rsidR="00B57F3E" w:rsidRPr="00B57F3E" w:rsidRDefault="00B57F3E" w:rsidP="00B57F3E">
      <w:pPr>
        <w:spacing w:after="0" w:line="240" w:lineRule="auto"/>
        <w:rPr>
          <w:rFonts w:eastAsiaTheme="minorEastAsia"/>
          <w:lang w:eastAsia="en-GB"/>
        </w:rPr>
      </w:pPr>
    </w:p>
    <w:tbl>
      <w:tblPr>
        <w:tblStyle w:val="GridTable5Dark-Accent1"/>
        <w:tblW w:w="0" w:type="auto"/>
        <w:tblLook w:val="04A0" w:firstRow="1" w:lastRow="0" w:firstColumn="1" w:lastColumn="0" w:noHBand="0" w:noVBand="1"/>
      </w:tblPr>
      <w:tblGrid>
        <w:gridCol w:w="1803"/>
        <w:gridCol w:w="1803"/>
        <w:gridCol w:w="1803"/>
        <w:gridCol w:w="1803"/>
      </w:tblGrid>
      <w:tr w:rsidR="00B57F3E" w:rsidRPr="00B57F3E" w14:paraId="371A77D3"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12" w:type="dxa"/>
            <w:gridSpan w:val="4"/>
          </w:tcPr>
          <w:p w14:paraId="341C273F" w14:textId="77777777" w:rsidR="00B57F3E" w:rsidRPr="00B57F3E" w:rsidRDefault="00B57F3E" w:rsidP="00B57F3E">
            <w:pPr>
              <w:jc w:val="center"/>
            </w:pPr>
            <w:r w:rsidRPr="00B57F3E">
              <w:t>Investment Details for Project A and Project B</w:t>
            </w:r>
          </w:p>
        </w:tc>
      </w:tr>
      <w:tr w:rsidR="00B57F3E" w:rsidRPr="00B57F3E" w14:paraId="78EADB94"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D73AEA0" w14:textId="77777777" w:rsidR="00B57F3E" w:rsidRPr="00B57F3E" w:rsidRDefault="00B57F3E" w:rsidP="00B57F3E">
            <w:r w:rsidRPr="00B57F3E">
              <w:t>Year</w:t>
            </w:r>
          </w:p>
        </w:tc>
        <w:tc>
          <w:tcPr>
            <w:tcW w:w="1803" w:type="dxa"/>
          </w:tcPr>
          <w:p w14:paraId="29FEE2DA"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Type of payment</w:t>
            </w:r>
          </w:p>
        </w:tc>
        <w:tc>
          <w:tcPr>
            <w:tcW w:w="1803" w:type="dxa"/>
          </w:tcPr>
          <w:p w14:paraId="32519DE9"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Project A (£m)</w:t>
            </w:r>
          </w:p>
        </w:tc>
        <w:tc>
          <w:tcPr>
            <w:tcW w:w="1803" w:type="dxa"/>
          </w:tcPr>
          <w:p w14:paraId="0023CFE3"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Project B (£m)</w:t>
            </w:r>
          </w:p>
        </w:tc>
      </w:tr>
      <w:tr w:rsidR="00B57F3E" w:rsidRPr="00B57F3E" w14:paraId="36D3556F" w14:textId="77777777" w:rsidTr="00B57F3E">
        <w:tc>
          <w:tcPr>
            <w:cnfStyle w:val="001000000000" w:firstRow="0" w:lastRow="0" w:firstColumn="1" w:lastColumn="0" w:oddVBand="0" w:evenVBand="0" w:oddHBand="0" w:evenHBand="0" w:firstRowFirstColumn="0" w:firstRowLastColumn="0" w:lastRowFirstColumn="0" w:lastRowLastColumn="0"/>
            <w:tcW w:w="1803" w:type="dxa"/>
          </w:tcPr>
          <w:p w14:paraId="64F6ABBC" w14:textId="77777777" w:rsidR="00B57F3E" w:rsidRPr="00B57F3E" w:rsidRDefault="00B57F3E" w:rsidP="00B57F3E">
            <w:r w:rsidRPr="00B57F3E">
              <w:t>0</w:t>
            </w:r>
          </w:p>
        </w:tc>
        <w:tc>
          <w:tcPr>
            <w:tcW w:w="1803" w:type="dxa"/>
          </w:tcPr>
          <w:p w14:paraId="662733F8"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 xml:space="preserve">Initial investment </w:t>
            </w:r>
          </w:p>
        </w:tc>
        <w:tc>
          <w:tcPr>
            <w:tcW w:w="1803" w:type="dxa"/>
          </w:tcPr>
          <w:p w14:paraId="0901A7C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-80</w:t>
            </w:r>
          </w:p>
        </w:tc>
        <w:tc>
          <w:tcPr>
            <w:tcW w:w="1803" w:type="dxa"/>
          </w:tcPr>
          <w:p w14:paraId="1F8E72B5"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-75</w:t>
            </w:r>
          </w:p>
        </w:tc>
      </w:tr>
      <w:tr w:rsidR="00B57F3E" w:rsidRPr="00B57F3E" w14:paraId="32036368"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4814855" w14:textId="77777777" w:rsidR="00B57F3E" w:rsidRPr="00B57F3E" w:rsidRDefault="00B57F3E" w:rsidP="00B57F3E">
            <w:r w:rsidRPr="00B57F3E">
              <w:t>1</w:t>
            </w:r>
          </w:p>
        </w:tc>
        <w:tc>
          <w:tcPr>
            <w:tcW w:w="1803" w:type="dxa"/>
          </w:tcPr>
          <w:p w14:paraId="4EC0C9E2"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Cash Inflow</w:t>
            </w:r>
          </w:p>
        </w:tc>
        <w:tc>
          <w:tcPr>
            <w:tcW w:w="1803" w:type="dxa"/>
          </w:tcPr>
          <w:p w14:paraId="550DB73F"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25</w:t>
            </w:r>
          </w:p>
        </w:tc>
        <w:tc>
          <w:tcPr>
            <w:tcW w:w="1803" w:type="dxa"/>
          </w:tcPr>
          <w:p w14:paraId="0A3BC50E"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50</w:t>
            </w:r>
          </w:p>
        </w:tc>
      </w:tr>
      <w:tr w:rsidR="00B57F3E" w:rsidRPr="00B57F3E" w14:paraId="5A37B605" w14:textId="77777777" w:rsidTr="00B57F3E">
        <w:tc>
          <w:tcPr>
            <w:cnfStyle w:val="001000000000" w:firstRow="0" w:lastRow="0" w:firstColumn="1" w:lastColumn="0" w:oddVBand="0" w:evenVBand="0" w:oddHBand="0" w:evenHBand="0" w:firstRowFirstColumn="0" w:firstRowLastColumn="0" w:lastRowFirstColumn="0" w:lastRowLastColumn="0"/>
            <w:tcW w:w="1803" w:type="dxa"/>
          </w:tcPr>
          <w:p w14:paraId="470964E6" w14:textId="77777777" w:rsidR="00B57F3E" w:rsidRPr="00B57F3E" w:rsidRDefault="00B57F3E" w:rsidP="00B57F3E">
            <w:r w:rsidRPr="00B57F3E">
              <w:t>2</w:t>
            </w:r>
          </w:p>
        </w:tc>
        <w:tc>
          <w:tcPr>
            <w:tcW w:w="1803" w:type="dxa"/>
          </w:tcPr>
          <w:p w14:paraId="4E709668"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Cash Inflow</w:t>
            </w:r>
          </w:p>
        </w:tc>
        <w:tc>
          <w:tcPr>
            <w:tcW w:w="1803" w:type="dxa"/>
          </w:tcPr>
          <w:p w14:paraId="5046FF3A"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25</w:t>
            </w:r>
          </w:p>
        </w:tc>
        <w:tc>
          <w:tcPr>
            <w:tcW w:w="1803" w:type="dxa"/>
          </w:tcPr>
          <w:p w14:paraId="4EBA400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20</w:t>
            </w:r>
          </w:p>
        </w:tc>
      </w:tr>
      <w:tr w:rsidR="00B57F3E" w:rsidRPr="00B57F3E" w14:paraId="00F97962"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264EB75C" w14:textId="77777777" w:rsidR="00B57F3E" w:rsidRPr="00B57F3E" w:rsidRDefault="00B57F3E" w:rsidP="00B57F3E">
            <w:r w:rsidRPr="00B57F3E">
              <w:t>3</w:t>
            </w:r>
          </w:p>
        </w:tc>
        <w:tc>
          <w:tcPr>
            <w:tcW w:w="1803" w:type="dxa"/>
          </w:tcPr>
          <w:p w14:paraId="34DCFA39"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Cash Inflow</w:t>
            </w:r>
          </w:p>
        </w:tc>
        <w:tc>
          <w:tcPr>
            <w:tcW w:w="1803" w:type="dxa"/>
          </w:tcPr>
          <w:p w14:paraId="1C782038"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20</w:t>
            </w:r>
          </w:p>
        </w:tc>
        <w:tc>
          <w:tcPr>
            <w:tcW w:w="1803" w:type="dxa"/>
          </w:tcPr>
          <w:p w14:paraId="4778D112"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20</w:t>
            </w:r>
          </w:p>
        </w:tc>
      </w:tr>
      <w:tr w:rsidR="00B57F3E" w:rsidRPr="00B57F3E" w14:paraId="5F04ACDB" w14:textId="77777777" w:rsidTr="00B57F3E">
        <w:tc>
          <w:tcPr>
            <w:cnfStyle w:val="001000000000" w:firstRow="0" w:lastRow="0" w:firstColumn="1" w:lastColumn="0" w:oddVBand="0" w:evenVBand="0" w:oddHBand="0" w:evenHBand="0" w:firstRowFirstColumn="0" w:firstRowLastColumn="0" w:lastRowFirstColumn="0" w:lastRowLastColumn="0"/>
            <w:tcW w:w="1803" w:type="dxa"/>
          </w:tcPr>
          <w:p w14:paraId="7DB24FE8" w14:textId="77777777" w:rsidR="00B57F3E" w:rsidRPr="00B57F3E" w:rsidRDefault="00B57F3E" w:rsidP="00B57F3E">
            <w:r w:rsidRPr="00B57F3E">
              <w:t>4</w:t>
            </w:r>
          </w:p>
        </w:tc>
        <w:tc>
          <w:tcPr>
            <w:tcW w:w="1803" w:type="dxa"/>
          </w:tcPr>
          <w:p w14:paraId="3CB0770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Cash Inflow</w:t>
            </w:r>
          </w:p>
        </w:tc>
        <w:tc>
          <w:tcPr>
            <w:tcW w:w="1803" w:type="dxa"/>
          </w:tcPr>
          <w:p w14:paraId="58D36E1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45</w:t>
            </w:r>
          </w:p>
        </w:tc>
        <w:tc>
          <w:tcPr>
            <w:tcW w:w="1803" w:type="dxa"/>
          </w:tcPr>
          <w:p w14:paraId="4233F9D8"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10</w:t>
            </w:r>
          </w:p>
        </w:tc>
      </w:tr>
      <w:tr w:rsidR="00B57F3E" w:rsidRPr="00B57F3E" w14:paraId="27BE778F"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12" w:type="dxa"/>
            <w:gridSpan w:val="4"/>
          </w:tcPr>
          <w:p w14:paraId="51684225" w14:textId="77777777" w:rsidR="00B57F3E" w:rsidRPr="00B57F3E" w:rsidRDefault="00B57F3E" w:rsidP="00B57F3E"/>
        </w:tc>
      </w:tr>
      <w:tr w:rsidR="00B57F3E" w:rsidRPr="00B57F3E" w14:paraId="267B88FB" w14:textId="77777777" w:rsidTr="00B57F3E">
        <w:tc>
          <w:tcPr>
            <w:cnfStyle w:val="001000000000" w:firstRow="0" w:lastRow="0" w:firstColumn="1" w:lastColumn="0" w:oddVBand="0" w:evenVBand="0" w:oddHBand="0" w:evenHBand="0" w:firstRowFirstColumn="0" w:firstRowLastColumn="0" w:lastRowFirstColumn="0" w:lastRowLastColumn="0"/>
            <w:tcW w:w="7212" w:type="dxa"/>
            <w:gridSpan w:val="4"/>
          </w:tcPr>
          <w:p w14:paraId="50FD74ED" w14:textId="77777777" w:rsidR="00B57F3E" w:rsidRPr="00B57F3E" w:rsidRDefault="00B57F3E" w:rsidP="00B57F3E">
            <w:r w:rsidRPr="00B57F3E">
              <w:t>Tesco Cost of Capital is currently 9.75%</w:t>
            </w:r>
          </w:p>
        </w:tc>
      </w:tr>
      <w:tr w:rsidR="00B57F3E" w:rsidRPr="00B57F3E" w14:paraId="5BA6A408"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12" w:type="dxa"/>
            <w:gridSpan w:val="4"/>
          </w:tcPr>
          <w:p w14:paraId="6C42D9B3" w14:textId="77777777" w:rsidR="00B57F3E" w:rsidRPr="00B57F3E" w:rsidRDefault="00B57F3E" w:rsidP="00B57F3E">
            <w:r w:rsidRPr="00B57F3E">
              <w:t>The projects have a £10m residual value after year 4</w:t>
            </w:r>
          </w:p>
        </w:tc>
      </w:tr>
      <w:tr w:rsidR="00B57F3E" w:rsidRPr="00B57F3E" w14:paraId="6182E831" w14:textId="77777777" w:rsidTr="00B57F3E">
        <w:tc>
          <w:tcPr>
            <w:cnfStyle w:val="001000000000" w:firstRow="0" w:lastRow="0" w:firstColumn="1" w:lastColumn="0" w:oddVBand="0" w:evenVBand="0" w:oddHBand="0" w:evenHBand="0" w:firstRowFirstColumn="0" w:firstRowLastColumn="0" w:lastRowFirstColumn="0" w:lastRowLastColumn="0"/>
            <w:tcW w:w="7212" w:type="dxa"/>
            <w:gridSpan w:val="4"/>
          </w:tcPr>
          <w:p w14:paraId="22EFB86D" w14:textId="77777777" w:rsidR="00B57F3E" w:rsidRPr="00B57F3E" w:rsidRDefault="00B57F3E" w:rsidP="00B57F3E">
            <w:r w:rsidRPr="00B57F3E">
              <w:t>All cash inflows are annual, taxation and inflation should be ignored</w:t>
            </w:r>
          </w:p>
        </w:tc>
      </w:tr>
    </w:tbl>
    <w:p w14:paraId="76127B49" w14:textId="77777777" w:rsidR="00B57F3E" w:rsidRPr="00B57F3E" w:rsidRDefault="00B57F3E" w:rsidP="00B57F3E">
      <w:pPr>
        <w:spacing w:after="0" w:line="240" w:lineRule="auto"/>
        <w:rPr>
          <w:rFonts w:eastAsiaTheme="minorEastAsia"/>
          <w:lang w:eastAsia="en-GB"/>
        </w:rPr>
      </w:pPr>
    </w:p>
    <w:p w14:paraId="3E109768" w14:textId="38917EE8" w:rsidR="00B57F3E" w:rsidRPr="00B57F3E" w:rsidRDefault="00B57F3E" w:rsidP="00235420">
      <w:pPr>
        <w:keepNext/>
        <w:keepLines/>
        <w:spacing w:before="240" w:after="0" w:line="240" w:lineRule="auto"/>
        <w:jc w:val="both"/>
        <w:outlineLvl w:val="0"/>
        <w:rPr>
          <w:rFonts w:asciiTheme="majorHAnsi" w:eastAsiaTheme="majorEastAsia" w:hAnsiTheme="majorHAnsi" w:cstheme="majorBidi"/>
          <w:color w:val="2F5496" w:themeColor="accent1" w:themeShade="BF"/>
          <w:sz w:val="32"/>
          <w:szCs w:val="32"/>
          <w:lang w:eastAsia="en-GB"/>
        </w:rPr>
      </w:pPr>
      <w:bookmarkStart w:id="27" w:name="_Toc72677650"/>
      <w:bookmarkStart w:id="28" w:name="_Hlk72592761"/>
      <w:r>
        <w:rPr>
          <w:rFonts w:asciiTheme="majorHAnsi" w:eastAsiaTheme="majorEastAsia" w:hAnsiTheme="majorHAnsi" w:cstheme="majorBidi"/>
          <w:color w:val="2F5496" w:themeColor="accent1" w:themeShade="BF"/>
          <w:sz w:val="32"/>
          <w:szCs w:val="32"/>
          <w:lang w:eastAsia="en-GB"/>
        </w:rPr>
        <w:t>4</w:t>
      </w:r>
      <w:r w:rsidRPr="00B57F3E">
        <w:rPr>
          <w:rFonts w:asciiTheme="majorHAnsi" w:eastAsiaTheme="majorEastAsia" w:hAnsiTheme="majorHAnsi" w:cstheme="majorBidi"/>
          <w:color w:val="2F5496" w:themeColor="accent1" w:themeShade="BF"/>
          <w:sz w:val="32"/>
          <w:szCs w:val="32"/>
          <w:lang w:eastAsia="en-GB"/>
        </w:rPr>
        <w:t>.3 Investment A Results – Digital Price tags</w:t>
      </w:r>
      <w:bookmarkEnd w:id="27"/>
      <w:r w:rsidRPr="00B57F3E">
        <w:rPr>
          <w:rFonts w:asciiTheme="majorHAnsi" w:eastAsiaTheme="majorEastAsia" w:hAnsiTheme="majorHAnsi" w:cstheme="majorBidi"/>
          <w:color w:val="2F5496" w:themeColor="accent1" w:themeShade="BF"/>
          <w:sz w:val="32"/>
          <w:szCs w:val="32"/>
          <w:lang w:eastAsia="en-GB"/>
        </w:rPr>
        <w:t xml:space="preserve"> </w:t>
      </w:r>
    </w:p>
    <w:bookmarkEnd w:id="28"/>
    <w:p w14:paraId="1D8D3C3D"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The first investment appraisal is for project A. Project A, is an investment for digital price tags instore. Digital price tags will allow the prices on the shelves instore, to be automatically updated when prices change, and new promotions are offered. This will increase the brands image as fashionable store which is up to date with the latest technology. It will also stop confusion regarding prices which have been changed and can show customers the amount they save on the product compared to competitors.</w:t>
      </w:r>
    </w:p>
    <w:p w14:paraId="4E4CA043"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The results for Tesco Digital Price Tags are shown below.</w:t>
      </w:r>
    </w:p>
    <w:p w14:paraId="6CAD1BB4" w14:textId="77777777" w:rsidR="00B57F3E" w:rsidRPr="00B57F3E" w:rsidRDefault="00B57F3E" w:rsidP="00B57F3E">
      <w:pPr>
        <w:spacing w:after="0" w:line="240" w:lineRule="auto"/>
        <w:rPr>
          <w:rFonts w:eastAsiaTheme="minorEastAsia"/>
          <w:lang w:eastAsia="en-GB"/>
        </w:rPr>
      </w:pPr>
    </w:p>
    <w:tbl>
      <w:tblPr>
        <w:tblStyle w:val="GridTable5Dark-Accent1"/>
        <w:tblW w:w="9052" w:type="dxa"/>
        <w:tblLook w:val="04A0" w:firstRow="1" w:lastRow="0" w:firstColumn="1" w:lastColumn="0" w:noHBand="0" w:noVBand="1"/>
      </w:tblPr>
      <w:tblGrid>
        <w:gridCol w:w="3017"/>
        <w:gridCol w:w="3017"/>
        <w:gridCol w:w="3018"/>
      </w:tblGrid>
      <w:tr w:rsidR="00B57F3E" w:rsidRPr="00B57F3E" w14:paraId="2C72ACA9" w14:textId="77777777" w:rsidTr="00B57F3E">
        <w:trPr>
          <w:cnfStyle w:val="100000000000" w:firstRow="1" w:lastRow="0" w:firstColumn="0" w:lastColumn="0" w:oddVBand="0" w:evenVBand="0" w:oddHBand="0"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9052" w:type="dxa"/>
            <w:gridSpan w:val="3"/>
          </w:tcPr>
          <w:p w14:paraId="480CC1C6" w14:textId="77777777" w:rsidR="00B57F3E" w:rsidRPr="00B57F3E" w:rsidRDefault="00B57F3E" w:rsidP="00B57F3E">
            <w:pPr>
              <w:jc w:val="center"/>
            </w:pPr>
            <w:r w:rsidRPr="00B57F3E">
              <w:t>Payback Period – Project A (£m)</w:t>
            </w:r>
          </w:p>
        </w:tc>
      </w:tr>
      <w:tr w:rsidR="00B57F3E" w:rsidRPr="00B57F3E" w14:paraId="2777813D" w14:textId="77777777" w:rsidTr="00B57F3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017" w:type="dxa"/>
          </w:tcPr>
          <w:p w14:paraId="4656A02B" w14:textId="77777777" w:rsidR="00B57F3E" w:rsidRPr="00B57F3E" w:rsidRDefault="00B57F3E" w:rsidP="00B57F3E">
            <w:r w:rsidRPr="00B57F3E">
              <w:t>Year</w:t>
            </w:r>
          </w:p>
        </w:tc>
        <w:tc>
          <w:tcPr>
            <w:tcW w:w="3017" w:type="dxa"/>
          </w:tcPr>
          <w:p w14:paraId="044B641F"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Cash Flow</w:t>
            </w:r>
          </w:p>
        </w:tc>
        <w:tc>
          <w:tcPr>
            <w:tcW w:w="3018" w:type="dxa"/>
          </w:tcPr>
          <w:p w14:paraId="5B4CAC36"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Cumulative Cash Flow</w:t>
            </w:r>
          </w:p>
        </w:tc>
      </w:tr>
      <w:tr w:rsidR="00B57F3E" w:rsidRPr="00B57F3E" w14:paraId="1CDCD7A2" w14:textId="77777777" w:rsidTr="00B57F3E">
        <w:trPr>
          <w:trHeight w:val="301"/>
        </w:trPr>
        <w:tc>
          <w:tcPr>
            <w:cnfStyle w:val="001000000000" w:firstRow="0" w:lastRow="0" w:firstColumn="1" w:lastColumn="0" w:oddVBand="0" w:evenVBand="0" w:oddHBand="0" w:evenHBand="0" w:firstRowFirstColumn="0" w:firstRowLastColumn="0" w:lastRowFirstColumn="0" w:lastRowLastColumn="0"/>
            <w:tcW w:w="3017" w:type="dxa"/>
          </w:tcPr>
          <w:p w14:paraId="2EA5D109" w14:textId="77777777" w:rsidR="00B57F3E" w:rsidRPr="00B57F3E" w:rsidRDefault="00B57F3E" w:rsidP="00B57F3E"/>
        </w:tc>
        <w:tc>
          <w:tcPr>
            <w:tcW w:w="3017" w:type="dxa"/>
          </w:tcPr>
          <w:p w14:paraId="2A5111E0"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3018" w:type="dxa"/>
          </w:tcPr>
          <w:p w14:paraId="03277C6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r>
      <w:tr w:rsidR="00B57F3E" w:rsidRPr="00B57F3E" w14:paraId="1B6C4A12" w14:textId="77777777" w:rsidTr="00B57F3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017" w:type="dxa"/>
          </w:tcPr>
          <w:p w14:paraId="5F49359F" w14:textId="77777777" w:rsidR="00B57F3E" w:rsidRPr="00B57F3E" w:rsidRDefault="00B57F3E" w:rsidP="00B57F3E">
            <w:bookmarkStart w:id="29" w:name="_Hlk72591707"/>
            <w:r w:rsidRPr="00B57F3E">
              <w:t>0</w:t>
            </w:r>
          </w:p>
        </w:tc>
        <w:tc>
          <w:tcPr>
            <w:tcW w:w="3017" w:type="dxa"/>
          </w:tcPr>
          <w:p w14:paraId="169B0874"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w:t>
            </w:r>
            <w:r w:rsidRPr="00B57F3E">
              <w:rPr>
                <w:color w:val="FF0000"/>
              </w:rPr>
              <w:t>80</w:t>
            </w:r>
          </w:p>
        </w:tc>
        <w:tc>
          <w:tcPr>
            <w:tcW w:w="3018" w:type="dxa"/>
          </w:tcPr>
          <w:p w14:paraId="54A00F00"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FF0000"/>
              </w:rPr>
            </w:pPr>
            <w:r w:rsidRPr="00B57F3E">
              <w:rPr>
                <w:color w:val="FF0000"/>
              </w:rPr>
              <w:t>-80</w:t>
            </w:r>
          </w:p>
        </w:tc>
      </w:tr>
      <w:tr w:rsidR="00B57F3E" w:rsidRPr="00B57F3E" w14:paraId="4FCA6A92" w14:textId="77777777" w:rsidTr="00B57F3E">
        <w:trPr>
          <w:trHeight w:val="317"/>
        </w:trPr>
        <w:tc>
          <w:tcPr>
            <w:cnfStyle w:val="001000000000" w:firstRow="0" w:lastRow="0" w:firstColumn="1" w:lastColumn="0" w:oddVBand="0" w:evenVBand="0" w:oddHBand="0" w:evenHBand="0" w:firstRowFirstColumn="0" w:firstRowLastColumn="0" w:lastRowFirstColumn="0" w:lastRowLastColumn="0"/>
            <w:tcW w:w="3017" w:type="dxa"/>
          </w:tcPr>
          <w:p w14:paraId="24624A90" w14:textId="77777777" w:rsidR="00B57F3E" w:rsidRPr="00B57F3E" w:rsidRDefault="00B57F3E" w:rsidP="00B57F3E">
            <w:r w:rsidRPr="00B57F3E">
              <w:t>1</w:t>
            </w:r>
          </w:p>
        </w:tc>
        <w:tc>
          <w:tcPr>
            <w:tcW w:w="3017" w:type="dxa"/>
          </w:tcPr>
          <w:p w14:paraId="69D34EBA"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70AD47" w:themeColor="accent6"/>
              </w:rPr>
            </w:pPr>
            <w:r w:rsidRPr="00B57F3E">
              <w:rPr>
                <w:color w:val="70AD47" w:themeColor="accent6"/>
              </w:rPr>
              <w:t>25</w:t>
            </w:r>
          </w:p>
        </w:tc>
        <w:tc>
          <w:tcPr>
            <w:tcW w:w="3018" w:type="dxa"/>
          </w:tcPr>
          <w:p w14:paraId="6A801C4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FF0000"/>
              </w:rPr>
            </w:pPr>
            <w:r w:rsidRPr="00B57F3E">
              <w:rPr>
                <w:color w:val="FF0000"/>
              </w:rPr>
              <w:t>-55</w:t>
            </w:r>
          </w:p>
        </w:tc>
      </w:tr>
      <w:tr w:rsidR="00B57F3E" w:rsidRPr="00B57F3E" w14:paraId="484E491F" w14:textId="77777777" w:rsidTr="00B57F3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3017" w:type="dxa"/>
          </w:tcPr>
          <w:p w14:paraId="23675083" w14:textId="77777777" w:rsidR="00B57F3E" w:rsidRPr="00B57F3E" w:rsidRDefault="00B57F3E" w:rsidP="00B57F3E">
            <w:r w:rsidRPr="00B57F3E">
              <w:t>2</w:t>
            </w:r>
          </w:p>
        </w:tc>
        <w:tc>
          <w:tcPr>
            <w:tcW w:w="3017" w:type="dxa"/>
          </w:tcPr>
          <w:p w14:paraId="4D887387"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25</w:t>
            </w:r>
          </w:p>
        </w:tc>
        <w:tc>
          <w:tcPr>
            <w:tcW w:w="3018" w:type="dxa"/>
          </w:tcPr>
          <w:p w14:paraId="06C4D5E4"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FF0000"/>
              </w:rPr>
            </w:pPr>
            <w:r w:rsidRPr="00B57F3E">
              <w:rPr>
                <w:color w:val="FF0000"/>
              </w:rPr>
              <w:t>-30</w:t>
            </w:r>
          </w:p>
        </w:tc>
      </w:tr>
      <w:tr w:rsidR="00B57F3E" w:rsidRPr="00B57F3E" w14:paraId="68BC94B7" w14:textId="77777777" w:rsidTr="00B57F3E">
        <w:trPr>
          <w:trHeight w:val="301"/>
        </w:trPr>
        <w:tc>
          <w:tcPr>
            <w:cnfStyle w:val="001000000000" w:firstRow="0" w:lastRow="0" w:firstColumn="1" w:lastColumn="0" w:oddVBand="0" w:evenVBand="0" w:oddHBand="0" w:evenHBand="0" w:firstRowFirstColumn="0" w:firstRowLastColumn="0" w:lastRowFirstColumn="0" w:lastRowLastColumn="0"/>
            <w:tcW w:w="3017" w:type="dxa"/>
          </w:tcPr>
          <w:p w14:paraId="7E57F410" w14:textId="77777777" w:rsidR="00B57F3E" w:rsidRPr="00B57F3E" w:rsidRDefault="00B57F3E" w:rsidP="00B57F3E">
            <w:r w:rsidRPr="00B57F3E">
              <w:t>3</w:t>
            </w:r>
          </w:p>
        </w:tc>
        <w:tc>
          <w:tcPr>
            <w:tcW w:w="3017" w:type="dxa"/>
          </w:tcPr>
          <w:p w14:paraId="0F3B06CC"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70AD47" w:themeColor="accent6"/>
              </w:rPr>
            </w:pPr>
            <w:r w:rsidRPr="00B57F3E">
              <w:rPr>
                <w:color w:val="70AD47" w:themeColor="accent6"/>
              </w:rPr>
              <w:t>20</w:t>
            </w:r>
          </w:p>
        </w:tc>
        <w:tc>
          <w:tcPr>
            <w:tcW w:w="3018" w:type="dxa"/>
          </w:tcPr>
          <w:p w14:paraId="668072AF"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FF0000"/>
              </w:rPr>
            </w:pPr>
            <w:r w:rsidRPr="00B57F3E">
              <w:rPr>
                <w:color w:val="FF0000"/>
              </w:rPr>
              <w:t>-10</w:t>
            </w:r>
          </w:p>
        </w:tc>
      </w:tr>
      <w:tr w:rsidR="00B57F3E" w:rsidRPr="00B57F3E" w14:paraId="326E9760" w14:textId="77777777" w:rsidTr="00B57F3E">
        <w:trPr>
          <w:cnfStyle w:val="000000100000" w:firstRow="0" w:lastRow="0" w:firstColumn="0" w:lastColumn="0" w:oddVBand="0" w:evenVBand="0" w:oddHBand="1" w:evenHBand="0" w:firstRowFirstColumn="0" w:firstRowLastColumn="0" w:lastRowFirstColumn="0" w:lastRowLastColumn="0"/>
          <w:trHeight w:val="603"/>
        </w:trPr>
        <w:tc>
          <w:tcPr>
            <w:cnfStyle w:val="001000000000" w:firstRow="0" w:lastRow="0" w:firstColumn="1" w:lastColumn="0" w:oddVBand="0" w:evenVBand="0" w:oddHBand="0" w:evenHBand="0" w:firstRowFirstColumn="0" w:firstRowLastColumn="0" w:lastRowFirstColumn="0" w:lastRowLastColumn="0"/>
            <w:tcW w:w="3017" w:type="dxa"/>
          </w:tcPr>
          <w:p w14:paraId="25A214F6" w14:textId="77777777" w:rsidR="00B57F3E" w:rsidRPr="00B57F3E" w:rsidRDefault="00B57F3E" w:rsidP="00B57F3E">
            <w:r w:rsidRPr="00B57F3E">
              <w:t>4</w:t>
            </w:r>
          </w:p>
          <w:p w14:paraId="560AEB18" w14:textId="77777777" w:rsidR="00B57F3E" w:rsidRPr="00B57F3E" w:rsidRDefault="00B57F3E" w:rsidP="00B57F3E">
            <w:r w:rsidRPr="00B57F3E">
              <w:t>Residual</w:t>
            </w:r>
          </w:p>
        </w:tc>
        <w:tc>
          <w:tcPr>
            <w:tcW w:w="3017" w:type="dxa"/>
          </w:tcPr>
          <w:p w14:paraId="7BE9EDBA"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45</w:t>
            </w:r>
          </w:p>
          <w:p w14:paraId="5851FBFE"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10</w:t>
            </w:r>
          </w:p>
        </w:tc>
        <w:tc>
          <w:tcPr>
            <w:tcW w:w="3018" w:type="dxa"/>
          </w:tcPr>
          <w:p w14:paraId="5C3D3030"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rPr>
                <w:color w:val="70AD47" w:themeColor="accent6"/>
              </w:rPr>
              <w:t>45</w:t>
            </w:r>
          </w:p>
        </w:tc>
      </w:tr>
      <w:bookmarkEnd w:id="29"/>
      <w:tr w:rsidR="00B57F3E" w:rsidRPr="00B57F3E" w14:paraId="65B4DF9E" w14:textId="77777777" w:rsidTr="00B57F3E">
        <w:trPr>
          <w:trHeight w:val="301"/>
        </w:trPr>
        <w:tc>
          <w:tcPr>
            <w:cnfStyle w:val="001000000000" w:firstRow="0" w:lastRow="0" w:firstColumn="1" w:lastColumn="0" w:oddVBand="0" w:evenVBand="0" w:oddHBand="0" w:evenHBand="0" w:firstRowFirstColumn="0" w:firstRowLastColumn="0" w:lastRowFirstColumn="0" w:lastRowLastColumn="0"/>
            <w:tcW w:w="9052" w:type="dxa"/>
            <w:gridSpan w:val="3"/>
          </w:tcPr>
          <w:p w14:paraId="57B213F7" w14:textId="77777777" w:rsidR="00B57F3E" w:rsidRPr="00B57F3E" w:rsidRDefault="00B57F3E" w:rsidP="00B57F3E">
            <w:pPr>
              <w:rPr>
                <w:color w:val="70AD47" w:themeColor="accent6"/>
              </w:rPr>
            </w:pPr>
          </w:p>
        </w:tc>
      </w:tr>
      <w:tr w:rsidR="00B57F3E" w:rsidRPr="00B57F3E" w14:paraId="2A1C000A" w14:textId="77777777" w:rsidTr="00B57F3E">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9052" w:type="dxa"/>
            <w:gridSpan w:val="3"/>
          </w:tcPr>
          <w:p w14:paraId="66F39806" w14:textId="77777777" w:rsidR="00B57F3E" w:rsidRPr="00B57F3E" w:rsidRDefault="00B57F3E" w:rsidP="00B57F3E">
            <w:r w:rsidRPr="00B57F3E">
              <w:t>Payback Period is between year 3 and year 4</w:t>
            </w:r>
          </w:p>
        </w:tc>
      </w:tr>
      <w:tr w:rsidR="00B57F3E" w:rsidRPr="00B57F3E" w14:paraId="480F3C1A" w14:textId="77777777" w:rsidTr="00B57F3E">
        <w:trPr>
          <w:trHeight w:val="301"/>
        </w:trPr>
        <w:tc>
          <w:tcPr>
            <w:cnfStyle w:val="001000000000" w:firstRow="0" w:lastRow="0" w:firstColumn="1" w:lastColumn="0" w:oddVBand="0" w:evenVBand="0" w:oddHBand="0" w:evenHBand="0" w:firstRowFirstColumn="0" w:firstRowLastColumn="0" w:lastRowFirstColumn="0" w:lastRowLastColumn="0"/>
            <w:tcW w:w="9052" w:type="dxa"/>
            <w:gridSpan w:val="3"/>
          </w:tcPr>
          <w:p w14:paraId="0F3A3BA7" w14:textId="77777777" w:rsidR="00B57F3E" w:rsidRPr="00B57F3E" w:rsidRDefault="00B57F3E" w:rsidP="00B57F3E">
            <w:r w:rsidRPr="00B57F3E">
              <w:t>Year 3- -</w:t>
            </w:r>
            <w:r w:rsidRPr="00B57F3E">
              <w:rPr>
                <w:color w:val="FF0000"/>
              </w:rPr>
              <w:t>£10m</w:t>
            </w:r>
          </w:p>
        </w:tc>
      </w:tr>
      <w:tr w:rsidR="00B57F3E" w:rsidRPr="00B57F3E" w14:paraId="024DD244" w14:textId="77777777" w:rsidTr="00B57F3E">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9052" w:type="dxa"/>
            <w:gridSpan w:val="3"/>
          </w:tcPr>
          <w:p w14:paraId="0B818166" w14:textId="77777777" w:rsidR="00B57F3E" w:rsidRPr="00B57F3E" w:rsidRDefault="00B57F3E" w:rsidP="00B57F3E">
            <w:r w:rsidRPr="00B57F3E">
              <w:t xml:space="preserve">Year 4- </w:t>
            </w:r>
            <w:r w:rsidRPr="00B57F3E">
              <w:rPr>
                <w:color w:val="70AD47" w:themeColor="accent6"/>
              </w:rPr>
              <w:t>£45m</w:t>
            </w:r>
          </w:p>
        </w:tc>
      </w:tr>
      <w:tr w:rsidR="00B57F3E" w:rsidRPr="00B57F3E" w14:paraId="4A57A143" w14:textId="77777777" w:rsidTr="00B57F3E">
        <w:trPr>
          <w:trHeight w:val="301"/>
        </w:trPr>
        <w:tc>
          <w:tcPr>
            <w:cnfStyle w:val="001000000000" w:firstRow="0" w:lastRow="0" w:firstColumn="1" w:lastColumn="0" w:oddVBand="0" w:evenVBand="0" w:oddHBand="0" w:evenHBand="0" w:firstRowFirstColumn="0" w:firstRowLastColumn="0" w:lastRowFirstColumn="0" w:lastRowLastColumn="0"/>
            <w:tcW w:w="9052" w:type="dxa"/>
            <w:gridSpan w:val="3"/>
          </w:tcPr>
          <w:p w14:paraId="7E88349F" w14:textId="77777777" w:rsidR="00B57F3E" w:rsidRPr="00B57F3E" w:rsidRDefault="00B57F3E" w:rsidP="00B57F3E">
            <w:r w:rsidRPr="00B57F3E">
              <w:t>Payback: 3+(10/55) = 3.2 years</w:t>
            </w:r>
          </w:p>
        </w:tc>
      </w:tr>
      <w:tr w:rsidR="00B57F3E" w:rsidRPr="00B57F3E" w14:paraId="5EC775FF" w14:textId="77777777" w:rsidTr="00B57F3E">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9052" w:type="dxa"/>
            <w:gridSpan w:val="3"/>
          </w:tcPr>
          <w:p w14:paraId="1ED26EAB" w14:textId="77777777" w:rsidR="00B57F3E" w:rsidRPr="00B57F3E" w:rsidRDefault="00B57F3E" w:rsidP="00B57F3E"/>
          <w:p w14:paraId="09EC5C1C" w14:textId="77777777" w:rsidR="00B57F3E" w:rsidRPr="00B57F3E" w:rsidRDefault="00B57F3E" w:rsidP="00B57F3E">
            <w:pPr>
              <w:rPr>
                <w:u w:val="single"/>
              </w:rPr>
            </w:pPr>
            <w:r w:rsidRPr="00B57F3E">
              <w:rPr>
                <w:u w:val="single"/>
              </w:rPr>
              <w:t>PAYBACK PERIOD = 3.2 YEARS</w:t>
            </w:r>
          </w:p>
          <w:p w14:paraId="4B96444F" w14:textId="77777777" w:rsidR="00B57F3E" w:rsidRPr="00B57F3E" w:rsidRDefault="00B57F3E" w:rsidP="00B57F3E"/>
        </w:tc>
      </w:tr>
    </w:tbl>
    <w:p w14:paraId="250695AC" w14:textId="77777777" w:rsidR="00B57F3E" w:rsidRPr="00B57F3E" w:rsidRDefault="00B57F3E" w:rsidP="00B57F3E">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p>
    <w:tbl>
      <w:tblPr>
        <w:tblStyle w:val="GridTable5Dark-Accent1"/>
        <w:tblpPr w:leftFromText="180" w:rightFromText="180" w:vertAnchor="text" w:horzAnchor="margin" w:tblpY="16"/>
        <w:tblW w:w="0" w:type="auto"/>
        <w:tblLook w:val="04A0" w:firstRow="1" w:lastRow="0" w:firstColumn="1" w:lastColumn="0" w:noHBand="0" w:noVBand="1"/>
      </w:tblPr>
      <w:tblGrid>
        <w:gridCol w:w="3005"/>
        <w:gridCol w:w="6011"/>
      </w:tblGrid>
      <w:tr w:rsidR="00B57F3E" w:rsidRPr="00B57F3E" w14:paraId="4CD1018A"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08A8BFC1" w14:textId="77777777" w:rsidR="00B57F3E" w:rsidRPr="00B57F3E" w:rsidRDefault="00B57F3E" w:rsidP="00B57F3E">
            <w:pPr>
              <w:jc w:val="center"/>
            </w:pPr>
            <w:bookmarkStart w:id="30" w:name="_Hlk72593127"/>
            <w:r w:rsidRPr="00B57F3E">
              <w:t>Accounting Rate of Return – Project A (£m)</w:t>
            </w:r>
          </w:p>
        </w:tc>
      </w:tr>
      <w:tr w:rsidR="00B57F3E" w:rsidRPr="00B57F3E" w14:paraId="2890DDB6"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934EE57" w14:textId="77777777" w:rsidR="00B57F3E" w:rsidRPr="00B57F3E" w:rsidRDefault="00B57F3E" w:rsidP="00B57F3E">
            <w:r w:rsidRPr="00B57F3E">
              <w:t xml:space="preserve">Initial Investment </w:t>
            </w:r>
          </w:p>
        </w:tc>
        <w:tc>
          <w:tcPr>
            <w:tcW w:w="6011" w:type="dxa"/>
          </w:tcPr>
          <w:p w14:paraId="4EA845F6"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£80m</w:t>
            </w:r>
          </w:p>
        </w:tc>
      </w:tr>
      <w:tr w:rsidR="00B57F3E" w:rsidRPr="00B57F3E" w14:paraId="6FA776D4"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589665CF" w14:textId="77777777" w:rsidR="00B57F3E" w:rsidRPr="00B57F3E" w:rsidRDefault="00B57F3E" w:rsidP="00B57F3E">
            <w:r w:rsidRPr="00B57F3E">
              <w:t>Expected Revenue</w:t>
            </w:r>
          </w:p>
        </w:tc>
        <w:tc>
          <w:tcPr>
            <w:tcW w:w="6011" w:type="dxa"/>
          </w:tcPr>
          <w:p w14:paraId="1CCC961C"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£125m</w:t>
            </w:r>
          </w:p>
        </w:tc>
      </w:tr>
      <w:tr w:rsidR="00B57F3E" w:rsidRPr="00B57F3E" w14:paraId="0073D17F"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8687DF" w14:textId="77777777" w:rsidR="00B57F3E" w:rsidRPr="00B57F3E" w:rsidRDefault="00B57F3E" w:rsidP="00B57F3E">
            <w:r w:rsidRPr="00B57F3E">
              <w:t>Project Time Span</w:t>
            </w:r>
          </w:p>
        </w:tc>
        <w:tc>
          <w:tcPr>
            <w:tcW w:w="6011" w:type="dxa"/>
          </w:tcPr>
          <w:p w14:paraId="72173C5E"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4 years</w:t>
            </w:r>
          </w:p>
        </w:tc>
      </w:tr>
      <w:tr w:rsidR="00B57F3E" w:rsidRPr="00B57F3E" w14:paraId="1FEF590F"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7638A59D" w14:textId="77777777" w:rsidR="00B57F3E" w:rsidRPr="00B57F3E" w:rsidRDefault="00B57F3E" w:rsidP="00B57F3E">
            <w:r w:rsidRPr="00B57F3E">
              <w:t>Total Profit</w:t>
            </w:r>
          </w:p>
        </w:tc>
        <w:tc>
          <w:tcPr>
            <w:tcW w:w="6011" w:type="dxa"/>
          </w:tcPr>
          <w:p w14:paraId="763665E1"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£125m-£80m=£45m</w:t>
            </w:r>
          </w:p>
        </w:tc>
      </w:tr>
      <w:tr w:rsidR="00B57F3E" w:rsidRPr="00B57F3E" w14:paraId="7D8D8F35"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C3852B7" w14:textId="77777777" w:rsidR="00B57F3E" w:rsidRPr="00B57F3E" w:rsidRDefault="00B57F3E" w:rsidP="00B57F3E">
            <w:r w:rsidRPr="00B57F3E">
              <w:t xml:space="preserve">Annual Profit </w:t>
            </w:r>
          </w:p>
        </w:tc>
        <w:tc>
          <w:tcPr>
            <w:tcW w:w="6011" w:type="dxa"/>
          </w:tcPr>
          <w:p w14:paraId="57CA0E25"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45/4=11.25</w:t>
            </w:r>
          </w:p>
        </w:tc>
      </w:tr>
      <w:tr w:rsidR="00B57F3E" w:rsidRPr="00B57F3E" w14:paraId="3BE439F1"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3ABBE86E" w14:textId="77777777" w:rsidR="00B57F3E" w:rsidRPr="00B57F3E" w:rsidRDefault="00B57F3E" w:rsidP="00B57F3E">
            <w:r w:rsidRPr="00B57F3E">
              <w:t>ARR Formula</w:t>
            </w:r>
          </w:p>
        </w:tc>
        <w:tc>
          <w:tcPr>
            <w:tcW w:w="6011" w:type="dxa"/>
          </w:tcPr>
          <w:p w14:paraId="55D08752"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11.25/80=0.14</w:t>
            </w:r>
          </w:p>
        </w:tc>
      </w:tr>
      <w:tr w:rsidR="00B57F3E" w:rsidRPr="00B57F3E" w14:paraId="4D117BC6"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3D8FB4A2" w14:textId="77777777" w:rsidR="00B57F3E" w:rsidRPr="00B57F3E" w:rsidRDefault="00B57F3E" w:rsidP="00B57F3E"/>
        </w:tc>
      </w:tr>
      <w:tr w:rsidR="00B57F3E" w:rsidRPr="00B57F3E" w14:paraId="79E02FDB" w14:textId="77777777" w:rsidTr="00B57F3E">
        <w:tc>
          <w:tcPr>
            <w:cnfStyle w:val="001000000000" w:firstRow="0" w:lastRow="0" w:firstColumn="1" w:lastColumn="0" w:oddVBand="0" w:evenVBand="0" w:oddHBand="0" w:evenHBand="0" w:firstRowFirstColumn="0" w:firstRowLastColumn="0" w:lastRowFirstColumn="0" w:lastRowLastColumn="0"/>
            <w:tcW w:w="9016" w:type="dxa"/>
            <w:gridSpan w:val="2"/>
          </w:tcPr>
          <w:p w14:paraId="32C63B5D" w14:textId="77777777" w:rsidR="00B57F3E" w:rsidRPr="00B57F3E" w:rsidRDefault="00B57F3E" w:rsidP="00B57F3E">
            <w:r w:rsidRPr="00B57F3E">
              <w:t>ARR-14%</w:t>
            </w:r>
          </w:p>
        </w:tc>
      </w:tr>
      <w:bookmarkEnd w:id="30"/>
    </w:tbl>
    <w:p w14:paraId="2898D2EE" w14:textId="77777777" w:rsidR="00B57F3E" w:rsidRPr="00B57F3E" w:rsidRDefault="00B57F3E" w:rsidP="00B57F3E">
      <w:pPr>
        <w:spacing w:after="0" w:line="240" w:lineRule="auto"/>
        <w:rPr>
          <w:rFonts w:eastAsiaTheme="minorEastAsia"/>
          <w:lang w:eastAsia="en-GB"/>
        </w:rPr>
      </w:pPr>
    </w:p>
    <w:tbl>
      <w:tblPr>
        <w:tblStyle w:val="GridTable5Dark-Accent1"/>
        <w:tblW w:w="0" w:type="auto"/>
        <w:tblLook w:val="04A0" w:firstRow="1" w:lastRow="0" w:firstColumn="1" w:lastColumn="0" w:noHBand="0" w:noVBand="1"/>
      </w:tblPr>
      <w:tblGrid>
        <w:gridCol w:w="1636"/>
        <w:gridCol w:w="1586"/>
        <w:gridCol w:w="1587"/>
        <w:gridCol w:w="1449"/>
        <w:gridCol w:w="1449"/>
        <w:gridCol w:w="1309"/>
      </w:tblGrid>
      <w:tr w:rsidR="00B57F3E" w:rsidRPr="00B57F3E" w14:paraId="0DCD8EE0"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6"/>
          </w:tcPr>
          <w:p w14:paraId="09E0BD5F" w14:textId="77777777" w:rsidR="00B57F3E" w:rsidRPr="00B57F3E" w:rsidRDefault="00B57F3E" w:rsidP="00B57F3E">
            <w:pPr>
              <w:ind w:left="720"/>
              <w:jc w:val="center"/>
            </w:pPr>
            <w:bookmarkStart w:id="31" w:name="_Hlk72593619"/>
            <w:r w:rsidRPr="00B57F3E">
              <w:t>Net Present Value - Project A (£m)</w:t>
            </w:r>
          </w:p>
        </w:tc>
      </w:tr>
      <w:tr w:rsidR="00B57F3E" w:rsidRPr="00B57F3E" w14:paraId="5C427C69"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21EEE50B" w14:textId="77777777" w:rsidR="00B57F3E" w:rsidRPr="00B57F3E" w:rsidRDefault="00B57F3E" w:rsidP="00B57F3E"/>
        </w:tc>
        <w:tc>
          <w:tcPr>
            <w:tcW w:w="1586" w:type="dxa"/>
          </w:tcPr>
          <w:p w14:paraId="64D59D47"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0</w:t>
            </w:r>
          </w:p>
        </w:tc>
        <w:tc>
          <w:tcPr>
            <w:tcW w:w="1587" w:type="dxa"/>
          </w:tcPr>
          <w:p w14:paraId="71FF952A"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1</w:t>
            </w:r>
          </w:p>
        </w:tc>
        <w:tc>
          <w:tcPr>
            <w:tcW w:w="1449" w:type="dxa"/>
          </w:tcPr>
          <w:p w14:paraId="750A6D6E"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2</w:t>
            </w:r>
          </w:p>
        </w:tc>
        <w:tc>
          <w:tcPr>
            <w:tcW w:w="1449" w:type="dxa"/>
          </w:tcPr>
          <w:p w14:paraId="2C151ADC"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3</w:t>
            </w:r>
          </w:p>
        </w:tc>
        <w:tc>
          <w:tcPr>
            <w:tcW w:w="1309" w:type="dxa"/>
          </w:tcPr>
          <w:p w14:paraId="40B4342D"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4</w:t>
            </w:r>
          </w:p>
        </w:tc>
      </w:tr>
      <w:tr w:rsidR="00B57F3E" w:rsidRPr="00B57F3E" w14:paraId="18E6341E" w14:textId="77777777" w:rsidTr="00B57F3E">
        <w:tc>
          <w:tcPr>
            <w:cnfStyle w:val="001000000000" w:firstRow="0" w:lastRow="0" w:firstColumn="1" w:lastColumn="0" w:oddVBand="0" w:evenVBand="0" w:oddHBand="0" w:evenHBand="0" w:firstRowFirstColumn="0" w:firstRowLastColumn="0" w:lastRowFirstColumn="0" w:lastRowLastColumn="0"/>
            <w:tcW w:w="1636" w:type="dxa"/>
          </w:tcPr>
          <w:p w14:paraId="7DABAEB8" w14:textId="77777777" w:rsidR="00B57F3E" w:rsidRPr="00B57F3E" w:rsidRDefault="00B57F3E" w:rsidP="00B57F3E">
            <w:r w:rsidRPr="00B57F3E">
              <w:t xml:space="preserve">Cash flow </w:t>
            </w:r>
          </w:p>
        </w:tc>
        <w:tc>
          <w:tcPr>
            <w:tcW w:w="1586" w:type="dxa"/>
          </w:tcPr>
          <w:p w14:paraId="3E5ABC3C"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-80</w:t>
            </w:r>
          </w:p>
        </w:tc>
        <w:tc>
          <w:tcPr>
            <w:tcW w:w="1587" w:type="dxa"/>
          </w:tcPr>
          <w:p w14:paraId="39F41926"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25</w:t>
            </w:r>
          </w:p>
        </w:tc>
        <w:tc>
          <w:tcPr>
            <w:tcW w:w="1449" w:type="dxa"/>
          </w:tcPr>
          <w:p w14:paraId="647587FE"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25</w:t>
            </w:r>
          </w:p>
        </w:tc>
        <w:tc>
          <w:tcPr>
            <w:tcW w:w="1449" w:type="dxa"/>
          </w:tcPr>
          <w:p w14:paraId="0BEEF62A"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20</w:t>
            </w:r>
          </w:p>
        </w:tc>
        <w:tc>
          <w:tcPr>
            <w:tcW w:w="1309" w:type="dxa"/>
          </w:tcPr>
          <w:p w14:paraId="69666965"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55</w:t>
            </w:r>
          </w:p>
        </w:tc>
      </w:tr>
      <w:tr w:rsidR="00B57F3E" w:rsidRPr="00B57F3E" w14:paraId="2C596A7E"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526A1001" w14:textId="77777777" w:rsidR="00B57F3E" w:rsidRPr="00B57F3E" w:rsidRDefault="00B57F3E" w:rsidP="00B57F3E">
            <w:r w:rsidRPr="00B57F3E">
              <w:t>Cost of Capital</w:t>
            </w:r>
          </w:p>
        </w:tc>
        <w:tc>
          <w:tcPr>
            <w:tcW w:w="1586" w:type="dxa"/>
          </w:tcPr>
          <w:p w14:paraId="49F4DD8A"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587" w:type="dxa"/>
          </w:tcPr>
          <w:p w14:paraId="51E3D58B"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449" w:type="dxa"/>
          </w:tcPr>
          <w:p w14:paraId="2C840A3E"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449" w:type="dxa"/>
          </w:tcPr>
          <w:p w14:paraId="6089B0B5"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309" w:type="dxa"/>
          </w:tcPr>
          <w:p w14:paraId="1D4CF4D6"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r>
      <w:tr w:rsidR="00B57F3E" w:rsidRPr="00B57F3E" w14:paraId="320A416E" w14:textId="77777777" w:rsidTr="00B57F3E">
        <w:tc>
          <w:tcPr>
            <w:cnfStyle w:val="001000000000" w:firstRow="0" w:lastRow="0" w:firstColumn="1" w:lastColumn="0" w:oddVBand="0" w:evenVBand="0" w:oddHBand="0" w:evenHBand="0" w:firstRowFirstColumn="0" w:firstRowLastColumn="0" w:lastRowFirstColumn="0" w:lastRowLastColumn="0"/>
            <w:tcW w:w="1636" w:type="dxa"/>
          </w:tcPr>
          <w:p w14:paraId="7D5738D0" w14:textId="77777777" w:rsidR="00B57F3E" w:rsidRPr="00B57F3E" w:rsidRDefault="00B57F3E" w:rsidP="00B57F3E">
            <w:r w:rsidRPr="00B57F3E">
              <w:t>Yearly net present value</w:t>
            </w:r>
          </w:p>
        </w:tc>
        <w:tc>
          <w:tcPr>
            <w:tcW w:w="1586" w:type="dxa"/>
          </w:tcPr>
          <w:p w14:paraId="162B89FD"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-80</w:t>
            </w:r>
          </w:p>
        </w:tc>
        <w:tc>
          <w:tcPr>
            <w:tcW w:w="1587" w:type="dxa"/>
          </w:tcPr>
          <w:p w14:paraId="1F595D4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22.77</w:t>
            </w:r>
          </w:p>
        </w:tc>
        <w:tc>
          <w:tcPr>
            <w:tcW w:w="1449" w:type="dxa"/>
          </w:tcPr>
          <w:p w14:paraId="425CCA6E"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20.75</w:t>
            </w:r>
          </w:p>
        </w:tc>
        <w:tc>
          <w:tcPr>
            <w:tcW w:w="1449" w:type="dxa"/>
          </w:tcPr>
          <w:p w14:paraId="7CCEC30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15.13</w:t>
            </w:r>
          </w:p>
        </w:tc>
        <w:tc>
          <w:tcPr>
            <w:tcW w:w="1309" w:type="dxa"/>
          </w:tcPr>
          <w:p w14:paraId="231D31BF"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37.91</w:t>
            </w:r>
          </w:p>
        </w:tc>
      </w:tr>
      <w:tr w:rsidR="00B57F3E" w:rsidRPr="00B57F3E" w14:paraId="43889B16"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4E7CF905" w14:textId="77777777" w:rsidR="00B57F3E" w:rsidRPr="00B57F3E" w:rsidRDefault="00B57F3E" w:rsidP="00B57F3E"/>
        </w:tc>
        <w:tc>
          <w:tcPr>
            <w:tcW w:w="1586" w:type="dxa"/>
          </w:tcPr>
          <w:p w14:paraId="2B6A0969"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587" w:type="dxa"/>
          </w:tcPr>
          <w:p w14:paraId="1DF7DDC2"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449" w:type="dxa"/>
          </w:tcPr>
          <w:p w14:paraId="4903226F"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449" w:type="dxa"/>
          </w:tcPr>
          <w:p w14:paraId="184CD6B1"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309" w:type="dxa"/>
          </w:tcPr>
          <w:p w14:paraId="56D4FA06"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r>
      <w:tr w:rsidR="00B57F3E" w:rsidRPr="00B57F3E" w14:paraId="531C6E83" w14:textId="77777777" w:rsidTr="00B57F3E">
        <w:tc>
          <w:tcPr>
            <w:cnfStyle w:val="001000000000" w:firstRow="0" w:lastRow="0" w:firstColumn="1" w:lastColumn="0" w:oddVBand="0" w:evenVBand="0" w:oddHBand="0" w:evenHBand="0" w:firstRowFirstColumn="0" w:firstRowLastColumn="0" w:lastRowFirstColumn="0" w:lastRowLastColumn="0"/>
            <w:tcW w:w="1636" w:type="dxa"/>
          </w:tcPr>
          <w:p w14:paraId="6AB26BD6" w14:textId="77777777" w:rsidR="00B57F3E" w:rsidRPr="00B57F3E" w:rsidRDefault="00B57F3E" w:rsidP="00B57F3E">
            <w:r w:rsidRPr="00B57F3E">
              <w:t xml:space="preserve">Total Net Present Value </w:t>
            </w:r>
          </w:p>
        </w:tc>
        <w:tc>
          <w:tcPr>
            <w:tcW w:w="1586" w:type="dxa"/>
          </w:tcPr>
          <w:p w14:paraId="59DFF092"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b/>
                <w:bCs/>
              </w:rPr>
            </w:pPr>
            <w:r w:rsidRPr="00B57F3E">
              <w:rPr>
                <w:b/>
                <w:bCs/>
              </w:rPr>
              <w:t>£16.56m</w:t>
            </w:r>
          </w:p>
        </w:tc>
        <w:tc>
          <w:tcPr>
            <w:tcW w:w="1587" w:type="dxa"/>
          </w:tcPr>
          <w:p w14:paraId="7F1CE63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1449" w:type="dxa"/>
          </w:tcPr>
          <w:p w14:paraId="12B9536E"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1449" w:type="dxa"/>
          </w:tcPr>
          <w:p w14:paraId="6AC26F50"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1309" w:type="dxa"/>
          </w:tcPr>
          <w:p w14:paraId="40352D6C"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r>
      <w:bookmarkEnd w:id="31"/>
    </w:tbl>
    <w:p w14:paraId="04C86F1C" w14:textId="77777777" w:rsidR="00B57F3E" w:rsidRPr="00B57F3E" w:rsidRDefault="00B57F3E" w:rsidP="00B57F3E">
      <w:pPr>
        <w:spacing w:after="0" w:line="240" w:lineRule="auto"/>
        <w:rPr>
          <w:rFonts w:eastAsiaTheme="minorEastAsia"/>
          <w:lang w:eastAsia="en-GB"/>
        </w:rPr>
      </w:pPr>
    </w:p>
    <w:p w14:paraId="185B3EA5" w14:textId="77777777" w:rsidR="00B57F3E" w:rsidRPr="00B57F3E" w:rsidRDefault="00B57F3E" w:rsidP="00B57F3E">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en-GB"/>
        </w:rPr>
      </w:pPr>
      <w:bookmarkStart w:id="32" w:name="_Toc72677651"/>
      <w:r w:rsidRPr="00B57F3E">
        <w:rPr>
          <w:rFonts w:asciiTheme="majorHAnsi" w:eastAsiaTheme="majorEastAsia" w:hAnsiTheme="majorHAnsi" w:cstheme="majorBidi"/>
          <w:color w:val="2F5496" w:themeColor="accent1" w:themeShade="BF"/>
          <w:sz w:val="32"/>
          <w:szCs w:val="32"/>
          <w:lang w:eastAsia="en-GB"/>
        </w:rPr>
        <w:t>Investment B Results – QR Coding on Tesco Brand Products</w:t>
      </w:r>
      <w:bookmarkEnd w:id="32"/>
    </w:p>
    <w:tbl>
      <w:tblPr>
        <w:tblStyle w:val="GridTable5Dark-Accent1"/>
        <w:tblW w:w="0" w:type="auto"/>
        <w:tblLook w:val="04A0" w:firstRow="1" w:lastRow="0" w:firstColumn="1" w:lastColumn="0" w:noHBand="0" w:noVBand="1"/>
      </w:tblPr>
      <w:tblGrid>
        <w:gridCol w:w="3005"/>
        <w:gridCol w:w="3005"/>
        <w:gridCol w:w="3006"/>
      </w:tblGrid>
      <w:tr w:rsidR="00B57F3E" w:rsidRPr="00B57F3E" w14:paraId="4621AC76"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7F7EFFA0" w14:textId="77777777" w:rsidR="00B57F3E" w:rsidRPr="00B57F3E" w:rsidRDefault="00B57F3E" w:rsidP="00B57F3E">
            <w:pPr>
              <w:jc w:val="center"/>
            </w:pPr>
            <w:r w:rsidRPr="00B57F3E">
              <w:t>Payback Period – Project B</w:t>
            </w:r>
          </w:p>
        </w:tc>
      </w:tr>
      <w:tr w:rsidR="00B57F3E" w:rsidRPr="00B57F3E" w14:paraId="5AC8CD04"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4E21724" w14:textId="77777777" w:rsidR="00B57F3E" w:rsidRPr="00B57F3E" w:rsidRDefault="00B57F3E" w:rsidP="00B57F3E">
            <w:r w:rsidRPr="00B57F3E">
              <w:t>Year</w:t>
            </w:r>
            <w:r w:rsidRPr="00B57F3E">
              <w:tab/>
            </w:r>
          </w:p>
        </w:tc>
        <w:tc>
          <w:tcPr>
            <w:tcW w:w="3005" w:type="dxa"/>
          </w:tcPr>
          <w:p w14:paraId="409E859D"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Cash Flow</w:t>
            </w:r>
          </w:p>
        </w:tc>
        <w:tc>
          <w:tcPr>
            <w:tcW w:w="3006" w:type="dxa"/>
          </w:tcPr>
          <w:p w14:paraId="1C78A118"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 xml:space="preserve">Cumulative Cash Flow </w:t>
            </w:r>
          </w:p>
        </w:tc>
      </w:tr>
      <w:tr w:rsidR="00B57F3E" w:rsidRPr="00B57F3E" w14:paraId="487E9656"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646DEE3D" w14:textId="77777777" w:rsidR="00B57F3E" w:rsidRPr="00B57F3E" w:rsidRDefault="00B57F3E" w:rsidP="00B57F3E"/>
        </w:tc>
        <w:tc>
          <w:tcPr>
            <w:tcW w:w="3005" w:type="dxa"/>
          </w:tcPr>
          <w:p w14:paraId="6859878E"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3006" w:type="dxa"/>
          </w:tcPr>
          <w:p w14:paraId="4DB233EB"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r>
      <w:tr w:rsidR="00B57F3E" w:rsidRPr="00B57F3E" w14:paraId="4AF7448F"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B5A4486" w14:textId="77777777" w:rsidR="00B57F3E" w:rsidRPr="00B57F3E" w:rsidRDefault="00B57F3E" w:rsidP="00B57F3E">
            <w:bookmarkStart w:id="33" w:name="_Hlk72591885"/>
            <w:r w:rsidRPr="00B57F3E">
              <w:t>0</w:t>
            </w:r>
          </w:p>
        </w:tc>
        <w:tc>
          <w:tcPr>
            <w:tcW w:w="3005" w:type="dxa"/>
          </w:tcPr>
          <w:p w14:paraId="11039602"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FF0000"/>
              </w:rPr>
            </w:pPr>
            <w:r w:rsidRPr="00B57F3E">
              <w:rPr>
                <w:color w:val="FF0000"/>
              </w:rPr>
              <w:t>-75</w:t>
            </w:r>
          </w:p>
        </w:tc>
        <w:tc>
          <w:tcPr>
            <w:tcW w:w="3006" w:type="dxa"/>
          </w:tcPr>
          <w:p w14:paraId="519E8F96"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FF0000"/>
              </w:rPr>
            </w:pPr>
            <w:r w:rsidRPr="00B57F3E">
              <w:rPr>
                <w:color w:val="FF0000"/>
              </w:rPr>
              <w:t>-75</w:t>
            </w:r>
          </w:p>
        </w:tc>
      </w:tr>
      <w:tr w:rsidR="00B57F3E" w:rsidRPr="00B57F3E" w14:paraId="69C99D70"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0B0DFE57" w14:textId="77777777" w:rsidR="00B57F3E" w:rsidRPr="00B57F3E" w:rsidRDefault="00B57F3E" w:rsidP="00B57F3E">
            <w:r w:rsidRPr="00B57F3E">
              <w:t>1</w:t>
            </w:r>
          </w:p>
        </w:tc>
        <w:tc>
          <w:tcPr>
            <w:tcW w:w="3005" w:type="dxa"/>
          </w:tcPr>
          <w:p w14:paraId="32E301A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70AD47" w:themeColor="accent6"/>
              </w:rPr>
            </w:pPr>
            <w:r w:rsidRPr="00B57F3E">
              <w:rPr>
                <w:color w:val="70AD47" w:themeColor="accent6"/>
              </w:rPr>
              <w:t>50</w:t>
            </w:r>
          </w:p>
        </w:tc>
        <w:tc>
          <w:tcPr>
            <w:tcW w:w="3006" w:type="dxa"/>
          </w:tcPr>
          <w:p w14:paraId="49C370C2"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FF0000"/>
              </w:rPr>
            </w:pPr>
            <w:r w:rsidRPr="00B57F3E">
              <w:rPr>
                <w:color w:val="FF0000"/>
              </w:rPr>
              <w:t>-25</w:t>
            </w:r>
          </w:p>
        </w:tc>
      </w:tr>
      <w:tr w:rsidR="00B57F3E" w:rsidRPr="00B57F3E" w14:paraId="49DE225D"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6A9BF28" w14:textId="77777777" w:rsidR="00B57F3E" w:rsidRPr="00B57F3E" w:rsidRDefault="00B57F3E" w:rsidP="00B57F3E">
            <w:r w:rsidRPr="00B57F3E">
              <w:t>2</w:t>
            </w:r>
          </w:p>
        </w:tc>
        <w:tc>
          <w:tcPr>
            <w:tcW w:w="3005" w:type="dxa"/>
          </w:tcPr>
          <w:p w14:paraId="691749D4"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20</w:t>
            </w:r>
          </w:p>
        </w:tc>
        <w:tc>
          <w:tcPr>
            <w:tcW w:w="3006" w:type="dxa"/>
          </w:tcPr>
          <w:p w14:paraId="3D784439"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FF0000"/>
              </w:rPr>
            </w:pPr>
            <w:r w:rsidRPr="00B57F3E">
              <w:rPr>
                <w:color w:val="FF0000"/>
              </w:rPr>
              <w:t>-5</w:t>
            </w:r>
          </w:p>
        </w:tc>
      </w:tr>
      <w:tr w:rsidR="00B57F3E" w:rsidRPr="00B57F3E" w14:paraId="2654E256"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69D91396" w14:textId="77777777" w:rsidR="00B57F3E" w:rsidRPr="00B57F3E" w:rsidRDefault="00B57F3E" w:rsidP="00B57F3E">
            <w:r w:rsidRPr="00B57F3E">
              <w:t>3</w:t>
            </w:r>
          </w:p>
        </w:tc>
        <w:tc>
          <w:tcPr>
            <w:tcW w:w="3005" w:type="dxa"/>
          </w:tcPr>
          <w:p w14:paraId="47D15E7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70AD47" w:themeColor="accent6"/>
              </w:rPr>
            </w:pPr>
            <w:r w:rsidRPr="00B57F3E">
              <w:rPr>
                <w:color w:val="70AD47" w:themeColor="accent6"/>
              </w:rPr>
              <w:t>20</w:t>
            </w:r>
          </w:p>
        </w:tc>
        <w:tc>
          <w:tcPr>
            <w:tcW w:w="3006" w:type="dxa"/>
          </w:tcPr>
          <w:p w14:paraId="462220E6"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color w:val="70AD47" w:themeColor="accent6"/>
              </w:rPr>
            </w:pPr>
            <w:r w:rsidRPr="00B57F3E">
              <w:rPr>
                <w:color w:val="70AD47" w:themeColor="accent6"/>
              </w:rPr>
              <w:t>15</w:t>
            </w:r>
          </w:p>
        </w:tc>
      </w:tr>
      <w:tr w:rsidR="00B57F3E" w:rsidRPr="00B57F3E" w14:paraId="306ECC10"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17BBB5C" w14:textId="77777777" w:rsidR="00B57F3E" w:rsidRPr="00B57F3E" w:rsidRDefault="00B57F3E" w:rsidP="00B57F3E">
            <w:r w:rsidRPr="00B57F3E">
              <w:t>4</w:t>
            </w:r>
          </w:p>
          <w:p w14:paraId="22CF8227" w14:textId="77777777" w:rsidR="00B57F3E" w:rsidRPr="00B57F3E" w:rsidRDefault="00B57F3E" w:rsidP="00B57F3E">
            <w:r w:rsidRPr="00B57F3E">
              <w:t>Residual</w:t>
            </w:r>
          </w:p>
        </w:tc>
        <w:tc>
          <w:tcPr>
            <w:tcW w:w="3005" w:type="dxa"/>
          </w:tcPr>
          <w:p w14:paraId="0DC0E1D2"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10</w:t>
            </w:r>
          </w:p>
          <w:p w14:paraId="3BA3EBFD"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10</w:t>
            </w:r>
          </w:p>
        </w:tc>
        <w:tc>
          <w:tcPr>
            <w:tcW w:w="3006" w:type="dxa"/>
          </w:tcPr>
          <w:p w14:paraId="1AA11351"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rPr>
                <w:color w:val="70AD47" w:themeColor="accent6"/>
              </w:rPr>
            </w:pPr>
            <w:r w:rsidRPr="00B57F3E">
              <w:rPr>
                <w:color w:val="70AD47" w:themeColor="accent6"/>
              </w:rPr>
              <w:t>35</w:t>
            </w:r>
          </w:p>
        </w:tc>
      </w:tr>
      <w:bookmarkEnd w:id="33"/>
      <w:tr w:rsidR="00B57F3E" w:rsidRPr="00B57F3E" w14:paraId="76444A06"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25976026" w14:textId="77777777" w:rsidR="00B57F3E" w:rsidRPr="00B57F3E" w:rsidRDefault="00B57F3E" w:rsidP="00B57F3E"/>
        </w:tc>
        <w:tc>
          <w:tcPr>
            <w:tcW w:w="3005" w:type="dxa"/>
          </w:tcPr>
          <w:p w14:paraId="3B505F95"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3006" w:type="dxa"/>
          </w:tcPr>
          <w:p w14:paraId="156F9F70"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r>
      <w:tr w:rsidR="00B57F3E" w:rsidRPr="00B57F3E" w14:paraId="7C442111"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34D8CD2E" w14:textId="77777777" w:rsidR="00B57F3E" w:rsidRPr="00B57F3E" w:rsidRDefault="00B57F3E" w:rsidP="00B57F3E">
            <w:r w:rsidRPr="00B57F3E">
              <w:t xml:space="preserve">Payback Period is between year 2 and 3 </w:t>
            </w:r>
          </w:p>
        </w:tc>
      </w:tr>
      <w:tr w:rsidR="00B57F3E" w:rsidRPr="00B57F3E" w14:paraId="3D162C88" w14:textId="77777777" w:rsidTr="00B57F3E">
        <w:tc>
          <w:tcPr>
            <w:cnfStyle w:val="001000000000" w:firstRow="0" w:lastRow="0" w:firstColumn="1" w:lastColumn="0" w:oddVBand="0" w:evenVBand="0" w:oddHBand="0" w:evenHBand="0" w:firstRowFirstColumn="0" w:firstRowLastColumn="0" w:lastRowFirstColumn="0" w:lastRowLastColumn="0"/>
            <w:tcW w:w="9016" w:type="dxa"/>
            <w:gridSpan w:val="3"/>
          </w:tcPr>
          <w:p w14:paraId="5CB594B1" w14:textId="77777777" w:rsidR="00B57F3E" w:rsidRPr="00B57F3E" w:rsidRDefault="00B57F3E" w:rsidP="00B57F3E">
            <w:r w:rsidRPr="00B57F3E">
              <w:t xml:space="preserve">Year 2 - </w:t>
            </w:r>
            <w:r w:rsidRPr="00B57F3E">
              <w:rPr>
                <w:color w:val="FF0000"/>
              </w:rPr>
              <w:t>-£5m</w:t>
            </w:r>
          </w:p>
        </w:tc>
      </w:tr>
      <w:tr w:rsidR="00B57F3E" w:rsidRPr="00B57F3E" w14:paraId="0E8FD4E6"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16B73C45" w14:textId="77777777" w:rsidR="00B57F3E" w:rsidRPr="00B57F3E" w:rsidRDefault="00B57F3E" w:rsidP="00B57F3E">
            <w:r w:rsidRPr="00B57F3E">
              <w:t xml:space="preserve">Year 3 - </w:t>
            </w:r>
            <w:r w:rsidRPr="00B57F3E">
              <w:rPr>
                <w:color w:val="70AD47" w:themeColor="accent6"/>
              </w:rPr>
              <w:t>£15m</w:t>
            </w:r>
          </w:p>
        </w:tc>
      </w:tr>
      <w:tr w:rsidR="00B57F3E" w:rsidRPr="00B57F3E" w14:paraId="44D0856A" w14:textId="77777777" w:rsidTr="00B57F3E">
        <w:tc>
          <w:tcPr>
            <w:cnfStyle w:val="001000000000" w:firstRow="0" w:lastRow="0" w:firstColumn="1" w:lastColumn="0" w:oddVBand="0" w:evenVBand="0" w:oddHBand="0" w:evenHBand="0" w:firstRowFirstColumn="0" w:firstRowLastColumn="0" w:lastRowFirstColumn="0" w:lastRowLastColumn="0"/>
            <w:tcW w:w="9016" w:type="dxa"/>
            <w:gridSpan w:val="3"/>
          </w:tcPr>
          <w:p w14:paraId="3EE72703" w14:textId="77777777" w:rsidR="00B57F3E" w:rsidRPr="00B57F3E" w:rsidRDefault="00B57F3E" w:rsidP="00B57F3E">
            <w:r w:rsidRPr="00B57F3E">
              <w:t>Payback Period: 2 + (5/20) = 2.3 Years</w:t>
            </w:r>
          </w:p>
        </w:tc>
      </w:tr>
      <w:tr w:rsidR="00B57F3E" w:rsidRPr="00B57F3E" w14:paraId="1C9E686D"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0E9B1FDC" w14:textId="77777777" w:rsidR="00B57F3E" w:rsidRPr="00B57F3E" w:rsidRDefault="00B57F3E" w:rsidP="00B57F3E"/>
          <w:p w14:paraId="7021E10F" w14:textId="77777777" w:rsidR="00B57F3E" w:rsidRPr="00B57F3E" w:rsidRDefault="00B57F3E" w:rsidP="00B57F3E">
            <w:pPr>
              <w:rPr>
                <w:color w:val="000000" w:themeColor="text1"/>
                <w:u w:val="single"/>
              </w:rPr>
            </w:pPr>
            <w:r w:rsidRPr="00B57F3E">
              <w:rPr>
                <w:color w:val="000000" w:themeColor="text1"/>
                <w:u w:val="single"/>
              </w:rPr>
              <w:t>PAYBACK PERIOD = 2.3 YEARS</w:t>
            </w:r>
          </w:p>
          <w:p w14:paraId="5EC3E7BF" w14:textId="77777777" w:rsidR="00B57F3E" w:rsidRPr="00B57F3E" w:rsidRDefault="00B57F3E" w:rsidP="00B57F3E"/>
        </w:tc>
      </w:tr>
    </w:tbl>
    <w:p w14:paraId="0418CF81" w14:textId="77777777" w:rsidR="00B57F3E" w:rsidRPr="00B57F3E" w:rsidRDefault="00B57F3E" w:rsidP="00B57F3E">
      <w:pPr>
        <w:spacing w:after="0" w:line="240" w:lineRule="auto"/>
        <w:rPr>
          <w:rFonts w:eastAsiaTheme="minorEastAsia"/>
          <w:lang w:eastAsia="en-GB"/>
        </w:rPr>
      </w:pPr>
    </w:p>
    <w:tbl>
      <w:tblPr>
        <w:tblStyle w:val="GridTable5Dark-Accent1"/>
        <w:tblpPr w:leftFromText="180" w:rightFromText="180" w:vertAnchor="text" w:horzAnchor="margin" w:tblpY="16"/>
        <w:tblW w:w="0" w:type="auto"/>
        <w:tblLook w:val="04A0" w:firstRow="1" w:lastRow="0" w:firstColumn="1" w:lastColumn="0" w:noHBand="0" w:noVBand="1"/>
      </w:tblPr>
      <w:tblGrid>
        <w:gridCol w:w="3005"/>
        <w:gridCol w:w="6011"/>
      </w:tblGrid>
      <w:tr w:rsidR="00B57F3E" w:rsidRPr="00B57F3E" w14:paraId="30120C17"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6DD3A4A" w14:textId="77777777" w:rsidR="00B57F3E" w:rsidRPr="00B57F3E" w:rsidRDefault="00B57F3E" w:rsidP="00B57F3E">
            <w:pPr>
              <w:jc w:val="center"/>
            </w:pPr>
            <w:r w:rsidRPr="00B57F3E">
              <w:t>Accounting Rate of Return – Project B (£m)</w:t>
            </w:r>
          </w:p>
        </w:tc>
      </w:tr>
      <w:tr w:rsidR="00B57F3E" w:rsidRPr="00B57F3E" w14:paraId="5F65FA8F"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6694B7" w14:textId="77777777" w:rsidR="00B57F3E" w:rsidRPr="00B57F3E" w:rsidRDefault="00B57F3E" w:rsidP="00B57F3E">
            <w:r w:rsidRPr="00B57F3E">
              <w:t xml:space="preserve">Initial Investment </w:t>
            </w:r>
          </w:p>
        </w:tc>
        <w:tc>
          <w:tcPr>
            <w:tcW w:w="6011" w:type="dxa"/>
          </w:tcPr>
          <w:p w14:paraId="5D63F976"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£75m</w:t>
            </w:r>
          </w:p>
        </w:tc>
      </w:tr>
      <w:tr w:rsidR="00B57F3E" w:rsidRPr="00B57F3E" w14:paraId="6F0A6F9E"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664A1FDB" w14:textId="77777777" w:rsidR="00B57F3E" w:rsidRPr="00B57F3E" w:rsidRDefault="00B57F3E" w:rsidP="00B57F3E">
            <w:r w:rsidRPr="00B57F3E">
              <w:t>Expected Revenue</w:t>
            </w:r>
          </w:p>
        </w:tc>
        <w:tc>
          <w:tcPr>
            <w:tcW w:w="6011" w:type="dxa"/>
          </w:tcPr>
          <w:p w14:paraId="44B50194"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£110m</w:t>
            </w:r>
          </w:p>
        </w:tc>
      </w:tr>
      <w:tr w:rsidR="00B57F3E" w:rsidRPr="00B57F3E" w14:paraId="34903861"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E68ECF7" w14:textId="77777777" w:rsidR="00B57F3E" w:rsidRPr="00B57F3E" w:rsidRDefault="00B57F3E" w:rsidP="00B57F3E">
            <w:r w:rsidRPr="00B57F3E">
              <w:t>Project Time Span</w:t>
            </w:r>
          </w:p>
        </w:tc>
        <w:tc>
          <w:tcPr>
            <w:tcW w:w="6011" w:type="dxa"/>
          </w:tcPr>
          <w:p w14:paraId="1A57C794"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4 years</w:t>
            </w:r>
          </w:p>
        </w:tc>
      </w:tr>
      <w:tr w:rsidR="00B57F3E" w:rsidRPr="00B57F3E" w14:paraId="74F349A8"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1BCFC33F" w14:textId="77777777" w:rsidR="00B57F3E" w:rsidRPr="00B57F3E" w:rsidRDefault="00B57F3E" w:rsidP="00B57F3E">
            <w:r w:rsidRPr="00B57F3E">
              <w:t>Total Profit</w:t>
            </w:r>
          </w:p>
        </w:tc>
        <w:tc>
          <w:tcPr>
            <w:tcW w:w="6011" w:type="dxa"/>
          </w:tcPr>
          <w:p w14:paraId="0C8211D8"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£110m-£75m=£35m</w:t>
            </w:r>
          </w:p>
        </w:tc>
      </w:tr>
      <w:tr w:rsidR="00B57F3E" w:rsidRPr="00B57F3E" w14:paraId="39343332"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45DA918" w14:textId="77777777" w:rsidR="00B57F3E" w:rsidRPr="00B57F3E" w:rsidRDefault="00B57F3E" w:rsidP="00B57F3E">
            <w:r w:rsidRPr="00B57F3E">
              <w:t xml:space="preserve">Annual Profit </w:t>
            </w:r>
          </w:p>
        </w:tc>
        <w:tc>
          <w:tcPr>
            <w:tcW w:w="6011" w:type="dxa"/>
          </w:tcPr>
          <w:p w14:paraId="082CC953"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35/4=8.75</w:t>
            </w:r>
          </w:p>
        </w:tc>
      </w:tr>
      <w:tr w:rsidR="00B57F3E" w:rsidRPr="00B57F3E" w14:paraId="0DAAFB57"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229CC7ED" w14:textId="77777777" w:rsidR="00B57F3E" w:rsidRPr="00B57F3E" w:rsidRDefault="00B57F3E" w:rsidP="00B57F3E">
            <w:r w:rsidRPr="00B57F3E">
              <w:t>ARR Formula</w:t>
            </w:r>
          </w:p>
        </w:tc>
        <w:tc>
          <w:tcPr>
            <w:tcW w:w="6011" w:type="dxa"/>
          </w:tcPr>
          <w:p w14:paraId="73AEA2DD"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8.75/75=0.11</w:t>
            </w:r>
          </w:p>
        </w:tc>
      </w:tr>
      <w:tr w:rsidR="00B57F3E" w:rsidRPr="00B57F3E" w14:paraId="7F3F87BB"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7378E03D" w14:textId="77777777" w:rsidR="00B57F3E" w:rsidRPr="00B57F3E" w:rsidRDefault="00B57F3E" w:rsidP="00B57F3E"/>
        </w:tc>
      </w:tr>
      <w:tr w:rsidR="00B57F3E" w:rsidRPr="00B57F3E" w14:paraId="182FC00D" w14:textId="77777777" w:rsidTr="00B57F3E">
        <w:tc>
          <w:tcPr>
            <w:cnfStyle w:val="001000000000" w:firstRow="0" w:lastRow="0" w:firstColumn="1" w:lastColumn="0" w:oddVBand="0" w:evenVBand="0" w:oddHBand="0" w:evenHBand="0" w:firstRowFirstColumn="0" w:firstRowLastColumn="0" w:lastRowFirstColumn="0" w:lastRowLastColumn="0"/>
            <w:tcW w:w="9016" w:type="dxa"/>
            <w:gridSpan w:val="2"/>
          </w:tcPr>
          <w:p w14:paraId="43470FA3" w14:textId="77777777" w:rsidR="00B57F3E" w:rsidRPr="00B57F3E" w:rsidRDefault="00B57F3E" w:rsidP="00B57F3E">
            <w:r w:rsidRPr="00B57F3E">
              <w:t>ARR-11%</w:t>
            </w:r>
          </w:p>
        </w:tc>
      </w:tr>
    </w:tbl>
    <w:p w14:paraId="7AE77269" w14:textId="77777777" w:rsidR="00B57F3E" w:rsidRPr="00B57F3E" w:rsidRDefault="00B57F3E" w:rsidP="00B57F3E">
      <w:pPr>
        <w:spacing w:after="0" w:line="240" w:lineRule="auto"/>
        <w:rPr>
          <w:rFonts w:eastAsiaTheme="minorEastAsia"/>
          <w:lang w:eastAsia="en-GB"/>
        </w:rPr>
      </w:pPr>
    </w:p>
    <w:tbl>
      <w:tblPr>
        <w:tblStyle w:val="GridTable5Dark-Accent1"/>
        <w:tblW w:w="0" w:type="auto"/>
        <w:tblLook w:val="04A0" w:firstRow="1" w:lastRow="0" w:firstColumn="1" w:lastColumn="0" w:noHBand="0" w:noVBand="1"/>
      </w:tblPr>
      <w:tblGrid>
        <w:gridCol w:w="1636"/>
        <w:gridCol w:w="1586"/>
        <w:gridCol w:w="1587"/>
        <w:gridCol w:w="1449"/>
        <w:gridCol w:w="1449"/>
        <w:gridCol w:w="1309"/>
      </w:tblGrid>
      <w:tr w:rsidR="00B57F3E" w:rsidRPr="00B57F3E" w14:paraId="21D9DE2C"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6"/>
          </w:tcPr>
          <w:p w14:paraId="1C1D0F1F" w14:textId="77777777" w:rsidR="00B57F3E" w:rsidRPr="00B57F3E" w:rsidRDefault="00B57F3E" w:rsidP="00B57F3E">
            <w:pPr>
              <w:ind w:left="720"/>
              <w:jc w:val="center"/>
            </w:pPr>
            <w:r w:rsidRPr="00B57F3E">
              <w:t>Net Present Value - Project B (£m)</w:t>
            </w:r>
          </w:p>
        </w:tc>
      </w:tr>
      <w:tr w:rsidR="00B57F3E" w:rsidRPr="00B57F3E" w14:paraId="1B3D61FF"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3E2D0385" w14:textId="77777777" w:rsidR="00B57F3E" w:rsidRPr="00B57F3E" w:rsidRDefault="00B57F3E" w:rsidP="00B57F3E"/>
        </w:tc>
        <w:tc>
          <w:tcPr>
            <w:tcW w:w="1586" w:type="dxa"/>
          </w:tcPr>
          <w:p w14:paraId="5FECCE5F"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0</w:t>
            </w:r>
          </w:p>
        </w:tc>
        <w:tc>
          <w:tcPr>
            <w:tcW w:w="1587" w:type="dxa"/>
          </w:tcPr>
          <w:p w14:paraId="1AB5F02D"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1</w:t>
            </w:r>
          </w:p>
        </w:tc>
        <w:tc>
          <w:tcPr>
            <w:tcW w:w="1449" w:type="dxa"/>
          </w:tcPr>
          <w:p w14:paraId="50CBA3C5"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2</w:t>
            </w:r>
          </w:p>
        </w:tc>
        <w:tc>
          <w:tcPr>
            <w:tcW w:w="1449" w:type="dxa"/>
          </w:tcPr>
          <w:p w14:paraId="2F56A9F7"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3</w:t>
            </w:r>
          </w:p>
        </w:tc>
        <w:tc>
          <w:tcPr>
            <w:tcW w:w="1309" w:type="dxa"/>
          </w:tcPr>
          <w:p w14:paraId="2AC323B3"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Year 4</w:t>
            </w:r>
          </w:p>
        </w:tc>
      </w:tr>
      <w:tr w:rsidR="00B57F3E" w:rsidRPr="00B57F3E" w14:paraId="3042FD8A" w14:textId="77777777" w:rsidTr="00B57F3E">
        <w:tc>
          <w:tcPr>
            <w:cnfStyle w:val="001000000000" w:firstRow="0" w:lastRow="0" w:firstColumn="1" w:lastColumn="0" w:oddVBand="0" w:evenVBand="0" w:oddHBand="0" w:evenHBand="0" w:firstRowFirstColumn="0" w:firstRowLastColumn="0" w:lastRowFirstColumn="0" w:lastRowLastColumn="0"/>
            <w:tcW w:w="1636" w:type="dxa"/>
          </w:tcPr>
          <w:p w14:paraId="1CE5308E" w14:textId="77777777" w:rsidR="00B57F3E" w:rsidRPr="00B57F3E" w:rsidRDefault="00B57F3E" w:rsidP="00B57F3E">
            <w:r w:rsidRPr="00B57F3E">
              <w:t xml:space="preserve">Cash flow </w:t>
            </w:r>
          </w:p>
        </w:tc>
        <w:tc>
          <w:tcPr>
            <w:tcW w:w="1586" w:type="dxa"/>
          </w:tcPr>
          <w:p w14:paraId="1F8484EA"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-75</w:t>
            </w:r>
          </w:p>
        </w:tc>
        <w:tc>
          <w:tcPr>
            <w:tcW w:w="1587" w:type="dxa"/>
          </w:tcPr>
          <w:p w14:paraId="39EBC9DE"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50</w:t>
            </w:r>
          </w:p>
        </w:tc>
        <w:tc>
          <w:tcPr>
            <w:tcW w:w="1449" w:type="dxa"/>
          </w:tcPr>
          <w:p w14:paraId="25AC20B8"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20</w:t>
            </w:r>
          </w:p>
        </w:tc>
        <w:tc>
          <w:tcPr>
            <w:tcW w:w="1449" w:type="dxa"/>
          </w:tcPr>
          <w:p w14:paraId="576FE8DE"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20</w:t>
            </w:r>
          </w:p>
        </w:tc>
        <w:tc>
          <w:tcPr>
            <w:tcW w:w="1309" w:type="dxa"/>
          </w:tcPr>
          <w:p w14:paraId="7B45650F"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20</w:t>
            </w:r>
          </w:p>
        </w:tc>
      </w:tr>
      <w:tr w:rsidR="00B57F3E" w:rsidRPr="00B57F3E" w14:paraId="73D142E7"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1505722C" w14:textId="77777777" w:rsidR="00B57F3E" w:rsidRPr="00B57F3E" w:rsidRDefault="00B57F3E" w:rsidP="00B57F3E">
            <w:r w:rsidRPr="00B57F3E">
              <w:t>Cost of Capital</w:t>
            </w:r>
          </w:p>
        </w:tc>
        <w:tc>
          <w:tcPr>
            <w:tcW w:w="1586" w:type="dxa"/>
          </w:tcPr>
          <w:p w14:paraId="0CF9D010"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587" w:type="dxa"/>
          </w:tcPr>
          <w:p w14:paraId="66AFB3A0"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449" w:type="dxa"/>
          </w:tcPr>
          <w:p w14:paraId="7D8AFBB4"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449" w:type="dxa"/>
          </w:tcPr>
          <w:p w14:paraId="57E72EE3"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c>
          <w:tcPr>
            <w:tcW w:w="1309" w:type="dxa"/>
          </w:tcPr>
          <w:p w14:paraId="5AFE961A"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9.75%</w:t>
            </w:r>
          </w:p>
        </w:tc>
      </w:tr>
      <w:tr w:rsidR="00B57F3E" w:rsidRPr="00B57F3E" w14:paraId="75C8116C" w14:textId="77777777" w:rsidTr="00B57F3E">
        <w:tc>
          <w:tcPr>
            <w:cnfStyle w:val="001000000000" w:firstRow="0" w:lastRow="0" w:firstColumn="1" w:lastColumn="0" w:oddVBand="0" w:evenVBand="0" w:oddHBand="0" w:evenHBand="0" w:firstRowFirstColumn="0" w:firstRowLastColumn="0" w:lastRowFirstColumn="0" w:lastRowLastColumn="0"/>
            <w:tcW w:w="1636" w:type="dxa"/>
          </w:tcPr>
          <w:p w14:paraId="3E00817E" w14:textId="77777777" w:rsidR="00B57F3E" w:rsidRPr="00B57F3E" w:rsidRDefault="00B57F3E" w:rsidP="00B57F3E">
            <w:r w:rsidRPr="00B57F3E">
              <w:t>Yearly net present value</w:t>
            </w:r>
          </w:p>
        </w:tc>
        <w:tc>
          <w:tcPr>
            <w:tcW w:w="1586" w:type="dxa"/>
          </w:tcPr>
          <w:p w14:paraId="34749611"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-75</w:t>
            </w:r>
          </w:p>
        </w:tc>
        <w:tc>
          <w:tcPr>
            <w:tcW w:w="1587" w:type="dxa"/>
          </w:tcPr>
          <w:p w14:paraId="77ADD51A"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45.56</w:t>
            </w:r>
          </w:p>
        </w:tc>
        <w:tc>
          <w:tcPr>
            <w:tcW w:w="1449" w:type="dxa"/>
          </w:tcPr>
          <w:p w14:paraId="62D538DC"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16.60</w:t>
            </w:r>
          </w:p>
        </w:tc>
        <w:tc>
          <w:tcPr>
            <w:tcW w:w="1449" w:type="dxa"/>
          </w:tcPr>
          <w:p w14:paraId="28F337D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15.13</w:t>
            </w:r>
          </w:p>
        </w:tc>
        <w:tc>
          <w:tcPr>
            <w:tcW w:w="1309" w:type="dxa"/>
          </w:tcPr>
          <w:p w14:paraId="15B25734"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13.79</w:t>
            </w:r>
          </w:p>
        </w:tc>
      </w:tr>
      <w:tr w:rsidR="00B57F3E" w:rsidRPr="00B57F3E" w14:paraId="6BB0AA57"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dxa"/>
          </w:tcPr>
          <w:p w14:paraId="17514A88" w14:textId="77777777" w:rsidR="00B57F3E" w:rsidRPr="00B57F3E" w:rsidRDefault="00B57F3E" w:rsidP="00B57F3E"/>
        </w:tc>
        <w:tc>
          <w:tcPr>
            <w:tcW w:w="1586" w:type="dxa"/>
          </w:tcPr>
          <w:p w14:paraId="24A50545"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587" w:type="dxa"/>
          </w:tcPr>
          <w:p w14:paraId="69C7F4F1"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449" w:type="dxa"/>
          </w:tcPr>
          <w:p w14:paraId="370CA954"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449" w:type="dxa"/>
          </w:tcPr>
          <w:p w14:paraId="7BC8C4F1"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c>
          <w:tcPr>
            <w:tcW w:w="1309" w:type="dxa"/>
          </w:tcPr>
          <w:p w14:paraId="6038520D"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p>
        </w:tc>
      </w:tr>
      <w:tr w:rsidR="00B57F3E" w:rsidRPr="00B57F3E" w14:paraId="057AA81A" w14:textId="77777777" w:rsidTr="00B57F3E">
        <w:tc>
          <w:tcPr>
            <w:cnfStyle w:val="001000000000" w:firstRow="0" w:lastRow="0" w:firstColumn="1" w:lastColumn="0" w:oddVBand="0" w:evenVBand="0" w:oddHBand="0" w:evenHBand="0" w:firstRowFirstColumn="0" w:firstRowLastColumn="0" w:lastRowFirstColumn="0" w:lastRowLastColumn="0"/>
            <w:tcW w:w="1636" w:type="dxa"/>
          </w:tcPr>
          <w:p w14:paraId="7383C1D7" w14:textId="77777777" w:rsidR="00B57F3E" w:rsidRPr="00B57F3E" w:rsidRDefault="00B57F3E" w:rsidP="00B57F3E">
            <w:r w:rsidRPr="00B57F3E">
              <w:t xml:space="preserve">Total Net Present Value </w:t>
            </w:r>
          </w:p>
        </w:tc>
        <w:tc>
          <w:tcPr>
            <w:tcW w:w="1586" w:type="dxa"/>
          </w:tcPr>
          <w:p w14:paraId="20B04739"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rPr>
                <w:b/>
                <w:bCs/>
              </w:rPr>
            </w:pPr>
            <w:r w:rsidRPr="00B57F3E">
              <w:rPr>
                <w:b/>
                <w:bCs/>
              </w:rPr>
              <w:t>£16.08m</w:t>
            </w:r>
          </w:p>
        </w:tc>
        <w:tc>
          <w:tcPr>
            <w:tcW w:w="1587" w:type="dxa"/>
          </w:tcPr>
          <w:p w14:paraId="25A921C3"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1449" w:type="dxa"/>
          </w:tcPr>
          <w:p w14:paraId="6480F753"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1449" w:type="dxa"/>
          </w:tcPr>
          <w:p w14:paraId="429D21EA"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c>
          <w:tcPr>
            <w:tcW w:w="1309" w:type="dxa"/>
          </w:tcPr>
          <w:p w14:paraId="212AE407"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p>
        </w:tc>
      </w:tr>
    </w:tbl>
    <w:p w14:paraId="4D8FB2D4" w14:textId="77777777" w:rsidR="00B57F3E" w:rsidRPr="00B57F3E" w:rsidRDefault="00B57F3E" w:rsidP="00B57F3E">
      <w:pPr>
        <w:spacing w:after="0" w:line="240" w:lineRule="auto"/>
        <w:rPr>
          <w:rFonts w:eastAsiaTheme="minorEastAsia"/>
          <w:lang w:eastAsia="en-GB"/>
        </w:rPr>
      </w:pPr>
    </w:p>
    <w:p w14:paraId="1CCC5080" w14:textId="57CE095E" w:rsidR="00B57F3E" w:rsidRPr="00B57F3E" w:rsidRDefault="00B57F3E" w:rsidP="00B57F3E">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en-GB"/>
        </w:rPr>
      </w:pPr>
      <w:bookmarkStart w:id="34" w:name="_Toc72677652"/>
      <w:r>
        <w:rPr>
          <w:rFonts w:asciiTheme="majorHAnsi" w:eastAsiaTheme="majorEastAsia" w:hAnsiTheme="majorHAnsi" w:cstheme="majorBidi"/>
          <w:color w:val="2F5496" w:themeColor="accent1" w:themeShade="BF"/>
          <w:sz w:val="32"/>
          <w:szCs w:val="32"/>
          <w:lang w:eastAsia="en-GB"/>
        </w:rPr>
        <w:t>4</w:t>
      </w:r>
      <w:r w:rsidRPr="00B57F3E">
        <w:rPr>
          <w:rFonts w:asciiTheme="majorHAnsi" w:eastAsiaTheme="majorEastAsia" w:hAnsiTheme="majorHAnsi" w:cstheme="majorBidi"/>
          <w:color w:val="2F5496" w:themeColor="accent1" w:themeShade="BF"/>
          <w:sz w:val="32"/>
          <w:szCs w:val="32"/>
          <w:lang w:eastAsia="en-GB"/>
        </w:rPr>
        <w:t>.5 Discussion on Chosen Project</w:t>
      </w:r>
      <w:bookmarkEnd w:id="34"/>
      <w:r w:rsidRPr="00B57F3E">
        <w:rPr>
          <w:rFonts w:asciiTheme="majorHAnsi" w:eastAsiaTheme="majorEastAsia" w:hAnsiTheme="majorHAnsi" w:cstheme="majorBidi"/>
          <w:color w:val="2F5496" w:themeColor="accent1" w:themeShade="BF"/>
          <w:sz w:val="32"/>
          <w:szCs w:val="32"/>
          <w:lang w:eastAsia="en-GB"/>
        </w:rPr>
        <w:t xml:space="preserve"> </w:t>
      </w:r>
    </w:p>
    <w:p w14:paraId="6538FE0A" w14:textId="77777777" w:rsidR="00B57F3E" w:rsidRPr="00B57F3E" w:rsidRDefault="00B57F3E" w:rsidP="00B57F3E">
      <w:pPr>
        <w:spacing w:after="0" w:line="240" w:lineRule="auto"/>
        <w:rPr>
          <w:rFonts w:eastAsiaTheme="minorEastAsia"/>
          <w:lang w:eastAsia="en-GB"/>
        </w:rPr>
      </w:pPr>
    </w:p>
    <w:tbl>
      <w:tblPr>
        <w:tblStyle w:val="GridTable5Dark-Accent1"/>
        <w:tblW w:w="0" w:type="auto"/>
        <w:tblLook w:val="04A0" w:firstRow="1" w:lastRow="0" w:firstColumn="1" w:lastColumn="0" w:noHBand="0" w:noVBand="1"/>
      </w:tblPr>
      <w:tblGrid>
        <w:gridCol w:w="3005"/>
        <w:gridCol w:w="3005"/>
        <w:gridCol w:w="3006"/>
      </w:tblGrid>
      <w:tr w:rsidR="00B57F3E" w:rsidRPr="00B57F3E" w14:paraId="0494E436" w14:textId="77777777" w:rsidTr="00B57F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676A0AB" w14:textId="77777777" w:rsidR="00B57F3E" w:rsidRPr="00B57F3E" w:rsidRDefault="00B57F3E" w:rsidP="00B57F3E">
            <w:r w:rsidRPr="00B57F3E">
              <w:t>Technique</w:t>
            </w:r>
          </w:p>
        </w:tc>
        <w:tc>
          <w:tcPr>
            <w:tcW w:w="3005" w:type="dxa"/>
          </w:tcPr>
          <w:p w14:paraId="1FFEB490" w14:textId="77777777" w:rsidR="00B57F3E" w:rsidRPr="00B57F3E" w:rsidRDefault="00B57F3E" w:rsidP="00B57F3E">
            <w:pPr>
              <w:cnfStyle w:val="100000000000" w:firstRow="1" w:lastRow="0" w:firstColumn="0" w:lastColumn="0" w:oddVBand="0" w:evenVBand="0" w:oddHBand="0" w:evenHBand="0" w:firstRowFirstColumn="0" w:firstRowLastColumn="0" w:lastRowFirstColumn="0" w:lastRowLastColumn="0"/>
            </w:pPr>
            <w:r w:rsidRPr="00B57F3E">
              <w:t>Project A</w:t>
            </w:r>
          </w:p>
        </w:tc>
        <w:tc>
          <w:tcPr>
            <w:tcW w:w="3006" w:type="dxa"/>
          </w:tcPr>
          <w:p w14:paraId="0961B622" w14:textId="77777777" w:rsidR="00B57F3E" w:rsidRPr="00B57F3E" w:rsidRDefault="00B57F3E" w:rsidP="00B57F3E">
            <w:pPr>
              <w:cnfStyle w:val="100000000000" w:firstRow="1" w:lastRow="0" w:firstColumn="0" w:lastColumn="0" w:oddVBand="0" w:evenVBand="0" w:oddHBand="0" w:evenHBand="0" w:firstRowFirstColumn="0" w:firstRowLastColumn="0" w:lastRowFirstColumn="0" w:lastRowLastColumn="0"/>
            </w:pPr>
            <w:r w:rsidRPr="00B57F3E">
              <w:t>Project B</w:t>
            </w:r>
          </w:p>
        </w:tc>
      </w:tr>
      <w:tr w:rsidR="00B57F3E" w:rsidRPr="00B57F3E" w14:paraId="5B5C681A"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F03A563" w14:textId="77777777" w:rsidR="00B57F3E" w:rsidRPr="00B57F3E" w:rsidRDefault="00B57F3E" w:rsidP="00B57F3E">
            <w:r w:rsidRPr="00B57F3E">
              <w:t>PBP</w:t>
            </w:r>
          </w:p>
        </w:tc>
        <w:tc>
          <w:tcPr>
            <w:tcW w:w="3005" w:type="dxa"/>
          </w:tcPr>
          <w:p w14:paraId="29ECA287"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3.2 years</w:t>
            </w:r>
          </w:p>
        </w:tc>
        <w:tc>
          <w:tcPr>
            <w:tcW w:w="3006" w:type="dxa"/>
          </w:tcPr>
          <w:p w14:paraId="7623ED88"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2.3 years</w:t>
            </w:r>
          </w:p>
        </w:tc>
      </w:tr>
      <w:tr w:rsidR="00B57F3E" w:rsidRPr="00B57F3E" w14:paraId="487976EB" w14:textId="77777777" w:rsidTr="00B57F3E">
        <w:tc>
          <w:tcPr>
            <w:cnfStyle w:val="001000000000" w:firstRow="0" w:lastRow="0" w:firstColumn="1" w:lastColumn="0" w:oddVBand="0" w:evenVBand="0" w:oddHBand="0" w:evenHBand="0" w:firstRowFirstColumn="0" w:firstRowLastColumn="0" w:lastRowFirstColumn="0" w:lastRowLastColumn="0"/>
            <w:tcW w:w="3005" w:type="dxa"/>
          </w:tcPr>
          <w:p w14:paraId="0312844B" w14:textId="77777777" w:rsidR="00B57F3E" w:rsidRPr="00B57F3E" w:rsidRDefault="00B57F3E" w:rsidP="00B57F3E">
            <w:r w:rsidRPr="00B57F3E">
              <w:t>ARR</w:t>
            </w:r>
          </w:p>
        </w:tc>
        <w:tc>
          <w:tcPr>
            <w:tcW w:w="3005" w:type="dxa"/>
          </w:tcPr>
          <w:p w14:paraId="7869D25C"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14%</w:t>
            </w:r>
          </w:p>
        </w:tc>
        <w:tc>
          <w:tcPr>
            <w:tcW w:w="3006" w:type="dxa"/>
          </w:tcPr>
          <w:p w14:paraId="0EB81E92" w14:textId="77777777" w:rsidR="00B57F3E" w:rsidRPr="00B57F3E" w:rsidRDefault="00B57F3E" w:rsidP="00B57F3E">
            <w:pPr>
              <w:cnfStyle w:val="000000000000" w:firstRow="0" w:lastRow="0" w:firstColumn="0" w:lastColumn="0" w:oddVBand="0" w:evenVBand="0" w:oddHBand="0" w:evenHBand="0" w:firstRowFirstColumn="0" w:firstRowLastColumn="0" w:lastRowFirstColumn="0" w:lastRowLastColumn="0"/>
            </w:pPr>
            <w:r w:rsidRPr="00B57F3E">
              <w:t>11%</w:t>
            </w:r>
          </w:p>
        </w:tc>
      </w:tr>
      <w:tr w:rsidR="00B57F3E" w:rsidRPr="00B57F3E" w14:paraId="6026EE9F" w14:textId="77777777" w:rsidTr="00B57F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6D3F1D4" w14:textId="77777777" w:rsidR="00B57F3E" w:rsidRPr="00B57F3E" w:rsidRDefault="00B57F3E" w:rsidP="00B57F3E">
            <w:r w:rsidRPr="00B57F3E">
              <w:t>NPV</w:t>
            </w:r>
          </w:p>
        </w:tc>
        <w:tc>
          <w:tcPr>
            <w:tcW w:w="3005" w:type="dxa"/>
          </w:tcPr>
          <w:p w14:paraId="3BF157C3"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£16.56m</w:t>
            </w:r>
          </w:p>
        </w:tc>
        <w:tc>
          <w:tcPr>
            <w:tcW w:w="3006" w:type="dxa"/>
          </w:tcPr>
          <w:p w14:paraId="34C0B685" w14:textId="77777777" w:rsidR="00B57F3E" w:rsidRPr="00B57F3E" w:rsidRDefault="00B57F3E" w:rsidP="00B57F3E">
            <w:pPr>
              <w:cnfStyle w:val="000000100000" w:firstRow="0" w:lastRow="0" w:firstColumn="0" w:lastColumn="0" w:oddVBand="0" w:evenVBand="0" w:oddHBand="1" w:evenHBand="0" w:firstRowFirstColumn="0" w:firstRowLastColumn="0" w:lastRowFirstColumn="0" w:lastRowLastColumn="0"/>
            </w:pPr>
            <w:r w:rsidRPr="00B57F3E">
              <w:t>£16.08m</w:t>
            </w:r>
          </w:p>
        </w:tc>
      </w:tr>
    </w:tbl>
    <w:p w14:paraId="509D2F97" w14:textId="77777777" w:rsidR="00B57F3E" w:rsidRPr="00B57F3E" w:rsidRDefault="00B57F3E" w:rsidP="00B57F3E">
      <w:pPr>
        <w:spacing w:after="0" w:line="240" w:lineRule="auto"/>
        <w:rPr>
          <w:rFonts w:eastAsiaTheme="minorEastAsia"/>
          <w:lang w:eastAsia="en-GB"/>
        </w:rPr>
      </w:pPr>
    </w:p>
    <w:p w14:paraId="393787ED"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The safer option would be to select project B which has a payback period of 2.3 years compared to project A, which has a 3.2 year-period. This is based on the theory that it is better to have a bird in your hand rather than a flock in the sky. The meaning of this is, that money generated to pay back the initial investment in the shortest time, can be used elsewhere in the company. Another assumption would be that the cash flow values are estimated and changes in the external environment or economy can impact on these values. This is why it is best to receive funds back for the initial investment in the shortest time. However, project A and B, both have a positive NPV and an increased ARR than the cost of capital rate of 9.75%, project A had a higher NPV than project B with £16.56m compared to £16.08m. Project B also carries a larger ARR than project B with 14% compared to 11%. With NPV&gt;0, both projects will cost less than the cash flows which are expected, indicating that both projects are positive investments. Moreover, to wait over a year for a mere 3% which values approximately £500,000 difference in NPV would be a risk, especially with the ever-changing environment and economy in the business world. Secondly, money that is generated back quicker can be reinvested into the company or other projects.</w:t>
      </w:r>
    </w:p>
    <w:p w14:paraId="2266614C" w14:textId="77777777" w:rsidR="00B57F3E" w:rsidRPr="00B57F3E" w:rsidRDefault="00B57F3E" w:rsidP="00235420">
      <w:pPr>
        <w:spacing w:after="0" w:line="240" w:lineRule="auto"/>
        <w:jc w:val="both"/>
        <w:rPr>
          <w:rFonts w:eastAsiaTheme="minorEastAsia"/>
          <w:lang w:eastAsia="en-GB"/>
        </w:rPr>
      </w:pPr>
    </w:p>
    <w:p w14:paraId="4CAF5E0D" w14:textId="607BC8CE" w:rsidR="00B57F3E" w:rsidRPr="00B57F3E" w:rsidRDefault="00B57F3E" w:rsidP="00235420">
      <w:pPr>
        <w:keepNext/>
        <w:keepLines/>
        <w:spacing w:before="240" w:after="0" w:line="240" w:lineRule="auto"/>
        <w:jc w:val="both"/>
        <w:outlineLvl w:val="0"/>
        <w:rPr>
          <w:rFonts w:asciiTheme="majorHAnsi" w:eastAsiaTheme="majorEastAsia" w:hAnsiTheme="majorHAnsi" w:cstheme="majorBidi"/>
          <w:color w:val="2F5496" w:themeColor="accent1" w:themeShade="BF"/>
          <w:sz w:val="32"/>
          <w:szCs w:val="32"/>
          <w:lang w:eastAsia="en-GB"/>
        </w:rPr>
      </w:pPr>
      <w:bookmarkStart w:id="35" w:name="_Toc72677653"/>
      <w:r>
        <w:rPr>
          <w:rFonts w:asciiTheme="majorHAnsi" w:eastAsiaTheme="majorEastAsia" w:hAnsiTheme="majorHAnsi" w:cstheme="majorBidi"/>
          <w:color w:val="2F5496" w:themeColor="accent1" w:themeShade="BF"/>
          <w:sz w:val="32"/>
          <w:szCs w:val="32"/>
          <w:lang w:eastAsia="en-GB"/>
        </w:rPr>
        <w:t>4</w:t>
      </w:r>
      <w:r w:rsidRPr="00B57F3E">
        <w:rPr>
          <w:rFonts w:asciiTheme="majorHAnsi" w:eastAsiaTheme="majorEastAsia" w:hAnsiTheme="majorHAnsi" w:cstheme="majorBidi"/>
          <w:color w:val="2F5496" w:themeColor="accent1" w:themeShade="BF"/>
          <w:sz w:val="32"/>
          <w:szCs w:val="32"/>
          <w:lang w:eastAsia="en-GB"/>
        </w:rPr>
        <w:t>.6 Disadvantages and advantages of investment appraisal techniques</w:t>
      </w:r>
      <w:bookmarkEnd w:id="35"/>
    </w:p>
    <w:p w14:paraId="7EB7F076"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 xml:space="preserve">In theory, investment appraisal methods which are implemented within capital budgeting have many advantages, however, the techniques also have limitations. </w:t>
      </w:r>
    </w:p>
    <w:p w14:paraId="7190D39A" w14:textId="77777777" w:rsidR="00B57F3E" w:rsidRPr="00B57F3E" w:rsidRDefault="00B57F3E" w:rsidP="00235420">
      <w:pPr>
        <w:spacing w:after="0" w:line="240" w:lineRule="auto"/>
        <w:jc w:val="both"/>
        <w:rPr>
          <w:rFonts w:eastAsiaTheme="minorEastAsia"/>
          <w:lang w:eastAsia="en-GB"/>
        </w:rPr>
      </w:pPr>
    </w:p>
    <w:p w14:paraId="5C12BB25"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 xml:space="preserve">Payback period is a technique that is easy and quick to implement for calculating and understanding the time a project takes to payback the initial investment. However, payback period does not account for profit that the project generates, ignoring the intake of cash flows after the period of payback. Therefore, payback period has difficulty when calculating the intake of cash flows for projects which are long-term while uncertainty and risk is ignored.  </w:t>
      </w:r>
    </w:p>
    <w:p w14:paraId="55A2728D" w14:textId="77777777" w:rsidR="00B57F3E" w:rsidRPr="00B57F3E" w:rsidRDefault="00B57F3E" w:rsidP="00235420">
      <w:pPr>
        <w:spacing w:after="0" w:line="240" w:lineRule="auto"/>
        <w:jc w:val="both"/>
        <w:rPr>
          <w:rFonts w:eastAsiaTheme="minorEastAsia"/>
          <w:lang w:eastAsia="en-GB"/>
        </w:rPr>
      </w:pPr>
    </w:p>
    <w:p w14:paraId="54116B94"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Accounting Rate of Return is a technique that is used by financial analysts to analyse the performance of the project and is easy and simple to use, like the payback period. Accounting rate is reflected in a percentage, takes all earnings throughout the entire project into consideration. ARR addresses the weight of the project’s profitability. With investments which have a long-term life span, the ARR rate will closely be matched to the original rate of return. However, the ARR technique is constructed on accounting methods such as profits and is difficult to implement on projects with profits of different sizes.</w:t>
      </w:r>
    </w:p>
    <w:p w14:paraId="3B58FD3C" w14:textId="77777777" w:rsidR="00B57F3E" w:rsidRPr="00B57F3E" w:rsidRDefault="00B57F3E" w:rsidP="00235420">
      <w:pPr>
        <w:spacing w:after="0" w:line="240" w:lineRule="auto"/>
        <w:jc w:val="both"/>
        <w:rPr>
          <w:rFonts w:eastAsiaTheme="minorEastAsia"/>
          <w:lang w:eastAsia="en-GB"/>
        </w:rPr>
      </w:pPr>
    </w:p>
    <w:p w14:paraId="5FF7B2EC" w14:textId="77777777" w:rsidR="00B57F3E" w:rsidRPr="00B57F3E" w:rsidRDefault="00B57F3E" w:rsidP="00235420">
      <w:pPr>
        <w:spacing w:after="0" w:line="240" w:lineRule="auto"/>
        <w:jc w:val="both"/>
        <w:rPr>
          <w:rFonts w:eastAsiaTheme="minorEastAsia"/>
          <w:lang w:eastAsia="en-GB"/>
        </w:rPr>
      </w:pPr>
      <w:r w:rsidRPr="00B57F3E">
        <w:rPr>
          <w:rFonts w:eastAsiaTheme="minorEastAsia"/>
          <w:lang w:eastAsia="en-GB"/>
        </w:rPr>
        <w:t>Net Present Value technique focuses on the projects projected cash flow time relevance and reflects on the company’s objectives to increase the wealth of shareholders. The NPV model is considered as a method which is superior to other capital budgeting methods as it analyses time period of the project and all cash flows associated with the project. NPV is easier to implement than other capital budgeting methods such as IRR and accounts for the value of money. However, NPV expects true figures of the actual cost of capital to be known by management and the method also gives inaccurate comparisons when projects are of an unequal economic or unequal size.  To overcome situations where the projects are unequal, NPV can be combined with another method known as Profitability Index.</w:t>
      </w:r>
    </w:p>
    <w:p w14:paraId="2E62E451" w14:textId="7FF49712" w:rsidR="00D41ECE" w:rsidRPr="00235420" w:rsidRDefault="00B57F3E" w:rsidP="00235420">
      <w:pPr>
        <w:keepNext/>
        <w:keepLines/>
        <w:spacing w:before="240" w:after="0" w:line="240" w:lineRule="auto"/>
        <w:jc w:val="both"/>
        <w:outlineLvl w:val="0"/>
        <w:rPr>
          <w:rFonts w:asciiTheme="majorHAnsi" w:eastAsiaTheme="majorEastAsia" w:hAnsiTheme="majorHAnsi" w:cstheme="majorBidi"/>
          <w:color w:val="2F5496" w:themeColor="accent1" w:themeShade="BF"/>
          <w:sz w:val="32"/>
          <w:szCs w:val="32"/>
          <w:lang w:eastAsia="en-GB"/>
        </w:rPr>
      </w:pPr>
      <w:bookmarkStart w:id="36" w:name="_Toc72677654"/>
      <w:r w:rsidRPr="00B57F3E">
        <w:rPr>
          <w:rFonts w:asciiTheme="majorHAnsi" w:eastAsiaTheme="majorEastAsia" w:hAnsiTheme="majorHAnsi" w:cstheme="majorBidi"/>
          <w:color w:val="2F5496" w:themeColor="accent1" w:themeShade="BF"/>
          <w:sz w:val="32"/>
          <w:szCs w:val="32"/>
          <w:lang w:eastAsia="en-GB"/>
        </w:rPr>
        <w:t>5.0 Conclusion</w:t>
      </w:r>
      <w:bookmarkEnd w:id="36"/>
    </w:p>
    <w:p w14:paraId="06E1E5AE" w14:textId="18B0A1C8" w:rsidR="00C3527F" w:rsidRDefault="00F743E5" w:rsidP="00235420">
      <w:pPr>
        <w:jc w:val="both"/>
        <w:rPr>
          <w:rFonts w:asciiTheme="majorHAnsi" w:eastAsiaTheme="majorEastAsia" w:hAnsiTheme="majorHAnsi" w:cstheme="majorBidi"/>
          <w:color w:val="2F5496" w:themeColor="accent1" w:themeShade="BF"/>
          <w:sz w:val="32"/>
          <w:szCs w:val="32"/>
        </w:rPr>
      </w:pPr>
      <w:r>
        <w:t>Tesco stand in a strong financial position compared to competitions. Over the years it is clear to see that Tesco have improved financially. This is beneficial for customers and stakeholders. However, Tesco need to pay attention and focus on Sainsbury as according to the financial ratios they are Tesco</w:t>
      </w:r>
      <w:r w:rsidR="0069665E">
        <w:t>’s</w:t>
      </w:r>
      <w:r>
        <w:t xml:space="preserve"> closest and most dangerous rival in the market. Tesco are in a suitable financial </w:t>
      </w:r>
      <w:r w:rsidR="00235420">
        <w:t xml:space="preserve">position to take on new investments and looking above, it would be a good decision for Tesco to invest in new innovative ideas to enhance the company financially and better the service for customers. The following years really depends on how Tesco can fend off Sainsburys and other rivals. Tesco have recently brought Brooker and have appointed a new CEO in 2019, </w:t>
      </w:r>
      <w:proofErr w:type="gramStart"/>
      <w:r w:rsidR="00235420">
        <w:t>whereas,</w:t>
      </w:r>
      <w:proofErr w:type="gramEnd"/>
      <w:r w:rsidR="00235420">
        <w:t xml:space="preserve"> Sainsbury failed to merge with Asda, which would have made the two untouchable. However, Sainsbury have used funds to invest in promotional strategies, which will definitely attract new customers.</w:t>
      </w:r>
      <w:r w:rsidR="00C3527F">
        <w:br w:type="page"/>
      </w:r>
    </w:p>
    <w:p w14:paraId="50EFD693" w14:textId="520AE437" w:rsidR="00B7142A" w:rsidRDefault="00FB580F" w:rsidP="00235420">
      <w:pPr>
        <w:pStyle w:val="Heading1"/>
        <w:jc w:val="both"/>
      </w:pPr>
      <w:bookmarkStart w:id="37" w:name="_Toc72677655"/>
      <w:r>
        <w:t>References</w:t>
      </w:r>
      <w:bookmarkEnd w:id="37"/>
      <w:r>
        <w:t xml:space="preserve"> </w:t>
      </w:r>
    </w:p>
    <w:p w14:paraId="25368088" w14:textId="4B5D801C" w:rsidR="00C3527F" w:rsidRDefault="00C3527F" w:rsidP="00235420">
      <w:pPr>
        <w:jc w:val="both"/>
      </w:pPr>
      <w:r>
        <w:t xml:space="preserve">Aziz, A. Rahman, A. (2017) ‘The Relationship between Solvency Ratios and Profitability Ratios: Analytical Study in Food Industrial Companies listed in Amman Bursa’, </w:t>
      </w:r>
      <w:r w:rsidRPr="00F429EA">
        <w:rPr>
          <w:i/>
          <w:iCs/>
        </w:rPr>
        <w:t>International Journal of Economics and Financial Issues</w:t>
      </w:r>
      <w:r>
        <w:t>, 7 (2), pp. 86-93.</w:t>
      </w:r>
    </w:p>
    <w:p w14:paraId="2A71D1F7" w14:textId="77777777" w:rsidR="00C3527F" w:rsidRPr="0064468A" w:rsidRDefault="00C3527F" w:rsidP="00235420">
      <w:pPr>
        <w:jc w:val="both"/>
      </w:pPr>
      <w:r>
        <w:t xml:space="preserve">Bentham, J. (2018) ‘Business and economics in the news – Sainsbury’s and Asda the decades mega-merger’, </w:t>
      </w:r>
      <w:r>
        <w:rPr>
          <w:i/>
          <w:iCs/>
        </w:rPr>
        <w:t xml:space="preserve">Teaching Business and Economics, </w:t>
      </w:r>
      <w:r>
        <w:t>22 (3), pp. 11-12.</w:t>
      </w:r>
      <w:r>
        <w:rPr>
          <w:i/>
          <w:iCs/>
        </w:rPr>
        <w:t xml:space="preserve"> </w:t>
      </w:r>
    </w:p>
    <w:p w14:paraId="5D08820B" w14:textId="288DA4B1" w:rsidR="00C3527F" w:rsidRDefault="00C3527F" w:rsidP="00235420">
      <w:pPr>
        <w:jc w:val="both"/>
      </w:pPr>
      <w:r>
        <w:t xml:space="preserve">Bernard, C. O’Connor, N. (2017) ‘Runners and riders: the horse meat scandal, EU Laws and multi-level enforcement’, </w:t>
      </w:r>
      <w:r>
        <w:rPr>
          <w:i/>
          <w:iCs/>
        </w:rPr>
        <w:t xml:space="preserve">Cambridge Law Journal (, </w:t>
      </w:r>
      <w:r>
        <w:t>76 (1), pp. 116-144.</w:t>
      </w:r>
    </w:p>
    <w:p w14:paraId="36EDAA3D" w14:textId="07C159DC" w:rsidR="00C3527F" w:rsidRPr="00591C6F" w:rsidRDefault="00E97CE7" w:rsidP="00235420">
      <w:pPr>
        <w:jc w:val="both"/>
      </w:pPr>
      <w:r>
        <w:t>Bindura</w:t>
      </w:r>
      <w:r w:rsidR="00C3527F">
        <w:t xml:space="preserve">, R. (2020) ‘The effect of working capital, liquidity and leverage on profitability’, </w:t>
      </w:r>
      <w:r w:rsidR="00C3527F" w:rsidRPr="002B6CE5">
        <w:rPr>
          <w:i/>
          <w:iCs/>
        </w:rPr>
        <w:t>Saudi Journal of Economics and Finance</w:t>
      </w:r>
      <w:r w:rsidR="00C3527F">
        <w:rPr>
          <w:i/>
          <w:iCs/>
        </w:rPr>
        <w:t xml:space="preserve">, </w:t>
      </w:r>
      <w:r w:rsidR="00C3527F">
        <w:t>4 (1), pp. 28-35.</w:t>
      </w:r>
    </w:p>
    <w:p w14:paraId="56A8AEEA" w14:textId="1F801016" w:rsidR="00C3527F" w:rsidRDefault="00C3527F" w:rsidP="00235420">
      <w:pPr>
        <w:jc w:val="both"/>
      </w:pPr>
      <w:r>
        <w:t xml:space="preserve">Chen, Z. Lu, A. (2017) ‘A market-based funding liquidity measure’, </w:t>
      </w:r>
      <w:r w:rsidRPr="000F13E3">
        <w:rPr>
          <w:i/>
          <w:iCs/>
        </w:rPr>
        <w:t>The Review of Asset Pricing Studies</w:t>
      </w:r>
      <w:r>
        <w:t>, 9 (2), pp. 356-393.</w:t>
      </w:r>
    </w:p>
    <w:p w14:paraId="070281D2" w14:textId="77777777" w:rsidR="00C3527F" w:rsidRDefault="00C3527F" w:rsidP="00235420">
      <w:pPr>
        <w:jc w:val="both"/>
      </w:pPr>
      <w:r>
        <w:t>Clark, T. Chan S. P. (2014) A History of Tesco: the rise of Britain biggest supermarket. Available at:</w:t>
      </w:r>
      <w:r w:rsidRPr="00010D07">
        <w:t xml:space="preserve"> </w:t>
      </w:r>
      <w:hyperlink r:id="rId24" w:history="1">
        <w:r w:rsidRPr="0051415B">
          <w:rPr>
            <w:rStyle w:val="Hyperlink"/>
          </w:rPr>
          <w:t>https://www.telegraph.co.uk/business/0/history-tesco-rise-britains-biggest-supermarket/</w:t>
        </w:r>
      </w:hyperlink>
      <w:r>
        <w:t xml:space="preserve"> [Accessed: 16</w:t>
      </w:r>
      <w:r w:rsidRPr="00010D07">
        <w:rPr>
          <w:vertAlign w:val="superscript"/>
        </w:rPr>
        <w:t>th</w:t>
      </w:r>
      <w:r>
        <w:t xml:space="preserve"> March 2021].</w:t>
      </w:r>
    </w:p>
    <w:p w14:paraId="063B1369" w14:textId="77777777" w:rsidR="00C3527F" w:rsidRDefault="00C3527F" w:rsidP="00235420">
      <w:pPr>
        <w:jc w:val="both"/>
      </w:pPr>
      <w:r>
        <w:t>Coppola, D. (2021) Tesco PLC – statistics and facts. Available at:</w:t>
      </w:r>
      <w:r w:rsidRPr="00890E69">
        <w:t xml:space="preserve"> </w:t>
      </w:r>
      <w:hyperlink r:id="rId25" w:history="1">
        <w:r w:rsidRPr="001A6C14">
          <w:rPr>
            <w:rStyle w:val="Hyperlink"/>
          </w:rPr>
          <w:t>https://www.statista.com/topics/3807/tesco-plc/#topicHeader__wrapper</w:t>
        </w:r>
      </w:hyperlink>
      <w:r>
        <w:t xml:space="preserve"> [Accessed: 22</w:t>
      </w:r>
      <w:r w:rsidRPr="00890E69">
        <w:rPr>
          <w:vertAlign w:val="superscript"/>
        </w:rPr>
        <w:t>nd</w:t>
      </w:r>
      <w:r>
        <w:t xml:space="preserve"> May 2021].</w:t>
      </w:r>
    </w:p>
    <w:p w14:paraId="0EF5CE92" w14:textId="58F1DF3D" w:rsidR="00C3527F" w:rsidRDefault="00C3527F" w:rsidP="00235420">
      <w:pPr>
        <w:jc w:val="both"/>
      </w:pPr>
      <w:r>
        <w:t xml:space="preserve">Corbet, S. McMullan, C. (2018) ‘Stock market reaction to irregular supermarket chain behaviour: An Investigation in the retail sector of Ireland and the United Kingdom’, </w:t>
      </w:r>
      <w:r>
        <w:rPr>
          <w:i/>
          <w:iCs/>
        </w:rPr>
        <w:t>Journal of Retailing and Consumer Services,</w:t>
      </w:r>
      <w:r>
        <w:t xml:space="preserve"> 43, pp. 20-29.</w:t>
      </w:r>
    </w:p>
    <w:p w14:paraId="3300E38D" w14:textId="2E355566" w:rsidR="009273DF" w:rsidRDefault="009273DF" w:rsidP="00235420">
      <w:pPr>
        <w:jc w:val="both"/>
      </w:pPr>
      <w:r>
        <w:t xml:space="preserve">Corporate Financial Institution (2021) What is ARR – </w:t>
      </w:r>
      <w:r w:rsidR="00E97CE7">
        <w:t>Accounting</w:t>
      </w:r>
      <w:r>
        <w:t xml:space="preserve"> Rate of </w:t>
      </w:r>
      <w:r w:rsidR="00E97CE7">
        <w:t>return?</w:t>
      </w:r>
      <w:r>
        <w:t xml:space="preserve"> Available at:</w:t>
      </w:r>
      <w:r w:rsidRPr="009273DF">
        <w:t xml:space="preserve"> </w:t>
      </w:r>
      <w:hyperlink r:id="rId26" w:history="1">
        <w:r w:rsidRPr="001A6C14">
          <w:rPr>
            <w:rStyle w:val="Hyperlink"/>
          </w:rPr>
          <w:t>https://corporatefinanceinstitute.com/resources/knowledge/accounting/arr-accounting-rate-of-return/</w:t>
        </w:r>
      </w:hyperlink>
      <w:r>
        <w:t xml:space="preserve"> [Accessed: 20</w:t>
      </w:r>
      <w:r w:rsidRPr="009273DF">
        <w:rPr>
          <w:vertAlign w:val="superscript"/>
        </w:rPr>
        <w:t>th</w:t>
      </w:r>
      <w:r>
        <w:t xml:space="preserve"> May 2021].</w:t>
      </w:r>
    </w:p>
    <w:p w14:paraId="204B2F29" w14:textId="134401AC" w:rsidR="00C3527F" w:rsidRDefault="00C3527F" w:rsidP="00235420">
      <w:pPr>
        <w:jc w:val="both"/>
      </w:pPr>
      <w:r>
        <w:t xml:space="preserve">Corporate Financial Institution (2021) Efficiency Ratios. Available at: </w:t>
      </w:r>
      <w:hyperlink r:id="rId27" w:history="1">
        <w:r w:rsidRPr="00B470EB">
          <w:rPr>
            <w:rStyle w:val="Hyperlink"/>
          </w:rPr>
          <w:t>https://corporatefinanceinstitute.com/resources/knowledge/finance/efficiency-ratios/</w:t>
        </w:r>
      </w:hyperlink>
      <w:r>
        <w:t xml:space="preserve"> [Accessed: 19</w:t>
      </w:r>
      <w:r w:rsidRPr="00B00461">
        <w:rPr>
          <w:vertAlign w:val="superscript"/>
        </w:rPr>
        <w:t>th</w:t>
      </w:r>
      <w:r>
        <w:t xml:space="preserve"> May 2021).</w:t>
      </w:r>
    </w:p>
    <w:p w14:paraId="7F5CFDCD" w14:textId="7D2E4C90" w:rsidR="00C3527F" w:rsidRDefault="00C3527F" w:rsidP="00235420">
      <w:pPr>
        <w:jc w:val="both"/>
      </w:pPr>
      <w:r w:rsidRPr="00CE48C8">
        <w:t xml:space="preserve">Dedunu, H. H. (2019) ‘management accounting practices in Sri Lanka: An empirical investigating in banking sector’, </w:t>
      </w:r>
      <w:r w:rsidRPr="00CE48C8">
        <w:rPr>
          <w:i/>
          <w:iCs/>
        </w:rPr>
        <w:t xml:space="preserve">Icon Research and Engineering Journals, </w:t>
      </w:r>
      <w:r w:rsidRPr="00CE48C8">
        <w:t>3 (4), pp. 130-139.</w:t>
      </w:r>
    </w:p>
    <w:p w14:paraId="417D67F6" w14:textId="77777777" w:rsidR="00C3527F" w:rsidRDefault="00C3527F" w:rsidP="00235420">
      <w:pPr>
        <w:jc w:val="both"/>
      </w:pPr>
      <w:r>
        <w:t xml:space="preserve">Dimitrova, B. V. Smith, B. Kim, S. (2018) ‘Performance implications of store format diversification for international retailers’, </w:t>
      </w:r>
      <w:r w:rsidRPr="00890E69">
        <w:rPr>
          <w:i/>
          <w:iCs/>
        </w:rPr>
        <w:t>Journal of Marketing Channels</w:t>
      </w:r>
      <w:r>
        <w:t>, 25 (3), pp. 117-136</w:t>
      </w:r>
    </w:p>
    <w:p w14:paraId="743C1EFB" w14:textId="1CF1D7D6" w:rsidR="00C3527F" w:rsidRDefault="00C3527F" w:rsidP="00235420">
      <w:pPr>
        <w:jc w:val="both"/>
      </w:pPr>
      <w:r>
        <w:t>Downie, R. (2021) Who are Tesco’s main competitors. Available at:</w:t>
      </w:r>
      <w:r w:rsidRPr="006E217A">
        <w:t xml:space="preserve"> </w:t>
      </w:r>
      <w:hyperlink r:id="rId28" w:history="1">
        <w:r w:rsidRPr="001A6C14">
          <w:rPr>
            <w:rStyle w:val="Hyperlink"/>
          </w:rPr>
          <w:t>https://www.investopedia.com/articles/markets/092315/who-are-tescos-main-competitors.asp</w:t>
        </w:r>
      </w:hyperlink>
      <w:r>
        <w:t xml:space="preserve"> [Accessed: 22</w:t>
      </w:r>
      <w:r w:rsidRPr="006E217A">
        <w:rPr>
          <w:vertAlign w:val="superscript"/>
        </w:rPr>
        <w:t>nd</w:t>
      </w:r>
      <w:r>
        <w:t xml:space="preserve"> May 2021].</w:t>
      </w:r>
    </w:p>
    <w:p w14:paraId="04F1F281" w14:textId="71B53087" w:rsidR="00943ECF" w:rsidRDefault="00943ECF" w:rsidP="00235420">
      <w:pPr>
        <w:jc w:val="both"/>
      </w:pPr>
      <w:r>
        <w:t xml:space="preserve">Farah, N. Farrukh, I. </w:t>
      </w:r>
      <w:r w:rsidR="00E97CE7">
        <w:t>Faizaan</w:t>
      </w:r>
      <w:r>
        <w:t xml:space="preserve">, N. (2016) ‘Financial performance of firms: evidence from </w:t>
      </w:r>
      <w:r w:rsidR="00E97CE7">
        <w:t>Pakistan</w:t>
      </w:r>
      <w:r>
        <w:t xml:space="preserve"> cement </w:t>
      </w:r>
      <w:r w:rsidR="00E97CE7">
        <w:t>industry;</w:t>
      </w:r>
      <w:r>
        <w:t xml:space="preserve"> </w:t>
      </w:r>
      <w:r w:rsidRPr="00B96CC2">
        <w:rPr>
          <w:i/>
          <w:iCs/>
        </w:rPr>
        <w:t>Journal of Teaching and Education</w:t>
      </w:r>
      <w:r>
        <w:t>, 5 (1), pp. 81–94.</w:t>
      </w:r>
    </w:p>
    <w:p w14:paraId="2D818D5F" w14:textId="4A448236" w:rsidR="00C3527F" w:rsidRDefault="00C3527F" w:rsidP="00235420">
      <w:pPr>
        <w:jc w:val="both"/>
      </w:pPr>
      <w:r>
        <w:t xml:space="preserve">Ginting, E. S. (2021) ‘Ratio-based financial performance analysis of PT. Mustika Ratu, TBK’, </w:t>
      </w:r>
      <w:r>
        <w:rPr>
          <w:i/>
          <w:iCs/>
        </w:rPr>
        <w:t xml:space="preserve">Enrichment Journal of Management, </w:t>
      </w:r>
      <w:r>
        <w:t>11 (2), pp. 456-462.</w:t>
      </w:r>
    </w:p>
    <w:p w14:paraId="41442503" w14:textId="12137A25" w:rsidR="00943ECF" w:rsidRDefault="00943ECF" w:rsidP="00235420">
      <w:pPr>
        <w:jc w:val="both"/>
      </w:pPr>
      <w:r>
        <w:t xml:space="preserve">Ganyam, A. I. Ivungu, J. A. (2019) ‘Effect of accounting information system on financial performance of firms: A review of literature’, </w:t>
      </w:r>
      <w:r w:rsidRPr="00B96CC2">
        <w:rPr>
          <w:i/>
          <w:iCs/>
        </w:rPr>
        <w:t>Journal of Business and Management</w:t>
      </w:r>
      <w:r>
        <w:rPr>
          <w:i/>
          <w:iCs/>
        </w:rPr>
        <w:t>,</w:t>
      </w:r>
      <w:r>
        <w:t xml:space="preserve"> 21 (5), pp. 39-49.</w:t>
      </w:r>
    </w:p>
    <w:p w14:paraId="5E193E91" w14:textId="77777777" w:rsidR="00C3527F" w:rsidRDefault="00C3527F" w:rsidP="00235420">
      <w:pPr>
        <w:jc w:val="both"/>
      </w:pPr>
      <w:r>
        <w:t xml:space="preserve">Guo, L. Wang, Z. (2019) ‘Ratio analysis of J Sainsbury plc financial performance between 2015 and 2018 in comparison with Tesco and Morrison’s’, </w:t>
      </w:r>
      <w:r w:rsidRPr="00D82192">
        <w:rPr>
          <w:i/>
          <w:iCs/>
        </w:rPr>
        <w:t>American Journal of Industrial and Business Management</w:t>
      </w:r>
      <w:r>
        <w:rPr>
          <w:i/>
          <w:iCs/>
        </w:rPr>
        <w:t>,</w:t>
      </w:r>
      <w:r>
        <w:t xml:space="preserve"> 9, pp. 325-341.</w:t>
      </w:r>
    </w:p>
    <w:p w14:paraId="09821E57" w14:textId="6850C22C" w:rsidR="00C3527F" w:rsidRDefault="00C3527F" w:rsidP="00235420">
      <w:pPr>
        <w:jc w:val="both"/>
      </w:pPr>
      <w:r>
        <w:t xml:space="preserve">Herewati, A. Fauzia, F. I. (2018) ‘ratio and return on asset on dividend </w:t>
      </w:r>
      <w:r w:rsidR="00E97CE7">
        <w:t>pay-out</w:t>
      </w:r>
      <w:r>
        <w:t xml:space="preserve"> ratio in sub-sector automotive and component listed in Indonesia stock exchange in period 2012–2016’, </w:t>
      </w:r>
      <w:r w:rsidRPr="005B0AF1">
        <w:rPr>
          <w:i/>
          <w:iCs/>
        </w:rPr>
        <w:t>KnE Social Sciences,</w:t>
      </w:r>
      <w:r>
        <w:t xml:space="preserve"> 1 (1), pp. 1076–1086.</w:t>
      </w:r>
    </w:p>
    <w:p w14:paraId="5FD2A507" w14:textId="77777777" w:rsidR="00C3527F" w:rsidRDefault="00C3527F" w:rsidP="00235420">
      <w:pPr>
        <w:jc w:val="both"/>
      </w:pPr>
      <w:r w:rsidRPr="00CE48C8">
        <w:t xml:space="preserve">Huikku, J. Karjalainen, j. Seppala, T. (2018) ‘The dynamism of pre-decision controls in the appraisal of strategic investments’, </w:t>
      </w:r>
      <w:r w:rsidRPr="00CE48C8">
        <w:rPr>
          <w:i/>
          <w:iCs/>
        </w:rPr>
        <w:t xml:space="preserve">The British Account Review, </w:t>
      </w:r>
      <w:r w:rsidRPr="00CE48C8">
        <w:t>50 (5), pp. 516-538.</w:t>
      </w:r>
    </w:p>
    <w:p w14:paraId="2F11EAF1" w14:textId="2C9867BF" w:rsidR="00C3527F" w:rsidRDefault="00C3527F" w:rsidP="00235420">
      <w:pPr>
        <w:jc w:val="both"/>
      </w:pPr>
      <w:r>
        <w:t>Investopedia (2021) Fixed Asset Turnover. Available at:</w:t>
      </w:r>
      <w:r w:rsidRPr="00A570E5">
        <w:t xml:space="preserve"> </w:t>
      </w:r>
      <w:hyperlink r:id="rId29" w:history="1">
        <w:r w:rsidRPr="00B470EB">
          <w:rPr>
            <w:rStyle w:val="Hyperlink"/>
          </w:rPr>
          <w:t>https://www.investopedia.com/terms/f/fixed-asset-turnover.asp</w:t>
        </w:r>
      </w:hyperlink>
      <w:r>
        <w:t xml:space="preserve"> [Accessed: 19</w:t>
      </w:r>
      <w:r w:rsidRPr="005014E7">
        <w:rPr>
          <w:vertAlign w:val="superscript"/>
        </w:rPr>
        <w:t>th</w:t>
      </w:r>
      <w:r>
        <w:t xml:space="preserve"> May 2021].</w:t>
      </w:r>
    </w:p>
    <w:p w14:paraId="6DD0C979" w14:textId="09DB01E2" w:rsidR="00943ECF" w:rsidRDefault="00943ECF" w:rsidP="00235420">
      <w:pPr>
        <w:jc w:val="both"/>
      </w:pPr>
      <w:r>
        <w:t>Kagan, J. (2021) Payback Period. Available at:</w:t>
      </w:r>
      <w:r w:rsidRPr="00943ECF">
        <w:t xml:space="preserve"> </w:t>
      </w:r>
      <w:hyperlink r:id="rId30" w:history="1">
        <w:r w:rsidRPr="001A6C14">
          <w:rPr>
            <w:rStyle w:val="Hyperlink"/>
          </w:rPr>
          <w:t>https://www.investopedia.com/terms/p/paybackperiod.asp</w:t>
        </w:r>
      </w:hyperlink>
      <w:r>
        <w:t xml:space="preserve"> [Accessed: 21</w:t>
      </w:r>
      <w:r w:rsidRPr="00943ECF">
        <w:rPr>
          <w:vertAlign w:val="superscript"/>
        </w:rPr>
        <w:t>st</w:t>
      </w:r>
      <w:r>
        <w:t xml:space="preserve"> May 2021].</w:t>
      </w:r>
    </w:p>
    <w:p w14:paraId="5D6EDA85" w14:textId="77777777" w:rsidR="00C3527F" w:rsidRDefault="00C3527F" w:rsidP="00235420">
      <w:pPr>
        <w:jc w:val="both"/>
      </w:pPr>
      <w:r w:rsidRPr="00CE48C8">
        <w:t xml:space="preserve">Kengatharan, L. Diluxshan, C. P. (2017) ‘Use of the capital investment appraisal practices and effectiveness of investment decisions: A study on listed manufacturing companies in Sri Lanka’, </w:t>
      </w:r>
      <w:r w:rsidRPr="00CE48C8">
        <w:rPr>
          <w:i/>
          <w:iCs/>
        </w:rPr>
        <w:t xml:space="preserve">Asian Journal of Finance and Accounting, </w:t>
      </w:r>
      <w:r w:rsidRPr="00CE48C8">
        <w:t>9 (2), pp. 287-306.</w:t>
      </w:r>
    </w:p>
    <w:p w14:paraId="00C1F849" w14:textId="6F9DC81D" w:rsidR="00C3527F" w:rsidRDefault="00C3527F" w:rsidP="00235420">
      <w:pPr>
        <w:jc w:val="both"/>
      </w:pPr>
      <w:r w:rsidRPr="00CE48C8">
        <w:t xml:space="preserve">Kotlar, J. Signori, A. Massis, A. D. Vismara, S. (2017) ‘Financial wealth, socioemotional wealth and IPO </w:t>
      </w:r>
      <w:r w:rsidR="00E97CE7" w:rsidRPr="00CE48C8">
        <w:t>under-pricing</w:t>
      </w:r>
      <w:r w:rsidRPr="00CE48C8">
        <w:t xml:space="preserve"> in family firms: A two stage gamble mode’, </w:t>
      </w:r>
      <w:r w:rsidRPr="00CE48C8">
        <w:rPr>
          <w:i/>
          <w:iCs/>
        </w:rPr>
        <w:t xml:space="preserve">Academy of Management Journal, </w:t>
      </w:r>
      <w:r w:rsidRPr="00CE48C8">
        <w:t xml:space="preserve">61 (3), pp. 1-60. </w:t>
      </w:r>
    </w:p>
    <w:p w14:paraId="2C5EC570" w14:textId="77777777" w:rsidR="00C3527F" w:rsidRPr="00530E94" w:rsidRDefault="00C3527F" w:rsidP="00235420">
      <w:pPr>
        <w:jc w:val="both"/>
      </w:pPr>
      <w:r>
        <w:t xml:space="preserve">Kurniawan, A. (2021) ‘Analysis of the effect of return on assets, debt to equity ratio, and total asset turnover on share return’, </w:t>
      </w:r>
      <w:r>
        <w:rPr>
          <w:i/>
          <w:iCs/>
        </w:rPr>
        <w:t xml:space="preserve">Journal of Industrial Engineering and Management Research, </w:t>
      </w:r>
      <w:r>
        <w:t xml:space="preserve">2 (1), pp. 64-72. </w:t>
      </w:r>
    </w:p>
    <w:p w14:paraId="4AC92704" w14:textId="77777777" w:rsidR="00C3527F" w:rsidRPr="00394881" w:rsidRDefault="00C3527F" w:rsidP="00235420">
      <w:pPr>
        <w:jc w:val="both"/>
      </w:pPr>
      <w:r>
        <w:t xml:space="preserve">Lalithchandra, B. N. Rajendhiran, N. (2021) ‘Liquidity ratio: An important financial metrics’, </w:t>
      </w:r>
      <w:r w:rsidRPr="00394881">
        <w:rPr>
          <w:i/>
          <w:iCs/>
        </w:rPr>
        <w:t>Turkish Journal of Computer and Mathematics Education</w:t>
      </w:r>
      <w:r>
        <w:rPr>
          <w:i/>
          <w:iCs/>
        </w:rPr>
        <w:t xml:space="preserve">, </w:t>
      </w:r>
      <w:r>
        <w:t>12 (2), pp. 1113-1114.</w:t>
      </w:r>
    </w:p>
    <w:p w14:paraId="5C993FFB" w14:textId="2F916DD0" w:rsidR="009273DF" w:rsidRPr="00E97CE7" w:rsidRDefault="009273DF" w:rsidP="00235420">
      <w:pPr>
        <w:jc w:val="both"/>
      </w:pPr>
      <w:r>
        <w:t>Ong, T. S. Thum, C. H. (2013) ‘</w:t>
      </w:r>
      <w:r w:rsidR="00E97CE7">
        <w:t xml:space="preserve">Net Present Value and Payback Period for Building Integrated Photovoltaic Projects in Malaysia’, </w:t>
      </w:r>
      <w:r w:rsidR="00E97CE7" w:rsidRPr="00E97CE7">
        <w:rPr>
          <w:i/>
          <w:iCs/>
        </w:rPr>
        <w:t>International Journal of Academic Research in Business and Social Sciences</w:t>
      </w:r>
      <w:r w:rsidR="00E97CE7">
        <w:rPr>
          <w:i/>
          <w:iCs/>
        </w:rPr>
        <w:t xml:space="preserve">, </w:t>
      </w:r>
      <w:r w:rsidR="00E97CE7">
        <w:t>3 (2), pp. 153-171.</w:t>
      </w:r>
    </w:p>
    <w:p w14:paraId="21EA94D1" w14:textId="58AF6A98" w:rsidR="00C3527F" w:rsidRDefault="00C3527F" w:rsidP="00235420">
      <w:pPr>
        <w:jc w:val="both"/>
      </w:pPr>
      <w:r>
        <w:t xml:space="preserve">Rashid, C. A. (2018) ‘Efficiency of financial ratios analysis for evaluating companies’ liquidity’, </w:t>
      </w:r>
      <w:r w:rsidRPr="00441190">
        <w:rPr>
          <w:i/>
          <w:iCs/>
        </w:rPr>
        <w:t>International Journal of Social Sciences &amp; Educational Studies</w:t>
      </w:r>
      <w:r>
        <w:t>, 4 (4), pp. 110-123.</w:t>
      </w:r>
    </w:p>
    <w:p w14:paraId="3F5BD551" w14:textId="77777777" w:rsidR="00C3527F" w:rsidRPr="00A65F16" w:rsidRDefault="00C3527F" w:rsidP="00235420">
      <w:pPr>
        <w:jc w:val="both"/>
      </w:pPr>
      <w:r>
        <w:t xml:space="preserve">Rely, G. Arsjah, R. J. (2018) ‘The impact of working capital, fixed assets, leverage and profitability towards audit opinion for manufacturing firms’, </w:t>
      </w:r>
      <w:r w:rsidRPr="00A65F16">
        <w:rPr>
          <w:i/>
          <w:iCs/>
        </w:rPr>
        <w:t>Research Journal of Finance and Accounting</w:t>
      </w:r>
      <w:r>
        <w:rPr>
          <w:i/>
          <w:iCs/>
        </w:rPr>
        <w:t xml:space="preserve">, </w:t>
      </w:r>
      <w:r>
        <w:t>9 (8), pp. 70-78.</w:t>
      </w:r>
    </w:p>
    <w:p w14:paraId="41135187" w14:textId="77777777" w:rsidR="00C3527F" w:rsidRPr="003C7D80" w:rsidRDefault="00C3527F" w:rsidP="00235420">
      <w:pPr>
        <w:jc w:val="both"/>
        <w:rPr>
          <w:i/>
          <w:iCs/>
        </w:rPr>
      </w:pPr>
      <w:r>
        <w:t xml:space="preserve">Rinaldo, N. E. Endri, E. (2020) ‘Analysis of financial performance of plantation subsector companies Listed on the Indonesia Stock Exchange for the 2014-2019 Period’, </w:t>
      </w:r>
      <w:r w:rsidRPr="000F13E3">
        <w:rPr>
          <w:i/>
          <w:iCs/>
        </w:rPr>
        <w:t>International Journal of Innovative Science and Research Technology</w:t>
      </w:r>
      <w:r>
        <w:t>, 5 (4), pp. 530-537.</w:t>
      </w:r>
    </w:p>
    <w:p w14:paraId="1D2B7E5D" w14:textId="77777777" w:rsidR="00C3527F" w:rsidRDefault="00C3527F" w:rsidP="00235420">
      <w:pPr>
        <w:jc w:val="both"/>
      </w:pPr>
      <w:r>
        <w:t>Robinson, T. R. Henry, E. Pirie, W. L. Broihahn, M. A. (2015) International Financial Statement Analysis. 3rd ed. New Jersey: Wiley.</w:t>
      </w:r>
    </w:p>
    <w:p w14:paraId="289B72DA" w14:textId="77777777" w:rsidR="00C3527F" w:rsidRDefault="00C3527F" w:rsidP="00235420">
      <w:pPr>
        <w:jc w:val="both"/>
      </w:pPr>
      <w:r>
        <w:t xml:space="preserve">Sawangarreerak, S. Thanathamathee, P. (2021) ‘Detecting and analysing fraudulent patterns of financial statement for open innovation using discretization and association rule mining’, </w:t>
      </w:r>
      <w:r>
        <w:rPr>
          <w:i/>
          <w:iCs/>
        </w:rPr>
        <w:t>Journal of Open Innovation: Technology, Market and Complexity,</w:t>
      </w:r>
      <w:r>
        <w:t xml:space="preserve"> 7 (128), pp. 1-20.</w:t>
      </w:r>
    </w:p>
    <w:p w14:paraId="6E91F075" w14:textId="72FF9BE8" w:rsidR="00C3527F" w:rsidRPr="002E6304" w:rsidRDefault="00C3527F" w:rsidP="00235420">
      <w:pPr>
        <w:jc w:val="both"/>
      </w:pPr>
      <w:r>
        <w:t xml:space="preserve">Sugiarto, T. (2015) ‘Cash ratio, return on assets, debt </w:t>
      </w:r>
      <w:r w:rsidR="00E97CE7">
        <w:t>to</w:t>
      </w:r>
      <w:r>
        <w:t xml:space="preserve"> equity ratio and dividend </w:t>
      </w:r>
      <w:r w:rsidR="00E97CE7">
        <w:t>pay-out</w:t>
      </w:r>
      <w:r>
        <w:t xml:space="preserve"> ratio of 25 companies listed in BEI period 2005-2014 test data using panel’,</w:t>
      </w:r>
      <w:r>
        <w:rPr>
          <w:i/>
          <w:iCs/>
        </w:rPr>
        <w:t xml:space="preserve"> International Journal of Business Quantitative Economics and Applied Management Research, </w:t>
      </w:r>
      <w:r>
        <w:t>2 (1), pp. 1-16.</w:t>
      </w:r>
    </w:p>
    <w:p w14:paraId="2238EFF1" w14:textId="77777777" w:rsidR="00C3527F" w:rsidRDefault="00C3527F" w:rsidP="00235420">
      <w:pPr>
        <w:jc w:val="both"/>
      </w:pPr>
      <w:r>
        <w:t xml:space="preserve">Siringi, R. K. (2021) ‘A case study on liquidity management with special reference to Nava Bharat Venture Ltd, Andhrapradesh’, </w:t>
      </w:r>
      <w:r>
        <w:rPr>
          <w:i/>
          <w:iCs/>
        </w:rPr>
        <w:t xml:space="preserve">Zeichen Journal, </w:t>
      </w:r>
      <w:r>
        <w:t>7 (2), pp. 164-186.</w:t>
      </w:r>
    </w:p>
    <w:p w14:paraId="0429957A" w14:textId="77777777" w:rsidR="00C3527F" w:rsidRDefault="00C3527F" w:rsidP="00235420">
      <w:pPr>
        <w:jc w:val="both"/>
      </w:pPr>
      <w:r>
        <w:t xml:space="preserve">Tesco Annual Report and Financial Statements (2021) Financial Review. Available at: </w:t>
      </w:r>
      <w:hyperlink r:id="rId31" w:history="1">
        <w:r w:rsidRPr="0051415B">
          <w:rPr>
            <w:rStyle w:val="Hyperlink"/>
          </w:rPr>
          <w:t>https://www.tescoplc.com/media/755761/tes006_ar2020_web_updated_200505.pdf</w:t>
        </w:r>
      </w:hyperlink>
      <w:r>
        <w:t xml:space="preserve"> [Accessed: 16</w:t>
      </w:r>
      <w:r w:rsidRPr="00CF51D6">
        <w:rPr>
          <w:vertAlign w:val="superscript"/>
        </w:rPr>
        <w:t>th</w:t>
      </w:r>
      <w:r>
        <w:t xml:space="preserve"> March 2021].</w:t>
      </w:r>
    </w:p>
    <w:p w14:paraId="4A581C32" w14:textId="77777777" w:rsidR="00C3527F" w:rsidRDefault="00C3527F" w:rsidP="00235420">
      <w:pPr>
        <w:jc w:val="both"/>
      </w:pPr>
      <w:r>
        <w:t>Tesco PLC (2021) Our history. Available at:</w:t>
      </w:r>
      <w:r w:rsidRPr="003748D6">
        <w:t xml:space="preserve"> </w:t>
      </w:r>
      <w:hyperlink r:id="rId32" w:history="1">
        <w:r w:rsidRPr="0051415B">
          <w:rPr>
            <w:rStyle w:val="Hyperlink"/>
          </w:rPr>
          <w:t>https://www.tescoplc.com/about/our-history/</w:t>
        </w:r>
      </w:hyperlink>
      <w:r>
        <w:t xml:space="preserve"> [Accessed:16</w:t>
      </w:r>
      <w:r w:rsidRPr="003748D6">
        <w:rPr>
          <w:vertAlign w:val="superscript"/>
        </w:rPr>
        <w:t>th</w:t>
      </w:r>
      <w:r>
        <w:t xml:space="preserve"> March 2021].</w:t>
      </w:r>
    </w:p>
    <w:p w14:paraId="7391AB3A" w14:textId="7BC5DDD6" w:rsidR="00C3527F" w:rsidRDefault="00C3527F" w:rsidP="00235420">
      <w:pPr>
        <w:jc w:val="both"/>
      </w:pPr>
      <w:r>
        <w:t xml:space="preserve">Tesco PLC (2021) Our business in the UK. Available at: </w:t>
      </w:r>
      <w:hyperlink r:id="rId33" w:history="1">
        <w:r w:rsidRPr="0051415B">
          <w:rPr>
            <w:rStyle w:val="Hyperlink"/>
          </w:rPr>
          <w:t>https://www.ourtesco.com/working-at-tesco/our-company/tesco-glance/</w:t>
        </w:r>
      </w:hyperlink>
      <w:r>
        <w:t xml:space="preserve"> [Accessed: 16</w:t>
      </w:r>
      <w:r w:rsidRPr="009B6BBC">
        <w:rPr>
          <w:vertAlign w:val="superscript"/>
        </w:rPr>
        <w:t>th</w:t>
      </w:r>
      <w:r>
        <w:t xml:space="preserve"> March 2021].</w:t>
      </w:r>
    </w:p>
    <w:p w14:paraId="17D3BBF1" w14:textId="7D59A812" w:rsidR="00C3527F" w:rsidRPr="00CE48C8" w:rsidRDefault="00C3527F" w:rsidP="00235420">
      <w:pPr>
        <w:jc w:val="both"/>
      </w:pPr>
      <w:r w:rsidRPr="00CE48C8">
        <w:t>Warren, L. Seal, W. (2018) ‘Using investment appraisal models in strategic negotiation: the cultural political economy of electricity generation’</w:t>
      </w:r>
      <w:r>
        <w:t>,</w:t>
      </w:r>
      <w:r w:rsidRPr="00CE48C8">
        <w:t xml:space="preserve"> </w:t>
      </w:r>
      <w:r w:rsidRPr="00CE48C8">
        <w:rPr>
          <w:i/>
          <w:iCs/>
        </w:rPr>
        <w:t xml:space="preserve">Accounting, Organisation and Society, </w:t>
      </w:r>
      <w:r w:rsidRPr="00CE48C8">
        <w:t>70, pp. 16-32.</w:t>
      </w:r>
    </w:p>
    <w:p w14:paraId="2768FAA5" w14:textId="77777777" w:rsidR="00C3527F" w:rsidRDefault="00C3527F" w:rsidP="00235420">
      <w:pPr>
        <w:jc w:val="both"/>
      </w:pPr>
      <w:r>
        <w:t xml:space="preserve">Whiterow, P. (2021) Tesco increase grocery market share for first time in four years. Available at:  </w:t>
      </w:r>
      <w:hyperlink r:id="rId34" w:history="1">
        <w:r w:rsidRPr="0051415B">
          <w:rPr>
            <w:rStyle w:val="Hyperlink"/>
          </w:rPr>
          <w:t>https://www.proactiveinvestors.co.uk/companies/news/942686/tesco-increases-grocery-market-share-for-first-time-in-four-years-942686.html</w:t>
        </w:r>
      </w:hyperlink>
      <w:r>
        <w:t xml:space="preserve"> [Accessed: 16</w:t>
      </w:r>
      <w:r w:rsidRPr="00FC396D">
        <w:rPr>
          <w:vertAlign w:val="superscript"/>
        </w:rPr>
        <w:t>th</w:t>
      </w:r>
      <w:r>
        <w:t xml:space="preserve"> March 2021].</w:t>
      </w:r>
    </w:p>
    <w:p w14:paraId="005FE0D6" w14:textId="77777777" w:rsidR="00C3527F" w:rsidRDefault="00C3527F" w:rsidP="00235420">
      <w:pPr>
        <w:jc w:val="both"/>
      </w:pPr>
      <w:r>
        <w:t>Zerodha, B. W. (2020) The business model and competitors of Tesco. Available at:</w:t>
      </w:r>
      <w:r w:rsidRPr="00DE46FC">
        <w:t xml:space="preserve"> </w:t>
      </w:r>
      <w:hyperlink r:id="rId35" w:history="1">
        <w:r w:rsidRPr="001A6C14">
          <w:rPr>
            <w:rStyle w:val="Hyperlink"/>
          </w:rPr>
          <w:t>https://startuptalky.com/business-model-competitors-tesco/</w:t>
        </w:r>
      </w:hyperlink>
      <w:r>
        <w:t xml:space="preserve"> [Accessed: 22</w:t>
      </w:r>
      <w:r w:rsidRPr="00DE46FC">
        <w:rPr>
          <w:vertAlign w:val="superscript"/>
        </w:rPr>
        <w:t>nd</w:t>
      </w:r>
      <w:r>
        <w:t xml:space="preserve"> May 2021].</w:t>
      </w:r>
    </w:p>
    <w:p w14:paraId="5DFF463D" w14:textId="77777777" w:rsidR="00C3527F" w:rsidRPr="00FB580F" w:rsidRDefault="00C3527F" w:rsidP="00235420">
      <w:pPr>
        <w:jc w:val="both"/>
      </w:pPr>
    </w:p>
    <w:sectPr w:rsidR="00C3527F" w:rsidRPr="00FB580F" w:rsidSect="001839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19E4"/>
    <w:multiLevelType w:val="multilevel"/>
    <w:tmpl w:val="F678181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5856FF9"/>
    <w:multiLevelType w:val="multilevel"/>
    <w:tmpl w:val="D5D4A59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482"/>
    <w:rsid w:val="0006019E"/>
    <w:rsid w:val="00183992"/>
    <w:rsid w:val="00235420"/>
    <w:rsid w:val="00312A82"/>
    <w:rsid w:val="003E458E"/>
    <w:rsid w:val="00450AB5"/>
    <w:rsid w:val="00573F49"/>
    <w:rsid w:val="0058323F"/>
    <w:rsid w:val="005D6A4D"/>
    <w:rsid w:val="005D74C2"/>
    <w:rsid w:val="0064468A"/>
    <w:rsid w:val="0069665E"/>
    <w:rsid w:val="006D3153"/>
    <w:rsid w:val="006E217A"/>
    <w:rsid w:val="00706614"/>
    <w:rsid w:val="00766299"/>
    <w:rsid w:val="007B68CB"/>
    <w:rsid w:val="00823482"/>
    <w:rsid w:val="00890E69"/>
    <w:rsid w:val="009273DF"/>
    <w:rsid w:val="00943ECF"/>
    <w:rsid w:val="009D0401"/>
    <w:rsid w:val="009D0664"/>
    <w:rsid w:val="00A14F42"/>
    <w:rsid w:val="00AB35B1"/>
    <w:rsid w:val="00AD0831"/>
    <w:rsid w:val="00AF5048"/>
    <w:rsid w:val="00B10202"/>
    <w:rsid w:val="00B57F3E"/>
    <w:rsid w:val="00B7142A"/>
    <w:rsid w:val="00C117B6"/>
    <w:rsid w:val="00C3527F"/>
    <w:rsid w:val="00C61364"/>
    <w:rsid w:val="00C7424D"/>
    <w:rsid w:val="00C969C3"/>
    <w:rsid w:val="00CB711F"/>
    <w:rsid w:val="00D41ECE"/>
    <w:rsid w:val="00D855C1"/>
    <w:rsid w:val="00D97FCF"/>
    <w:rsid w:val="00DA6313"/>
    <w:rsid w:val="00DE46FC"/>
    <w:rsid w:val="00DF2F4F"/>
    <w:rsid w:val="00E97CE7"/>
    <w:rsid w:val="00EB4E3C"/>
    <w:rsid w:val="00EE6BCA"/>
    <w:rsid w:val="00F743E5"/>
    <w:rsid w:val="00FB5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A5A5"/>
  <w15:chartTrackingRefBased/>
  <w15:docId w15:val="{4A352CEC-E991-4825-8833-AE5495CD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4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13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48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7142A"/>
    <w:pPr>
      <w:ind w:left="720"/>
      <w:contextualSpacing/>
    </w:pPr>
  </w:style>
  <w:style w:type="character" w:styleId="Hyperlink">
    <w:name w:val="Hyperlink"/>
    <w:basedOn w:val="DefaultParagraphFont"/>
    <w:uiPriority w:val="99"/>
    <w:unhideWhenUsed/>
    <w:rsid w:val="00FB580F"/>
    <w:rPr>
      <w:color w:val="0563C1" w:themeColor="hyperlink"/>
      <w:u w:val="single"/>
    </w:rPr>
  </w:style>
  <w:style w:type="character" w:styleId="UnresolvedMention">
    <w:name w:val="Unresolved Mention"/>
    <w:basedOn w:val="DefaultParagraphFont"/>
    <w:uiPriority w:val="99"/>
    <w:semiHidden/>
    <w:unhideWhenUsed/>
    <w:rsid w:val="00DE46FC"/>
    <w:rPr>
      <w:color w:val="605E5C"/>
      <w:shd w:val="clear" w:color="auto" w:fill="E1DFDD"/>
    </w:rPr>
  </w:style>
  <w:style w:type="character" w:customStyle="1" w:styleId="Heading2Char">
    <w:name w:val="Heading 2 Char"/>
    <w:basedOn w:val="DefaultParagraphFont"/>
    <w:link w:val="Heading2"/>
    <w:uiPriority w:val="9"/>
    <w:rsid w:val="00C61364"/>
    <w:rPr>
      <w:rFonts w:asciiTheme="majorHAnsi" w:eastAsiaTheme="majorEastAsia" w:hAnsiTheme="majorHAnsi" w:cstheme="majorBidi"/>
      <w:color w:val="2F5496" w:themeColor="accent1" w:themeShade="BF"/>
      <w:sz w:val="26"/>
      <w:szCs w:val="26"/>
    </w:rPr>
  </w:style>
  <w:style w:type="table" w:styleId="GridTable5Dark-Accent1">
    <w:name w:val="Grid Table 5 Dark Accent 1"/>
    <w:basedOn w:val="TableNormal"/>
    <w:uiPriority w:val="50"/>
    <w:rsid w:val="00B57F3E"/>
    <w:pPr>
      <w:spacing w:after="0" w:line="240" w:lineRule="auto"/>
    </w:pPr>
    <w:rPr>
      <w:rFonts w:eastAsiaTheme="minorEastAsia"/>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Heading">
    <w:name w:val="TOC Heading"/>
    <w:basedOn w:val="Heading1"/>
    <w:next w:val="Normal"/>
    <w:uiPriority w:val="39"/>
    <w:unhideWhenUsed/>
    <w:qFormat/>
    <w:rsid w:val="00B57F3E"/>
    <w:pPr>
      <w:outlineLvl w:val="9"/>
    </w:pPr>
    <w:rPr>
      <w:lang w:val="en-US"/>
    </w:rPr>
  </w:style>
  <w:style w:type="paragraph" w:styleId="TOC1">
    <w:name w:val="toc 1"/>
    <w:basedOn w:val="Normal"/>
    <w:next w:val="Normal"/>
    <w:autoRedefine/>
    <w:uiPriority w:val="39"/>
    <w:unhideWhenUsed/>
    <w:rsid w:val="00B57F3E"/>
    <w:pPr>
      <w:spacing w:after="100"/>
    </w:pPr>
  </w:style>
  <w:style w:type="paragraph" w:styleId="TOC2">
    <w:name w:val="toc 2"/>
    <w:basedOn w:val="Normal"/>
    <w:next w:val="Normal"/>
    <w:autoRedefine/>
    <w:uiPriority w:val="39"/>
    <w:unhideWhenUsed/>
    <w:rsid w:val="00B57F3E"/>
    <w:pPr>
      <w:spacing w:after="100"/>
      <w:ind w:left="220"/>
    </w:pPr>
  </w:style>
  <w:style w:type="paragraph" w:styleId="TOC3">
    <w:name w:val="toc 3"/>
    <w:basedOn w:val="Normal"/>
    <w:next w:val="Normal"/>
    <w:autoRedefine/>
    <w:uiPriority w:val="39"/>
    <w:unhideWhenUsed/>
    <w:rsid w:val="00B57F3E"/>
    <w:pPr>
      <w:spacing w:after="100"/>
      <w:ind w:left="440"/>
    </w:pPr>
  </w:style>
  <w:style w:type="paragraph" w:styleId="NoSpacing">
    <w:name w:val="No Spacing"/>
    <w:link w:val="NoSpacingChar"/>
    <w:uiPriority w:val="1"/>
    <w:qFormat/>
    <w:rsid w:val="001839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399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810970">
      <w:bodyDiv w:val="1"/>
      <w:marLeft w:val="0"/>
      <w:marRight w:val="0"/>
      <w:marTop w:val="0"/>
      <w:marBottom w:val="0"/>
      <w:divBdr>
        <w:top w:val="none" w:sz="0" w:space="0" w:color="auto"/>
        <w:left w:val="none" w:sz="0" w:space="0" w:color="auto"/>
        <w:bottom w:val="none" w:sz="0" w:space="0" w:color="auto"/>
        <w:right w:val="none" w:sz="0" w:space="0" w:color="auto"/>
      </w:divBdr>
      <w:divsChild>
        <w:div w:id="518082055">
          <w:marLeft w:val="0"/>
          <w:marRight w:val="0"/>
          <w:marTop w:val="0"/>
          <w:marBottom w:val="0"/>
          <w:divBdr>
            <w:top w:val="none" w:sz="0" w:space="0" w:color="auto"/>
            <w:left w:val="none" w:sz="0" w:space="0" w:color="auto"/>
            <w:bottom w:val="none" w:sz="0" w:space="0" w:color="auto"/>
            <w:right w:val="none" w:sz="0" w:space="0" w:color="auto"/>
          </w:divBdr>
          <w:divsChild>
            <w:div w:id="1055082155">
              <w:marLeft w:val="0"/>
              <w:marRight w:val="0"/>
              <w:marTop w:val="0"/>
              <w:marBottom w:val="0"/>
              <w:divBdr>
                <w:top w:val="none" w:sz="0" w:space="0" w:color="auto"/>
                <w:left w:val="none" w:sz="0" w:space="0" w:color="auto"/>
                <w:bottom w:val="none" w:sz="0" w:space="0" w:color="auto"/>
                <w:right w:val="none" w:sz="0" w:space="0" w:color="auto"/>
              </w:divBdr>
              <w:divsChild>
                <w:div w:id="1781295316">
                  <w:marLeft w:val="0"/>
                  <w:marRight w:val="0"/>
                  <w:marTop w:val="120"/>
                  <w:marBottom w:val="0"/>
                  <w:divBdr>
                    <w:top w:val="none" w:sz="0" w:space="0" w:color="auto"/>
                    <w:left w:val="none" w:sz="0" w:space="0" w:color="auto"/>
                    <w:bottom w:val="none" w:sz="0" w:space="0" w:color="auto"/>
                    <w:right w:val="none" w:sz="0" w:space="0" w:color="auto"/>
                  </w:divBdr>
                  <w:divsChild>
                    <w:div w:id="1549687140">
                      <w:marLeft w:val="0"/>
                      <w:marRight w:val="0"/>
                      <w:marTop w:val="0"/>
                      <w:marBottom w:val="0"/>
                      <w:divBdr>
                        <w:top w:val="none" w:sz="0" w:space="0" w:color="auto"/>
                        <w:left w:val="none" w:sz="0" w:space="0" w:color="auto"/>
                        <w:bottom w:val="none" w:sz="0" w:space="0" w:color="auto"/>
                        <w:right w:val="none" w:sz="0" w:space="0" w:color="auto"/>
                      </w:divBdr>
                      <w:divsChild>
                        <w:div w:id="39566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chart" Target="charts/chart15.xml"/><Relationship Id="rId34" Type="http://schemas.openxmlformats.org/officeDocument/2006/relationships/hyperlink" Target="about:blank"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hyperlink" Target="about:blank" TargetMode="External"/><Relationship Id="rId33"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5.xm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hyperlink" Target="about:blank" TargetMode="External"/><Relationship Id="rId36"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Tesco</a:t>
            </a:r>
            <a:r>
              <a:rPr lang="en-GB" baseline="0"/>
              <a:t> Profit Margins Between 2016-2020</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Gross Profit Margin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Sheet1!$D$2:$H$2</c:f>
              <c:strCache>
                <c:ptCount val="5"/>
                <c:pt idx="0">
                  <c:v>2016</c:v>
                </c:pt>
                <c:pt idx="1">
                  <c:v>2017</c:v>
                </c:pt>
                <c:pt idx="2">
                  <c:v>2018</c:v>
                </c:pt>
                <c:pt idx="3">
                  <c:v>2019</c:v>
                </c:pt>
                <c:pt idx="4">
                  <c:v>2020</c:v>
                </c:pt>
              </c:strCache>
            </c:strRef>
          </c:cat>
          <c:val>
            <c:numRef>
              <c:f>Sheet1!$D$3:$H$3</c:f>
              <c:numCache>
                <c:formatCode>0.0%</c:formatCode>
                <c:ptCount val="5"/>
                <c:pt idx="0">
                  <c:v>5.2429999999999997E-2</c:v>
                </c:pt>
                <c:pt idx="1">
                  <c:v>5.1799999999999999E-2</c:v>
                </c:pt>
                <c:pt idx="2">
                  <c:v>5.8000000000000003E-2</c:v>
                </c:pt>
                <c:pt idx="3">
                  <c:v>7.2999999999999995E-2</c:v>
                </c:pt>
                <c:pt idx="4">
                  <c:v>7.0999999999999994E-2</c:v>
                </c:pt>
              </c:numCache>
            </c:numRef>
          </c:val>
          <c:smooth val="0"/>
          <c:extLst>
            <c:ext xmlns:c16="http://schemas.microsoft.com/office/drawing/2014/chart" uri="{C3380CC4-5D6E-409C-BE32-E72D297353CC}">
              <c16:uniqueId val="{00000000-A355-4666-861E-63A6A99842C7}"/>
            </c:ext>
          </c:extLst>
        </c:ser>
        <c:ser>
          <c:idx val="1"/>
          <c:order val="1"/>
          <c:tx>
            <c:strRef>
              <c:f>Sheet1!$C$4</c:f>
              <c:strCache>
                <c:ptCount val="1"/>
                <c:pt idx="0">
                  <c:v>Net Profit Margin</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Sheet1!$D$2:$H$2</c:f>
              <c:strCache>
                <c:ptCount val="5"/>
                <c:pt idx="0">
                  <c:v>2016</c:v>
                </c:pt>
                <c:pt idx="1">
                  <c:v>2017</c:v>
                </c:pt>
                <c:pt idx="2">
                  <c:v>2018</c:v>
                </c:pt>
                <c:pt idx="3">
                  <c:v>2019</c:v>
                </c:pt>
                <c:pt idx="4">
                  <c:v>2020</c:v>
                </c:pt>
              </c:strCache>
            </c:strRef>
          </c:cat>
          <c:val>
            <c:numRef>
              <c:f>Sheet1!$D$4:$H$4</c:f>
              <c:numCache>
                <c:formatCode>0.0%</c:formatCode>
                <c:ptCount val="5"/>
                <c:pt idx="0">
                  <c:v>2E-3</c:v>
                </c:pt>
                <c:pt idx="1">
                  <c:v>-1E-3</c:v>
                </c:pt>
                <c:pt idx="2">
                  <c:v>2.1000000000000001E-2</c:v>
                </c:pt>
                <c:pt idx="3">
                  <c:v>0.02</c:v>
                </c:pt>
                <c:pt idx="4">
                  <c:v>1.4999999999999999E-2</c:v>
                </c:pt>
              </c:numCache>
            </c:numRef>
          </c:val>
          <c:smooth val="0"/>
          <c:extLst>
            <c:ext xmlns:c16="http://schemas.microsoft.com/office/drawing/2014/chart" uri="{C3380CC4-5D6E-409C-BE32-E72D297353CC}">
              <c16:uniqueId val="{00000001-A355-4666-861E-63A6A99842C7}"/>
            </c:ext>
          </c:extLst>
        </c:ser>
        <c:dLbls>
          <c:dLblPos val="ctr"/>
          <c:showLegendKey val="0"/>
          <c:showVal val="1"/>
          <c:showCatName val="0"/>
          <c:showSerName val="0"/>
          <c:showPercent val="0"/>
          <c:showBubbleSize val="0"/>
        </c:dLbls>
        <c:smooth val="0"/>
        <c:axId val="521565288"/>
        <c:axId val="521565944"/>
      </c:lineChart>
      <c:catAx>
        <c:axId val="52156528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565944"/>
        <c:crosses val="autoZero"/>
        <c:auto val="1"/>
        <c:lblAlgn val="ctr"/>
        <c:lblOffset val="100"/>
        <c:noMultiLvlLbl val="0"/>
      </c:catAx>
      <c:valAx>
        <c:axId val="521565944"/>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156528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Gross Profit Margin</a:t>
            </a:r>
          </a:p>
          <a:p>
            <a:pPr>
              <a:defRPr/>
            </a:pPr>
            <a:r>
              <a:rPr lang="en-US"/>
              <a:t>2016-2020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Sheet1!$C$3</c:f>
              <c:strCache>
                <c:ptCount val="1"/>
                <c:pt idx="0">
                  <c:v>Gross Profit Margin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Sheet1!$D$2:$H$2</c:f>
              <c:strCache>
                <c:ptCount val="5"/>
                <c:pt idx="0">
                  <c:v>2016</c:v>
                </c:pt>
                <c:pt idx="1">
                  <c:v>2017</c:v>
                </c:pt>
                <c:pt idx="2">
                  <c:v>2018</c:v>
                </c:pt>
                <c:pt idx="3">
                  <c:v>2019</c:v>
                </c:pt>
                <c:pt idx="4">
                  <c:v>2020</c:v>
                </c:pt>
              </c:strCache>
            </c:strRef>
          </c:cat>
          <c:val>
            <c:numRef>
              <c:f>Sheet1!$D$3:$H$3</c:f>
              <c:numCache>
                <c:formatCode>0.0%</c:formatCode>
                <c:ptCount val="5"/>
                <c:pt idx="0">
                  <c:v>5.2429999999999997E-2</c:v>
                </c:pt>
                <c:pt idx="1">
                  <c:v>5.1799999999999999E-2</c:v>
                </c:pt>
                <c:pt idx="2">
                  <c:v>5.8000000000000003E-2</c:v>
                </c:pt>
                <c:pt idx="3">
                  <c:v>7.2999999999999995E-2</c:v>
                </c:pt>
                <c:pt idx="4">
                  <c:v>7.0999999999999994E-2</c:v>
                </c:pt>
              </c:numCache>
            </c:numRef>
          </c:val>
          <c:smooth val="0"/>
          <c:extLst>
            <c:ext xmlns:c16="http://schemas.microsoft.com/office/drawing/2014/chart" uri="{C3380CC4-5D6E-409C-BE32-E72D297353CC}">
              <c16:uniqueId val="{00000000-7D3A-400E-A6FB-E8D08E65C116}"/>
            </c:ext>
          </c:extLst>
        </c:ser>
        <c:dLbls>
          <c:dLblPos val="ctr"/>
          <c:showLegendKey val="0"/>
          <c:showVal val="1"/>
          <c:showCatName val="0"/>
          <c:showSerName val="0"/>
          <c:showPercent val="0"/>
          <c:showBubbleSize val="0"/>
        </c:dLbls>
        <c:smooth val="0"/>
        <c:axId val="481614720"/>
        <c:axId val="481615048"/>
      </c:lineChart>
      <c:catAx>
        <c:axId val="48161472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1615048"/>
        <c:crosses val="autoZero"/>
        <c:auto val="1"/>
        <c:lblAlgn val="ctr"/>
        <c:lblOffset val="100"/>
        <c:noMultiLvlLbl val="0"/>
      </c:catAx>
      <c:valAx>
        <c:axId val="481615048"/>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16147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Gross Profit Margin Comparison between Tesco, Sainsbury and Morrison </a:t>
            </a:r>
          </a:p>
          <a:p>
            <a:pPr>
              <a:defRPr/>
            </a:pPr>
            <a:r>
              <a:rPr lang="en-US"/>
              <a:t>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Sheet1!$C$50</c:f>
              <c:strCache>
                <c:ptCount val="1"/>
                <c:pt idx="0">
                  <c:v>Gross Profit Margin Comparison between Tesco, Sainsbury and Morrison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Sheet1!$D$49:$F$49</c:f>
              <c:strCache>
                <c:ptCount val="3"/>
                <c:pt idx="0">
                  <c:v>Tesco</c:v>
                </c:pt>
                <c:pt idx="1">
                  <c:v>sainsbury</c:v>
                </c:pt>
                <c:pt idx="2">
                  <c:v>morrisons</c:v>
                </c:pt>
              </c:strCache>
            </c:strRef>
          </c:cat>
          <c:val>
            <c:numRef>
              <c:f>Sheet1!$D$50:$F$50</c:f>
              <c:numCache>
                <c:formatCode>0.0%</c:formatCode>
                <c:ptCount val="3"/>
                <c:pt idx="0" formatCode="0.00%">
                  <c:v>7.0999999999999994E-2</c:v>
                </c:pt>
                <c:pt idx="1">
                  <c:v>7.0000000000000007E-2</c:v>
                </c:pt>
                <c:pt idx="2">
                  <c:v>3.5999999999999997E-2</c:v>
                </c:pt>
              </c:numCache>
            </c:numRef>
          </c:val>
          <c:extLst>
            <c:ext xmlns:c16="http://schemas.microsoft.com/office/drawing/2014/chart" uri="{C3380CC4-5D6E-409C-BE32-E72D297353CC}">
              <c16:uniqueId val="{00000000-8240-48A3-AC6E-85DEAC5EE459}"/>
            </c:ext>
          </c:extLst>
        </c:ser>
        <c:dLbls>
          <c:showLegendKey val="0"/>
          <c:showVal val="0"/>
          <c:showCatName val="0"/>
          <c:showSerName val="0"/>
          <c:showPercent val="0"/>
          <c:showBubbleSize val="0"/>
        </c:dLbls>
        <c:gapWidth val="150"/>
        <c:axId val="527166920"/>
        <c:axId val="527171840"/>
      </c:barChart>
      <c:catAx>
        <c:axId val="52716692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7171840"/>
        <c:crosses val="autoZero"/>
        <c:auto val="1"/>
        <c:lblAlgn val="ctr"/>
        <c:lblOffset val="100"/>
        <c:noMultiLvlLbl val="0"/>
      </c:catAx>
      <c:valAx>
        <c:axId val="527171840"/>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71669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Net Profit Margin</a:t>
            </a:r>
            <a:r>
              <a:rPr lang="en-GB" sz="1600" b="1" i="0" u="none" strike="noStrike" baseline="0">
                <a:effectLst/>
              </a:rPr>
              <a:t> </a:t>
            </a:r>
            <a:r>
              <a:rPr lang="en-GB" sz="1600" b="1" i="0" u="none" strike="noStrike" baseline="0">
                <a:effectLst>
                  <a:outerShdw blurRad="50800" dist="38100" dir="5400000" algn="t" rotWithShape="0">
                    <a:prstClr val="black">
                      <a:alpha val="40000"/>
                    </a:prstClr>
                  </a:outerShdw>
                </a:effectLst>
              </a:rPr>
              <a:t> </a:t>
            </a:r>
          </a:p>
          <a:p>
            <a:pPr>
              <a:defRPr/>
            </a:pPr>
            <a:r>
              <a:rPr lang="en-GB" sz="1600" b="1" i="0" u="none" strike="noStrike" baseline="0">
                <a:effectLst/>
              </a:rPr>
              <a:t>2016</a:t>
            </a:r>
            <a:r>
              <a:rPr lang="en-GB" sz="1600" b="1" i="0" u="none" strike="noStrike" baseline="0">
                <a:effectLst>
                  <a:outerShdw blurRad="50800" dist="38100" dir="5400000" algn="t" rotWithShape="0">
                    <a:prstClr val="black">
                      <a:alpha val="40000"/>
                    </a:prstClr>
                  </a:outerShdw>
                </a:effectLst>
              </a:rPr>
              <a:t>-20</a:t>
            </a:r>
            <a:r>
              <a:rPr lang="en-GB" sz="1600" b="1" i="0" u="none" strike="noStrike" baseline="0">
                <a:effectLst/>
              </a:rPr>
              <a:t>20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Sheet1!$D$45</c:f>
              <c:strCache>
                <c:ptCount val="1"/>
                <c:pt idx="0">
                  <c:v>Net Profit Margin</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Sheet1!$E$44:$I$44</c:f>
              <c:strCache>
                <c:ptCount val="5"/>
                <c:pt idx="0">
                  <c:v>2016</c:v>
                </c:pt>
                <c:pt idx="1">
                  <c:v>2017</c:v>
                </c:pt>
                <c:pt idx="2">
                  <c:v>2018</c:v>
                </c:pt>
                <c:pt idx="3">
                  <c:v>2019</c:v>
                </c:pt>
                <c:pt idx="4">
                  <c:v>2020</c:v>
                </c:pt>
              </c:strCache>
            </c:strRef>
          </c:cat>
          <c:val>
            <c:numRef>
              <c:f>Sheet1!$E$45:$I$45</c:f>
              <c:numCache>
                <c:formatCode>0.0%</c:formatCode>
                <c:ptCount val="5"/>
                <c:pt idx="0">
                  <c:v>2E-3</c:v>
                </c:pt>
                <c:pt idx="1">
                  <c:v>-1E-3</c:v>
                </c:pt>
                <c:pt idx="2">
                  <c:v>2.1000000000000001E-2</c:v>
                </c:pt>
                <c:pt idx="3">
                  <c:v>0.02</c:v>
                </c:pt>
                <c:pt idx="4">
                  <c:v>1.4999999999999999E-2</c:v>
                </c:pt>
              </c:numCache>
            </c:numRef>
          </c:val>
          <c:smooth val="0"/>
          <c:extLst>
            <c:ext xmlns:c16="http://schemas.microsoft.com/office/drawing/2014/chart" uri="{C3380CC4-5D6E-409C-BE32-E72D297353CC}">
              <c16:uniqueId val="{00000000-9910-46E7-80E8-46B90D1C0B40}"/>
            </c:ext>
          </c:extLst>
        </c:ser>
        <c:dLbls>
          <c:dLblPos val="ctr"/>
          <c:showLegendKey val="0"/>
          <c:showVal val="1"/>
          <c:showCatName val="0"/>
          <c:showSerName val="0"/>
          <c:showPercent val="0"/>
          <c:showBubbleSize val="0"/>
        </c:dLbls>
        <c:smooth val="0"/>
        <c:axId val="921086640"/>
        <c:axId val="921087624"/>
      </c:lineChart>
      <c:catAx>
        <c:axId val="92108664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1087624"/>
        <c:crosses val="autoZero"/>
        <c:auto val="1"/>
        <c:lblAlgn val="ctr"/>
        <c:lblOffset val="100"/>
        <c:noMultiLvlLbl val="0"/>
      </c:catAx>
      <c:valAx>
        <c:axId val="921087624"/>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108664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Sheet1!$C$50</c:f>
              <c:strCache>
                <c:ptCount val="1"/>
                <c:pt idx="0">
                  <c:v>Net Profit Margin Comparison between Tesco, Sainsbury and Morrison 2020</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Sheet1!$D$49:$F$49</c:f>
              <c:strCache>
                <c:ptCount val="3"/>
                <c:pt idx="0">
                  <c:v>Tesco</c:v>
                </c:pt>
                <c:pt idx="1">
                  <c:v>sainsbury</c:v>
                </c:pt>
                <c:pt idx="2">
                  <c:v>morrisons</c:v>
                </c:pt>
              </c:strCache>
            </c:strRef>
          </c:cat>
          <c:val>
            <c:numRef>
              <c:f>Sheet1!$D$50:$F$50</c:f>
              <c:numCache>
                <c:formatCode>0.0%</c:formatCode>
                <c:ptCount val="3"/>
                <c:pt idx="0">
                  <c:v>5.0000000000000001E-3</c:v>
                </c:pt>
                <c:pt idx="1">
                  <c:v>0.02</c:v>
                </c:pt>
                <c:pt idx="2">
                  <c:v>3.0000000000000001E-3</c:v>
                </c:pt>
              </c:numCache>
            </c:numRef>
          </c:val>
          <c:extLst>
            <c:ext xmlns:c16="http://schemas.microsoft.com/office/drawing/2014/chart" uri="{C3380CC4-5D6E-409C-BE32-E72D297353CC}">
              <c16:uniqueId val="{00000000-0DEB-44A1-B65A-CCDAA2A347BB}"/>
            </c:ext>
          </c:extLst>
        </c:ser>
        <c:dLbls>
          <c:showLegendKey val="0"/>
          <c:showVal val="0"/>
          <c:showCatName val="0"/>
          <c:showSerName val="0"/>
          <c:showPercent val="0"/>
          <c:showBubbleSize val="0"/>
        </c:dLbls>
        <c:gapWidth val="150"/>
        <c:axId val="524052976"/>
        <c:axId val="524053304"/>
      </c:barChart>
      <c:catAx>
        <c:axId val="52405297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4053304"/>
        <c:crosses val="autoZero"/>
        <c:auto val="1"/>
        <c:lblAlgn val="ctr"/>
        <c:lblOffset val="100"/>
        <c:noMultiLvlLbl val="0"/>
      </c:catAx>
      <c:valAx>
        <c:axId val="524053304"/>
        <c:scaling>
          <c:orientation val="minMax"/>
        </c:scaling>
        <c:delete val="0"/>
        <c:axPos val="b"/>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405297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Liquidity Ratios Between 2016-2020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Sheet1!$D$13</c:f>
              <c:strCache>
                <c:ptCount val="1"/>
                <c:pt idx="0">
                  <c:v>Current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Sheet1!$E$12:$I$12</c:f>
              <c:strCache>
                <c:ptCount val="5"/>
                <c:pt idx="0">
                  <c:v>2016</c:v>
                </c:pt>
                <c:pt idx="1">
                  <c:v>2017</c:v>
                </c:pt>
                <c:pt idx="2">
                  <c:v>2018</c:v>
                </c:pt>
                <c:pt idx="3">
                  <c:v>2019</c:v>
                </c:pt>
                <c:pt idx="4">
                  <c:v>2020</c:v>
                </c:pt>
              </c:strCache>
            </c:strRef>
          </c:cat>
          <c:val>
            <c:numRef>
              <c:f>Sheet1!$E$13:$I$13</c:f>
              <c:numCache>
                <c:formatCode>0.0</c:formatCode>
                <c:ptCount val="5"/>
                <c:pt idx="0">
                  <c:v>0.8</c:v>
                </c:pt>
                <c:pt idx="1">
                  <c:v>0.8</c:v>
                </c:pt>
                <c:pt idx="2">
                  <c:v>0.7</c:v>
                </c:pt>
                <c:pt idx="3">
                  <c:v>0.6</c:v>
                </c:pt>
                <c:pt idx="4">
                  <c:v>0.73</c:v>
                </c:pt>
              </c:numCache>
            </c:numRef>
          </c:val>
          <c:smooth val="0"/>
          <c:extLst>
            <c:ext xmlns:c16="http://schemas.microsoft.com/office/drawing/2014/chart" uri="{C3380CC4-5D6E-409C-BE32-E72D297353CC}">
              <c16:uniqueId val="{00000000-AC74-46C3-9D05-658E76DB1922}"/>
            </c:ext>
          </c:extLst>
        </c:ser>
        <c:ser>
          <c:idx val="1"/>
          <c:order val="1"/>
          <c:tx>
            <c:strRef>
              <c:f>Sheet1!$D$14</c:f>
              <c:strCache>
                <c:ptCount val="1"/>
                <c:pt idx="0">
                  <c:v>Quick Ratio</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Sheet1!$E$12:$I$12</c:f>
              <c:strCache>
                <c:ptCount val="5"/>
                <c:pt idx="0">
                  <c:v>2016</c:v>
                </c:pt>
                <c:pt idx="1">
                  <c:v>2017</c:v>
                </c:pt>
                <c:pt idx="2">
                  <c:v>2018</c:v>
                </c:pt>
                <c:pt idx="3">
                  <c:v>2019</c:v>
                </c:pt>
                <c:pt idx="4">
                  <c:v>2020</c:v>
                </c:pt>
              </c:strCache>
            </c:strRef>
          </c:cat>
          <c:val>
            <c:numRef>
              <c:f>Sheet1!$E$14:$I$14</c:f>
              <c:numCache>
                <c:formatCode>0.0</c:formatCode>
                <c:ptCount val="5"/>
                <c:pt idx="0">
                  <c:v>0.6</c:v>
                </c:pt>
                <c:pt idx="1">
                  <c:v>0.7</c:v>
                </c:pt>
                <c:pt idx="2">
                  <c:v>0.6</c:v>
                </c:pt>
                <c:pt idx="3">
                  <c:v>0.5</c:v>
                </c:pt>
                <c:pt idx="4">
                  <c:v>0.6</c:v>
                </c:pt>
              </c:numCache>
            </c:numRef>
          </c:val>
          <c:smooth val="0"/>
          <c:extLst>
            <c:ext xmlns:c16="http://schemas.microsoft.com/office/drawing/2014/chart" uri="{C3380CC4-5D6E-409C-BE32-E72D297353CC}">
              <c16:uniqueId val="{00000001-AC74-46C3-9D05-658E76DB1922}"/>
            </c:ext>
          </c:extLst>
        </c:ser>
        <c:dLbls>
          <c:showLegendKey val="0"/>
          <c:showVal val="0"/>
          <c:showCatName val="0"/>
          <c:showSerName val="0"/>
          <c:showPercent val="0"/>
          <c:showBubbleSize val="0"/>
        </c:dLbls>
        <c:smooth val="0"/>
        <c:axId val="381283888"/>
        <c:axId val="381279952"/>
      </c:lineChart>
      <c:catAx>
        <c:axId val="38128388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1279952"/>
        <c:crosses val="autoZero"/>
        <c:auto val="1"/>
        <c:lblAlgn val="ctr"/>
        <c:lblOffset val="100"/>
        <c:noMultiLvlLbl val="0"/>
      </c:catAx>
      <c:valAx>
        <c:axId val="381279952"/>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128388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Current Ratio</a:t>
            </a:r>
            <a:r>
              <a:rPr lang="en-GB" sz="1600" b="1" i="0" u="none" strike="noStrike" baseline="0">
                <a:effectLst/>
              </a:rPr>
              <a:t> </a:t>
            </a:r>
            <a:r>
              <a:rPr lang="en-GB" sz="1600" b="1" i="0" u="none" strike="noStrike" baseline="0">
                <a:effectLst>
                  <a:outerShdw blurRad="50800" dist="38100" dir="5400000" algn="t" rotWithShape="0">
                    <a:prstClr val="black">
                      <a:alpha val="40000"/>
                    </a:prstClr>
                  </a:outerShdw>
                </a:effectLst>
              </a:rPr>
              <a:t> </a:t>
            </a:r>
            <a:endParaRPr lang="en-GB" sz="1600" b="1" i="0" u="none" strike="noStrike" baseline="0">
              <a:effectLst/>
            </a:endParaRPr>
          </a:p>
          <a:p>
            <a:pPr>
              <a:defRPr/>
            </a:pPr>
            <a:r>
              <a:rPr lang="en-GB" sz="1600" b="1" i="0" u="none" strike="noStrike" baseline="0">
                <a:effectLst/>
              </a:rPr>
              <a:t>2016-2020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Sheet1!$F$80</c:f>
              <c:strCache>
                <c:ptCount val="1"/>
                <c:pt idx="0">
                  <c:v>Current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Sheet1!$G$79:$K$79</c:f>
              <c:strCache>
                <c:ptCount val="5"/>
                <c:pt idx="0">
                  <c:v>2016</c:v>
                </c:pt>
                <c:pt idx="1">
                  <c:v>2017</c:v>
                </c:pt>
                <c:pt idx="2">
                  <c:v>2018</c:v>
                </c:pt>
                <c:pt idx="3">
                  <c:v>2019</c:v>
                </c:pt>
                <c:pt idx="4">
                  <c:v>2020</c:v>
                </c:pt>
              </c:strCache>
            </c:strRef>
          </c:cat>
          <c:val>
            <c:numRef>
              <c:f>Sheet1!$G$80:$K$80</c:f>
              <c:numCache>
                <c:formatCode>0.0</c:formatCode>
                <c:ptCount val="5"/>
                <c:pt idx="0">
                  <c:v>0.8</c:v>
                </c:pt>
                <c:pt idx="1">
                  <c:v>0.8</c:v>
                </c:pt>
                <c:pt idx="2">
                  <c:v>0.7</c:v>
                </c:pt>
                <c:pt idx="3">
                  <c:v>0.6</c:v>
                </c:pt>
                <c:pt idx="4">
                  <c:v>0.73</c:v>
                </c:pt>
              </c:numCache>
            </c:numRef>
          </c:val>
          <c:smooth val="0"/>
          <c:extLst>
            <c:ext xmlns:c16="http://schemas.microsoft.com/office/drawing/2014/chart" uri="{C3380CC4-5D6E-409C-BE32-E72D297353CC}">
              <c16:uniqueId val="{00000000-F836-4488-824C-1C5F590648BD}"/>
            </c:ext>
          </c:extLst>
        </c:ser>
        <c:dLbls>
          <c:showLegendKey val="0"/>
          <c:showVal val="0"/>
          <c:showCatName val="0"/>
          <c:showSerName val="0"/>
          <c:showPercent val="0"/>
          <c:showBubbleSize val="0"/>
        </c:dLbls>
        <c:smooth val="0"/>
        <c:axId val="481594712"/>
        <c:axId val="481598320"/>
      </c:lineChart>
      <c:catAx>
        <c:axId val="48159471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1598320"/>
        <c:crosses val="autoZero"/>
        <c:auto val="1"/>
        <c:lblAlgn val="ctr"/>
        <c:lblOffset val="100"/>
        <c:noMultiLvlLbl val="0"/>
      </c:catAx>
      <c:valAx>
        <c:axId val="481598320"/>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8159471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Current Ratio Comparison Between</a:t>
            </a:r>
            <a:r>
              <a:rPr lang="en-US" baseline="0"/>
              <a:t> Tesco, Sainsbury, and Morrisons </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Sheet1!$C$50</c:f>
              <c:strCache>
                <c:ptCount val="1"/>
                <c:pt idx="0">
                  <c:v>Current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Sheet1!$D$49:$F$49</c:f>
              <c:strCache>
                <c:ptCount val="3"/>
                <c:pt idx="0">
                  <c:v>Tesco</c:v>
                </c:pt>
                <c:pt idx="1">
                  <c:v>sainsbury</c:v>
                </c:pt>
                <c:pt idx="2">
                  <c:v>morrisons</c:v>
                </c:pt>
              </c:strCache>
            </c:strRef>
          </c:cat>
          <c:val>
            <c:numRef>
              <c:f>Sheet1!$D$50:$F$50</c:f>
              <c:numCache>
                <c:formatCode>0.0</c:formatCode>
                <c:ptCount val="3"/>
                <c:pt idx="0">
                  <c:v>0.7</c:v>
                </c:pt>
                <c:pt idx="1">
                  <c:v>0.63</c:v>
                </c:pt>
                <c:pt idx="2">
                  <c:v>0.39</c:v>
                </c:pt>
              </c:numCache>
            </c:numRef>
          </c:val>
          <c:extLst>
            <c:ext xmlns:c16="http://schemas.microsoft.com/office/drawing/2014/chart" uri="{C3380CC4-5D6E-409C-BE32-E72D297353CC}">
              <c16:uniqueId val="{00000000-CA89-4578-8BC2-7108AA00C4C6}"/>
            </c:ext>
          </c:extLst>
        </c:ser>
        <c:dLbls>
          <c:showLegendKey val="0"/>
          <c:showVal val="0"/>
          <c:showCatName val="0"/>
          <c:showSerName val="0"/>
          <c:showPercent val="0"/>
          <c:showBubbleSize val="0"/>
        </c:dLbls>
        <c:gapWidth val="150"/>
        <c:axId val="311159848"/>
        <c:axId val="311160504"/>
      </c:barChart>
      <c:catAx>
        <c:axId val="31115984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1160504"/>
        <c:crosses val="autoZero"/>
        <c:auto val="1"/>
        <c:lblAlgn val="ctr"/>
        <c:lblOffset val="100"/>
        <c:noMultiLvlLbl val="0"/>
      </c:catAx>
      <c:valAx>
        <c:axId val="311160504"/>
        <c:scaling>
          <c:orientation val="minMax"/>
        </c:scaling>
        <c:delete val="0"/>
        <c:axPos val="b"/>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115984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Quick Ratio Between 2016-2020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Sheet1!$H$31</c:f>
              <c:strCache>
                <c:ptCount val="1"/>
                <c:pt idx="0">
                  <c:v>Quick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Sheet1!$I$30:$M$30</c:f>
              <c:strCache>
                <c:ptCount val="5"/>
                <c:pt idx="0">
                  <c:v>2016</c:v>
                </c:pt>
                <c:pt idx="1">
                  <c:v>2017</c:v>
                </c:pt>
                <c:pt idx="2">
                  <c:v>2018</c:v>
                </c:pt>
                <c:pt idx="3">
                  <c:v>2019</c:v>
                </c:pt>
                <c:pt idx="4">
                  <c:v>2020</c:v>
                </c:pt>
              </c:strCache>
            </c:strRef>
          </c:cat>
          <c:val>
            <c:numRef>
              <c:f>Sheet1!$I$31:$M$31</c:f>
              <c:numCache>
                <c:formatCode>0.0</c:formatCode>
                <c:ptCount val="5"/>
                <c:pt idx="0">
                  <c:v>0.6</c:v>
                </c:pt>
                <c:pt idx="1">
                  <c:v>0.7</c:v>
                </c:pt>
                <c:pt idx="2">
                  <c:v>0.6</c:v>
                </c:pt>
                <c:pt idx="3">
                  <c:v>0.5</c:v>
                </c:pt>
                <c:pt idx="4">
                  <c:v>0.6</c:v>
                </c:pt>
              </c:numCache>
            </c:numRef>
          </c:val>
          <c:smooth val="0"/>
          <c:extLst>
            <c:ext xmlns:c16="http://schemas.microsoft.com/office/drawing/2014/chart" uri="{C3380CC4-5D6E-409C-BE32-E72D297353CC}">
              <c16:uniqueId val="{00000000-10BF-4B38-A98E-110E7E8205E3}"/>
            </c:ext>
          </c:extLst>
        </c:ser>
        <c:dLbls>
          <c:dLblPos val="ctr"/>
          <c:showLegendKey val="0"/>
          <c:showVal val="1"/>
          <c:showCatName val="0"/>
          <c:showSerName val="0"/>
          <c:showPercent val="0"/>
          <c:showBubbleSize val="0"/>
        </c:dLbls>
        <c:smooth val="0"/>
        <c:axId val="311237520"/>
        <c:axId val="311238504"/>
      </c:lineChart>
      <c:catAx>
        <c:axId val="31123752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1238504"/>
        <c:crosses val="autoZero"/>
        <c:auto val="1"/>
        <c:lblAlgn val="ctr"/>
        <c:lblOffset val="100"/>
        <c:noMultiLvlLbl val="0"/>
      </c:catAx>
      <c:valAx>
        <c:axId val="311238504"/>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123752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Sheet1!$K$20</c:f>
              <c:strCache>
                <c:ptCount val="1"/>
                <c:pt idx="0">
                  <c:v>Comparison of Quick Ratio Between Tesco, Sainsbury , and Morrison 2020</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Sheet1!$L$19:$N$19</c:f>
              <c:strCache>
                <c:ptCount val="3"/>
                <c:pt idx="0">
                  <c:v>Tesco </c:v>
                </c:pt>
                <c:pt idx="1">
                  <c:v>sainsbury</c:v>
                </c:pt>
                <c:pt idx="2">
                  <c:v>morrisons</c:v>
                </c:pt>
              </c:strCache>
            </c:strRef>
          </c:cat>
          <c:val>
            <c:numRef>
              <c:f>Sheet1!$L$20:$N$20</c:f>
              <c:numCache>
                <c:formatCode>0.0</c:formatCode>
                <c:ptCount val="3"/>
                <c:pt idx="0">
                  <c:v>0.6</c:v>
                </c:pt>
                <c:pt idx="1">
                  <c:v>0.5</c:v>
                </c:pt>
                <c:pt idx="2">
                  <c:v>0.2</c:v>
                </c:pt>
              </c:numCache>
            </c:numRef>
          </c:val>
          <c:smooth val="0"/>
          <c:extLst>
            <c:ext xmlns:c16="http://schemas.microsoft.com/office/drawing/2014/chart" uri="{C3380CC4-5D6E-409C-BE32-E72D297353CC}">
              <c16:uniqueId val="{00000000-5C5C-4174-A35A-54FFA969096A}"/>
            </c:ext>
          </c:extLst>
        </c:ser>
        <c:dLbls>
          <c:dLblPos val="ctr"/>
          <c:showLegendKey val="0"/>
          <c:showVal val="1"/>
          <c:showCatName val="0"/>
          <c:showSerName val="0"/>
          <c:showPercent val="0"/>
          <c:showBubbleSize val="0"/>
        </c:dLbls>
        <c:smooth val="0"/>
        <c:axId val="921084672"/>
        <c:axId val="921082704"/>
      </c:lineChart>
      <c:catAx>
        <c:axId val="92108467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1082704"/>
        <c:crosses val="autoZero"/>
        <c:auto val="1"/>
        <c:lblAlgn val="ctr"/>
        <c:lblOffset val="100"/>
        <c:noMultiLvlLbl val="0"/>
      </c:catAx>
      <c:valAx>
        <c:axId val="921082704"/>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108467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Tesco</a:t>
            </a:r>
            <a:r>
              <a:rPr lang="en-GB" baseline="0"/>
              <a:t> Leverage Ratios Between 2016-2020</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Sheet1!$D$17</c:f>
              <c:strCache>
                <c:ptCount val="1"/>
                <c:pt idx="0">
                  <c:v>Debt-to-Equity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Sheet1!$E$16:$I$16</c:f>
              <c:strCache>
                <c:ptCount val="5"/>
                <c:pt idx="0">
                  <c:v>2016</c:v>
                </c:pt>
                <c:pt idx="1">
                  <c:v>2017</c:v>
                </c:pt>
                <c:pt idx="2">
                  <c:v>2018</c:v>
                </c:pt>
                <c:pt idx="3">
                  <c:v>2019</c:v>
                </c:pt>
                <c:pt idx="4">
                  <c:v>2020</c:v>
                </c:pt>
              </c:strCache>
            </c:strRef>
          </c:cat>
          <c:val>
            <c:numRef>
              <c:f>Sheet1!$E$17:$I$17</c:f>
              <c:numCache>
                <c:formatCode>0.0</c:formatCode>
                <c:ptCount val="5"/>
                <c:pt idx="0">
                  <c:v>4.0999999999999996</c:v>
                </c:pt>
                <c:pt idx="1">
                  <c:v>3.3</c:v>
                </c:pt>
                <c:pt idx="2">
                  <c:v>6.1</c:v>
                </c:pt>
                <c:pt idx="3">
                  <c:v>3.2</c:v>
                </c:pt>
                <c:pt idx="4">
                  <c:v>3</c:v>
                </c:pt>
              </c:numCache>
            </c:numRef>
          </c:val>
          <c:smooth val="0"/>
          <c:extLst>
            <c:ext xmlns:c16="http://schemas.microsoft.com/office/drawing/2014/chart" uri="{C3380CC4-5D6E-409C-BE32-E72D297353CC}">
              <c16:uniqueId val="{00000000-5439-4D87-A1EC-A03E7EECC164}"/>
            </c:ext>
          </c:extLst>
        </c:ser>
        <c:ser>
          <c:idx val="1"/>
          <c:order val="1"/>
          <c:tx>
            <c:strRef>
              <c:f>Sheet1!$D$18</c:f>
              <c:strCache>
                <c:ptCount val="1"/>
                <c:pt idx="0">
                  <c:v>Debt-to-Assets</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Sheet1!$E$16:$I$16</c:f>
              <c:strCache>
                <c:ptCount val="5"/>
                <c:pt idx="0">
                  <c:v>2016</c:v>
                </c:pt>
                <c:pt idx="1">
                  <c:v>2017</c:v>
                </c:pt>
                <c:pt idx="2">
                  <c:v>2018</c:v>
                </c:pt>
                <c:pt idx="3">
                  <c:v>2019</c:v>
                </c:pt>
                <c:pt idx="4">
                  <c:v>2020</c:v>
                </c:pt>
              </c:strCache>
            </c:strRef>
          </c:cat>
          <c:val>
            <c:numRef>
              <c:f>Sheet1!$E$18:$I$18</c:f>
              <c:numCache>
                <c:formatCode>0.0</c:formatCode>
                <c:ptCount val="5"/>
                <c:pt idx="0">
                  <c:v>0.8</c:v>
                </c:pt>
                <c:pt idx="1">
                  <c:v>0.8</c:v>
                </c:pt>
                <c:pt idx="2">
                  <c:v>0.9</c:v>
                </c:pt>
                <c:pt idx="3">
                  <c:v>0.8</c:v>
                </c:pt>
                <c:pt idx="4">
                  <c:v>0.7</c:v>
                </c:pt>
              </c:numCache>
            </c:numRef>
          </c:val>
          <c:smooth val="0"/>
          <c:extLst>
            <c:ext xmlns:c16="http://schemas.microsoft.com/office/drawing/2014/chart" uri="{C3380CC4-5D6E-409C-BE32-E72D297353CC}">
              <c16:uniqueId val="{00000001-5439-4D87-A1EC-A03E7EECC164}"/>
            </c:ext>
          </c:extLst>
        </c:ser>
        <c:dLbls>
          <c:showLegendKey val="0"/>
          <c:showVal val="0"/>
          <c:showCatName val="0"/>
          <c:showSerName val="0"/>
          <c:showPercent val="0"/>
          <c:showBubbleSize val="0"/>
        </c:dLbls>
        <c:smooth val="0"/>
        <c:axId val="311228352"/>
        <c:axId val="311225072"/>
      </c:lineChart>
      <c:catAx>
        <c:axId val="311228352"/>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1225072"/>
        <c:crosses val="autoZero"/>
        <c:auto val="1"/>
        <c:lblAlgn val="ctr"/>
        <c:lblOffset val="100"/>
        <c:noMultiLvlLbl val="0"/>
      </c:catAx>
      <c:valAx>
        <c:axId val="311225072"/>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122835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Debt-to-Equity Ratio Between  2016-2020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Sheet1!$H$31</c:f>
              <c:strCache>
                <c:ptCount val="1"/>
                <c:pt idx="0">
                  <c:v>Debt-to-Equity Ratio</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Sheet1!$I$30:$M$30</c:f>
              <c:strCache>
                <c:ptCount val="5"/>
                <c:pt idx="0">
                  <c:v>2016</c:v>
                </c:pt>
                <c:pt idx="1">
                  <c:v>2017</c:v>
                </c:pt>
                <c:pt idx="2">
                  <c:v>2018</c:v>
                </c:pt>
                <c:pt idx="3">
                  <c:v>2019</c:v>
                </c:pt>
                <c:pt idx="4">
                  <c:v>2020</c:v>
                </c:pt>
              </c:strCache>
            </c:strRef>
          </c:cat>
          <c:val>
            <c:numRef>
              <c:f>Sheet1!$I$31:$M$31</c:f>
              <c:numCache>
                <c:formatCode>0.0</c:formatCode>
                <c:ptCount val="5"/>
                <c:pt idx="0">
                  <c:v>4.0999999999999996</c:v>
                </c:pt>
                <c:pt idx="1">
                  <c:v>3.3</c:v>
                </c:pt>
                <c:pt idx="2">
                  <c:v>6.1</c:v>
                </c:pt>
                <c:pt idx="3">
                  <c:v>3.2</c:v>
                </c:pt>
                <c:pt idx="4">
                  <c:v>3</c:v>
                </c:pt>
              </c:numCache>
            </c:numRef>
          </c:val>
          <c:smooth val="0"/>
          <c:extLst>
            <c:ext xmlns:c16="http://schemas.microsoft.com/office/drawing/2014/chart" uri="{C3380CC4-5D6E-409C-BE32-E72D297353CC}">
              <c16:uniqueId val="{00000000-F968-41E4-BBA9-984CD7C1E5EE}"/>
            </c:ext>
          </c:extLst>
        </c:ser>
        <c:dLbls>
          <c:dLblPos val="ctr"/>
          <c:showLegendKey val="0"/>
          <c:showVal val="1"/>
          <c:showCatName val="0"/>
          <c:showSerName val="0"/>
          <c:showPercent val="0"/>
          <c:showBubbleSize val="0"/>
        </c:dLbls>
        <c:smooth val="0"/>
        <c:axId val="924864968"/>
        <c:axId val="924861360"/>
      </c:lineChart>
      <c:catAx>
        <c:axId val="92486496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4861360"/>
        <c:crosses val="autoZero"/>
        <c:auto val="1"/>
        <c:lblAlgn val="ctr"/>
        <c:lblOffset val="100"/>
        <c:noMultiLvlLbl val="0"/>
      </c:catAx>
      <c:valAx>
        <c:axId val="924861360"/>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486496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Sheet1!$K$20</c:f>
              <c:strCache>
                <c:ptCount val="1"/>
                <c:pt idx="0">
                  <c:v>Comparison of Debt-to-equity Ratio Between Tesco, Sainsbury , and Morrison 2020</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Sheet1!$L$19:$N$19</c:f>
              <c:strCache>
                <c:ptCount val="3"/>
                <c:pt idx="0">
                  <c:v>Tesco </c:v>
                </c:pt>
                <c:pt idx="1">
                  <c:v>sainsbury</c:v>
                </c:pt>
                <c:pt idx="2">
                  <c:v>morrisons</c:v>
                </c:pt>
              </c:strCache>
            </c:strRef>
          </c:cat>
          <c:val>
            <c:numRef>
              <c:f>Sheet1!$L$20:$N$20</c:f>
              <c:numCache>
                <c:formatCode>0.0</c:formatCode>
                <c:ptCount val="3"/>
                <c:pt idx="0">
                  <c:v>3</c:v>
                </c:pt>
                <c:pt idx="1">
                  <c:v>2.6</c:v>
                </c:pt>
                <c:pt idx="2">
                  <c:v>1.4</c:v>
                </c:pt>
              </c:numCache>
            </c:numRef>
          </c:val>
          <c:smooth val="0"/>
          <c:extLst>
            <c:ext xmlns:c16="http://schemas.microsoft.com/office/drawing/2014/chart" uri="{C3380CC4-5D6E-409C-BE32-E72D297353CC}">
              <c16:uniqueId val="{00000000-45CE-4D55-AA08-436E60F78FC5}"/>
            </c:ext>
          </c:extLst>
        </c:ser>
        <c:dLbls>
          <c:dLblPos val="ctr"/>
          <c:showLegendKey val="0"/>
          <c:showVal val="1"/>
          <c:showCatName val="0"/>
          <c:showSerName val="0"/>
          <c:showPercent val="0"/>
          <c:showBubbleSize val="0"/>
        </c:dLbls>
        <c:smooth val="0"/>
        <c:axId val="917499736"/>
        <c:axId val="917497112"/>
      </c:lineChart>
      <c:catAx>
        <c:axId val="917499736"/>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7497112"/>
        <c:crosses val="autoZero"/>
        <c:auto val="1"/>
        <c:lblAlgn val="ctr"/>
        <c:lblOffset val="100"/>
        <c:noMultiLvlLbl val="0"/>
      </c:catAx>
      <c:valAx>
        <c:axId val="917497112"/>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749973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Debt-to-Assets</a:t>
            </a:r>
            <a:endParaRPr lang="en-GB"/>
          </a:p>
          <a:p>
            <a:pPr>
              <a:defRPr/>
            </a:pPr>
            <a:r>
              <a:rPr lang="en-GB"/>
              <a:t>2016-2020</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Sheet1!$H$31</c:f>
              <c:strCache>
                <c:ptCount val="1"/>
                <c:pt idx="0">
                  <c:v>Debt-to-Assets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Sheet1!$I$30:$M$30</c:f>
              <c:strCache>
                <c:ptCount val="5"/>
                <c:pt idx="0">
                  <c:v>2016</c:v>
                </c:pt>
                <c:pt idx="1">
                  <c:v>2017</c:v>
                </c:pt>
                <c:pt idx="2">
                  <c:v>2018</c:v>
                </c:pt>
                <c:pt idx="3">
                  <c:v>2019</c:v>
                </c:pt>
                <c:pt idx="4">
                  <c:v>2020</c:v>
                </c:pt>
              </c:strCache>
            </c:strRef>
          </c:cat>
          <c:val>
            <c:numRef>
              <c:f>Sheet1!$I$31:$M$31</c:f>
              <c:numCache>
                <c:formatCode>0.0</c:formatCode>
                <c:ptCount val="5"/>
                <c:pt idx="0">
                  <c:v>0.8</c:v>
                </c:pt>
                <c:pt idx="1">
                  <c:v>0.8</c:v>
                </c:pt>
                <c:pt idx="2">
                  <c:v>0.9</c:v>
                </c:pt>
                <c:pt idx="3">
                  <c:v>0.8</c:v>
                </c:pt>
                <c:pt idx="4">
                  <c:v>0.7</c:v>
                </c:pt>
              </c:numCache>
            </c:numRef>
          </c:val>
          <c:smooth val="0"/>
          <c:extLst>
            <c:ext xmlns:c16="http://schemas.microsoft.com/office/drawing/2014/chart" uri="{C3380CC4-5D6E-409C-BE32-E72D297353CC}">
              <c16:uniqueId val="{00000000-27C4-485B-BA4C-9C3D7E5A4013}"/>
            </c:ext>
          </c:extLst>
        </c:ser>
        <c:dLbls>
          <c:dLblPos val="ctr"/>
          <c:showLegendKey val="0"/>
          <c:showVal val="1"/>
          <c:showCatName val="0"/>
          <c:showSerName val="0"/>
          <c:showPercent val="0"/>
          <c:showBubbleSize val="0"/>
        </c:dLbls>
        <c:smooth val="0"/>
        <c:axId val="925612424"/>
        <c:axId val="925607176"/>
      </c:lineChart>
      <c:catAx>
        <c:axId val="92561242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5607176"/>
        <c:crosses val="autoZero"/>
        <c:auto val="1"/>
        <c:lblAlgn val="ctr"/>
        <c:lblOffset val="100"/>
        <c:noMultiLvlLbl val="0"/>
      </c:catAx>
      <c:valAx>
        <c:axId val="925607176"/>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561242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Tesco</a:t>
            </a:r>
            <a:r>
              <a:rPr lang="en-GB" baseline="0"/>
              <a:t> Efficiency Ratio Between 2016-2020</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cked"/>
        <c:varyColors val="0"/>
        <c:ser>
          <c:idx val="0"/>
          <c:order val="0"/>
          <c:tx>
            <c:strRef>
              <c:f>Sheet1!$B$26</c:f>
              <c:strCache>
                <c:ptCount val="1"/>
                <c:pt idx="0">
                  <c:v>Fixed Assets Turnover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Sheet1!$C$25:$G$25</c:f>
              <c:strCache>
                <c:ptCount val="5"/>
                <c:pt idx="0">
                  <c:v>2016</c:v>
                </c:pt>
                <c:pt idx="1">
                  <c:v>2017</c:v>
                </c:pt>
                <c:pt idx="2">
                  <c:v>2018</c:v>
                </c:pt>
                <c:pt idx="3">
                  <c:v>2019</c:v>
                </c:pt>
                <c:pt idx="4">
                  <c:v>2020</c:v>
                </c:pt>
              </c:strCache>
            </c:strRef>
          </c:cat>
          <c:val>
            <c:numRef>
              <c:f>Sheet1!$C$26:$G$26</c:f>
              <c:numCache>
                <c:formatCode>0.0</c:formatCode>
                <c:ptCount val="5"/>
                <c:pt idx="0">
                  <c:v>3</c:v>
                </c:pt>
                <c:pt idx="1">
                  <c:v>3.1</c:v>
                </c:pt>
                <c:pt idx="2">
                  <c:v>3.1</c:v>
                </c:pt>
                <c:pt idx="3">
                  <c:v>3.3</c:v>
                </c:pt>
                <c:pt idx="4">
                  <c:v>3.4</c:v>
                </c:pt>
              </c:numCache>
            </c:numRef>
          </c:val>
          <c:smooth val="0"/>
          <c:extLst>
            <c:ext xmlns:c16="http://schemas.microsoft.com/office/drawing/2014/chart" uri="{C3380CC4-5D6E-409C-BE32-E72D297353CC}">
              <c16:uniqueId val="{00000000-9115-4627-A1D3-3BF21CE5CA30}"/>
            </c:ext>
          </c:extLst>
        </c:ser>
        <c:ser>
          <c:idx val="1"/>
          <c:order val="1"/>
          <c:tx>
            <c:strRef>
              <c:f>Sheet1!$B$27</c:f>
              <c:strCache>
                <c:ptCount val="1"/>
                <c:pt idx="0">
                  <c:v>Total Asset Turnover</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Sheet1!$C$25:$G$25</c:f>
              <c:strCache>
                <c:ptCount val="5"/>
                <c:pt idx="0">
                  <c:v>2016</c:v>
                </c:pt>
                <c:pt idx="1">
                  <c:v>2017</c:v>
                </c:pt>
                <c:pt idx="2">
                  <c:v>2018</c:v>
                </c:pt>
                <c:pt idx="3">
                  <c:v>2019</c:v>
                </c:pt>
                <c:pt idx="4">
                  <c:v>2020</c:v>
                </c:pt>
              </c:strCache>
            </c:strRef>
          </c:cat>
          <c:val>
            <c:numRef>
              <c:f>Sheet1!$C$27:$G$27</c:f>
              <c:numCache>
                <c:formatCode>0.0</c:formatCode>
                <c:ptCount val="5"/>
                <c:pt idx="0">
                  <c:v>1.2</c:v>
                </c:pt>
                <c:pt idx="1">
                  <c:v>1.2</c:v>
                </c:pt>
                <c:pt idx="2">
                  <c:v>1.2</c:v>
                </c:pt>
                <c:pt idx="3">
                  <c:v>1.1000000000000001</c:v>
                </c:pt>
                <c:pt idx="4">
                  <c:v>1.2</c:v>
                </c:pt>
              </c:numCache>
            </c:numRef>
          </c:val>
          <c:smooth val="0"/>
          <c:extLst>
            <c:ext xmlns:c16="http://schemas.microsoft.com/office/drawing/2014/chart" uri="{C3380CC4-5D6E-409C-BE32-E72D297353CC}">
              <c16:uniqueId val="{00000001-9115-4627-A1D3-3BF21CE5CA30}"/>
            </c:ext>
          </c:extLst>
        </c:ser>
        <c:dLbls>
          <c:dLblPos val="ctr"/>
          <c:showLegendKey val="0"/>
          <c:showVal val="1"/>
          <c:showCatName val="0"/>
          <c:showSerName val="0"/>
          <c:showPercent val="0"/>
          <c:showBubbleSize val="0"/>
        </c:dLbls>
        <c:smooth val="0"/>
        <c:axId val="925603896"/>
        <c:axId val="925604224"/>
      </c:lineChart>
      <c:catAx>
        <c:axId val="925603896"/>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5604224"/>
        <c:crosses val="autoZero"/>
        <c:auto val="1"/>
        <c:lblAlgn val="ctr"/>
        <c:lblOffset val="100"/>
        <c:noMultiLvlLbl val="0"/>
      </c:catAx>
      <c:valAx>
        <c:axId val="925604224"/>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2560389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Fixed Assets Turnover 2016-2020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Sheet1!$B$26</c:f>
              <c:strCache>
                <c:ptCount val="1"/>
                <c:pt idx="0">
                  <c:v>Fixed Assets Turnover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Sheet1!$C$25:$G$25</c:f>
              <c:strCache>
                <c:ptCount val="5"/>
                <c:pt idx="0">
                  <c:v>2016</c:v>
                </c:pt>
                <c:pt idx="1">
                  <c:v>2017</c:v>
                </c:pt>
                <c:pt idx="2">
                  <c:v>2018</c:v>
                </c:pt>
                <c:pt idx="3">
                  <c:v>2019</c:v>
                </c:pt>
                <c:pt idx="4">
                  <c:v>2020</c:v>
                </c:pt>
              </c:strCache>
            </c:strRef>
          </c:cat>
          <c:val>
            <c:numRef>
              <c:f>Sheet1!$C$26:$G$26</c:f>
              <c:numCache>
                <c:formatCode>0.0</c:formatCode>
                <c:ptCount val="5"/>
                <c:pt idx="0">
                  <c:v>3</c:v>
                </c:pt>
                <c:pt idx="1">
                  <c:v>3.1</c:v>
                </c:pt>
                <c:pt idx="2">
                  <c:v>3.1</c:v>
                </c:pt>
                <c:pt idx="3">
                  <c:v>3.3</c:v>
                </c:pt>
                <c:pt idx="4">
                  <c:v>3.4</c:v>
                </c:pt>
              </c:numCache>
            </c:numRef>
          </c:val>
          <c:smooth val="0"/>
          <c:extLst>
            <c:ext xmlns:c16="http://schemas.microsoft.com/office/drawing/2014/chart" uri="{C3380CC4-5D6E-409C-BE32-E72D297353CC}">
              <c16:uniqueId val="{00000000-ACF8-4435-BD0D-CE4E9F4D54B2}"/>
            </c:ext>
          </c:extLst>
        </c:ser>
        <c:dLbls>
          <c:showLegendKey val="0"/>
          <c:showVal val="0"/>
          <c:showCatName val="0"/>
          <c:showSerName val="0"/>
          <c:showPercent val="0"/>
          <c:showBubbleSize val="0"/>
        </c:dLbls>
        <c:smooth val="0"/>
        <c:axId val="915731128"/>
        <c:axId val="915732768"/>
      </c:lineChart>
      <c:catAx>
        <c:axId val="9157311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5732768"/>
        <c:crosses val="autoZero"/>
        <c:auto val="1"/>
        <c:lblAlgn val="ctr"/>
        <c:lblOffset val="100"/>
        <c:noMultiLvlLbl val="0"/>
      </c:catAx>
      <c:valAx>
        <c:axId val="915732768"/>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573112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Tesco Fixed Assets Turnover 2016-2020</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Sheet1!$B$26</c:f>
              <c:strCache>
                <c:ptCount val="1"/>
                <c:pt idx="0">
                  <c:v>Fixed Assets Turnover</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Sheet1!$C$25:$G$25</c:f>
              <c:strCache>
                <c:ptCount val="5"/>
                <c:pt idx="0">
                  <c:v>2016</c:v>
                </c:pt>
                <c:pt idx="1">
                  <c:v>2017</c:v>
                </c:pt>
                <c:pt idx="2">
                  <c:v>2018</c:v>
                </c:pt>
                <c:pt idx="3">
                  <c:v>2019</c:v>
                </c:pt>
                <c:pt idx="4">
                  <c:v>2020</c:v>
                </c:pt>
              </c:strCache>
            </c:strRef>
          </c:cat>
          <c:val>
            <c:numRef>
              <c:f>Sheet1!$C$26:$G$26</c:f>
              <c:numCache>
                <c:formatCode>0.0</c:formatCode>
                <c:ptCount val="5"/>
                <c:pt idx="0">
                  <c:v>3</c:v>
                </c:pt>
                <c:pt idx="1">
                  <c:v>3.1</c:v>
                </c:pt>
                <c:pt idx="2">
                  <c:v>3.1</c:v>
                </c:pt>
                <c:pt idx="3">
                  <c:v>3.3</c:v>
                </c:pt>
                <c:pt idx="4">
                  <c:v>3.4</c:v>
                </c:pt>
              </c:numCache>
            </c:numRef>
          </c:val>
          <c:smooth val="0"/>
          <c:extLst>
            <c:ext xmlns:c16="http://schemas.microsoft.com/office/drawing/2014/chart" uri="{C3380CC4-5D6E-409C-BE32-E72D297353CC}">
              <c16:uniqueId val="{00000000-C4FC-4C88-9094-D9CA17CA8E89}"/>
            </c:ext>
          </c:extLst>
        </c:ser>
        <c:dLbls>
          <c:showLegendKey val="0"/>
          <c:showVal val="0"/>
          <c:showCatName val="0"/>
          <c:showSerName val="0"/>
          <c:showPercent val="0"/>
          <c:showBubbleSize val="0"/>
        </c:dLbls>
        <c:smooth val="0"/>
        <c:axId val="915731128"/>
        <c:axId val="915732768"/>
      </c:lineChart>
      <c:catAx>
        <c:axId val="9157311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5732768"/>
        <c:crosses val="autoZero"/>
        <c:auto val="1"/>
        <c:lblAlgn val="ctr"/>
        <c:lblOffset val="100"/>
        <c:noMultiLvlLbl val="0"/>
      </c:catAx>
      <c:valAx>
        <c:axId val="915732768"/>
        <c:scaling>
          <c:orientation val="minMax"/>
        </c:scaling>
        <c:delete val="0"/>
        <c:axPos val="l"/>
        <c:majorGridlines>
          <c:spPr>
            <a:ln w="9525" cap="flat" cmpd="sng" algn="ctr">
              <a:solidFill>
                <a:schemeClr val="lt1">
                  <a:lumMod val="95000"/>
                  <a:alpha val="10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1573112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3.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5.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7029</Words>
  <Characters>40070</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Tesco Financial Performance and Capital Budgeting</vt:lpstr>
    </vt:vector>
  </TitlesOfParts>
  <Company>Jai Miao</Company>
  <LinksUpToDate>false</LinksUpToDate>
  <CharactersWithSpaces>47005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Financial Performance and Capital Budgeting</dc:title>
  <dc:subject>Financial Management – LCMB7002</dc:subject>
  <dc:creator>Matthew Kelleher (1710425)</dc:creator>
  <cp:keywords/>
  <dc:description/>
  <cp:lastModifiedBy>Tushara</cp:lastModifiedBy>
  <cp:revision>2</cp:revision>
  <dcterms:created xsi:type="dcterms:W3CDTF">2021-05-23T16:11:00Z</dcterms:created>
  <dcterms:modified xsi:type="dcterms:W3CDTF">2021-05-23T16:11:00Z</dcterms:modified>
</cp:coreProperties>
</file>