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40E921D7" w14:textId="77777777" w:rsidR="00BB77B7" w:rsidRPr="00BB77B7" w:rsidRDefault="00BB77B7" w:rsidP="00BB77B7">
            <w:pPr>
              <w:overflowPunct/>
              <w:autoSpaceDE/>
              <w:autoSpaceDN/>
              <w:adjustRightInd/>
              <w:ind w:right="-957"/>
              <w:textAlignment w:val="auto"/>
              <w:rPr>
                <w:rFonts w:ascii="Times New Roman" w:hAnsi="Times New Roman" w:cs="Times New Roman"/>
                <w:b/>
                <w:color w:val="auto"/>
                <w:sz w:val="44"/>
                <w:szCs w:val="44"/>
              </w:rPr>
            </w:pPr>
            <w:r w:rsidRPr="00BB77B7">
              <w:rPr>
                <w:rFonts w:ascii="Times New Roman" w:hAnsi="Times New Roman" w:cs="Times New Roman"/>
                <w:b/>
                <w:color w:val="auto"/>
                <w:sz w:val="44"/>
                <w:szCs w:val="44"/>
              </w:rPr>
              <w:t xml:space="preserve">Learner’s name: </w:t>
            </w:r>
            <w:r w:rsidRPr="00BB77B7">
              <w:rPr>
                <w:rFonts w:ascii="Times New Roman" w:hAnsi="Times New Roman" w:cs="Times New Roman"/>
                <w:bCs/>
                <w:color w:val="auto"/>
                <w:sz w:val="44"/>
                <w:szCs w:val="44"/>
              </w:rPr>
              <w:t>Khadine Sutherland</w:t>
            </w:r>
          </w:p>
          <w:p w14:paraId="4AC40A13" w14:textId="77777777" w:rsidR="00BB77B7" w:rsidRPr="00BB77B7" w:rsidRDefault="00BB77B7" w:rsidP="00BB77B7">
            <w:pPr>
              <w:overflowPunct/>
              <w:autoSpaceDE/>
              <w:autoSpaceDN/>
              <w:adjustRightInd/>
              <w:ind w:right="-957"/>
              <w:textAlignment w:val="auto"/>
              <w:rPr>
                <w:rFonts w:ascii="Times New Roman" w:hAnsi="Times New Roman" w:cs="Times New Roman"/>
                <w:b/>
                <w:color w:val="auto"/>
                <w:sz w:val="44"/>
                <w:szCs w:val="44"/>
              </w:rPr>
            </w:pPr>
          </w:p>
          <w:p w14:paraId="5DC353FE" w14:textId="77777777" w:rsidR="00BB77B7" w:rsidRPr="00BB77B7" w:rsidRDefault="00BB77B7" w:rsidP="00BB77B7">
            <w:pPr>
              <w:overflowPunct/>
              <w:autoSpaceDE/>
              <w:autoSpaceDN/>
              <w:adjustRightInd/>
              <w:ind w:right="-957"/>
              <w:textAlignment w:val="auto"/>
              <w:rPr>
                <w:rFonts w:ascii="Times New Roman" w:hAnsi="Times New Roman" w:cs="Times New Roman"/>
                <w:bCs/>
                <w:color w:val="auto"/>
                <w:sz w:val="44"/>
                <w:szCs w:val="44"/>
              </w:rPr>
            </w:pPr>
            <w:r w:rsidRPr="00BB77B7">
              <w:rPr>
                <w:rFonts w:ascii="Times New Roman" w:hAnsi="Times New Roman" w:cs="Times New Roman"/>
                <w:b/>
                <w:color w:val="auto"/>
                <w:sz w:val="44"/>
                <w:szCs w:val="44"/>
              </w:rPr>
              <w:t xml:space="preserve">Email address: </w:t>
            </w:r>
            <w:r w:rsidRPr="00BB77B7">
              <w:rPr>
                <w:rFonts w:ascii="Times New Roman" w:hAnsi="Times New Roman" w:cs="Times New Roman"/>
                <w:bCs/>
                <w:color w:val="auto"/>
                <w:sz w:val="44"/>
                <w:szCs w:val="44"/>
              </w:rPr>
              <w:t>Khadine.sutherland@swansea.gov.uk</w:t>
            </w:r>
          </w:p>
          <w:p w14:paraId="297A0FFE" w14:textId="77777777" w:rsidR="00BB77B7" w:rsidRPr="00BB77B7" w:rsidRDefault="00BB77B7" w:rsidP="00BB77B7">
            <w:pPr>
              <w:overflowPunct/>
              <w:autoSpaceDE/>
              <w:autoSpaceDN/>
              <w:adjustRightInd/>
              <w:ind w:right="-957"/>
              <w:textAlignment w:val="auto"/>
              <w:rPr>
                <w:rFonts w:ascii="Times New Roman" w:hAnsi="Times New Roman" w:cs="Times New Roman"/>
                <w:bCs/>
                <w:color w:val="auto"/>
                <w:sz w:val="44"/>
                <w:szCs w:val="44"/>
              </w:rPr>
            </w:pPr>
            <w:hyperlink r:id="rId11" w:history="1">
              <w:r w:rsidRPr="00BB77B7">
                <w:rPr>
                  <w:rFonts w:ascii="Times New Roman" w:hAnsi="Times New Roman" w:cs="Times New Roman"/>
                  <w:bCs/>
                  <w:color w:val="0563C1" w:themeColor="hyperlink"/>
                  <w:sz w:val="44"/>
                  <w:szCs w:val="44"/>
                  <w:u w:val="single"/>
                </w:rPr>
                <w:t>/Khadine.sutherland@hotmail.co.uk</w:t>
              </w:r>
            </w:hyperlink>
          </w:p>
          <w:p w14:paraId="4AC43926" w14:textId="77777777" w:rsidR="00BB77B7" w:rsidRPr="00BB77B7" w:rsidRDefault="00BB77B7" w:rsidP="00BB77B7">
            <w:pPr>
              <w:overflowPunct/>
              <w:autoSpaceDE/>
              <w:autoSpaceDN/>
              <w:adjustRightInd/>
              <w:ind w:right="-957"/>
              <w:textAlignment w:val="auto"/>
              <w:rPr>
                <w:rFonts w:ascii="Times New Roman" w:hAnsi="Times New Roman" w:cs="Times New Roman"/>
                <w:bCs/>
                <w:color w:val="auto"/>
                <w:sz w:val="44"/>
                <w:szCs w:val="44"/>
              </w:rPr>
            </w:pPr>
          </w:p>
          <w:p w14:paraId="64D13148" w14:textId="77777777" w:rsidR="00BB77B7" w:rsidRPr="00BB77B7" w:rsidRDefault="00BB77B7" w:rsidP="00BB77B7">
            <w:pPr>
              <w:overflowPunct/>
              <w:autoSpaceDE/>
              <w:autoSpaceDN/>
              <w:adjustRightInd/>
              <w:ind w:right="-957"/>
              <w:textAlignment w:val="auto"/>
              <w:rPr>
                <w:rFonts w:ascii="Times New Roman" w:hAnsi="Times New Roman" w:cs="Times New Roman"/>
                <w:b/>
                <w:color w:val="auto"/>
                <w:sz w:val="44"/>
                <w:szCs w:val="44"/>
              </w:rPr>
            </w:pPr>
            <w:r w:rsidRPr="00BB77B7">
              <w:rPr>
                <w:rFonts w:ascii="Times New Roman" w:hAnsi="Times New Roman" w:cs="Times New Roman"/>
                <w:b/>
                <w:color w:val="auto"/>
                <w:sz w:val="44"/>
                <w:szCs w:val="44"/>
              </w:rPr>
              <w:t>Learner’s University Registration Number:</w:t>
            </w:r>
            <w:r w:rsidRPr="00BB77B7">
              <w:rPr>
                <w:rFonts w:ascii="Times New Roman" w:hAnsi="Times New Roman" w:cs="Times New Roman"/>
                <w:bCs/>
                <w:color w:val="auto"/>
                <w:sz w:val="44"/>
                <w:szCs w:val="44"/>
              </w:rPr>
              <w:t>2518650</w:t>
            </w:r>
          </w:p>
          <w:p w14:paraId="485C8620" w14:textId="77777777" w:rsidR="00BB77B7" w:rsidRPr="00BB77B7" w:rsidRDefault="00BB77B7" w:rsidP="00BB77B7">
            <w:pPr>
              <w:overflowPunct/>
              <w:autoSpaceDE/>
              <w:autoSpaceDN/>
              <w:adjustRightInd/>
              <w:ind w:right="-957"/>
              <w:textAlignment w:val="auto"/>
              <w:rPr>
                <w:rFonts w:ascii="Times New Roman" w:hAnsi="Times New Roman" w:cs="Times New Roman"/>
                <w:b/>
                <w:color w:val="auto"/>
                <w:sz w:val="44"/>
                <w:szCs w:val="44"/>
              </w:rPr>
            </w:pPr>
          </w:p>
          <w:p w14:paraId="5F84129B" w14:textId="209253D7" w:rsidR="0085230E" w:rsidRPr="005D3F07" w:rsidRDefault="00BB77B7" w:rsidP="00BB77B7">
            <w:pPr>
              <w:overflowPunct/>
              <w:autoSpaceDE/>
              <w:autoSpaceDN/>
              <w:adjustRightInd/>
              <w:ind w:right="-957"/>
              <w:textAlignment w:val="auto"/>
              <w:rPr>
                <w:rFonts w:ascii="Times New Roman" w:hAnsi="Times New Roman" w:cs="Times New Roman"/>
                <w:b/>
                <w:color w:val="auto"/>
                <w:sz w:val="48"/>
              </w:rPr>
            </w:pPr>
            <w:r w:rsidRPr="00BB77B7">
              <w:rPr>
                <w:rFonts w:ascii="Times New Roman" w:hAnsi="Times New Roman" w:cs="Times New Roman"/>
                <w:b/>
                <w:color w:val="auto"/>
                <w:sz w:val="44"/>
                <w:szCs w:val="44"/>
              </w:rPr>
              <w:t>Cohort: 21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21259ECF" w14:textId="77777777" w:rsidR="00B53568" w:rsidRPr="00B53568" w:rsidRDefault="00B53568" w:rsidP="00B53568">
            <w:pPr>
              <w:overflowPunct/>
              <w:autoSpaceDE/>
              <w:autoSpaceDN/>
              <w:adjustRightInd/>
              <w:spacing w:after="160" w:line="360" w:lineRule="auto"/>
              <w:jc w:val="both"/>
              <w:textAlignment w:val="auto"/>
              <w:rPr>
                <w:rFonts w:eastAsia="Aptos"/>
                <w:i/>
                <w:iCs/>
                <w:color w:val="auto"/>
                <w:kern w:val="2"/>
                <w:sz w:val="24"/>
                <w:szCs w:val="24"/>
                <w:lang w:eastAsia="en-US"/>
                <w14:ligatures w14:val="standardContextual"/>
              </w:rPr>
            </w:pPr>
            <w:r w:rsidRPr="00B53568">
              <w:rPr>
                <w:rFonts w:eastAsia="Aptos"/>
                <w:color w:val="auto"/>
                <w:kern w:val="2"/>
                <w:sz w:val="24"/>
                <w:szCs w:val="24"/>
                <w:lang w:eastAsia="en-US"/>
                <w14:ligatures w14:val="standardContextual"/>
              </w:rPr>
              <w:t>In this case study, I will reflect on my experience of completing a Public Law Outline (PLO) assessment within a Children and Family Long-Term Assessment Team. Working alongside the family and multi-agency professionals was a significant learning experience that challenged me to analyse escalating concerns, make balanced judgements and recognise how the experience shaped my confidence and development as a newly qualified social worker.</w:t>
            </w:r>
          </w:p>
          <w:p w14:paraId="3B4A2053" w14:textId="77777777" w:rsidR="00B53568" w:rsidRPr="00B53568" w:rsidRDefault="00B53568" w:rsidP="00B53568">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53568">
              <w:rPr>
                <w:rFonts w:eastAsia="Aptos"/>
                <w:color w:val="auto"/>
                <w:kern w:val="2"/>
                <w:sz w:val="24"/>
                <w:szCs w:val="24"/>
                <w:lang w:eastAsia="en-US"/>
                <w14:ligatures w14:val="standardContextual"/>
              </w:rPr>
              <w:t>Using Driscoll’s (2007) What? So What? and Now What? model, I will explore what this experience taught me about analysis, collaboration and professional judgement, drawing on systems and attachment theories to deepen my reflection.</w:t>
            </w:r>
            <w:r w:rsidRPr="00B53568">
              <w:rPr>
                <w:rFonts w:eastAsia="Aptos"/>
                <w:i/>
                <w:iCs/>
                <w:color w:val="auto"/>
                <w:kern w:val="2"/>
                <w:sz w:val="24"/>
                <w:szCs w:val="24"/>
                <w:lang w:eastAsia="en-US"/>
                <w14:ligatures w14:val="standardContextual"/>
              </w:rPr>
              <w:t xml:space="preserve"> </w:t>
            </w:r>
            <w:r w:rsidRPr="00B53568">
              <w:rPr>
                <w:rFonts w:eastAsia="Aptos"/>
                <w:color w:val="auto"/>
                <w:kern w:val="2"/>
                <w:sz w:val="24"/>
                <w:szCs w:val="24"/>
                <w:lang w:eastAsia="en-US"/>
                <w14:ligatures w14:val="standardContextual"/>
              </w:rPr>
              <w:t xml:space="preserve">I will reflect on how working in Wales shaped my decisions, particularly through the Social Services and Well-being (Wales) Act 2014, the Wales Safeguarding Procedures (2019) and the Active Offer. </w:t>
            </w:r>
          </w:p>
          <w:p w14:paraId="25C6E1AD" w14:textId="77777777" w:rsidR="00B53568" w:rsidRPr="00B53568" w:rsidRDefault="00B53568" w:rsidP="00B53568">
            <w:pPr>
              <w:overflowPunct/>
              <w:autoSpaceDE/>
              <w:autoSpaceDN/>
              <w:adjustRightInd/>
              <w:spacing w:after="160" w:line="360" w:lineRule="auto"/>
              <w:jc w:val="both"/>
              <w:textAlignment w:val="auto"/>
              <w:rPr>
                <w:rFonts w:eastAsia="Aptos"/>
                <w:i/>
                <w:iCs/>
                <w:color w:val="auto"/>
                <w:kern w:val="2"/>
                <w:sz w:val="24"/>
                <w:szCs w:val="24"/>
                <w:lang w:eastAsia="en-US"/>
                <w14:ligatures w14:val="standardContextual"/>
              </w:rPr>
            </w:pPr>
            <w:r w:rsidRPr="00B53568">
              <w:rPr>
                <w:rFonts w:eastAsia="Aptos"/>
                <w:color w:val="auto"/>
                <w:kern w:val="2"/>
                <w:sz w:val="24"/>
                <w:szCs w:val="24"/>
                <w:lang w:eastAsia="en-US"/>
                <w14:ligatures w14:val="standardContextual"/>
              </w:rPr>
              <w:t xml:space="preserve">I will also consider UK, European and international frameworks, recognising the importance of keeping children’s rights and welfare central when safeguarding crosses national borders. </w:t>
            </w:r>
            <w:r w:rsidRPr="00B53568">
              <w:rPr>
                <w:rFonts w:eastAsia="Aptos"/>
                <w:color w:val="auto"/>
                <w:kern w:val="2"/>
                <w:sz w:val="24"/>
                <w:szCs w:val="24"/>
                <w:lang w:eastAsia="en-US"/>
                <w14:ligatures w14:val="standardContextual"/>
              </w:rPr>
              <w:lastRenderedPageBreak/>
              <w:t xml:space="preserve">In line with the Active Offer and </w:t>
            </w:r>
            <w:r w:rsidRPr="00B53568">
              <w:rPr>
                <w:rFonts w:eastAsia="Aptos"/>
                <w:i/>
                <w:iCs/>
                <w:color w:val="auto"/>
                <w:kern w:val="2"/>
                <w:sz w:val="24"/>
                <w:szCs w:val="24"/>
                <w:lang w:eastAsia="en-US"/>
                <w14:ligatures w14:val="standardContextual"/>
              </w:rPr>
              <w:t>More than Just Words</w:t>
            </w:r>
            <w:r w:rsidRPr="00B53568">
              <w:rPr>
                <w:rFonts w:eastAsia="Aptos"/>
                <w:color w:val="auto"/>
                <w:kern w:val="2"/>
                <w:sz w:val="24"/>
                <w:szCs w:val="24"/>
                <w:lang w:eastAsia="en-US"/>
                <w14:ligatures w14:val="standardContextual"/>
              </w:rPr>
              <w:t xml:space="preserve"> (Welsh Government, 2022), I offered the family their preferred language. Respecting the parents’ choice of English reminded me that person-centred practice begins with listening to how families wish to communicate and participate (Social Care Wales, 2026a).</w:t>
            </w:r>
          </w:p>
          <w:p w14:paraId="59CC754D" w14:textId="77777777" w:rsidR="00B53568" w:rsidRPr="00B53568" w:rsidRDefault="00B53568" w:rsidP="00B53568">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53568">
              <w:rPr>
                <w:rFonts w:eastAsia="Aptos"/>
                <w:color w:val="auto"/>
                <w:kern w:val="2"/>
                <w:sz w:val="24"/>
                <w:szCs w:val="24"/>
                <w:lang w:eastAsia="en-US"/>
                <w14:ligatures w14:val="standardContextual"/>
              </w:rPr>
              <w:t xml:space="preserve">The assessment concerned a family of four comprising Person 1 (father), Person 2 (mother), and Person 3 and Person 4 (the children) living in town in Wales. It was undertaken due to ongoing safeguarding concerns relating to neglect, parental substance misuse, domestic abuse, poor home conditions, emotional harm and inconsistent school attendance. These concerns had resulted in social services involvement over a prolonged period and raised significant concerns about the parents' ability to provide safe and consistent care for Person 3 and Person 4. </w:t>
            </w:r>
          </w:p>
          <w:p w14:paraId="13BCE171" w14:textId="77777777" w:rsidR="00B53568" w:rsidRPr="00B53568" w:rsidRDefault="00B53568" w:rsidP="00B53568">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53568">
              <w:rPr>
                <w:rFonts w:eastAsia="Aptos"/>
                <w:color w:val="auto"/>
                <w:kern w:val="2"/>
                <w:sz w:val="24"/>
                <w:szCs w:val="24"/>
                <w:lang w:eastAsia="en-US"/>
                <w14:ligatures w14:val="standardContextual"/>
              </w:rPr>
              <w:t>Prior to the commencement of the PLO assessment, the children had become subject to an Initial Child Protection Conference (ICPC) under the category of neglect and emotional abuse. Despite ongoing intervention and support, concerns escalated following a home visit in response to reports from school staff that the parents were under the influence of alcohol while caring for the children. When I arrived at the home with support from a senior social worker, we identified immediate safeguarding concerns that increased the likelihood of significant harm. This required us to act in accordance with our duties under Part 7 of the Social Services and Well-being (Wales) Act 2014, which places a duty on local authorities to protect children from abuse, neglect and harm (Welsh Government, 2014). In line with the Wales Safeguarding Procedures (Wales Safeguarding Procedures Project Board, 2019), a safety plan was implemented, and Person 3 and Person 4 were placed with extended family members while further assessments were undertaken. Their placement with family members reflected the principle contained within the Social Services and Well-being (Wales) Act 2014 that, where consistent with a child's wellbeing, children should be supported to remain within their family network (Welsh Government, 2014).</w:t>
            </w:r>
            <w:r w:rsidRPr="00B53568">
              <w:rPr>
                <w:color w:val="auto"/>
                <w:sz w:val="24"/>
                <w:szCs w:val="24"/>
              </w:rPr>
              <w:t xml:space="preserve"> </w:t>
            </w:r>
            <w:r w:rsidRPr="00B53568">
              <w:rPr>
                <w:rFonts w:eastAsia="Aptos"/>
                <w:color w:val="auto"/>
                <w:kern w:val="2"/>
                <w:sz w:val="24"/>
                <w:szCs w:val="24"/>
                <w:lang w:eastAsia="en-US"/>
                <w14:ligatures w14:val="standardContextual"/>
              </w:rPr>
              <w:t>This response was also consistent with the principle contained within section 22C of the Children Act 1989, which emphasises the importance of children remaining within their wider family network where this is safe and appropriate (HM Government, 1989).</w:t>
            </w:r>
          </w:p>
          <w:p w14:paraId="5021770E" w14:textId="77777777" w:rsidR="00B53568" w:rsidRPr="00B53568" w:rsidRDefault="00B53568" w:rsidP="00B53568">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53568">
              <w:rPr>
                <w:rFonts w:eastAsia="Aptos"/>
                <w:color w:val="auto"/>
                <w:kern w:val="2"/>
                <w:sz w:val="24"/>
                <w:szCs w:val="24"/>
                <w:lang w:eastAsia="en-US"/>
                <w14:ligatures w14:val="standardContextual"/>
              </w:rPr>
              <w:lastRenderedPageBreak/>
              <w:t xml:space="preserve">Following this escalation, the matter progressed to a Legal Gateway Meeting (LGM), where it was determined that intervention under the Public Law Outline (PLO) process was necessary to assess whether the parents could demonstrate and sustain the changes required to safely meet the children's needs. The PLO framework is intended to provide parents with a final opportunity to engage with assessments and support services and demonstrate sustainable change before care proceedings are considered, whilst ensuring that decision-making remains focused on the child's welfare and timescales (Ministry of Justice and Department for Education, 2014). </w:t>
            </w:r>
          </w:p>
          <w:p w14:paraId="2EE1271C" w14:textId="77777777" w:rsidR="00B53568" w:rsidRPr="00B53568" w:rsidRDefault="00B53568" w:rsidP="00B53568">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53568">
              <w:rPr>
                <w:rFonts w:eastAsia="Aptos"/>
                <w:color w:val="auto"/>
                <w:kern w:val="2"/>
                <w:sz w:val="24"/>
                <w:szCs w:val="24"/>
                <w:lang w:eastAsia="en-US"/>
                <w14:ligatures w14:val="standardContextual"/>
              </w:rPr>
              <w:t>The assessment was also informed by the principles of the United Nations Convention on the Rights of the Child (UNCRC), particularly Article 3, which states that the best interests of the child must be a primary consideration in decisions affecting them, and Article 19, which affords children the right to protection from abuse and neglect (United Nations, 1989). The cumulative nature of the concerns ultimately required a comprehensive assessment of parental capacity to determine whether the children could safely remain within, or return to, their parents' care.</w:t>
            </w:r>
          </w:p>
          <w:p w14:paraId="0EA61A8B" w14:textId="77777777" w:rsidR="00B53568" w:rsidRPr="00B53568" w:rsidRDefault="00B53568" w:rsidP="00B53568">
            <w:pPr>
              <w:overflowPunct/>
              <w:autoSpaceDE/>
              <w:autoSpaceDN/>
              <w:adjustRightInd/>
              <w:spacing w:after="160" w:line="360" w:lineRule="auto"/>
              <w:jc w:val="both"/>
              <w:textAlignment w:val="auto"/>
              <w:rPr>
                <w:rFonts w:eastAsia="Aptos"/>
                <w:i/>
                <w:iCs/>
                <w:color w:val="auto"/>
                <w:kern w:val="2"/>
                <w:sz w:val="24"/>
                <w:szCs w:val="24"/>
                <w:lang w:eastAsia="en-US"/>
                <w14:ligatures w14:val="standardContextual"/>
              </w:rPr>
            </w:pPr>
            <w:r w:rsidRPr="00B53568">
              <w:rPr>
                <w:rFonts w:eastAsia="Aptos"/>
                <w:color w:val="auto"/>
                <w:kern w:val="2"/>
                <w:sz w:val="24"/>
                <w:szCs w:val="24"/>
                <w:lang w:eastAsia="en-US"/>
                <w14:ligatures w14:val="standardContextual"/>
              </w:rPr>
              <w:t>Safeguarding referrals in my local authority are received through a centralised hub. In this case, police referred the family after Person 1 was involved in a street altercation and officers attending the home identified concerns about the children’s welfare and living conditions. The referral highlighted parental alcohol misuse, domestic abuse and neglect.</w:t>
            </w:r>
          </w:p>
          <w:p w14:paraId="1554F0E9" w14:textId="77777777" w:rsidR="00B53568" w:rsidRPr="00B53568" w:rsidRDefault="00B53568" w:rsidP="00B53568">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53568">
              <w:rPr>
                <w:rFonts w:eastAsia="Aptos"/>
                <w:color w:val="auto"/>
                <w:kern w:val="2"/>
                <w:sz w:val="24"/>
                <w:szCs w:val="24"/>
                <w:lang w:eastAsia="en-US"/>
                <w14:ligatures w14:val="standardContextual"/>
              </w:rPr>
              <w:t xml:space="preserve">Information sharing between the police and Children's Services was undertaken in accordance with the Data Protection Act 2018 and the UK General Data Protection Regulation (UK GDPR), which provide the legal framework for sharing personal information where it is necessary and proportionate to safeguard children (Data Protection Act 2018; UK GDPR, 2016). These legislative frameworks recognise that consent is not always required where there are concerns that a child may be suffering, or is likely to suffer, significant harm. The referral process was also consistent with the duties contained within Section 47 of the Children Act 1989, which requires local authorities to make enquiries where there is reasonable cause to suspect that a child is suffering or likely to suffer significant harm (HM Government, 1989). </w:t>
            </w:r>
          </w:p>
          <w:p w14:paraId="76AAC6C6" w14:textId="77777777" w:rsidR="00B53568" w:rsidRPr="00B53568" w:rsidRDefault="00B53568" w:rsidP="00B53568">
            <w:pPr>
              <w:overflowPunct/>
              <w:autoSpaceDE/>
              <w:autoSpaceDN/>
              <w:adjustRightInd/>
              <w:spacing w:after="160" w:line="360" w:lineRule="auto"/>
              <w:jc w:val="both"/>
              <w:textAlignment w:val="auto"/>
              <w:rPr>
                <w:rFonts w:eastAsia="Aptos"/>
                <w:color w:val="auto"/>
                <w:kern w:val="2"/>
                <w:sz w:val="24"/>
                <w:szCs w:val="24"/>
                <w14:ligatures w14:val="standardContextual"/>
              </w:rPr>
            </w:pPr>
            <w:r w:rsidRPr="00B53568">
              <w:rPr>
                <w:rFonts w:eastAsia="Aptos"/>
                <w:color w:val="auto"/>
                <w:kern w:val="2"/>
                <w:sz w:val="24"/>
                <w:szCs w:val="24"/>
                <w:lang w:eastAsia="en-US"/>
                <w14:ligatures w14:val="standardContextual"/>
              </w:rPr>
              <w:t xml:space="preserve">In Wales, these duties are further reinforced through Part 7 of the Social Services and Well-being (Wales) Act 2014, which places a duty on local authorities and partner agencies to work </w:t>
            </w:r>
            <w:r w:rsidRPr="00B53568">
              <w:rPr>
                <w:rFonts w:eastAsia="Aptos"/>
                <w:color w:val="auto"/>
                <w:kern w:val="2"/>
                <w:sz w:val="24"/>
                <w:szCs w:val="24"/>
                <w:lang w:eastAsia="en-US"/>
                <w14:ligatures w14:val="standardContextual"/>
              </w:rPr>
              <w:lastRenderedPageBreak/>
              <w:t>together to protect children from abuse, neglect and harm (Welsh Government, 2014). Following receipt of the referral, information was gathered from relevant agencies in accordance with the Wales Safeguarding Procedures (Wales Safeguarding Procedures Project Board, 2019) to determine the level of risk and whether statutory intervention was required.</w:t>
            </w:r>
          </w:p>
          <w:p w14:paraId="1098999C" w14:textId="77777777" w:rsidR="00B53568" w:rsidRPr="00B53568" w:rsidRDefault="00B53568" w:rsidP="00B53568">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53568">
              <w:rPr>
                <w:rFonts w:eastAsia="Aptos"/>
                <w:color w:val="auto"/>
                <w:kern w:val="2"/>
                <w:sz w:val="24"/>
                <w:szCs w:val="24"/>
                <w:lang w:eastAsia="en-US"/>
                <w14:ligatures w14:val="standardContextual"/>
              </w:rPr>
              <w:t xml:space="preserve">Using the </w:t>
            </w:r>
            <w:r w:rsidRPr="00B53568">
              <w:rPr>
                <w:rFonts w:eastAsia="Aptos"/>
                <w:i/>
                <w:iCs/>
                <w:color w:val="auto"/>
                <w:kern w:val="2"/>
                <w:sz w:val="24"/>
                <w:szCs w:val="24"/>
                <w:lang w:eastAsia="en-US"/>
                <w14:ligatures w14:val="standardContextual"/>
              </w:rPr>
              <w:t>So What?</w:t>
            </w:r>
            <w:r w:rsidRPr="00B53568">
              <w:rPr>
                <w:rFonts w:eastAsia="Aptos"/>
                <w:color w:val="auto"/>
                <w:kern w:val="2"/>
                <w:sz w:val="24"/>
                <w:szCs w:val="24"/>
                <w:lang w:eastAsia="en-US"/>
                <w14:ligatures w14:val="standardContextual"/>
              </w:rPr>
              <w:t xml:space="preserve"> stage of Driscoll’s (2007) reflective model helped me consider why these incidents were significant and how they influenced my assessment, analysis and professional judgement. Initially, I considered whether the police referral and the later incident involving parental intoxication should be viewed as separate events. However, when I reviewed the family’s chronology, I became aware that considering each incident in isolation could minimise the cumulative impact of the concerns on Person 3 and Person 4.</w:t>
            </w:r>
          </w:p>
          <w:p w14:paraId="4949BCEE" w14:textId="77777777" w:rsidR="00B53568" w:rsidRPr="00B53568" w:rsidRDefault="00B53568" w:rsidP="00B53568">
            <w:pPr>
              <w:overflowPunct/>
              <w:autoSpaceDE/>
              <w:autoSpaceDN/>
              <w:adjustRightInd/>
              <w:spacing w:after="160" w:line="360" w:lineRule="auto"/>
              <w:jc w:val="both"/>
              <w:textAlignment w:val="auto"/>
              <w:rPr>
                <w:rFonts w:eastAsia="Aptos"/>
                <w:i/>
                <w:iCs/>
                <w:color w:val="auto"/>
                <w:kern w:val="2"/>
                <w:sz w:val="24"/>
                <w:szCs w:val="24"/>
                <w:lang w:eastAsia="en-US"/>
                <w14:ligatures w14:val="standardContextual"/>
              </w:rPr>
            </w:pPr>
            <w:r w:rsidRPr="00B53568">
              <w:rPr>
                <w:rFonts w:eastAsia="Aptos"/>
                <w:color w:val="auto"/>
                <w:kern w:val="2"/>
                <w:sz w:val="24"/>
                <w:szCs w:val="24"/>
                <w:lang w:eastAsia="en-US"/>
                <w14:ligatures w14:val="standardContextual"/>
              </w:rPr>
              <w:t>The family had longstanding concerns involving neglect, parental substance misuse, domestic abuse, unsafe home conditions, inconsistent school attendance and limited engagement with support. Viewed alongside the police referral, the later incident of parental intoxication showed that significant risks persisted despite child protection intervention.</w:t>
            </w:r>
          </w:p>
          <w:p w14:paraId="2CE1C656" w14:textId="77777777" w:rsidR="00B53568" w:rsidRPr="00B53568" w:rsidRDefault="00B53568" w:rsidP="00B53568">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53568">
              <w:rPr>
                <w:rFonts w:eastAsia="Aptos"/>
                <w:color w:val="auto"/>
                <w:kern w:val="2"/>
                <w:sz w:val="24"/>
                <w:szCs w:val="24"/>
                <w:lang w:eastAsia="en-US"/>
                <w14:ligatures w14:val="standardContextual"/>
              </w:rPr>
              <w:t>This made me reflect on whether the number of services involved with the family had created an assumption that the risks were being effectively managed. I recognised that professional involvement did not necessarily mean that positive changes were being achieved for the children. Although both parents sometimes attended meetings, expressed love for their children and stated that they wanted to change, I needed to consider whether their engagement had resulted in sustained improvements in their behaviour and parenting. Evidence gathered during the PLO assessment showed inconsistent engagement, missed appointments and the recurrence of concerns when professional support reduced. This developed my understanding that attending appointments or agreeing with professional concerns was not the same as demonstrating an improved ability to provide safe and consistent care.</w:t>
            </w:r>
          </w:p>
          <w:p w14:paraId="6C829CD8" w14:textId="77777777" w:rsidR="00B53568" w:rsidRPr="00B53568" w:rsidRDefault="00B53568" w:rsidP="00B53568">
            <w:pPr>
              <w:overflowPunct/>
              <w:autoSpaceDE/>
              <w:autoSpaceDN/>
              <w:adjustRightInd/>
              <w:spacing w:after="160" w:line="360" w:lineRule="auto"/>
              <w:jc w:val="both"/>
              <w:textAlignment w:val="auto"/>
              <w:rPr>
                <w:rFonts w:eastAsia="Aptos"/>
                <w:color w:val="auto"/>
                <w:kern w:val="2"/>
                <w:sz w:val="24"/>
                <w:szCs w:val="24"/>
                <w14:ligatures w14:val="standardContextual"/>
              </w:rPr>
            </w:pPr>
            <w:r w:rsidRPr="00B53568">
              <w:rPr>
                <w:rFonts w:eastAsia="Aptos"/>
                <w:color w:val="auto"/>
                <w:kern w:val="2"/>
                <w:sz w:val="24"/>
                <w:szCs w:val="24"/>
                <w:lang w:eastAsia="en-US"/>
                <w14:ligatures w14:val="standardContextual"/>
              </w:rPr>
              <w:t xml:space="preserve">Research on neglect further developed my understanding. Daniel, Taylor and Scott (2011) explain that recognising and responding to neglect can be complex because practitioners must consider both the signs that parents require support and the signs that a child’s needs </w:t>
            </w:r>
            <w:r w:rsidRPr="00B53568">
              <w:rPr>
                <w:rFonts w:eastAsia="Aptos"/>
                <w:color w:val="auto"/>
                <w:kern w:val="2"/>
                <w:sz w:val="24"/>
                <w:szCs w:val="24"/>
                <w:lang w:eastAsia="en-US"/>
                <w14:ligatures w14:val="standardContextual"/>
              </w:rPr>
              <w:lastRenderedPageBreak/>
              <w:t>are not being met. Their work links the identification of neglect with assessment, planning and appropriate intervention.</w:t>
            </w:r>
          </w:p>
          <w:p w14:paraId="69C7EEDF" w14:textId="77777777" w:rsidR="00B53568" w:rsidRPr="00B53568" w:rsidRDefault="00B53568" w:rsidP="00B53568">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53568">
              <w:rPr>
                <w:rFonts w:eastAsia="Aptos"/>
                <w:color w:val="auto"/>
                <w:kern w:val="2"/>
                <w:sz w:val="24"/>
                <w:szCs w:val="24"/>
                <w:lang w:eastAsia="en-US"/>
                <w14:ligatures w14:val="standardContextual"/>
              </w:rPr>
              <w:t>As a newly qualified social worker, I found it challenging to balance empathy for the parents with the need to maintain a clear focus on risk. The parents required support in relation to substance misuse, their relationship, emotional wellbeing and wider living circumstances. I wanted to remain hopeful about their capacity to change and avoid approaching the assessment with a fixed or judgemental view. Both parents expressed love for the children and, at times, acknowledged some of the professional concerns. However, I became aware that focusing too heavily on the reasons for their difficulties could unintentionally move attention away from the impact on Person 3 and Person 4.</w:t>
            </w:r>
          </w:p>
          <w:p w14:paraId="3623CA23" w14:textId="77777777" w:rsidR="00B53568" w:rsidRPr="00B53568" w:rsidRDefault="00B53568" w:rsidP="00B53568">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53568">
              <w:rPr>
                <w:rFonts w:eastAsia="Aptos"/>
                <w:color w:val="auto"/>
                <w:kern w:val="2"/>
                <w:sz w:val="24"/>
                <w:szCs w:val="24"/>
                <w:lang w:eastAsia="en-US"/>
                <w14:ligatures w14:val="standardContextual"/>
              </w:rPr>
              <w:t>Understanding why the parents struggled was important when planning support, but it did not reduce my responsibility to assess whether the children were receiving safe, consistent and nurturing care. Reflecting on this challenged me to consider whether I was giving greater weight to the parents’ engagement with professionals than to the impact of their behaviour on Person 3 and Person 4. I needed to move beyond parental willingness and assess whether change was evidenced in practice and experienced by the children. This reinforced the importance of maintaining a child-centred focus and basing professional judgement on evidence of change rather than intention alone (Daniel, Taylor and Scott, 2011).</w:t>
            </w:r>
          </w:p>
          <w:p w14:paraId="160E747D" w14:textId="77777777" w:rsidR="00B53568" w:rsidRPr="00B53568" w:rsidRDefault="00B53568" w:rsidP="00B53568">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53568">
              <w:rPr>
                <w:rFonts w:eastAsia="Aptos"/>
                <w:color w:val="auto"/>
                <w:kern w:val="2"/>
                <w:sz w:val="24"/>
                <w:szCs w:val="24"/>
                <w:lang w:eastAsia="en-US"/>
                <w14:ligatures w14:val="standardContextual"/>
              </w:rPr>
              <w:t>This strengthened my understanding that strengths-based practice does not mean minimising risk or treating brief improvement as sustainable change. The Signs of Safety approach used in my local authority balances what is working well, professional worries and the changes needed to secure children’s safety (Turnell and Edwards, 1999). Applying it helped me distinguish parental intention and service engagement from evidenced behavioural change. Although the parents identified family strengths and sometimes engaged with support, concerns about substance misuse, neglect and inconsistent care continued. I therefore focused on what had changed for Person 3 and Person 4, how long this had been maintained and whether it could continue without intensive support. This challenged me to base my judgement on sustained improvements in the children’s daily experiences rather than parental participation alone (Daniel, Taylor and Scott, 2011; Turnell and Edwards, 1999).</w:t>
            </w:r>
          </w:p>
          <w:p w14:paraId="439795BC" w14:textId="77777777" w:rsidR="00B53568" w:rsidRPr="00B53568" w:rsidRDefault="00B53568" w:rsidP="00B53568">
            <w:pPr>
              <w:overflowPunct/>
              <w:autoSpaceDE/>
              <w:autoSpaceDN/>
              <w:adjustRightInd/>
              <w:spacing w:after="160" w:line="360" w:lineRule="auto"/>
              <w:jc w:val="both"/>
              <w:textAlignment w:val="auto"/>
              <w:rPr>
                <w:rFonts w:eastAsia="Aptos"/>
                <w:i/>
                <w:iCs/>
                <w:color w:val="auto"/>
                <w:kern w:val="2"/>
                <w:sz w:val="24"/>
                <w:szCs w:val="24"/>
                <w:lang w:eastAsia="en-US"/>
                <w14:ligatures w14:val="standardContextual"/>
              </w:rPr>
            </w:pPr>
            <w:r w:rsidRPr="00B53568">
              <w:rPr>
                <w:rFonts w:eastAsia="Aptos"/>
                <w:color w:val="auto"/>
                <w:kern w:val="2"/>
                <w:sz w:val="24"/>
                <w:szCs w:val="24"/>
                <w:lang w:eastAsia="en-US"/>
                <w14:ligatures w14:val="standardContextual"/>
              </w:rPr>
              <w:lastRenderedPageBreak/>
              <w:t>Research into cumulative harm helped me understand the importance of considering the children’s experiences over time. Bromfield, Gillingham and Higgins (2007) argue that viewing incidents separately can obscure the frequency, duration and combined impact of repeated harm. More recently, Gibbs et al. (2024) found continuing difficulties in recognising cumulative neglect and intervention thresholds, reinforcing the need to consider chronic patterns and their long-term effects.</w:t>
            </w:r>
          </w:p>
          <w:p w14:paraId="29581B39" w14:textId="77777777" w:rsidR="00B53568" w:rsidRPr="00B53568" w:rsidRDefault="00B53568" w:rsidP="00B53568">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53568">
              <w:rPr>
                <w:rFonts w:eastAsia="Aptos"/>
                <w:color w:val="auto"/>
                <w:kern w:val="2"/>
                <w:sz w:val="24"/>
                <w:szCs w:val="24"/>
                <w:lang w:eastAsia="en-US"/>
                <w14:ligatures w14:val="standardContextual"/>
              </w:rPr>
              <w:t>This was particularly relevant to Person 3 and Person 4 because their experiences were not limited to one serious incident. When considered together, these experiences indicated a pattern consistent with cumulative harm, which had the potential to affect the children’s safety, stability and wellbeing progressively (Bromfield, Gillingham and Higgins, 2007).</w:t>
            </w:r>
          </w:p>
          <w:p w14:paraId="34192FF3" w14:textId="77777777" w:rsidR="00B53568" w:rsidRPr="00B53568" w:rsidRDefault="00B53568" w:rsidP="00B53568">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53568">
              <w:rPr>
                <w:rFonts w:eastAsia="Aptos"/>
                <w:color w:val="auto"/>
                <w:kern w:val="2"/>
                <w:sz w:val="24"/>
                <w:szCs w:val="24"/>
                <w:lang w:eastAsia="en-US"/>
                <w14:ligatures w14:val="standardContextual"/>
              </w:rPr>
              <w:t>Reviewing the chronology helped me recognise that the police referral and the later incident involving parental intoxication formed part of a longstanding pattern rather than separate lapses in parenting. Individually, each event may have been explained by the parents or temporarily managed by professionals. However, when I considered the concerns collectively, I became increasingly aware of how they may have affected the children’s daily lives, development and sense of security.</w:t>
            </w:r>
          </w:p>
          <w:p w14:paraId="455159BD" w14:textId="77777777" w:rsidR="00B53568" w:rsidRPr="00B53568" w:rsidRDefault="00B53568" w:rsidP="00B53568">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53568">
              <w:rPr>
                <w:rFonts w:eastAsia="Aptos"/>
                <w:color w:val="auto"/>
                <w:kern w:val="2"/>
                <w:sz w:val="24"/>
                <w:szCs w:val="24"/>
                <w:lang w:eastAsia="en-US"/>
                <w14:ligatures w14:val="standardContextual"/>
              </w:rPr>
              <w:t>This made me question whether I had initially focused too heavily on the immediate incidents and not enough on what the children had experienced throughout their lives.</w:t>
            </w:r>
            <w:r w:rsidRPr="00B53568">
              <w:rPr>
                <w:rFonts w:ascii="Segoe UI" w:hAnsi="Segoe UI" w:cs="Segoe UI"/>
                <w:color w:val="auto"/>
                <w:sz w:val="21"/>
                <w:szCs w:val="21"/>
              </w:rPr>
              <w:t xml:space="preserve"> </w:t>
            </w:r>
            <w:r w:rsidRPr="00B53568">
              <w:rPr>
                <w:rFonts w:eastAsia="Aptos"/>
                <w:color w:val="auto"/>
                <w:kern w:val="2"/>
                <w:sz w:val="24"/>
                <w:szCs w:val="24"/>
                <w:lang w:eastAsia="en-US"/>
                <w14:ligatures w14:val="standardContextual"/>
              </w:rPr>
              <w:t xml:space="preserve">Reflecting on the assessment, I felt confident in my recommendation because the evidence showed that the changes needed to reduce risk were not being made or sustained. As I reviewed the chronology, I recognised that the concerns were not isolated incidents but part of a longstanding pattern that had repeated over </w:t>
            </w:r>
            <w:proofErr w:type="gramStart"/>
            <w:r w:rsidRPr="00B53568">
              <w:rPr>
                <w:rFonts w:eastAsia="Aptos"/>
                <w:color w:val="auto"/>
                <w:kern w:val="2"/>
                <w:sz w:val="24"/>
                <w:szCs w:val="24"/>
                <w:lang w:eastAsia="en-US"/>
                <w14:ligatures w14:val="standardContextual"/>
              </w:rPr>
              <w:t>a number of</w:t>
            </w:r>
            <w:proofErr w:type="gramEnd"/>
            <w:r w:rsidRPr="00B53568">
              <w:rPr>
                <w:rFonts w:eastAsia="Aptos"/>
                <w:color w:val="auto"/>
                <w:kern w:val="2"/>
                <w:sz w:val="24"/>
                <w:szCs w:val="24"/>
                <w:lang w:eastAsia="en-US"/>
                <w14:ligatures w14:val="standardContextual"/>
              </w:rPr>
              <w:t xml:space="preserve"> years. This strengthened my confidence in my professional judgement, as my decision was based on the </w:t>
            </w:r>
            <w:proofErr w:type="gramStart"/>
            <w:r w:rsidRPr="00B53568">
              <w:rPr>
                <w:rFonts w:eastAsia="Aptos"/>
                <w:color w:val="auto"/>
                <w:kern w:val="2"/>
                <w:sz w:val="24"/>
                <w:szCs w:val="24"/>
                <w:lang w:eastAsia="en-US"/>
                <w14:ligatures w14:val="standardContextual"/>
              </w:rPr>
              <w:t>children's</w:t>
            </w:r>
            <w:proofErr w:type="gramEnd"/>
            <w:r w:rsidRPr="00B53568">
              <w:rPr>
                <w:rFonts w:eastAsia="Aptos"/>
                <w:color w:val="auto"/>
                <w:kern w:val="2"/>
                <w:sz w:val="24"/>
                <w:szCs w:val="24"/>
                <w:lang w:eastAsia="en-US"/>
                <w14:ligatures w14:val="standardContextual"/>
              </w:rPr>
              <w:t xml:space="preserve"> lived experiences, the family's history and the lack of sustained change. Although recommending that the children should not return to their parents' care was a significant decision, I felt reassured that it was evidence-based and focused on protecting them from further harm.</w:t>
            </w:r>
          </w:p>
          <w:p w14:paraId="5CEC870B" w14:textId="77777777" w:rsidR="00B53568" w:rsidRPr="00B53568" w:rsidRDefault="00B53568" w:rsidP="00B53568">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53568">
              <w:rPr>
                <w:rFonts w:eastAsia="Aptos"/>
                <w:color w:val="auto"/>
                <w:kern w:val="2"/>
                <w:sz w:val="24"/>
                <w:szCs w:val="24"/>
                <w:lang w:eastAsia="en-US"/>
                <w14:ligatures w14:val="standardContextual"/>
              </w:rPr>
              <w:t xml:space="preserve">This reflected NOS 4/P1, which concerns analysing information to inform professional decisions in complex situations (Social Care Wales, 2026b). Drawing on the children’s experiences, the chronology, my observations and information from police, education, health </w:t>
            </w:r>
            <w:r w:rsidRPr="00B53568">
              <w:rPr>
                <w:rFonts w:eastAsia="Aptos"/>
                <w:color w:val="auto"/>
                <w:kern w:val="2"/>
                <w:sz w:val="24"/>
                <w:szCs w:val="24"/>
                <w:lang w:eastAsia="en-US"/>
                <w14:ligatures w14:val="standardContextual"/>
              </w:rPr>
              <w:lastRenderedPageBreak/>
              <w:t>and substance misuse services, I identified patterns, evaluated the reliability of the evidence and considered differing accounts to reach a balanced professional judgement. The Code of Professional Practice for Social Care Workers further reinforced my responsibility to involve the family while maintaining a safeguarding focus. In line with Standards 1.4 and 2.2, I ensured the parents were able to share their views and that communication remained open and clear throughout the PLO assessment, helping them understand the concerns, evidence and changes required (Social Care Wales, 2026a).</w:t>
            </w:r>
          </w:p>
          <w:p w14:paraId="79059399" w14:textId="77777777" w:rsidR="00B53568" w:rsidRPr="00B53568" w:rsidRDefault="00B53568" w:rsidP="00B53568">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53568">
              <w:rPr>
                <w:rFonts w:eastAsia="Aptos"/>
                <w:color w:val="auto"/>
                <w:kern w:val="2"/>
                <w:sz w:val="24"/>
                <w:szCs w:val="24"/>
                <w:lang w:eastAsia="en-US"/>
                <w14:ligatures w14:val="standardContextual"/>
              </w:rPr>
              <w:t>However, listening to the parents’ views did not mean that I had to agree with their interpretation of events. Standard 3.1 required me to promote wellbeing and safety, while Standard 3.5 required me to challenge or report unsafe, dangerous or harmful behaviour or practice (Social Care Wales, 2026a). These standards helped me recognise that respectful practice and professional challenge were not contradictory. I could work openly and respectfully with the parents while remaining clear that the safety and lived experiences of Person 3 and Person 4 had to remain central.</w:t>
            </w:r>
          </w:p>
          <w:p w14:paraId="65FC5648" w14:textId="77777777" w:rsidR="00B53568" w:rsidRPr="00B53568" w:rsidRDefault="00B53568" w:rsidP="00B53568">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53568">
              <w:rPr>
                <w:rFonts w:eastAsia="Aptos"/>
                <w:color w:val="auto"/>
                <w:kern w:val="2"/>
                <w:sz w:val="24"/>
                <w:szCs w:val="24"/>
                <w:lang w:eastAsia="en-US"/>
                <w14:ligatures w14:val="standardContextual"/>
              </w:rPr>
              <w:t>These standards made me reflect on the tension between respecting the parents’ views and safeguarding Person 3 and Person 4. I questioned whether I had fully heard the parents and considered the least restrictive response. However, the BASW Code reminded me that parental intention could not outweigh evidence of ongoing harm and that the children had rights (British Association of Social Workers, 2021). The IFSW principles also prompted me to consider how professional power affected the family’s participation (International Federation of Social Workers, 2018). I recognised that ethical practice meant explaining my decisions clearly, using authority proportionately and acting when support had not achieved sustained change. I then used systems theory to explore the wider factors affecting the family.</w:t>
            </w:r>
          </w:p>
          <w:p w14:paraId="1C86F22F" w14:textId="77777777" w:rsidR="00B53568" w:rsidRPr="00B53568" w:rsidRDefault="00B53568" w:rsidP="00B53568">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53568">
              <w:rPr>
                <w:rFonts w:eastAsia="Aptos"/>
                <w:color w:val="auto"/>
                <w:kern w:val="2"/>
                <w:sz w:val="24"/>
                <w:szCs w:val="24"/>
                <w:lang w:eastAsia="en-US"/>
                <w14:ligatures w14:val="standardContextual"/>
              </w:rPr>
              <w:t>Systems theory helped me understand that the family’s difficulties were interconnected and could not be fully understood by examining each concern separately. A systems perspective considers individuals within interconnected family, social, community and professional systems, with difficulties or changes within one part of the system potentially affecting other areas (Payne, 2020).</w:t>
            </w:r>
          </w:p>
          <w:p w14:paraId="0005A961" w14:textId="77777777" w:rsidR="00B53568" w:rsidRPr="00B53568" w:rsidRDefault="00B53568" w:rsidP="00B53568">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53568">
              <w:rPr>
                <w:rFonts w:eastAsia="Aptos"/>
                <w:color w:val="auto"/>
                <w:kern w:val="2"/>
                <w:sz w:val="24"/>
                <w:szCs w:val="24"/>
                <w:lang w:eastAsia="en-US"/>
                <w14:ligatures w14:val="standardContextual"/>
              </w:rPr>
              <w:lastRenderedPageBreak/>
              <w:t>Applying systems theory helped me recognise that parental substance misuse could not be considered solely as an adult health matter. It affected the parents’ capacity to supervise the children, maintain routines, keep the home safe, manage their relationship and remain emotionally available. It also interacted with domestic abuse, criminal behaviour, poor school attendance and inconsistent engagement with services.</w:t>
            </w:r>
          </w:p>
          <w:p w14:paraId="743F9978" w14:textId="77777777" w:rsidR="00B53568" w:rsidRPr="00B53568" w:rsidRDefault="00B53568" w:rsidP="00B53568">
            <w:pPr>
              <w:overflowPunct/>
              <w:autoSpaceDE/>
              <w:autoSpaceDN/>
              <w:adjustRightInd/>
              <w:spacing w:after="160" w:line="360" w:lineRule="auto"/>
              <w:jc w:val="both"/>
              <w:textAlignment w:val="auto"/>
              <w:rPr>
                <w:rFonts w:eastAsia="Aptos"/>
                <w:i/>
                <w:iCs/>
                <w:color w:val="auto"/>
                <w:kern w:val="2"/>
                <w:sz w:val="24"/>
                <w:szCs w:val="24"/>
                <w:lang w:eastAsia="en-US"/>
                <w14:ligatures w14:val="standardContextual"/>
              </w:rPr>
            </w:pPr>
            <w:r w:rsidRPr="00B53568">
              <w:rPr>
                <w:rFonts w:eastAsia="Aptos"/>
                <w:color w:val="auto"/>
                <w:kern w:val="2"/>
                <w:sz w:val="24"/>
                <w:szCs w:val="24"/>
                <w:lang w:eastAsia="en-US"/>
                <w14:ligatures w14:val="standardContextual"/>
              </w:rPr>
              <w:t>Research indicates that parental substance misuse can create chaotic and unpredictable care and impair parents’ ability to recognise and meet their children’s needs (NSPCC Learning, 2023). Roy’s (2023) study also associated poorer social care outcomes with substance-related caregiver instability, parenting capacity and household instability. This encouraged me to examine the impact of substance use on parenting and the children’s daily experiences rather than focusing only on whether the parents admitted using alcohol or drugs.</w:t>
            </w:r>
          </w:p>
          <w:p w14:paraId="46EF8961" w14:textId="77777777" w:rsidR="00B53568" w:rsidRPr="00B53568" w:rsidRDefault="00B53568" w:rsidP="00B53568">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53568">
              <w:rPr>
                <w:rFonts w:eastAsia="Aptos"/>
                <w:color w:val="auto"/>
                <w:kern w:val="2"/>
                <w:sz w:val="24"/>
                <w:szCs w:val="24"/>
                <w:lang w:eastAsia="en-US"/>
                <w14:ligatures w14:val="standardContextual"/>
              </w:rPr>
              <w:t>The incident in which both parents appeared intoxicated while caring for the children provided direct evidence that neither parent could offer safe and sober care at that time. It also raised concerns about their insight, judgement and ability to recognise when they were unable to care safely for Person 3 and Person 4. I became aware that the assessment needed to consider not only the frequency or amount of substance use but also its effect on supervision, decision-making, emotional availability and the children’s safety.</w:t>
            </w:r>
          </w:p>
          <w:p w14:paraId="6E762E85" w14:textId="77777777" w:rsidR="00B53568" w:rsidRPr="00B53568" w:rsidRDefault="00B53568" w:rsidP="00B53568">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53568">
              <w:rPr>
                <w:rFonts w:eastAsia="Aptos"/>
                <w:color w:val="auto"/>
                <w:kern w:val="2"/>
                <w:sz w:val="24"/>
                <w:szCs w:val="24"/>
                <w:lang w:eastAsia="en-US"/>
                <w14:ligatures w14:val="standardContextual"/>
              </w:rPr>
              <w:t>The incident engaged NOS 13, which relates to investigating harm or abuse. NOS 13/P1 concerned identifying behaviours and environments presenting potential risks of harm, while NOS 13/P3 concerned maintaining a focus on safeguarding the person at risk. NOS 13/P5 and P6 related to coordinating evidence from different sources and disciplines and contributing to a professional judgement regarding the nature and level of intervention required (Social Care Wales, 2026b).</w:t>
            </w:r>
          </w:p>
          <w:p w14:paraId="46E38DD1" w14:textId="77777777" w:rsidR="00B53568" w:rsidRPr="00B53568" w:rsidRDefault="00B53568" w:rsidP="00B53568">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53568">
              <w:rPr>
                <w:rFonts w:eastAsia="Aptos"/>
                <w:color w:val="auto"/>
                <w:kern w:val="2"/>
                <w:sz w:val="24"/>
                <w:szCs w:val="24"/>
                <w:lang w:eastAsia="en-US"/>
                <w14:ligatures w14:val="standardContextual"/>
              </w:rPr>
              <w:t>Reflecting on this helped me recognise that the decision regarding the children’s immediate safety was not based on my judgement alone. It was informed by direct observations, consultation with managers and colleagues, multi-agency information, the family’s history and the availability of a wider family safety network. However, working in partnership did not remove my responsibility to communicate my concerns clearly and contribute my own professional analysis.</w:t>
            </w:r>
          </w:p>
          <w:p w14:paraId="22C45B2D" w14:textId="77777777" w:rsidR="00B53568" w:rsidRPr="00B53568" w:rsidRDefault="00B53568" w:rsidP="00B53568">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53568">
              <w:rPr>
                <w:rFonts w:eastAsia="Aptos"/>
                <w:color w:val="auto"/>
                <w:kern w:val="2"/>
                <w:sz w:val="24"/>
                <w:szCs w:val="24"/>
                <w:lang w:eastAsia="en-US"/>
                <w14:ligatures w14:val="standardContextual"/>
              </w:rPr>
              <w:lastRenderedPageBreak/>
              <w:t>Systems theory also helped me consider the professional network surrounding the family. No single professional held the complete picture of the children’s circumstances. Information from police, education, health, substance misuse services and previous social workers was required to understand how the concerns interacted. Individually, poor school attendance, missed appointments, deteriorating home conditions or one police incident might have appeared less significant. However, when the information was brought together through the chronology, it demonstrated recurring instability and limited sustained parental change.</w:t>
            </w:r>
          </w:p>
          <w:p w14:paraId="61EA956D" w14:textId="77777777" w:rsidR="00B53568" w:rsidRPr="00B53568" w:rsidRDefault="00B53568" w:rsidP="00B53568">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53568">
              <w:rPr>
                <w:rFonts w:eastAsia="Aptos"/>
                <w:color w:val="auto"/>
                <w:kern w:val="2"/>
                <w:sz w:val="24"/>
                <w:szCs w:val="24"/>
                <w:lang w:eastAsia="en-US"/>
                <w14:ligatures w14:val="standardContextual"/>
              </w:rPr>
              <w:t>The multi-agency nature of the assessment reflected NOS 6/P1–P3, which relate to developing collaborative working relationships with professionals from other disciplines, upholding the role and function of social work within a multidisciplinary context, and understanding the roles and responsibilities of other professionals (Social Care Wales, 2026b).</w:t>
            </w:r>
          </w:p>
          <w:p w14:paraId="7F736CC2" w14:textId="77777777" w:rsidR="00B53568" w:rsidRPr="00B53568" w:rsidRDefault="00B53568" w:rsidP="00B53568">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53568">
              <w:rPr>
                <w:rFonts w:eastAsia="Aptos"/>
                <w:color w:val="auto"/>
                <w:kern w:val="2"/>
                <w:sz w:val="24"/>
                <w:szCs w:val="24"/>
                <w:lang w:eastAsia="en-US"/>
                <w14:ligatures w14:val="standardContextual"/>
              </w:rPr>
              <w:t xml:space="preserve">Information sharing was also supported by Standard 4.6, which requires information to be shared where someone may be at risk of harm while following data protection requirements (Social Care Wales, 2026a). This helped me recognise that confidentiality was important but could not be used as a reason to withhold relevant safeguarding information. My responsibility was to ensure that information was relevant, necessary and handled in accordance with safeguarding procedures and data protection requirements. Although this case remained in Wales, I recognised that cross-border safeguarding would require me to clarify jurisdiction and work with the responsible UK or overseas authority. </w:t>
            </w:r>
          </w:p>
          <w:p w14:paraId="0A20397A" w14:textId="77777777" w:rsidR="00B53568" w:rsidRPr="00B53568" w:rsidRDefault="00B53568" w:rsidP="00B53568">
            <w:pPr>
              <w:overflowPunct/>
              <w:autoSpaceDE/>
              <w:autoSpaceDN/>
              <w:adjustRightInd/>
              <w:spacing w:after="160" w:line="360" w:lineRule="auto"/>
              <w:jc w:val="both"/>
              <w:textAlignment w:val="auto"/>
              <w:rPr>
                <w:rFonts w:eastAsia="Aptos"/>
                <w:color w:val="auto"/>
                <w:kern w:val="2"/>
                <w:sz w:val="24"/>
                <w:szCs w:val="24"/>
                <w14:ligatures w14:val="standardContextual"/>
              </w:rPr>
            </w:pPr>
            <w:r w:rsidRPr="00B53568">
              <w:rPr>
                <w:rFonts w:eastAsia="Aptos"/>
                <w:color w:val="auto"/>
                <w:kern w:val="2"/>
                <w:sz w:val="24"/>
                <w:szCs w:val="24"/>
                <w:lang w:eastAsia="en-US"/>
                <w14:ligatures w14:val="standardContextual"/>
              </w:rPr>
              <w:t xml:space="preserve">Reflecting on practice in Wales helped me recognise that the Social Services and Well-being (Wales) Act 2014 was not simply a framework I needed to follow. It encouraged me to consider the children’s safety alongside their wishes, relationships and wider wellbeing, while exploring whether support from their extended family could provide greater stability. However, I also learnt that involving the family and promoting participation could not delay protective action or place responsibility for the children’s safety on them or their relatives. The Active Offer made me think more carefully about how language, communication and professional power may affect a family’s confidence to participate. This experience showed me that person-centred </w:t>
            </w:r>
            <w:r w:rsidRPr="00B53568">
              <w:rPr>
                <w:rFonts w:eastAsia="Aptos"/>
                <w:color w:val="auto"/>
                <w:kern w:val="2"/>
                <w:sz w:val="24"/>
                <w:szCs w:val="24"/>
                <w:lang w:eastAsia="en-US"/>
                <w14:ligatures w14:val="standardContextual"/>
              </w:rPr>
              <w:lastRenderedPageBreak/>
              <w:t>Welsh practice requires both respectful collaboration and a willingness to act decisively when risks remain.</w:t>
            </w:r>
          </w:p>
          <w:p w14:paraId="1149BF7C" w14:textId="77777777" w:rsidR="00B53568" w:rsidRPr="00B53568" w:rsidRDefault="00B53568" w:rsidP="00B53568">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53568">
              <w:rPr>
                <w:rFonts w:eastAsia="Aptos"/>
                <w:color w:val="auto"/>
                <w:kern w:val="2"/>
                <w:sz w:val="24"/>
                <w:szCs w:val="24"/>
                <w:lang w:eastAsia="en-US"/>
                <w14:ligatures w14:val="standardContextual"/>
              </w:rPr>
              <w:t>The wider family network was a strength within the family system. When neither parent could safely care for Person 3 and Person 4, extended family members provided immediate care and protection. I recognised that this enabled the children to remain with familiar adults and maintain important family relationships. It also demonstrated that the family had access to people who could provide support during a crisis.</w:t>
            </w:r>
          </w:p>
          <w:p w14:paraId="5543BA6F" w14:textId="77777777" w:rsidR="00B53568" w:rsidRPr="00B53568" w:rsidRDefault="00B53568" w:rsidP="00B53568">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53568">
              <w:rPr>
                <w:rFonts w:eastAsia="Aptos"/>
                <w:color w:val="auto"/>
                <w:kern w:val="2"/>
                <w:sz w:val="24"/>
                <w:szCs w:val="24"/>
                <w:lang w:eastAsia="en-US"/>
                <w14:ligatures w14:val="standardContextual"/>
              </w:rPr>
              <w:t>However, I became aware that this arrangement did not resolve the underlying safeguarding concerns. It reduced the immediate risk but did not demonstrate that the parents had addressed their substance misuse, relationship instability or inconsistent parenting. This helped me distinguish between a short-term safety arrangement and evidence of sustainable parental change. Systems theory helped me identify where safety was being created within the wider family system while remaining clear about the aspects of the parental system that had not changed.</w:t>
            </w:r>
          </w:p>
          <w:p w14:paraId="22540B9E" w14:textId="77777777" w:rsidR="00B53568" w:rsidRPr="00B53568" w:rsidRDefault="00B53568" w:rsidP="00B53568">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53568">
              <w:rPr>
                <w:rFonts w:eastAsia="Aptos"/>
                <w:color w:val="auto"/>
                <w:kern w:val="2"/>
                <w:sz w:val="24"/>
                <w:szCs w:val="24"/>
                <w:lang w:eastAsia="en-US"/>
                <w14:ligatures w14:val="standardContextual"/>
              </w:rPr>
              <w:t>I used supervision to test my analysis and consider whether I had given sufficient weight to alternative explanations. This aligned with Standard 6.8 of the Code, which requires active and effective engagement in supervision to reflect on practice and identify opportunities to improve knowledge and skills (Social Care Wales, 2026a).</w:t>
            </w:r>
          </w:p>
          <w:p w14:paraId="0D4E7755" w14:textId="77777777" w:rsidR="00B53568" w:rsidRPr="00B53568" w:rsidRDefault="00B53568" w:rsidP="00B53568">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53568">
              <w:rPr>
                <w:rFonts w:eastAsia="Aptos"/>
                <w:color w:val="auto"/>
                <w:kern w:val="2"/>
                <w:sz w:val="24"/>
                <w:szCs w:val="24"/>
                <w:lang w:eastAsia="en-US"/>
                <w14:ligatures w14:val="standardContextual"/>
              </w:rPr>
              <w:t>As a newly qualified social worker, I found supervision reassuring because seeking advice did not mean that I lacked professional ability. Instead, it demonstrated that I recognised the complexity of the assessment and was taking responsibility for ensuring that my judgement was safe and well-reasoned. Standard 6.5 also requires social care workers to seek support from a suitably qualified and experienced colleague when they are unsure how to undertake an aspect of their work (Social Care Wales, 2026a).</w:t>
            </w:r>
          </w:p>
          <w:p w14:paraId="16449D92" w14:textId="77777777" w:rsidR="00B53568" w:rsidRPr="00B53568" w:rsidRDefault="00B53568" w:rsidP="00B53568">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53568">
              <w:rPr>
                <w:rFonts w:eastAsia="Aptos"/>
                <w:color w:val="auto"/>
                <w:kern w:val="2"/>
                <w:sz w:val="24"/>
                <w:szCs w:val="24"/>
                <w:lang w:eastAsia="en-US"/>
                <w14:ligatures w14:val="standardContextual"/>
              </w:rPr>
              <w:t xml:space="preserve">Attachment theory helped me contemplate the emotional impact of the children’s experiences. Bowlby’s work emphasises the importance of children experiencing parents/carers as available, responsive and protective to develop a sense of security (Bowlby, 1988). The repeated concerns regarding parental intoxication, domestic conflict, neglect and </w:t>
            </w:r>
            <w:r w:rsidRPr="00B53568">
              <w:rPr>
                <w:rFonts w:eastAsia="Aptos"/>
                <w:color w:val="auto"/>
                <w:kern w:val="2"/>
                <w:sz w:val="24"/>
                <w:szCs w:val="24"/>
                <w:lang w:eastAsia="en-US"/>
                <w14:ligatures w14:val="standardContextual"/>
              </w:rPr>
              <w:lastRenderedPageBreak/>
              <w:t>unpredictable care caused me to question whether Person 3 and Person 4 could consistently rely on their parents to recognise and meet their physical and emotional needs.</w:t>
            </w:r>
          </w:p>
          <w:p w14:paraId="615DAB86" w14:textId="77777777" w:rsidR="00B53568" w:rsidRPr="00B53568" w:rsidRDefault="00B53568" w:rsidP="00B53568">
            <w:pPr>
              <w:overflowPunct/>
              <w:autoSpaceDE/>
              <w:autoSpaceDN/>
              <w:adjustRightInd/>
              <w:spacing w:after="160" w:line="360" w:lineRule="auto"/>
              <w:jc w:val="both"/>
              <w:textAlignment w:val="auto"/>
              <w:rPr>
                <w:rFonts w:eastAsia="Aptos"/>
                <w:i/>
                <w:iCs/>
                <w:color w:val="auto"/>
                <w:kern w:val="2"/>
                <w:sz w:val="24"/>
                <w:szCs w:val="24"/>
                <w:lang w:eastAsia="en-US"/>
                <w14:ligatures w14:val="standardContextual"/>
              </w:rPr>
            </w:pPr>
            <w:r w:rsidRPr="00B53568">
              <w:rPr>
                <w:rFonts w:eastAsia="Aptos"/>
                <w:color w:val="auto"/>
                <w:kern w:val="2"/>
                <w:sz w:val="24"/>
                <w:szCs w:val="24"/>
                <w:lang w:eastAsia="en-US"/>
                <w14:ligatures w14:val="standardContextual"/>
              </w:rPr>
              <w:t xml:space="preserve">This case indicated that person 3 had become highly aware of the adults’ difficulties and sometimes cared for person 4. This made me consider whether person 3 had assumed developmentally inappropriate responsibilities because they could not consistently rely on their parents. </w:t>
            </w:r>
            <w:proofErr w:type="spellStart"/>
            <w:r w:rsidRPr="00B53568">
              <w:rPr>
                <w:rFonts w:eastAsia="Aptos"/>
                <w:color w:val="auto"/>
                <w:kern w:val="2"/>
                <w:sz w:val="24"/>
                <w:szCs w:val="24"/>
                <w:lang w:eastAsia="en-US"/>
                <w14:ligatures w14:val="standardContextual"/>
              </w:rPr>
              <w:t>Dariotis</w:t>
            </w:r>
            <w:proofErr w:type="spellEnd"/>
            <w:r w:rsidRPr="00B53568">
              <w:rPr>
                <w:rFonts w:eastAsia="Aptos"/>
                <w:color w:val="auto"/>
                <w:kern w:val="2"/>
                <w:sz w:val="24"/>
                <w:szCs w:val="24"/>
                <w:lang w:eastAsia="en-US"/>
                <w14:ligatures w14:val="standardContextual"/>
              </w:rPr>
              <w:t xml:space="preserve"> et al. (2023) describe this as parentification and identify possible risks to children’s emotional and physical wellbeing, while recognising that outcomes vary. I therefore avoided viewing the behaviour only as maturity or a close sibling bond.</w:t>
            </w:r>
          </w:p>
          <w:p w14:paraId="618A2A70" w14:textId="77777777" w:rsidR="00B53568" w:rsidRPr="00B53568" w:rsidRDefault="00B53568" w:rsidP="00B53568">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53568">
              <w:rPr>
                <w:rFonts w:eastAsia="Aptos"/>
                <w:color w:val="auto"/>
                <w:kern w:val="2"/>
                <w:sz w:val="24"/>
                <w:szCs w:val="24"/>
                <w:lang w:eastAsia="en-US"/>
                <w14:ligatures w14:val="standardContextual"/>
              </w:rPr>
              <w:t>Person 3 also showed significant distress when separated from the parents following the intoxication incident. I found this particularly difficult because I was aware that removing Person 3 from their parents could cause emotional distress and disrupt important relationships. I questioned whether the decision, although necessary for immediate safety, could cause further emotional harm.</w:t>
            </w:r>
          </w:p>
          <w:p w14:paraId="0C8B0712" w14:textId="77777777" w:rsidR="00B53568" w:rsidRPr="00B53568" w:rsidRDefault="00B53568" w:rsidP="00B53568">
            <w:pPr>
              <w:overflowPunct/>
              <w:autoSpaceDE/>
              <w:autoSpaceDN/>
              <w:adjustRightInd/>
              <w:spacing w:after="160" w:line="360" w:lineRule="auto"/>
              <w:jc w:val="both"/>
              <w:textAlignment w:val="auto"/>
              <w:rPr>
                <w:rFonts w:eastAsia="Aptos"/>
                <w:i/>
                <w:iCs/>
                <w:color w:val="auto"/>
                <w:kern w:val="2"/>
                <w:sz w:val="24"/>
                <w:szCs w:val="24"/>
                <w:lang w:eastAsia="en-US"/>
                <w14:ligatures w14:val="standardContextual"/>
              </w:rPr>
            </w:pPr>
            <w:r w:rsidRPr="00B53568">
              <w:rPr>
                <w:rFonts w:eastAsia="Aptos"/>
                <w:color w:val="auto"/>
                <w:kern w:val="2"/>
                <w:sz w:val="24"/>
                <w:szCs w:val="24"/>
                <w:lang w:eastAsia="en-US"/>
                <w14:ligatures w14:val="standardContextual"/>
              </w:rPr>
              <w:t xml:space="preserve">However, reflection helped me understand that distress at separation did not demonstrate that returning home was safe. Children can love their parents while experiencing neglect, unpredictability or harmful care. Todman and McLaughlin (2024) found that children living with parental substance misuse experienced enduring and interconnected risks and needed to be heard and </w:t>
            </w:r>
            <w:proofErr w:type="gramStart"/>
            <w:r w:rsidRPr="00B53568">
              <w:rPr>
                <w:rFonts w:eastAsia="Aptos"/>
                <w:color w:val="auto"/>
                <w:kern w:val="2"/>
                <w:sz w:val="24"/>
                <w:szCs w:val="24"/>
                <w:lang w:eastAsia="en-US"/>
                <w14:ligatures w14:val="standardContextual"/>
              </w:rPr>
              <w:t>supported in their own right</w:t>
            </w:r>
            <w:proofErr w:type="gramEnd"/>
            <w:r w:rsidRPr="00B53568">
              <w:rPr>
                <w:rFonts w:eastAsia="Aptos"/>
                <w:color w:val="auto"/>
                <w:kern w:val="2"/>
                <w:sz w:val="24"/>
                <w:szCs w:val="24"/>
                <w:lang w:eastAsia="en-US"/>
                <w14:ligatures w14:val="standardContextual"/>
              </w:rPr>
              <w:t>. This reinforced the importance of understanding Person 3 and Person 4’s lived experiences rather than treating their emotional response as evidence that the safeguarding concerns were overstated.</w:t>
            </w:r>
          </w:p>
          <w:p w14:paraId="4C9B0518" w14:textId="77777777" w:rsidR="00B53568" w:rsidRPr="00B53568" w:rsidRDefault="00B53568" w:rsidP="00B53568">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53568">
              <w:rPr>
                <w:rFonts w:eastAsia="Aptos"/>
                <w:color w:val="auto"/>
                <w:kern w:val="2"/>
                <w:sz w:val="24"/>
                <w:szCs w:val="24"/>
                <w:lang w:eastAsia="en-US"/>
                <w14:ligatures w14:val="standardContextual"/>
              </w:rPr>
              <w:t>The Code of Professional Practice also helped me understand that professional challenge was part of accountable and safe practice. Standard 3.5 required me to challenge or report harmful or unsafe behaviour, while Standard 4.5 required concerns about safety or the level of care being provided to be raised and, where necessary, escalated (Social Care Wales, 2026a).</w:t>
            </w:r>
          </w:p>
          <w:p w14:paraId="721F5577" w14:textId="77777777" w:rsidR="00B53568" w:rsidRPr="00B53568" w:rsidRDefault="00B53568" w:rsidP="00B53568">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53568">
              <w:rPr>
                <w:rFonts w:eastAsia="Aptos"/>
                <w:color w:val="auto"/>
                <w:kern w:val="2"/>
                <w:sz w:val="24"/>
                <w:szCs w:val="24"/>
                <w:lang w:eastAsia="en-US"/>
                <w14:ligatures w14:val="standardContextual"/>
              </w:rPr>
              <w:t xml:space="preserve">This was significant for my development because I had previously worried that professional challenge could damage working relationships. Through this case, I recognised that avoiding </w:t>
            </w:r>
            <w:r w:rsidRPr="00B53568">
              <w:rPr>
                <w:rFonts w:eastAsia="Aptos"/>
                <w:color w:val="auto"/>
                <w:kern w:val="2"/>
                <w:sz w:val="24"/>
                <w:szCs w:val="24"/>
                <w:lang w:eastAsia="en-US"/>
                <w14:ligatures w14:val="standardContextual"/>
              </w:rPr>
              <w:lastRenderedPageBreak/>
              <w:t xml:space="preserve">difficult conversations could leave the parents unclear about the concerns and result in risk being minimised. </w:t>
            </w:r>
          </w:p>
          <w:p w14:paraId="371E97B7" w14:textId="77777777" w:rsidR="00B53568" w:rsidRPr="00B53568" w:rsidRDefault="00B53568" w:rsidP="00B53568">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53568">
              <w:rPr>
                <w:rFonts w:eastAsia="Aptos"/>
                <w:color w:val="auto"/>
                <w:kern w:val="2"/>
                <w:sz w:val="24"/>
                <w:szCs w:val="24"/>
                <w:lang w:eastAsia="en-US"/>
                <w14:ligatures w14:val="standardContextual"/>
              </w:rPr>
              <w:t>In line with the ‘Now What?’ stage of Driscoll’s (2007) reflective model, I have considered how the learning from this assessment will influence my future practice and professional development. This reflection has reinforced the importance of maintaining a child-centred focus within safeguarding assessments and ensuring that professional judgement is based on evidenced change and the impact on the child, rather than parental intentions alone.</w:t>
            </w:r>
          </w:p>
          <w:p w14:paraId="2BAF0719" w14:textId="77777777" w:rsidR="00B53568" w:rsidRPr="00B53568" w:rsidRDefault="00B53568" w:rsidP="00B53568">
            <w:pPr>
              <w:overflowPunct/>
              <w:autoSpaceDE/>
              <w:autoSpaceDN/>
              <w:adjustRightInd/>
              <w:spacing w:after="160" w:line="360" w:lineRule="auto"/>
              <w:jc w:val="both"/>
              <w:textAlignment w:val="auto"/>
              <w:rPr>
                <w:rFonts w:eastAsia="Aptos"/>
                <w:color w:val="auto"/>
                <w:kern w:val="2"/>
                <w:sz w:val="24"/>
                <w:szCs w:val="24"/>
                <w14:ligatures w14:val="standardContextual"/>
              </w:rPr>
            </w:pPr>
            <w:r w:rsidRPr="00B53568">
              <w:rPr>
                <w:rFonts w:eastAsia="Aptos"/>
                <w:color w:val="auto"/>
                <w:kern w:val="2"/>
                <w:sz w:val="24"/>
                <w:szCs w:val="24"/>
                <w:lang w:eastAsia="en-US"/>
                <w14:ligatures w14:val="standardContextual"/>
              </w:rPr>
              <w:t>Through reflection, I have learnt to change how I approach assessments. I now place greater emphasis on the difference between engagement and meaningful change by asking: What has changed for the child? What evidence supports this? How long has the change been sustained? Can it continue without intensive professional involvement?</w:t>
            </w:r>
          </w:p>
          <w:p w14:paraId="74B005B9" w14:textId="77777777" w:rsidR="00B53568" w:rsidRPr="00B53568" w:rsidRDefault="00B53568" w:rsidP="00B53568">
            <w:pPr>
              <w:overflowPunct/>
              <w:autoSpaceDE/>
              <w:autoSpaceDN/>
              <w:adjustRightInd/>
              <w:spacing w:after="160" w:line="360" w:lineRule="auto"/>
              <w:jc w:val="both"/>
              <w:textAlignment w:val="auto"/>
              <w:rPr>
                <w:rFonts w:eastAsia="Aptos"/>
                <w:color w:val="auto"/>
                <w:kern w:val="2"/>
                <w:sz w:val="24"/>
                <w:szCs w:val="24"/>
                <w14:ligatures w14:val="standardContextual"/>
              </w:rPr>
            </w:pPr>
            <w:r w:rsidRPr="00B53568">
              <w:rPr>
                <w:rFonts w:eastAsia="Aptos"/>
                <w:color w:val="auto"/>
                <w:kern w:val="2"/>
                <w:sz w:val="24"/>
                <w:szCs w:val="24"/>
                <w:lang w:eastAsia="en-US"/>
                <w14:ligatures w14:val="standardContextual"/>
              </w:rPr>
              <w:t>In future assessments, I will be more explicit about how working in Wales shapes my reasoning. I will record how the child’s wellbeing and voice, preventative support, family networks and language choice have informed my analysis and decisions. I will continue to involve families respectfully, while remaining clear that participation cannot reduce my responsibility to act when there is evidence of significant harm.</w:t>
            </w:r>
          </w:p>
          <w:p w14:paraId="1FD87A87" w14:textId="77777777" w:rsidR="00B53568" w:rsidRPr="00B53568" w:rsidRDefault="00B53568" w:rsidP="00B53568">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53568">
              <w:rPr>
                <w:rFonts w:eastAsia="Aptos"/>
                <w:color w:val="auto"/>
                <w:kern w:val="2"/>
                <w:sz w:val="24"/>
                <w:szCs w:val="24"/>
                <w:lang w:eastAsia="en-US"/>
                <w14:ligatures w14:val="standardContextual"/>
              </w:rPr>
              <w:t>Moving forward, I will continue to use the Signs of Safety approach adopted within my local authority to balance strengths, risks and safety. This will help me to remain curious about whether identified strengths and parental engagement are resulting in meaningful and sustained improvements for children. I will continue to use chronologies, direct observations and multi-agency information to identify patterns and evaluate whether positive changes are reducing risk and improving outcomes for children.</w:t>
            </w:r>
          </w:p>
          <w:p w14:paraId="4EE14B4F" w14:textId="77777777" w:rsidR="00B53568" w:rsidRPr="00B53568" w:rsidRDefault="00B53568" w:rsidP="00B53568">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53568">
              <w:rPr>
                <w:rFonts w:eastAsia="Aptos"/>
                <w:color w:val="auto"/>
                <w:kern w:val="2"/>
                <w:sz w:val="24"/>
                <w:szCs w:val="24"/>
                <w:lang w:eastAsia="en-US"/>
                <w14:ligatures w14:val="standardContextual"/>
              </w:rPr>
              <w:t xml:space="preserve">Professionally, this case has strengthened my confidence in exercising judgement within complex safeguarding situations. Reflecting on the assessment, I recognised that I have become more confident in analysing information critically and identifying when risks remain despite significant professional involvement. At times, I found it challenging to balance empathy for the parents with the need to remain focused on the impact of their behaviours on Person 3 and Person 4. However, this experience helped me understand that effective safeguarding requires me to communicate concerns honestly and clearly, even when this may </w:t>
            </w:r>
            <w:r w:rsidRPr="00B53568">
              <w:rPr>
                <w:rFonts w:eastAsia="Aptos"/>
                <w:color w:val="auto"/>
                <w:kern w:val="2"/>
                <w:sz w:val="24"/>
                <w:szCs w:val="24"/>
                <w:lang w:eastAsia="en-US"/>
                <w14:ligatures w14:val="standardContextual"/>
              </w:rPr>
              <w:lastRenderedPageBreak/>
              <w:t xml:space="preserve">be difficult for families or professionals to hear. I now feel more confident in trusting my professional judgement, using evidence to support my analysis and ensuring that decisions remain centred on the </w:t>
            </w:r>
            <w:proofErr w:type="gramStart"/>
            <w:r w:rsidRPr="00B53568">
              <w:rPr>
                <w:rFonts w:eastAsia="Aptos"/>
                <w:color w:val="auto"/>
                <w:kern w:val="2"/>
                <w:sz w:val="24"/>
                <w:szCs w:val="24"/>
                <w:lang w:eastAsia="en-US"/>
                <w14:ligatures w14:val="standardContextual"/>
              </w:rPr>
              <w:t>children's</w:t>
            </w:r>
            <w:proofErr w:type="gramEnd"/>
            <w:r w:rsidRPr="00B53568">
              <w:rPr>
                <w:rFonts w:eastAsia="Aptos"/>
                <w:color w:val="auto"/>
                <w:kern w:val="2"/>
                <w:sz w:val="24"/>
                <w:szCs w:val="24"/>
                <w:lang w:eastAsia="en-US"/>
                <w14:ligatures w14:val="standardContextual"/>
              </w:rPr>
              <w:t xml:space="preserve"> lived experiences and outcomes. This reflects NOS 4, which focuses on analysing information and applying professional judgement in complex situations (Social Care Wales, 2026b).</w:t>
            </w:r>
          </w:p>
          <w:p w14:paraId="3412ED5E" w14:textId="77777777" w:rsidR="00B53568" w:rsidRPr="00B53568" w:rsidRDefault="00B53568" w:rsidP="00B53568">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53568">
              <w:rPr>
                <w:rFonts w:eastAsia="Aptos"/>
                <w:color w:val="auto"/>
                <w:kern w:val="2"/>
                <w:sz w:val="24"/>
                <w:szCs w:val="24"/>
                <w:lang w:eastAsia="en-US"/>
                <w14:ligatures w14:val="standardContextual"/>
              </w:rPr>
              <w:t>This reflection has reinforced the importance of supervision and multi-agency working in safeguarding practice. Looking back on this assessment, supervision gave me the opportunity to step back and think more critically about my analysis and decision-making. It helped me build confidence in my professional judgement and reminded me that I do not have to make difficult decisions alone. I have also become more aware of the value of working closely with other professionals, as each agency held different information that contributed to a fuller understanding of the children's experiences. Moving forward, I will continue to use supervision to reflect on my practice, challenge my own assumptions and develop my confidence when working in complex situations. I will also continue to work collaboratively with other professionals to ensure that assessments and decisions are informed by the best available information and remain focused on achieving positive outcomes for children. This reflects NOS 6 and Standard 6.8 of the Code of Professional Practice (Social Care Wales, 2026a; Social Care Wales, 2026b).</w:t>
            </w:r>
          </w:p>
          <w:p w14:paraId="5528F68E" w14:textId="77777777" w:rsidR="00B53568" w:rsidRPr="00B53568" w:rsidRDefault="00B53568" w:rsidP="00B53568">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B53568">
              <w:rPr>
                <w:rFonts w:eastAsia="Aptos"/>
                <w:color w:val="auto"/>
                <w:kern w:val="2"/>
                <w:sz w:val="24"/>
                <w:szCs w:val="24"/>
                <w:lang w:eastAsia="en-US"/>
                <w14:ligatures w14:val="standardContextual"/>
              </w:rPr>
              <w:t>In future safeguarding assessments, I will continue to strengthen my ability to identify and analyse risk by bringing together information from multiple sources and maintaining a clear focus on children's safety and wellbeing. This reflects NOS 13, which relates to identifying harm, coordinating evidence and contributing to professional decisions regarding intervention and risk management (Social Care Wales, 2026b).</w:t>
            </w:r>
          </w:p>
          <w:p w14:paraId="1F878366" w14:textId="77777777" w:rsidR="00B53568" w:rsidRPr="00B53568" w:rsidRDefault="00B53568" w:rsidP="00B53568">
            <w:pPr>
              <w:overflowPunct/>
              <w:autoSpaceDE/>
              <w:autoSpaceDN/>
              <w:adjustRightInd/>
              <w:spacing w:after="160" w:line="360" w:lineRule="auto"/>
              <w:jc w:val="both"/>
              <w:textAlignment w:val="auto"/>
              <w:rPr>
                <w:rFonts w:eastAsia="Aptos"/>
                <w:color w:val="auto"/>
                <w:kern w:val="2"/>
                <w:sz w:val="24"/>
                <w:szCs w:val="24"/>
                <w14:ligatures w14:val="standardContextual"/>
              </w:rPr>
            </w:pPr>
            <w:r w:rsidRPr="00B53568">
              <w:rPr>
                <w:rFonts w:eastAsia="Aptos"/>
                <w:color w:val="auto"/>
                <w:kern w:val="2"/>
                <w:sz w:val="24"/>
                <w:szCs w:val="24"/>
                <w:lang w:eastAsia="en-US"/>
                <w14:ligatures w14:val="standardContextual"/>
              </w:rPr>
              <w:t xml:space="preserve">Overall, this experience has been an important learning opportunity in my development as a social worker. It has increased my confidence in analysing complex safeguarding concerns and reinforced the importance of balancing empathy with professional challenge. Reflecting on the case has helped me recognise how my professional judgement has developed and how I can continue to strengthen my practice through supervision, reflection and ongoing learning. Consistent with Driscoll’s (2007) </w:t>
            </w:r>
            <w:r w:rsidRPr="00B53568">
              <w:rPr>
                <w:rFonts w:eastAsia="Aptos"/>
                <w:i/>
                <w:iCs/>
                <w:color w:val="auto"/>
                <w:kern w:val="2"/>
                <w:sz w:val="24"/>
                <w:szCs w:val="24"/>
                <w:lang w:eastAsia="en-US"/>
                <w14:ligatures w14:val="standardContextual"/>
              </w:rPr>
              <w:t>‘Now What?’</w:t>
            </w:r>
            <w:r w:rsidRPr="00B53568">
              <w:rPr>
                <w:rFonts w:eastAsia="Aptos"/>
                <w:color w:val="auto"/>
                <w:kern w:val="2"/>
                <w:sz w:val="24"/>
                <w:szCs w:val="24"/>
                <w:lang w:eastAsia="en-US"/>
                <w14:ligatures w14:val="standardContextual"/>
              </w:rPr>
              <w:t xml:space="preserve"> stage, I will use this learning to inform </w:t>
            </w:r>
            <w:r w:rsidRPr="00B53568">
              <w:rPr>
                <w:rFonts w:eastAsia="Aptos"/>
                <w:color w:val="auto"/>
                <w:kern w:val="2"/>
                <w:sz w:val="24"/>
                <w:szCs w:val="24"/>
                <w:lang w:eastAsia="en-US"/>
                <w14:ligatures w14:val="standardContextual"/>
              </w:rPr>
              <w:lastRenderedPageBreak/>
              <w:t>future assessments, ensuring that I remain professionally curious, evidence-informed and focused on the lived experiences, safety and wellbeing of children.</w:t>
            </w:r>
          </w:p>
          <w:p w14:paraId="2CC8A36B" w14:textId="77777777" w:rsidR="00B53568" w:rsidRPr="00B53568" w:rsidRDefault="00B53568" w:rsidP="00B53568">
            <w:pPr>
              <w:overflowPunct/>
              <w:autoSpaceDE/>
              <w:autoSpaceDN/>
              <w:adjustRightInd/>
              <w:spacing w:after="160" w:line="360" w:lineRule="auto"/>
              <w:jc w:val="both"/>
              <w:textAlignment w:val="auto"/>
              <w:rPr>
                <w:rFonts w:eastAsia="Aptos"/>
                <w:i/>
                <w:iCs/>
                <w:color w:val="auto"/>
                <w:kern w:val="2"/>
                <w:sz w:val="24"/>
                <w:szCs w:val="24"/>
                <w:lang w:eastAsia="en-US"/>
                <w14:ligatures w14:val="standardContextual"/>
              </w:rPr>
            </w:pPr>
            <w:r w:rsidRPr="00B53568">
              <w:rPr>
                <w:rFonts w:eastAsia="Aptos"/>
                <w:i/>
                <w:iCs/>
                <w:color w:val="auto"/>
                <w:kern w:val="2"/>
                <w:sz w:val="24"/>
                <w:szCs w:val="24"/>
                <w:lang w:eastAsia="en-US"/>
                <w14:ligatures w14:val="standardContextual"/>
              </w:rPr>
              <w:t>Word count 4394</w:t>
            </w:r>
          </w:p>
          <w:p w14:paraId="2831FEAA" w14:textId="77777777" w:rsidR="00B53568" w:rsidRPr="00B53568" w:rsidRDefault="00B53568" w:rsidP="00B53568">
            <w:pPr>
              <w:overflowPunct/>
              <w:autoSpaceDE/>
              <w:autoSpaceDN/>
              <w:adjustRightInd/>
              <w:spacing w:after="160" w:line="360" w:lineRule="auto"/>
              <w:jc w:val="both"/>
              <w:textAlignment w:val="auto"/>
              <w:rPr>
                <w:rFonts w:eastAsia="Aptos"/>
                <w:i/>
                <w:iCs/>
                <w:color w:val="auto"/>
                <w:kern w:val="2"/>
                <w:sz w:val="24"/>
                <w:szCs w:val="24"/>
                <w:lang w:eastAsia="en-US"/>
                <w14:ligatures w14:val="standardContextual"/>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6DDC19" w14:textId="77777777" w:rsidR="003B4046" w:rsidRDefault="003B4046">
      <w:r>
        <w:separator/>
      </w:r>
    </w:p>
  </w:endnote>
  <w:endnote w:type="continuationSeparator" w:id="0">
    <w:p w14:paraId="5C245E78" w14:textId="77777777" w:rsidR="003B4046" w:rsidRDefault="003B40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9974AE" w14:textId="77777777" w:rsidR="003B4046" w:rsidRDefault="003B4046">
      <w:r>
        <w:separator/>
      </w:r>
    </w:p>
  </w:footnote>
  <w:footnote w:type="continuationSeparator" w:id="0">
    <w:p w14:paraId="5EE487CE" w14:textId="77777777" w:rsidR="003B4046" w:rsidRDefault="003B404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0327"/>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B4046"/>
    <w:rsid w:val="003C19F1"/>
    <w:rsid w:val="003C3C67"/>
    <w:rsid w:val="003C4186"/>
    <w:rsid w:val="003C6185"/>
    <w:rsid w:val="003D0222"/>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01D7"/>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3568"/>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7B7"/>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48ED"/>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Khadine.sutherland@hotmail.co.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4487</Words>
  <Characters>27198</Characters>
  <Application>Microsoft Office Word</Application>
  <DocSecurity>0</DocSecurity>
  <Lines>1359</Lines>
  <Paragraphs>440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31245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Khadine Sutherland</cp:lastModifiedBy>
  <cp:revision>2</cp:revision>
  <cp:lastPrinted>2020-02-11T19:20:00Z</cp:lastPrinted>
  <dcterms:created xsi:type="dcterms:W3CDTF">2026-10-06T11:24:00Z</dcterms:created>
  <dcterms:modified xsi:type="dcterms:W3CDTF">2026-10-06T11:24:00Z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