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B7B7ABB" w14:textId="77777777" w:rsidR="00920A30" w:rsidRPr="00D06877" w:rsidRDefault="00920A30" w:rsidP="00D06877">
      <w:pPr>
        <w:pStyle w:val="Title"/>
        <w:jc w:val="center"/>
        <w:rPr>
          <w:color w:val="000000" w:themeColor="text1"/>
          <w:sz w:val="32"/>
          <w:szCs w:val="32"/>
          <w:lang w:val="en-GB"/>
        </w:rPr>
      </w:pPr>
      <w:bookmarkStart w:id="0" w:name="_b2ce1oupyms0" w:colFirst="0" w:colLast="0"/>
      <w:bookmarkStart w:id="1" w:name="_3enk00c3o44z" w:colFirst="0" w:colLast="0"/>
      <w:bookmarkStart w:id="2" w:name="_u2fhiqhirxs1" w:colFirst="0" w:colLast="0"/>
      <w:bookmarkEnd w:id="0"/>
      <w:bookmarkEnd w:id="1"/>
      <w:bookmarkEnd w:id="2"/>
      <w:r w:rsidRPr="00D06877">
        <w:rPr>
          <w:noProof/>
          <w:color w:val="000000" w:themeColor="text1"/>
          <w:sz w:val="32"/>
          <w:szCs w:val="32"/>
          <w:lang w:val="en-GB" w:bidi="hi-IN"/>
        </w:rPr>
        <w:drawing>
          <wp:inline distT="114300" distB="114300" distL="114300" distR="114300" wp14:anchorId="63B147A6" wp14:editId="23168D8A">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1B1FFE26" w14:textId="77777777"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Programme: MSc Public Health and Social Care in Practice</w:t>
      </w:r>
    </w:p>
    <w:p w14:paraId="3565C3B5" w14:textId="77777777"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Module code and Title: LCHS7002 Health Care System Organisation and Leadership</w:t>
      </w:r>
    </w:p>
    <w:p w14:paraId="1C11D0AC" w14:textId="07D3428E"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Student Name:</w:t>
      </w:r>
      <w:r w:rsidR="00552C4E">
        <w:rPr>
          <w:color w:val="000000" w:themeColor="text1"/>
          <w:sz w:val="32"/>
          <w:szCs w:val="32"/>
          <w:lang w:val="en-GB"/>
        </w:rPr>
        <w:t xml:space="preserve"> Vibhuti </w:t>
      </w:r>
      <w:proofErr w:type="spellStart"/>
      <w:r w:rsidR="00552C4E">
        <w:rPr>
          <w:color w:val="000000" w:themeColor="text1"/>
          <w:sz w:val="32"/>
          <w:szCs w:val="32"/>
          <w:lang w:val="en-GB"/>
        </w:rPr>
        <w:t>Dhanrajgiri</w:t>
      </w:r>
      <w:proofErr w:type="spellEnd"/>
      <w:r w:rsidR="00552C4E">
        <w:rPr>
          <w:color w:val="000000" w:themeColor="text1"/>
          <w:sz w:val="32"/>
          <w:szCs w:val="32"/>
          <w:lang w:val="en-GB"/>
        </w:rPr>
        <w:t xml:space="preserve"> Goswami</w:t>
      </w:r>
    </w:p>
    <w:p w14:paraId="727F08C2" w14:textId="3678A53E"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Student ID:</w:t>
      </w:r>
      <w:r w:rsidR="00552C4E">
        <w:rPr>
          <w:color w:val="000000" w:themeColor="text1"/>
          <w:sz w:val="32"/>
          <w:szCs w:val="32"/>
          <w:lang w:val="en-GB"/>
        </w:rPr>
        <w:t xml:space="preserve"> 2526558</w:t>
      </w:r>
    </w:p>
    <w:p w14:paraId="0E7FF61D" w14:textId="77777777"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Case Study Analysis Report</w:t>
      </w:r>
    </w:p>
    <w:p w14:paraId="5E115EEC" w14:textId="5FD7F7BF"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Lecturer Name:</w:t>
      </w:r>
      <w:r w:rsidR="00552C4E">
        <w:rPr>
          <w:color w:val="000000" w:themeColor="text1"/>
          <w:sz w:val="32"/>
          <w:szCs w:val="32"/>
          <w:lang w:val="en-GB"/>
        </w:rPr>
        <w:t xml:space="preserve"> Pascal Navelle</w:t>
      </w:r>
    </w:p>
    <w:p w14:paraId="5B7359E7" w14:textId="2AD367AA" w:rsidR="00920A30" w:rsidRPr="00D06877" w:rsidRDefault="00920A30" w:rsidP="00D06877">
      <w:pPr>
        <w:pStyle w:val="Title"/>
        <w:jc w:val="center"/>
        <w:rPr>
          <w:color w:val="000000" w:themeColor="text1"/>
          <w:sz w:val="32"/>
          <w:szCs w:val="32"/>
          <w:lang w:val="en-GB"/>
        </w:rPr>
      </w:pPr>
      <w:r w:rsidRPr="00D06877">
        <w:rPr>
          <w:color w:val="000000" w:themeColor="text1"/>
          <w:sz w:val="32"/>
          <w:szCs w:val="32"/>
          <w:lang w:val="en-GB"/>
        </w:rPr>
        <w:t>Words: 51</w:t>
      </w:r>
      <w:r w:rsidR="00203067" w:rsidRPr="00D06877">
        <w:rPr>
          <w:color w:val="000000" w:themeColor="text1"/>
          <w:sz w:val="32"/>
          <w:szCs w:val="32"/>
          <w:lang w:val="en-GB"/>
        </w:rPr>
        <w:t>34</w:t>
      </w:r>
    </w:p>
    <w:p w14:paraId="715FDC67" w14:textId="734CC869" w:rsidR="00FF71F1" w:rsidRPr="001E6009" w:rsidRDefault="00920A30" w:rsidP="00D06877">
      <w:pPr>
        <w:pStyle w:val="Title"/>
        <w:jc w:val="center"/>
        <w:rPr>
          <w:rFonts w:eastAsia="Times New Roman"/>
          <w:b/>
          <w:bCs/>
          <w:lang w:val="en-GB"/>
        </w:rPr>
      </w:pPr>
      <w:r w:rsidRPr="00D06877">
        <w:rPr>
          <w:color w:val="000000" w:themeColor="text1"/>
          <w:sz w:val="32"/>
          <w:szCs w:val="32"/>
          <w:lang w:val="en-GB"/>
        </w:rPr>
        <w:t>Submission Date: 11 August 2026</w:t>
      </w:r>
      <w:r w:rsidR="00FF71F1" w:rsidRPr="001E6009">
        <w:rPr>
          <w:rFonts w:eastAsia="Times New Roman"/>
          <w:b/>
          <w:bCs/>
          <w:lang w:val="en-GB"/>
        </w:rPr>
        <w:br w:type="page"/>
      </w:r>
    </w:p>
    <w:sdt>
      <w:sdtPr>
        <w:rPr>
          <w:rFonts w:ascii="Arial" w:eastAsia="Arial" w:hAnsi="Arial" w:cs="Arial"/>
          <w:color w:val="000000" w:themeColor="text1"/>
          <w:sz w:val="22"/>
          <w:szCs w:val="22"/>
          <w:lang w:val="en-GB" w:eastAsia="en-IN"/>
        </w:rPr>
        <w:id w:val="-836070140"/>
        <w:docPartObj>
          <w:docPartGallery w:val="Table of Contents"/>
          <w:docPartUnique/>
        </w:docPartObj>
      </w:sdtPr>
      <w:sdtEndPr>
        <w:rPr>
          <w:b/>
          <w:bCs/>
          <w:noProof/>
        </w:rPr>
      </w:sdtEndPr>
      <w:sdtContent>
        <w:p w14:paraId="1734AED5" w14:textId="6DA50FA7" w:rsidR="00FF71F1" w:rsidRPr="001E6009" w:rsidRDefault="00FF71F1" w:rsidP="001E6009">
          <w:pPr>
            <w:pStyle w:val="TOCHeading"/>
            <w:spacing w:after="240" w:line="360" w:lineRule="auto"/>
            <w:jc w:val="both"/>
            <w:rPr>
              <w:rFonts w:ascii="Arial" w:hAnsi="Arial" w:cs="Arial"/>
              <w:b/>
              <w:bCs/>
              <w:color w:val="000000" w:themeColor="text1"/>
              <w:sz w:val="22"/>
              <w:szCs w:val="22"/>
              <w:lang w:val="en-GB"/>
            </w:rPr>
          </w:pPr>
          <w:r w:rsidRPr="001E6009">
            <w:rPr>
              <w:rFonts w:ascii="Arial" w:hAnsi="Arial" w:cs="Arial"/>
              <w:b/>
              <w:bCs/>
              <w:color w:val="000000" w:themeColor="text1"/>
              <w:sz w:val="22"/>
              <w:szCs w:val="22"/>
              <w:lang w:val="en-GB"/>
            </w:rPr>
            <w:t>Table of Contents</w:t>
          </w:r>
        </w:p>
        <w:p w14:paraId="220BD857" w14:textId="13757538" w:rsidR="00BA3419" w:rsidRDefault="00FF71F1">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r w:rsidRPr="001E6009">
            <w:rPr>
              <w:color w:val="000000" w:themeColor="text1"/>
              <w:lang w:val="en-GB"/>
            </w:rPr>
            <w:fldChar w:fldCharType="begin"/>
          </w:r>
          <w:r w:rsidRPr="001E6009">
            <w:rPr>
              <w:color w:val="000000" w:themeColor="text1"/>
              <w:lang w:val="en-GB"/>
            </w:rPr>
            <w:instrText xml:space="preserve"> TOC \o "1-3" \h \z \u </w:instrText>
          </w:r>
          <w:r w:rsidRPr="001E6009">
            <w:rPr>
              <w:color w:val="000000" w:themeColor="text1"/>
              <w:lang w:val="en-GB"/>
            </w:rPr>
            <w:fldChar w:fldCharType="separate"/>
          </w:r>
          <w:hyperlink w:anchor="_Toc236839927" w:history="1">
            <w:r w:rsidR="00BA3419" w:rsidRPr="005E3669">
              <w:rPr>
                <w:rStyle w:val="Hyperlink"/>
                <w:noProof/>
                <w:lang w:val="en-GB"/>
              </w:rPr>
              <w:t>1. INTRO</w:t>
            </w:r>
            <w:r w:rsidR="00BA3419" w:rsidRPr="005E3669">
              <w:rPr>
                <w:rStyle w:val="Hyperlink"/>
                <w:noProof/>
                <w:lang w:val="en-GB"/>
              </w:rPr>
              <w:t>D</w:t>
            </w:r>
            <w:r w:rsidR="00BA3419" w:rsidRPr="005E3669">
              <w:rPr>
                <w:rStyle w:val="Hyperlink"/>
                <w:noProof/>
                <w:lang w:val="en-GB"/>
              </w:rPr>
              <w:t>UCTION</w:t>
            </w:r>
            <w:r w:rsidR="00BA3419">
              <w:rPr>
                <w:noProof/>
                <w:webHidden/>
              </w:rPr>
              <w:tab/>
            </w:r>
            <w:r w:rsidR="00BA3419">
              <w:rPr>
                <w:noProof/>
                <w:webHidden/>
              </w:rPr>
              <w:fldChar w:fldCharType="begin"/>
            </w:r>
            <w:r w:rsidR="00BA3419">
              <w:rPr>
                <w:noProof/>
                <w:webHidden/>
              </w:rPr>
              <w:instrText xml:space="preserve"> PAGEREF _Toc236839927 \h </w:instrText>
            </w:r>
            <w:r w:rsidR="00BA3419">
              <w:rPr>
                <w:noProof/>
                <w:webHidden/>
              </w:rPr>
            </w:r>
            <w:r w:rsidR="00BA3419">
              <w:rPr>
                <w:noProof/>
                <w:webHidden/>
              </w:rPr>
              <w:fldChar w:fldCharType="separate"/>
            </w:r>
            <w:r w:rsidR="00BA3419">
              <w:rPr>
                <w:noProof/>
                <w:webHidden/>
              </w:rPr>
              <w:t>3</w:t>
            </w:r>
            <w:r w:rsidR="00BA3419">
              <w:rPr>
                <w:noProof/>
                <w:webHidden/>
              </w:rPr>
              <w:fldChar w:fldCharType="end"/>
            </w:r>
          </w:hyperlink>
        </w:p>
        <w:p w14:paraId="3B773E73" w14:textId="60C794B2" w:rsidR="00BA3419" w:rsidRDefault="00BA3419">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28" w:history="1">
            <w:r w:rsidRPr="005E3669">
              <w:rPr>
                <w:rStyle w:val="Hyperlink"/>
                <w:noProof/>
                <w:lang w:val="en-GB"/>
              </w:rPr>
              <w:t>2. MAIN BODY AND ANALYSIS</w:t>
            </w:r>
            <w:r>
              <w:rPr>
                <w:noProof/>
                <w:webHidden/>
              </w:rPr>
              <w:tab/>
            </w:r>
            <w:r>
              <w:rPr>
                <w:noProof/>
                <w:webHidden/>
              </w:rPr>
              <w:fldChar w:fldCharType="begin"/>
            </w:r>
            <w:r>
              <w:rPr>
                <w:noProof/>
                <w:webHidden/>
              </w:rPr>
              <w:instrText xml:space="preserve"> PAGEREF _Toc236839928 \h </w:instrText>
            </w:r>
            <w:r>
              <w:rPr>
                <w:noProof/>
                <w:webHidden/>
              </w:rPr>
            </w:r>
            <w:r>
              <w:rPr>
                <w:noProof/>
                <w:webHidden/>
              </w:rPr>
              <w:fldChar w:fldCharType="separate"/>
            </w:r>
            <w:r>
              <w:rPr>
                <w:noProof/>
                <w:webHidden/>
              </w:rPr>
              <w:t>4</w:t>
            </w:r>
            <w:r>
              <w:rPr>
                <w:noProof/>
                <w:webHidden/>
              </w:rPr>
              <w:fldChar w:fldCharType="end"/>
            </w:r>
          </w:hyperlink>
        </w:p>
        <w:p w14:paraId="68A38822" w14:textId="1995EEAC" w:rsidR="00BA3419" w:rsidRDefault="00BA3419">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29" w:history="1">
            <w:r w:rsidRPr="005E3669">
              <w:rPr>
                <w:rStyle w:val="Hyperlink"/>
                <w:noProof/>
                <w:lang w:val="en-GB"/>
              </w:rPr>
              <w:t>2.1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_Toc236839929 \h </w:instrText>
            </w:r>
            <w:r>
              <w:rPr>
                <w:noProof/>
                <w:webHidden/>
              </w:rPr>
            </w:r>
            <w:r>
              <w:rPr>
                <w:noProof/>
                <w:webHidden/>
              </w:rPr>
              <w:fldChar w:fldCharType="separate"/>
            </w:r>
            <w:r>
              <w:rPr>
                <w:noProof/>
                <w:webHidden/>
              </w:rPr>
              <w:t>4</w:t>
            </w:r>
            <w:r>
              <w:rPr>
                <w:noProof/>
                <w:webHidden/>
              </w:rPr>
              <w:fldChar w:fldCharType="end"/>
            </w:r>
          </w:hyperlink>
        </w:p>
        <w:p w14:paraId="64AA6FB1" w14:textId="0A7520AD" w:rsidR="00BA3419" w:rsidRDefault="00BA3419">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0" w:history="1">
            <w:r w:rsidRPr="005E3669">
              <w:rPr>
                <w:rStyle w:val="Hyperlink"/>
                <w:noProof/>
                <w:lang w:val="en-GB"/>
              </w:rPr>
              <w:t>2.2 Centralisation or Decentralisation within the Case Study</w:t>
            </w:r>
            <w:r>
              <w:rPr>
                <w:noProof/>
                <w:webHidden/>
              </w:rPr>
              <w:tab/>
            </w:r>
            <w:r>
              <w:rPr>
                <w:noProof/>
                <w:webHidden/>
              </w:rPr>
              <w:fldChar w:fldCharType="begin"/>
            </w:r>
            <w:r>
              <w:rPr>
                <w:noProof/>
                <w:webHidden/>
              </w:rPr>
              <w:instrText xml:space="preserve"> PAGEREF _Toc236839930 \h </w:instrText>
            </w:r>
            <w:r>
              <w:rPr>
                <w:noProof/>
                <w:webHidden/>
              </w:rPr>
            </w:r>
            <w:r>
              <w:rPr>
                <w:noProof/>
                <w:webHidden/>
              </w:rPr>
              <w:fldChar w:fldCharType="separate"/>
            </w:r>
            <w:r>
              <w:rPr>
                <w:noProof/>
                <w:webHidden/>
              </w:rPr>
              <w:t>8</w:t>
            </w:r>
            <w:r>
              <w:rPr>
                <w:noProof/>
                <w:webHidden/>
              </w:rPr>
              <w:fldChar w:fldCharType="end"/>
            </w:r>
          </w:hyperlink>
        </w:p>
        <w:p w14:paraId="798BD65A" w14:textId="4409EFB8" w:rsidR="00BA3419" w:rsidRDefault="00BA3419">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1" w:history="1">
            <w:r w:rsidRPr="005E3669">
              <w:rPr>
                <w:rStyle w:val="Hyperlink"/>
                <w:noProof/>
                <w:lang w:val="en-GB"/>
              </w:rPr>
              <w:t>2.3 Leadership Theories and Application to the Case Study</w:t>
            </w:r>
            <w:r>
              <w:rPr>
                <w:noProof/>
                <w:webHidden/>
              </w:rPr>
              <w:tab/>
            </w:r>
            <w:r>
              <w:rPr>
                <w:noProof/>
                <w:webHidden/>
              </w:rPr>
              <w:fldChar w:fldCharType="begin"/>
            </w:r>
            <w:r>
              <w:rPr>
                <w:noProof/>
                <w:webHidden/>
              </w:rPr>
              <w:instrText xml:space="preserve"> PAGEREF _Toc236839931 \h </w:instrText>
            </w:r>
            <w:r>
              <w:rPr>
                <w:noProof/>
                <w:webHidden/>
              </w:rPr>
            </w:r>
            <w:r>
              <w:rPr>
                <w:noProof/>
                <w:webHidden/>
              </w:rPr>
              <w:fldChar w:fldCharType="separate"/>
            </w:r>
            <w:r>
              <w:rPr>
                <w:noProof/>
                <w:webHidden/>
              </w:rPr>
              <w:t>11</w:t>
            </w:r>
            <w:r>
              <w:rPr>
                <w:noProof/>
                <w:webHidden/>
              </w:rPr>
              <w:fldChar w:fldCharType="end"/>
            </w:r>
          </w:hyperlink>
        </w:p>
        <w:p w14:paraId="04AB40F9" w14:textId="0AD3319D" w:rsidR="00BA3419" w:rsidRDefault="00BA3419">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2" w:history="1">
            <w:r w:rsidRPr="005E3669">
              <w:rPr>
                <w:rStyle w:val="Hyperlink"/>
                <w:noProof/>
                <w:lang w:val="en-GB"/>
              </w:rPr>
              <w:t>2.4 Improvement, and Lessons Learned</w:t>
            </w:r>
            <w:r>
              <w:rPr>
                <w:noProof/>
                <w:webHidden/>
              </w:rPr>
              <w:tab/>
            </w:r>
            <w:r>
              <w:rPr>
                <w:noProof/>
                <w:webHidden/>
              </w:rPr>
              <w:fldChar w:fldCharType="begin"/>
            </w:r>
            <w:r>
              <w:rPr>
                <w:noProof/>
                <w:webHidden/>
              </w:rPr>
              <w:instrText xml:space="preserve"> PAGEREF _Toc236839932 \h </w:instrText>
            </w:r>
            <w:r>
              <w:rPr>
                <w:noProof/>
                <w:webHidden/>
              </w:rPr>
            </w:r>
            <w:r>
              <w:rPr>
                <w:noProof/>
                <w:webHidden/>
              </w:rPr>
              <w:fldChar w:fldCharType="separate"/>
            </w:r>
            <w:r>
              <w:rPr>
                <w:noProof/>
                <w:webHidden/>
              </w:rPr>
              <w:t>13</w:t>
            </w:r>
            <w:r>
              <w:rPr>
                <w:noProof/>
                <w:webHidden/>
              </w:rPr>
              <w:fldChar w:fldCharType="end"/>
            </w:r>
          </w:hyperlink>
        </w:p>
        <w:p w14:paraId="38E830C0" w14:textId="50A20CBF" w:rsidR="00BA3419" w:rsidRDefault="00BA3419">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3" w:history="1">
            <w:r w:rsidRPr="005E3669">
              <w:rPr>
                <w:rStyle w:val="Hyperlink"/>
                <w:noProof/>
                <w:lang w:val="en-GB"/>
              </w:rPr>
              <w:t>3. RECOMMENDATIONS</w:t>
            </w:r>
            <w:r>
              <w:rPr>
                <w:noProof/>
                <w:webHidden/>
              </w:rPr>
              <w:tab/>
            </w:r>
            <w:r>
              <w:rPr>
                <w:noProof/>
                <w:webHidden/>
              </w:rPr>
              <w:fldChar w:fldCharType="begin"/>
            </w:r>
            <w:r>
              <w:rPr>
                <w:noProof/>
                <w:webHidden/>
              </w:rPr>
              <w:instrText xml:space="preserve"> PAGEREF _Toc236839933 \h </w:instrText>
            </w:r>
            <w:r>
              <w:rPr>
                <w:noProof/>
                <w:webHidden/>
              </w:rPr>
            </w:r>
            <w:r>
              <w:rPr>
                <w:noProof/>
                <w:webHidden/>
              </w:rPr>
              <w:fldChar w:fldCharType="separate"/>
            </w:r>
            <w:r>
              <w:rPr>
                <w:noProof/>
                <w:webHidden/>
              </w:rPr>
              <w:t>15</w:t>
            </w:r>
            <w:r>
              <w:rPr>
                <w:noProof/>
                <w:webHidden/>
              </w:rPr>
              <w:fldChar w:fldCharType="end"/>
            </w:r>
          </w:hyperlink>
        </w:p>
        <w:p w14:paraId="3EA31A9B" w14:textId="0750A274" w:rsidR="00BA3419" w:rsidRDefault="00BA3419">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4" w:history="1">
            <w:r w:rsidRPr="005E3669">
              <w:rPr>
                <w:rStyle w:val="Hyperlink"/>
                <w:noProof/>
                <w:lang w:val="en-GB"/>
              </w:rPr>
              <w:t>4. CONCLUSIONS</w:t>
            </w:r>
            <w:r>
              <w:rPr>
                <w:noProof/>
                <w:webHidden/>
              </w:rPr>
              <w:tab/>
            </w:r>
            <w:r>
              <w:rPr>
                <w:noProof/>
                <w:webHidden/>
              </w:rPr>
              <w:fldChar w:fldCharType="begin"/>
            </w:r>
            <w:r>
              <w:rPr>
                <w:noProof/>
                <w:webHidden/>
              </w:rPr>
              <w:instrText xml:space="preserve"> PAGEREF _Toc236839934 \h </w:instrText>
            </w:r>
            <w:r>
              <w:rPr>
                <w:noProof/>
                <w:webHidden/>
              </w:rPr>
            </w:r>
            <w:r>
              <w:rPr>
                <w:noProof/>
                <w:webHidden/>
              </w:rPr>
              <w:fldChar w:fldCharType="separate"/>
            </w:r>
            <w:r>
              <w:rPr>
                <w:noProof/>
                <w:webHidden/>
              </w:rPr>
              <w:t>16</w:t>
            </w:r>
            <w:r>
              <w:rPr>
                <w:noProof/>
                <w:webHidden/>
              </w:rPr>
              <w:fldChar w:fldCharType="end"/>
            </w:r>
          </w:hyperlink>
        </w:p>
        <w:p w14:paraId="12407285" w14:textId="0F9AD7C4" w:rsidR="00BA3419" w:rsidRDefault="00BA3419">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6839935" w:history="1">
            <w:r w:rsidRPr="005E3669">
              <w:rPr>
                <w:rStyle w:val="Hyperlink"/>
                <w:noProof/>
                <w:lang w:val="en-GB"/>
              </w:rPr>
              <w:t>REFERENCES</w:t>
            </w:r>
            <w:r>
              <w:rPr>
                <w:noProof/>
                <w:webHidden/>
              </w:rPr>
              <w:tab/>
            </w:r>
            <w:r>
              <w:rPr>
                <w:noProof/>
                <w:webHidden/>
              </w:rPr>
              <w:fldChar w:fldCharType="begin"/>
            </w:r>
            <w:r>
              <w:rPr>
                <w:noProof/>
                <w:webHidden/>
              </w:rPr>
              <w:instrText xml:space="preserve"> PAGEREF _Toc236839935 \h </w:instrText>
            </w:r>
            <w:r>
              <w:rPr>
                <w:noProof/>
                <w:webHidden/>
              </w:rPr>
            </w:r>
            <w:r>
              <w:rPr>
                <w:noProof/>
                <w:webHidden/>
              </w:rPr>
              <w:fldChar w:fldCharType="separate"/>
            </w:r>
            <w:r>
              <w:rPr>
                <w:noProof/>
                <w:webHidden/>
              </w:rPr>
              <w:t>18</w:t>
            </w:r>
            <w:r>
              <w:rPr>
                <w:noProof/>
                <w:webHidden/>
              </w:rPr>
              <w:fldChar w:fldCharType="end"/>
            </w:r>
          </w:hyperlink>
        </w:p>
        <w:p w14:paraId="5B23EA5C" w14:textId="4D76135C" w:rsidR="00FF71F1" w:rsidRPr="001E6009" w:rsidRDefault="00FF71F1" w:rsidP="001E6009">
          <w:pPr>
            <w:spacing w:before="240" w:after="240" w:line="360" w:lineRule="auto"/>
            <w:jc w:val="both"/>
            <w:rPr>
              <w:color w:val="000000" w:themeColor="text1"/>
              <w:lang w:val="en-GB"/>
            </w:rPr>
          </w:pPr>
          <w:r w:rsidRPr="001E6009">
            <w:rPr>
              <w:b/>
              <w:bCs/>
              <w:noProof/>
              <w:color w:val="000000" w:themeColor="text1"/>
              <w:lang w:val="en-GB"/>
            </w:rPr>
            <w:fldChar w:fldCharType="end"/>
          </w:r>
        </w:p>
      </w:sdtContent>
    </w:sdt>
    <w:p w14:paraId="68B23FC5" w14:textId="1792AF68" w:rsidR="00FF71F1" w:rsidRPr="001E6009" w:rsidRDefault="00FF71F1" w:rsidP="001E6009">
      <w:pPr>
        <w:spacing w:before="240" w:after="240" w:line="360" w:lineRule="auto"/>
        <w:jc w:val="both"/>
        <w:rPr>
          <w:rFonts w:eastAsia="Times New Roman"/>
          <w:b/>
          <w:bCs/>
          <w:color w:val="000000" w:themeColor="text1"/>
          <w:lang w:val="en-GB"/>
        </w:rPr>
      </w:pPr>
      <w:r w:rsidRPr="001E6009">
        <w:rPr>
          <w:rFonts w:eastAsia="Times New Roman"/>
          <w:b/>
          <w:bCs/>
          <w:color w:val="000000" w:themeColor="text1"/>
          <w:lang w:val="en-GB"/>
        </w:rPr>
        <w:br w:type="page"/>
      </w:r>
    </w:p>
    <w:p w14:paraId="5E4680EA" w14:textId="78A5CF60" w:rsidR="00FD4E71" w:rsidRPr="001E6009" w:rsidRDefault="00FF71F1" w:rsidP="001E6009">
      <w:pPr>
        <w:pStyle w:val="Heading1"/>
        <w:spacing w:before="240" w:after="240" w:line="360" w:lineRule="auto"/>
        <w:jc w:val="both"/>
        <w:rPr>
          <w:b w:val="0"/>
          <w:color w:val="000000" w:themeColor="text1"/>
          <w:sz w:val="22"/>
          <w:szCs w:val="22"/>
          <w:lang w:val="en-GB"/>
        </w:rPr>
      </w:pPr>
      <w:bookmarkStart w:id="3" w:name="_Toc236839927"/>
      <w:r w:rsidRPr="001E6009">
        <w:rPr>
          <w:color w:val="000000" w:themeColor="text1"/>
          <w:sz w:val="22"/>
          <w:szCs w:val="22"/>
          <w:lang w:val="en-GB"/>
        </w:rPr>
        <w:lastRenderedPageBreak/>
        <w:t>1. INTRODUCTION</w:t>
      </w:r>
      <w:bookmarkEnd w:id="3"/>
    </w:p>
    <w:p w14:paraId="51CC85BF" w14:textId="44CFA8CD"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Healthcare organisations are complex environments in which effective leadership, governance and coordinated systems are important to provide good, safe care to patients. The failure of these elements can put patient safety in jeopardy. This report covers the investigation of the death of an 87-year-old patient following the prolonged interruption of anticoagulant therapy during hospital admission which was carried out by the Health Services Safety Investigations Body (HSSIB) as part of the “Medication Not Given: Anticoagulation Before and After a Procedure” report. The medication was withheld appropriately due to active bleeding but there were delays in reassessment, poor communication, lack of documentation, workforce pressures and limitations of the electronic prescribing and medicines administration (ePMA) system which led to the medication not being restarted, which contributed to the fatal stroke. The case is used to emphasize the interrelated nature of organizational and system failures and the negative impact this can have on patient outcomes.</w:t>
      </w:r>
    </w:p>
    <w:p w14:paraId="2E33CA14" w14:textId="542B30FD"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Leadership in health and social care is about influencing and inspiring multi-disciplinary staff and others to work towards common goals and to provide person centred and safe, effective care. Effective leaders foster collaboration, accountability, lifelong learning and a positive safety culture which allows health care workers to react correctly to each changing clinical situation (Fukami, 2025). In this context, leadership becomes a key element in enhancing organisational performance and addressing complex challenges in healthcare. Healthcare organisations can be centralised or decentralised. Centralised systems typically have decision-making at higher levels of the organization to promote consistency and standardisation, while decentralised systems tend to spread out decision-making to those on the front lines to allow greater responsiveness and local accountability (Altamimi </w:t>
      </w:r>
      <w:r w:rsidRPr="001E6009">
        <w:rPr>
          <w:rFonts w:eastAsia="Times New Roman"/>
          <w:i/>
          <w:iCs/>
          <w:color w:val="000000" w:themeColor="text1"/>
          <w:lang w:val="en-GB"/>
        </w:rPr>
        <w:t>et al</w:t>
      </w:r>
      <w:r w:rsidRPr="001E6009">
        <w:rPr>
          <w:rFonts w:eastAsia="Times New Roman"/>
          <w:color w:val="000000" w:themeColor="text1"/>
          <w:lang w:val="en-GB"/>
        </w:rPr>
        <w:t xml:space="preserve">., 2023). For both options there are pros and </w:t>
      </w:r>
      <w:r w:rsidR="0059197F" w:rsidRPr="001E6009">
        <w:rPr>
          <w:rFonts w:eastAsia="Times New Roman"/>
          <w:color w:val="000000" w:themeColor="text1"/>
          <w:lang w:val="en-GB"/>
        </w:rPr>
        <w:t>cons,</w:t>
      </w:r>
      <w:r w:rsidRPr="001E6009">
        <w:rPr>
          <w:rFonts w:eastAsia="Times New Roman"/>
          <w:color w:val="000000" w:themeColor="text1"/>
          <w:lang w:val="en-GB"/>
        </w:rPr>
        <w:t xml:space="preserve"> and it depends on the situation and the organisational requirements. In the same way, leadership theories such as transformational, transactional, and situational leadership offer various leadership styles for leading teams and driving change. When selecting a leadership style</w:t>
      </w:r>
      <w:r w:rsidR="00FF71F1" w:rsidRPr="001E6009">
        <w:rPr>
          <w:rFonts w:eastAsia="Times New Roman"/>
          <w:color w:val="000000" w:themeColor="text1"/>
          <w:lang w:val="en-GB"/>
        </w:rPr>
        <w:t>,</w:t>
      </w:r>
      <w:r w:rsidRPr="001E6009">
        <w:rPr>
          <w:rFonts w:eastAsia="Times New Roman"/>
          <w:color w:val="000000" w:themeColor="text1"/>
          <w:lang w:val="en-GB"/>
        </w:rPr>
        <w:t xml:space="preserve"> it is especially crucial during crisis situations, because it will impact communication, decision making, employee satisfaction, and patient safety.</w:t>
      </w:r>
    </w:p>
    <w:p w14:paraId="13DC2501"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This report uses theories of leadership, governance principles and systems thinking to critically analyse the case study. It explores the systemic causes of the incident, looks at the impact of centralisation and decentralisation and considers how leadership approaches have been applied and what lessons can be learnt for improvement in the organization. Finally, the report gives </w:t>
      </w:r>
      <w:r w:rsidRPr="001E6009">
        <w:rPr>
          <w:rFonts w:eastAsia="Times New Roman"/>
          <w:color w:val="000000" w:themeColor="text1"/>
          <w:lang w:val="en-GB"/>
        </w:rPr>
        <w:lastRenderedPageBreak/>
        <w:t>evidence-based recommendations to improve health and social care organisations' leadership, governance, communication and continuous quality improvement.</w:t>
      </w:r>
    </w:p>
    <w:p w14:paraId="7F8452A1" w14:textId="3099081C" w:rsidR="00FD4E71" w:rsidRPr="001E6009" w:rsidRDefault="00FF71F1" w:rsidP="001E6009">
      <w:pPr>
        <w:pStyle w:val="Heading1"/>
        <w:spacing w:before="240" w:after="240" w:line="360" w:lineRule="auto"/>
        <w:jc w:val="both"/>
        <w:rPr>
          <w:color w:val="000000" w:themeColor="text1"/>
          <w:sz w:val="22"/>
          <w:szCs w:val="22"/>
          <w:lang w:val="en-GB"/>
        </w:rPr>
      </w:pPr>
      <w:bookmarkStart w:id="4" w:name="_Toc236839928"/>
      <w:r w:rsidRPr="001E6009">
        <w:rPr>
          <w:color w:val="000000" w:themeColor="text1"/>
          <w:sz w:val="22"/>
          <w:szCs w:val="22"/>
          <w:lang w:val="en-GB"/>
        </w:rPr>
        <w:t>2. MAIN BODY AND ANALYSIS</w:t>
      </w:r>
      <w:bookmarkEnd w:id="4"/>
      <w:r w:rsidRPr="001E6009">
        <w:rPr>
          <w:color w:val="000000" w:themeColor="text1"/>
          <w:sz w:val="22"/>
          <w:szCs w:val="22"/>
          <w:lang w:val="en-GB"/>
        </w:rPr>
        <w:t xml:space="preserve"> </w:t>
      </w:r>
    </w:p>
    <w:p w14:paraId="1262DE55" w14:textId="77777777" w:rsidR="00FD4E71" w:rsidRPr="001E6009" w:rsidRDefault="00000000" w:rsidP="001E6009">
      <w:pPr>
        <w:pStyle w:val="Heading2"/>
        <w:spacing w:before="240" w:after="240" w:line="360" w:lineRule="auto"/>
        <w:jc w:val="both"/>
        <w:rPr>
          <w:b w:val="0"/>
          <w:color w:val="000000" w:themeColor="text1"/>
          <w:sz w:val="22"/>
          <w:szCs w:val="22"/>
          <w:lang w:val="en-GB"/>
        </w:rPr>
      </w:pPr>
      <w:bookmarkStart w:id="5" w:name="_Toc236839929"/>
      <w:r w:rsidRPr="001E6009">
        <w:rPr>
          <w:color w:val="000000" w:themeColor="text1"/>
          <w:sz w:val="22"/>
          <w:szCs w:val="22"/>
          <w:lang w:val="en-GB"/>
        </w:rPr>
        <w:t>2.1 Identifying the Problem and Setting the System Context- Applying Systems Thinking and the Rich Picture</w:t>
      </w:r>
      <w:bookmarkEnd w:id="5"/>
      <w:r w:rsidRPr="001E6009">
        <w:rPr>
          <w:color w:val="000000" w:themeColor="text1"/>
          <w:sz w:val="22"/>
          <w:szCs w:val="22"/>
          <w:lang w:val="en-GB"/>
        </w:rPr>
        <w:t xml:space="preserve"> </w:t>
      </w:r>
    </w:p>
    <w:p w14:paraId="75F80F75"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The main issue in the HSSIB case study is that an elderly patient of 87 years suffered an ischaemic stroke and died while admitted to hospital due to the fact that for a long time they were unable to receive a time-critical medication (apixaban), which is an anti-coagulant (</w:t>
      </w:r>
      <w:proofErr w:type="spellStart"/>
      <w:r w:rsidRPr="001E6009">
        <w:rPr>
          <w:rFonts w:eastAsia="Times New Roman"/>
          <w:color w:val="000000" w:themeColor="text1"/>
          <w:lang w:val="en-GB"/>
        </w:rPr>
        <w:t>Dresti</w:t>
      </w:r>
      <w:proofErr w:type="spellEnd"/>
      <w:r w:rsidRPr="001E6009">
        <w:rPr>
          <w:rFonts w:eastAsia="Times New Roman"/>
          <w:color w:val="000000" w:themeColor="text1"/>
          <w:lang w:val="en-GB"/>
        </w:rPr>
        <w:t>, 2024). Withholding of the anticoagulation was clinically indicated due to ongoing epistaxis (nose bleeding). However, the treatment of the drug was still withheld for 10 days whilst the patient waited for a procedure to be performed on the pleura. The medication was not started due to delays in reassessment, fragmented communication, inadequate documentation, pressures on the workforce, delayed diagnostic investigations and restrictions of the medicines administration and electronic prescribing (ePMA) system. The investigation by the HSSIB found that the patient's death was not due to one isolated clinical error but was the product of a series of interacting system and organisational failures.</w:t>
      </w:r>
    </w:p>
    <w:p w14:paraId="4875FEA1" w14:textId="77777777" w:rsidR="00FD4E71" w:rsidRPr="001E6009" w:rsidRDefault="00000000" w:rsidP="002A5783">
      <w:pPr>
        <w:spacing w:before="240" w:after="240" w:line="360" w:lineRule="auto"/>
        <w:jc w:val="center"/>
        <w:rPr>
          <w:rFonts w:eastAsia="Times New Roman"/>
          <w:color w:val="000000" w:themeColor="text1"/>
          <w:lang w:val="en-GB"/>
        </w:rPr>
      </w:pPr>
      <w:r w:rsidRPr="001E6009">
        <w:rPr>
          <w:rFonts w:eastAsia="Times New Roman"/>
          <w:noProof/>
          <w:color w:val="000000" w:themeColor="text1"/>
          <w:lang w:val="en-GB"/>
        </w:rPr>
        <w:drawing>
          <wp:inline distT="114300" distB="114300" distL="114300" distR="114300" wp14:anchorId="521F92CC" wp14:editId="715941D1">
            <wp:extent cx="4500245" cy="2466975"/>
            <wp:effectExtent l="0" t="0" r="0"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00524" cy="2467128"/>
                    </a:xfrm>
                    <a:prstGeom prst="rect">
                      <a:avLst/>
                    </a:prstGeom>
                    <a:ln/>
                  </pic:spPr>
                </pic:pic>
              </a:graphicData>
            </a:graphic>
          </wp:inline>
        </w:drawing>
      </w:r>
    </w:p>
    <w:p w14:paraId="71B63B87" w14:textId="77777777" w:rsidR="00FD4E71" w:rsidRPr="001E6009" w:rsidRDefault="00000000" w:rsidP="002A5783">
      <w:pPr>
        <w:spacing w:before="240" w:after="240" w:line="360" w:lineRule="auto"/>
        <w:jc w:val="center"/>
        <w:rPr>
          <w:rFonts w:eastAsia="Times New Roman"/>
          <w:b/>
          <w:bCs/>
          <w:color w:val="000000" w:themeColor="text1"/>
          <w:lang w:val="en-GB"/>
        </w:rPr>
      </w:pPr>
      <w:r w:rsidRPr="001E6009">
        <w:rPr>
          <w:rFonts w:eastAsia="Times New Roman"/>
          <w:b/>
          <w:bCs/>
          <w:color w:val="000000" w:themeColor="text1"/>
          <w:lang w:val="en-GB"/>
        </w:rPr>
        <w:t>Figure 1: A pleural effusion</w:t>
      </w:r>
    </w:p>
    <w:p w14:paraId="7716B076" w14:textId="77777777" w:rsidR="00FD4E71" w:rsidRPr="001E6009" w:rsidRDefault="00000000" w:rsidP="002A5783">
      <w:pPr>
        <w:spacing w:before="240" w:after="240" w:line="360" w:lineRule="auto"/>
        <w:jc w:val="center"/>
        <w:rPr>
          <w:rFonts w:eastAsia="Times New Roman"/>
          <w:color w:val="000000" w:themeColor="text1"/>
          <w:lang w:val="en-GB"/>
        </w:rPr>
      </w:pPr>
      <w:r w:rsidRPr="001E6009">
        <w:rPr>
          <w:rFonts w:eastAsia="Times New Roman"/>
          <w:color w:val="000000" w:themeColor="text1"/>
          <w:lang w:val="en-GB"/>
        </w:rPr>
        <w:t xml:space="preserve">(Source: </w:t>
      </w:r>
      <w:proofErr w:type="spellStart"/>
      <w:r w:rsidRPr="001E6009">
        <w:rPr>
          <w:rFonts w:eastAsia="Times New Roman"/>
          <w:color w:val="000000" w:themeColor="text1"/>
          <w:lang w:val="en-GB"/>
        </w:rPr>
        <w:t>Dresti</w:t>
      </w:r>
      <w:proofErr w:type="spellEnd"/>
      <w:r w:rsidRPr="001E6009">
        <w:rPr>
          <w:rFonts w:eastAsia="Times New Roman"/>
          <w:color w:val="000000" w:themeColor="text1"/>
          <w:lang w:val="en-GB"/>
        </w:rPr>
        <w:t>, 2024)</w:t>
      </w:r>
    </w:p>
    <w:p w14:paraId="3C7C99FA"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lastRenderedPageBreak/>
        <w:t xml:space="preserve">This incident is not just important to one NHS organisation as any patient-related harm by medication continues to be a huge patient safety issue across the globe. One in every twenty patients (5%) in the world suffers from preventable medication-related harm, and about one in four (26%) of those experiences is severe or life-threatening (WHO, 2023). Older adults and those with several long-term conditions are at increased risk as they may need to take multiple medications and have multiple transitions of care. In addition, WHO has listed drug errors as one of the major contributors to avoidable patient harm and has emphasized that prescribing and monitoring are the most common times for errors to happen. These results are </w:t>
      </w:r>
      <w:proofErr w:type="gramStart"/>
      <w:r w:rsidRPr="001E6009">
        <w:rPr>
          <w:rFonts w:eastAsia="Times New Roman"/>
          <w:color w:val="000000" w:themeColor="text1"/>
          <w:lang w:val="en-GB"/>
        </w:rPr>
        <w:t>similar to</w:t>
      </w:r>
      <w:proofErr w:type="gramEnd"/>
      <w:r w:rsidRPr="001E6009">
        <w:rPr>
          <w:rFonts w:eastAsia="Times New Roman"/>
          <w:color w:val="000000" w:themeColor="text1"/>
          <w:lang w:val="en-GB"/>
        </w:rPr>
        <w:t xml:space="preserve"> those found in the HSSIB case, where there were direct patient harms due to not re-evaluating, or monitoring, the patient's anticoagulant therapy.</w:t>
      </w:r>
    </w:p>
    <w:p w14:paraId="5609F0AF" w14:textId="77777777" w:rsidR="002A5783"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national evidence shows that there are ongoing issues with medication safety in the NHS. The National Health Service (NHS) in England estimates that there are around 712 deaths per year from medication errors with an additional 1,708 deaths where medication errors are found to be contributory (Hodkinson </w:t>
      </w:r>
      <w:r w:rsidRPr="001E6009">
        <w:rPr>
          <w:rFonts w:eastAsia="Times New Roman"/>
          <w:i/>
          <w:iCs/>
          <w:color w:val="000000" w:themeColor="text1"/>
          <w:lang w:val="en-GB"/>
        </w:rPr>
        <w:t>et al</w:t>
      </w:r>
      <w:r w:rsidRPr="001E6009">
        <w:rPr>
          <w:rFonts w:eastAsia="Times New Roman"/>
          <w:color w:val="000000" w:themeColor="text1"/>
          <w:lang w:val="en-GB"/>
        </w:rPr>
        <w:t xml:space="preserve">., 2021). These preventable harms to patients also have a significant financial impact on the NHS, estimated at £98.5 million per year, showing the clinical and financial impact of unsafe medication practices (Elliott </w:t>
      </w:r>
      <w:r w:rsidRPr="001E6009">
        <w:rPr>
          <w:rFonts w:eastAsia="Times New Roman"/>
          <w:i/>
          <w:iCs/>
          <w:color w:val="000000" w:themeColor="text1"/>
          <w:lang w:val="en-GB"/>
        </w:rPr>
        <w:t>et al</w:t>
      </w:r>
      <w:r w:rsidRPr="001E6009">
        <w:rPr>
          <w:rFonts w:eastAsia="Times New Roman"/>
          <w:color w:val="000000" w:themeColor="text1"/>
          <w:lang w:val="en-GB"/>
        </w:rPr>
        <w:t xml:space="preserve">., 2021). The HSSIB case is therefore not an isolated case but a problem that is happening across the country. </w:t>
      </w:r>
    </w:p>
    <w:p w14:paraId="132BD015" w14:textId="45FEAB99"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The scale of patients' safety challenges is further illustrated by NHS England's Learn from Patient Safety Events (LFPSE) system. In the first quarter of 2025-26, a total of 745,487 patient safety incidents were reported by healthcare organisations, of which 4,216 were linked to fatal and 3,765 were causing severe harm (Statistics, 2025). These incidents represent a cross-section of patient safety incidents, but show that despite national safety programmes, serious harm continues to be caused. Medication related incidents continue to be one of the most common patient safety incidents across health systems, highlighting the importance of improved governance, leadership and organisational learning within healthcare systems.</w:t>
      </w:r>
    </w:p>
    <w:p w14:paraId="12DA7B51"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Institute for Healthcare Improvement (IHI) also states that although individual clinicians play a role in improving medication safety, organisations should be focused on creating highly reliable systems (Alghamdi </w:t>
      </w:r>
      <w:r w:rsidRPr="001E6009">
        <w:rPr>
          <w:rFonts w:eastAsia="Times New Roman"/>
          <w:i/>
          <w:iCs/>
          <w:color w:val="000000" w:themeColor="text1"/>
          <w:lang w:val="en-GB"/>
        </w:rPr>
        <w:t>et al</w:t>
      </w:r>
      <w:r w:rsidRPr="001E6009">
        <w:rPr>
          <w:rFonts w:eastAsia="Times New Roman"/>
          <w:color w:val="000000" w:themeColor="text1"/>
          <w:lang w:val="en-GB"/>
        </w:rPr>
        <w:t xml:space="preserve">., 2023). HRs reduce risks through having standardized communication, multidisciplinary teams, effective digital systems and constant learning. Similarly, the WHO (2021) ‘Global Patient Safety Action Plan’ recommends improving the organisation's leadership, safety culture and digital decision-support tools to minimise preventable medication harm. The </w:t>
      </w:r>
      <w:r w:rsidRPr="001E6009">
        <w:rPr>
          <w:rFonts w:eastAsia="Times New Roman"/>
          <w:color w:val="000000" w:themeColor="text1"/>
          <w:lang w:val="en-GB"/>
        </w:rPr>
        <w:lastRenderedPageBreak/>
        <w:t>international priorities also support the conclusions of the HSSIB investigation which revealed that patient harm was due to failures throughout the healthcare system, not at any given individual.</w:t>
      </w:r>
    </w:p>
    <w:p w14:paraId="62B9830D" w14:textId="3CFADEB1"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incident is an example of how patient outcomes result from the interaction of people, processes, technology and organisational structure from a systems thinking </w:t>
      </w:r>
      <w:r w:rsidR="002A5783" w:rsidRPr="001E6009">
        <w:rPr>
          <w:rFonts w:eastAsia="Times New Roman"/>
          <w:color w:val="000000" w:themeColor="text1"/>
          <w:lang w:val="en-GB"/>
        </w:rPr>
        <w:t>viewpoint</w:t>
      </w:r>
      <w:r w:rsidRPr="001E6009">
        <w:rPr>
          <w:rFonts w:eastAsia="Times New Roman"/>
          <w:color w:val="000000" w:themeColor="text1"/>
          <w:lang w:val="en-GB"/>
        </w:rPr>
        <w:t>. There was a lack of continuity between the Emergency Department, Acute Medical Unit, Acute General Medical Ward, Respiratory Team and Radiology regarding responsibility for reviewing the patient anticoagulation whilst they waited for transfer. The clinical reasoning behind the extended cancellation of apixaban was inadequately documented and other clinicians were unable to revisit the decision. Meanwhile, the ePMA system showed that the medicine was stopped, but there was no automatic reminder to check on an extended interruption or to restart the medication after the procedure was performed. These deficiencies combined resulted in several opportunities to cause harm to patients that were not realized.</w:t>
      </w:r>
    </w:p>
    <w:p w14:paraId="05BB9C8F" w14:textId="77777777" w:rsidR="004B4C7F"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case also shows lack of governance and organisation accountability. At the local governance level, hospital leadership had an impact on staffing levels, bed management, implementation of clinical guidance, and digital infrastructure (Steenkamp </w:t>
      </w:r>
      <w:r w:rsidRPr="001E6009">
        <w:rPr>
          <w:rFonts w:eastAsia="Times New Roman"/>
          <w:i/>
          <w:iCs/>
          <w:color w:val="000000" w:themeColor="text1"/>
          <w:lang w:val="en-GB"/>
        </w:rPr>
        <w:t>et al.</w:t>
      </w:r>
      <w:r w:rsidRPr="001E6009">
        <w:rPr>
          <w:rFonts w:eastAsia="Times New Roman"/>
          <w:color w:val="000000" w:themeColor="text1"/>
          <w:lang w:val="en-GB"/>
        </w:rPr>
        <w:t xml:space="preserve">, 2025). The investigation revealed that there were not enough respiratory beds, specialist nursing support was limited, CT imaging was delayed, ward workloads were high and there were not enough medical staff members, which resulted in fewer opportunities for medication review and effective multidisciplinary coordination. </w:t>
      </w:r>
    </w:p>
    <w:p w14:paraId="01E58582" w14:textId="73119CDC"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national context in which the NHS operated was influenced by the factors of workforce pressures and digital transformation programmes. But the lack of effective implementation into practice at the local level was a weak factor in the negative result. Overall, the HSSIB investigation illustrates that harm caused by medicines is not a simple prescribing mistake. Rather, it </w:t>
      </w:r>
      <w:proofErr w:type="gramStart"/>
      <w:r w:rsidRPr="001E6009">
        <w:rPr>
          <w:rFonts w:eastAsia="Times New Roman"/>
          <w:color w:val="000000" w:themeColor="text1"/>
          <w:lang w:val="en-GB"/>
        </w:rPr>
        <w:t>is a reflection of</w:t>
      </w:r>
      <w:proofErr w:type="gramEnd"/>
      <w:r w:rsidRPr="001E6009">
        <w:rPr>
          <w:rFonts w:eastAsia="Times New Roman"/>
          <w:color w:val="000000" w:themeColor="text1"/>
          <w:lang w:val="en-GB"/>
        </w:rPr>
        <w:t xml:space="preserve"> interrelated communication, leadership, governance and workforce capacity and digital system failures. This case illustrates how local evidence and international and national data on patient safety combine to show that medication safety is a local organisational issue and an international healthcare priority that needs continuous organisational learning, systems-based leadership and effective governance to minimize preventable incidents.</w:t>
      </w:r>
    </w:p>
    <w:p w14:paraId="5D3F8266" w14:textId="77777777" w:rsidR="00FD4E71" w:rsidRPr="001E6009" w:rsidRDefault="00000000" w:rsidP="004B4C7F">
      <w:pPr>
        <w:spacing w:before="240" w:after="240" w:line="360" w:lineRule="auto"/>
        <w:jc w:val="center"/>
        <w:rPr>
          <w:rFonts w:eastAsia="Times New Roman"/>
          <w:color w:val="000000" w:themeColor="text1"/>
          <w:lang w:val="en-GB"/>
        </w:rPr>
      </w:pPr>
      <w:r w:rsidRPr="001E6009">
        <w:rPr>
          <w:rFonts w:eastAsia="Times New Roman"/>
          <w:noProof/>
          <w:color w:val="000000" w:themeColor="text1"/>
          <w:lang w:val="en-GB"/>
        </w:rPr>
        <w:lastRenderedPageBreak/>
        <w:drawing>
          <wp:inline distT="114300" distB="114300" distL="114300" distR="114300" wp14:anchorId="274F5034" wp14:editId="31AA09AD">
            <wp:extent cx="5667375" cy="7572375"/>
            <wp:effectExtent l="0" t="0"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67375" cy="7572375"/>
                    </a:xfrm>
                    <a:prstGeom prst="rect">
                      <a:avLst/>
                    </a:prstGeom>
                    <a:ln/>
                  </pic:spPr>
                </pic:pic>
              </a:graphicData>
            </a:graphic>
          </wp:inline>
        </w:drawing>
      </w:r>
    </w:p>
    <w:p w14:paraId="60E19F86" w14:textId="77777777" w:rsidR="004B4C7F" w:rsidRDefault="00000000" w:rsidP="004B4C7F">
      <w:pPr>
        <w:spacing w:before="240" w:after="240" w:line="360" w:lineRule="auto"/>
        <w:jc w:val="center"/>
        <w:rPr>
          <w:rFonts w:eastAsia="Times New Roman"/>
          <w:color w:val="000000" w:themeColor="text1"/>
          <w:lang w:val="en-GB"/>
        </w:rPr>
      </w:pPr>
      <w:r w:rsidRPr="001E6009">
        <w:rPr>
          <w:rFonts w:eastAsia="Times New Roman"/>
          <w:b/>
          <w:bCs/>
          <w:color w:val="000000" w:themeColor="text1"/>
          <w:lang w:val="en-GB"/>
        </w:rPr>
        <w:t xml:space="preserve">Figure </w:t>
      </w:r>
      <w:r w:rsidR="00965AE1" w:rsidRPr="001E6009">
        <w:rPr>
          <w:rFonts w:eastAsia="Times New Roman"/>
          <w:b/>
          <w:bCs/>
          <w:color w:val="000000" w:themeColor="text1"/>
          <w:lang w:val="en-GB"/>
        </w:rPr>
        <w:t>2</w:t>
      </w:r>
      <w:r w:rsidRPr="001E6009">
        <w:rPr>
          <w:rFonts w:eastAsia="Times New Roman"/>
          <w:b/>
          <w:bCs/>
          <w:color w:val="000000" w:themeColor="text1"/>
          <w:lang w:val="en-GB"/>
        </w:rPr>
        <w:t>: Rich picture</w:t>
      </w:r>
    </w:p>
    <w:p w14:paraId="687A6968" w14:textId="707202C8" w:rsidR="00FD4E71" w:rsidRPr="001E6009" w:rsidRDefault="00000000" w:rsidP="004B4C7F">
      <w:pPr>
        <w:spacing w:before="240" w:after="240" w:line="360" w:lineRule="auto"/>
        <w:jc w:val="center"/>
        <w:rPr>
          <w:rFonts w:eastAsia="Times New Roman"/>
          <w:color w:val="000000" w:themeColor="text1"/>
          <w:lang w:val="en-GB"/>
        </w:rPr>
      </w:pPr>
      <w:r w:rsidRPr="001E6009">
        <w:rPr>
          <w:rFonts w:eastAsia="Times New Roman"/>
          <w:color w:val="000000" w:themeColor="text1"/>
          <w:lang w:val="en-GB"/>
        </w:rPr>
        <w:lastRenderedPageBreak/>
        <w:t>(Source: Self-developed)</w:t>
      </w:r>
    </w:p>
    <w:p w14:paraId="10AE753A" w14:textId="77777777" w:rsidR="003B21E4"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Rich Picture in Figure 1 depicts the many factors that are involved in the medication-related harm in the HSSIB case study. It shows that the poor outcome the patient experienced was due to a combination of people, processes, technology, organisational structures and governance, not just one clinical error. The diagram illustrates the patient's pathway through the Emergency Department, Acute Medical Unit, Acute General Medical Ward and Respiratory Team and how this caused a delay in transfer contributing to the interruption of their anticoagulant therapy. It also highlights some of the stakeholders such as doctors, nurses, pharmacists, radiology personnel and hospital management whose activities were interdependent to each other. </w:t>
      </w:r>
    </w:p>
    <w:p w14:paraId="6FB919B6" w14:textId="5FA67A4B"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Opportunities were missed to review and restart medication due to communication issues, poor documentation and lack of clarity when it came to accountability. Patient safety was also undermined by staffing problems, the capacity of bed spaces and limitations of the electronic prescribing system (ePMA). The feedback loops show how delayed decisions resulted in an increase of workload, a decrease in clinical review and in turn, medication omission and patient harm. Overall, the Rich Picture supports the statement that leaders, communication and good governance are vital to an organisation's performance and to preventing future incidents (</w:t>
      </w:r>
      <w:proofErr w:type="spellStart"/>
      <w:r w:rsidRPr="001E6009">
        <w:rPr>
          <w:rFonts w:eastAsia="Times New Roman"/>
          <w:color w:val="000000" w:themeColor="text1"/>
          <w:lang w:val="en-GB"/>
        </w:rPr>
        <w:t>Aldahmashi</w:t>
      </w:r>
      <w:proofErr w:type="spellEnd"/>
      <w:r w:rsidRPr="001E6009">
        <w:rPr>
          <w:rFonts w:eastAsia="Times New Roman"/>
          <w:color w:val="000000" w:themeColor="text1"/>
          <w:lang w:val="en-GB"/>
        </w:rPr>
        <w:t xml:space="preserve"> and Abdulsamad, 2026).</w:t>
      </w:r>
    </w:p>
    <w:p w14:paraId="2B1C425F" w14:textId="77777777" w:rsidR="00FD4E71" w:rsidRPr="001E6009" w:rsidRDefault="00000000" w:rsidP="001E6009">
      <w:pPr>
        <w:pStyle w:val="Heading2"/>
        <w:spacing w:before="240" w:after="240" w:line="360" w:lineRule="auto"/>
        <w:jc w:val="both"/>
        <w:rPr>
          <w:color w:val="000000" w:themeColor="text1"/>
          <w:sz w:val="22"/>
          <w:szCs w:val="22"/>
          <w:lang w:val="en-GB"/>
        </w:rPr>
      </w:pPr>
      <w:bookmarkStart w:id="6" w:name="_Toc236839930"/>
      <w:r w:rsidRPr="001E6009">
        <w:rPr>
          <w:color w:val="000000" w:themeColor="text1"/>
          <w:sz w:val="22"/>
          <w:szCs w:val="22"/>
          <w:lang w:val="en-GB"/>
        </w:rPr>
        <w:t>2.2 Centralisation or Decentralisation within the Case Study</w:t>
      </w:r>
      <w:bookmarkEnd w:id="6"/>
      <w:r w:rsidRPr="001E6009">
        <w:rPr>
          <w:color w:val="000000" w:themeColor="text1"/>
          <w:sz w:val="22"/>
          <w:szCs w:val="22"/>
          <w:lang w:val="en-GB"/>
        </w:rPr>
        <w:t xml:space="preserve"> </w:t>
      </w:r>
    </w:p>
    <w:p w14:paraId="762AF5AC"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HSSIB case study shows that the NHS is situated in a hybrid governance model, with </w:t>
      </w:r>
      <w:proofErr w:type="gramStart"/>
      <w:r w:rsidRPr="001E6009">
        <w:rPr>
          <w:rFonts w:eastAsia="Times New Roman"/>
          <w:color w:val="000000" w:themeColor="text1"/>
          <w:lang w:val="en-GB"/>
        </w:rPr>
        <w:t>a number of</w:t>
      </w:r>
      <w:proofErr w:type="gramEnd"/>
      <w:r w:rsidRPr="001E6009">
        <w:rPr>
          <w:rFonts w:eastAsia="Times New Roman"/>
          <w:color w:val="000000" w:themeColor="text1"/>
          <w:lang w:val="en-GB"/>
        </w:rPr>
        <w:t xml:space="preserve"> aspects of the organisation indicating a centralised model. Centralisation is the organizational system where there is a central authority, such as a chairperson, national body or senior management making strategic decisions, setting policies and governing the organization, for consistency, standardization and regulatory purposes. As part of the NHS, clinical practice is also influenced by national organisations that develop policies for medication safety, clinical governance and digital transformation including NHS England and the National Institute for Health and Care Excellence (NICE, 2023). In the HSSIB case, the decision to withhold apixaban was based on the national clinical guidance on active bleeding, an example of how centralised governance enables evidence-based, standardised decision making.</w:t>
      </w:r>
    </w:p>
    <w:p w14:paraId="702A26D6" w14:textId="77777777" w:rsidR="00542B34"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One of the benefits of centralizing is that it brings consistency and accountability to health organizations. There is a low level of variation in practice and organisational learning, which is supported by standardised clinical guidelines, national reporting systems and electronic </w:t>
      </w:r>
      <w:r w:rsidRPr="001E6009">
        <w:rPr>
          <w:rFonts w:eastAsia="Times New Roman"/>
          <w:color w:val="000000" w:themeColor="text1"/>
          <w:lang w:val="en-GB"/>
        </w:rPr>
        <w:lastRenderedPageBreak/>
        <w:t xml:space="preserve">prescribing systems. In the first quarter of 2025-26, the NHS England's Learn from Patient Safety Events (LFPSE) system reported 739,846 patient safety incidents, with 3,765 incidents leading to severe harm and 4,216 related to patient deaths. Nationally co-ordinated reporting systems allow health care organisations to discover trends, learn from each other and adopt patient safety enhancements throughout the NHS (NHS England, 2024). </w:t>
      </w:r>
    </w:p>
    <w:p w14:paraId="691FCC68" w14:textId="39F23766" w:rsidR="00FD4E71" w:rsidRPr="001E6009" w:rsidRDefault="00000000" w:rsidP="001E6009">
      <w:pPr>
        <w:spacing w:before="240" w:after="240" w:line="360" w:lineRule="auto"/>
        <w:jc w:val="both"/>
        <w:rPr>
          <w:rFonts w:eastAsia="Times New Roman"/>
          <w:color w:val="000000" w:themeColor="text1"/>
          <w:lang w:val="en-GB"/>
        </w:rPr>
      </w:pPr>
      <w:proofErr w:type="gramStart"/>
      <w:r w:rsidRPr="001E6009">
        <w:rPr>
          <w:rFonts w:eastAsia="Times New Roman"/>
          <w:color w:val="000000" w:themeColor="text1"/>
          <w:lang w:val="en-GB"/>
        </w:rPr>
        <w:t>In spite of</w:t>
      </w:r>
      <w:proofErr w:type="gramEnd"/>
      <w:r w:rsidRPr="001E6009">
        <w:rPr>
          <w:rFonts w:eastAsia="Times New Roman"/>
          <w:color w:val="000000" w:themeColor="text1"/>
          <w:lang w:val="en-GB"/>
        </w:rPr>
        <w:t xml:space="preserve"> these benefits, there are certain drawbacks of a centralized approach in challenging clinical scenarios that can be noted during the HSSIB investigation. National protocols and guidance were </w:t>
      </w:r>
      <w:r w:rsidR="00542B34" w:rsidRPr="001E6009">
        <w:rPr>
          <w:rFonts w:eastAsia="Times New Roman"/>
          <w:color w:val="000000" w:themeColor="text1"/>
          <w:lang w:val="en-GB"/>
        </w:rPr>
        <w:t>available,</w:t>
      </w:r>
      <w:r w:rsidRPr="001E6009">
        <w:rPr>
          <w:rFonts w:eastAsia="Times New Roman"/>
          <w:color w:val="000000" w:themeColor="text1"/>
          <w:lang w:val="en-GB"/>
        </w:rPr>
        <w:t xml:space="preserve"> but they did not guide the review of the patient's anticoagulant therapy when circumstances changed in the clinic. The patient was moved between departments, and it was unclear who was responsible for resuming the medication. Also, the electronic prescribing and medicines administration (ePMA) system showed the medication had been paused, but there was no reminder to review when the medication had been paused for a longer time or to restart it after the procedure. Thus, there were organisational procedures in </w:t>
      </w:r>
      <w:r w:rsidR="001C38B8" w:rsidRPr="001E6009">
        <w:rPr>
          <w:rFonts w:eastAsia="Times New Roman"/>
          <w:color w:val="000000" w:themeColor="text1"/>
          <w:lang w:val="en-GB"/>
        </w:rPr>
        <w:t>place,</w:t>
      </w:r>
      <w:r w:rsidRPr="001E6009">
        <w:rPr>
          <w:rFonts w:eastAsia="Times New Roman"/>
          <w:color w:val="000000" w:themeColor="text1"/>
          <w:lang w:val="en-GB"/>
        </w:rPr>
        <w:t xml:space="preserve"> but they were not sufficiently flexible and supported in decision-making to meet changing patient requirements.</w:t>
      </w:r>
    </w:p>
    <w:p w14:paraId="03F1949E" w14:textId="7DEAD876"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Operational pressures such as respiratory beds shortages, delayed diagnostic investigations, high workload of staff and limited specialist capacity, also affected the effectiveness of the centralised governance. The factors impacted the clinical review opportunities despite the governance arrangements. As such, centralisation caused standardisation and policy </w:t>
      </w:r>
      <w:r w:rsidR="001C38B8" w:rsidRPr="001E6009">
        <w:rPr>
          <w:rFonts w:eastAsia="Times New Roman"/>
          <w:color w:val="000000" w:themeColor="text1"/>
          <w:lang w:val="en-GB"/>
        </w:rPr>
        <w:t>adherence but</w:t>
      </w:r>
      <w:r w:rsidRPr="001E6009">
        <w:rPr>
          <w:rFonts w:eastAsia="Times New Roman"/>
          <w:color w:val="000000" w:themeColor="text1"/>
          <w:lang w:val="en-GB"/>
        </w:rPr>
        <w:t xml:space="preserve"> was not solely enough to stave off medication-related harm as the HSSIB case shows. Patient safety needs to be governed from a central level, with front line leadership who respond to issues, communication between staff members in different professions and ongoing review of clinical care to ensure national policies translate into safe care for patients (Jang </w:t>
      </w:r>
      <w:r w:rsidRPr="001E6009">
        <w:rPr>
          <w:rFonts w:eastAsia="Times New Roman"/>
          <w:i/>
          <w:iCs/>
          <w:color w:val="000000" w:themeColor="text1"/>
          <w:lang w:val="en-GB"/>
        </w:rPr>
        <w:t>et al</w:t>
      </w:r>
      <w:r w:rsidRPr="001E6009">
        <w:rPr>
          <w:rFonts w:eastAsia="Times New Roman"/>
          <w:color w:val="000000" w:themeColor="text1"/>
          <w:lang w:val="en-GB"/>
        </w:rPr>
        <w:t>., 2022).</w:t>
      </w:r>
    </w:p>
    <w:p w14:paraId="65DF14EA"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Alongside centralized governance, the HSSIB case also showcases an important key aspect of the decentralised system which is to have decision-making power distributed to frontline healthcare professionals and multi-disciplinary teams. Decentralisation unlocks the potential for timely decision-making, grounded in the individual patient's needs and fosters greater professional autonomy, collaboration and shared accountability. Whilst national organisations in the NHS create policies and clinical standards, it is the responsibility of the consultant, junior doctors, nurses, pharmacists and specialist teams to manage all day-to-day patient management. The case of HSSIB illustrates how decentralised frontline healthcare delivery may be, with different clinical teams making decisions about the patient's anticoagulation, referral for a pleural procedure and post-procedure care. </w:t>
      </w:r>
    </w:p>
    <w:p w14:paraId="3A323298" w14:textId="620DDFAA"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lastRenderedPageBreak/>
        <w:t xml:space="preserve">One of the main benefits of decentralization is that it enhances responsiveness and promotes collective decision-making. Focusing on frontline clinical care, it is best practice for frontline clinicians to identify changes in a patient’s condition and respond accordingly without having to wait for senior organisation approval. Additionally, multi-disciplinary expertise through shared decision-making helps to achieve better </w:t>
      </w:r>
      <w:r w:rsidR="00500A04" w:rsidRPr="001E6009">
        <w:rPr>
          <w:rFonts w:eastAsia="Times New Roman"/>
          <w:color w:val="000000" w:themeColor="text1"/>
          <w:lang w:val="en-GB"/>
        </w:rPr>
        <w:t>patient</w:t>
      </w:r>
      <w:r w:rsidRPr="001E6009">
        <w:rPr>
          <w:rFonts w:eastAsia="Times New Roman"/>
          <w:color w:val="000000" w:themeColor="text1"/>
          <w:lang w:val="en-GB"/>
        </w:rPr>
        <w:t xml:space="preserve"> outcomes only if there is good communication, clear roles and robust clinical leadership (</w:t>
      </w:r>
      <w:proofErr w:type="spellStart"/>
      <w:r w:rsidRPr="001E6009">
        <w:rPr>
          <w:rFonts w:eastAsia="Times New Roman"/>
          <w:color w:val="000000" w:themeColor="text1"/>
          <w:lang w:val="en-GB"/>
        </w:rPr>
        <w:t>Curșeu</w:t>
      </w:r>
      <w:proofErr w:type="spellEnd"/>
      <w:r w:rsidRPr="001E6009">
        <w:rPr>
          <w:rFonts w:eastAsia="Times New Roman"/>
          <w:color w:val="000000" w:themeColor="text1"/>
          <w:lang w:val="en-GB"/>
        </w:rPr>
        <w:t xml:space="preserve"> </w:t>
      </w:r>
      <w:r w:rsidRPr="001E6009">
        <w:rPr>
          <w:rFonts w:eastAsia="Times New Roman"/>
          <w:i/>
          <w:iCs/>
          <w:color w:val="000000" w:themeColor="text1"/>
          <w:lang w:val="en-GB"/>
        </w:rPr>
        <w:t>et al.</w:t>
      </w:r>
      <w:r w:rsidRPr="001E6009">
        <w:rPr>
          <w:rFonts w:eastAsia="Times New Roman"/>
          <w:color w:val="000000" w:themeColor="text1"/>
          <w:lang w:val="en-GB"/>
        </w:rPr>
        <w:t>, 2025). These conditions were not consistently known to be attained in the HSSIB investigation. The patient was transformed from the Emergency Department to the Acute Medical Unit, Acute General Medical Ward and Respiratory Team and the responsibility for checking the patient’s anticoagulation could not be clearly identified. No individual or team was willing to take ownership of the restart of apixaban after the procedure and although it was recognised that it should be restarted, there was no clarity.</w:t>
      </w:r>
      <w:r w:rsidR="00901893">
        <w:rPr>
          <w:rFonts w:eastAsia="Times New Roman"/>
          <w:color w:val="000000" w:themeColor="text1"/>
          <w:lang w:val="en-GB"/>
        </w:rPr>
        <w:t xml:space="preserve"> </w:t>
      </w:r>
    </w:p>
    <w:p w14:paraId="32CBC60A"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Operational pressures on the organisation further reduced the effectiveness of decentralized decision-making. NHS Long Term Workforce Plan predicts a significant increase in the number of workers needed in the NHS in the next 15 years to overcome workforce shortages and growing demand for services (NHS England, 2024). The HSSIB investigation identified these national pressures on the workforce with insufficient respiratory needs, delayed diagnostic imaging, staffing problems with specialists and high workloads which all impacted the opportunities for timely medication review and communication between the different disciplines. </w:t>
      </w:r>
    </w:p>
    <w:p w14:paraId="25DC3D50" w14:textId="77777777" w:rsidR="007C4B1B"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Overall, the case shows that neither centralisation nor decentralization alone was enough to guarantee safety for the patients. The combination of a centralised governance system with nationally developed policies, standards and reporting infrastructure and a decentralised system of practice allowed clinicians to make </w:t>
      </w:r>
      <w:r w:rsidR="00204071" w:rsidRPr="001E6009">
        <w:rPr>
          <w:rFonts w:eastAsia="Times New Roman"/>
          <w:color w:val="000000" w:themeColor="text1"/>
          <w:lang w:val="en-GB"/>
        </w:rPr>
        <w:t>clinically led</w:t>
      </w:r>
      <w:r w:rsidRPr="001E6009">
        <w:rPr>
          <w:rFonts w:eastAsia="Times New Roman"/>
          <w:color w:val="000000" w:themeColor="text1"/>
          <w:lang w:val="en-GB"/>
        </w:rPr>
        <w:t xml:space="preserve"> decisions on a patient-specific basis. But these two approaches lacked </w:t>
      </w:r>
      <w:r w:rsidR="00204071" w:rsidRPr="001E6009">
        <w:rPr>
          <w:rFonts w:eastAsia="Times New Roman"/>
          <w:color w:val="000000" w:themeColor="text1"/>
          <w:lang w:val="en-GB"/>
        </w:rPr>
        <w:t>coordination,</w:t>
      </w:r>
      <w:r w:rsidRPr="001E6009">
        <w:rPr>
          <w:rFonts w:eastAsia="Times New Roman"/>
          <w:color w:val="000000" w:themeColor="text1"/>
          <w:lang w:val="en-GB"/>
        </w:rPr>
        <w:t xml:space="preserve"> and this increased the lack of accountability and delayed key clinical decisions. The multidisciplinary model, which includes a robust leadership structure, with empowered teams and effective communication, digital decision-making support tools and distributed leadership, would have enhanced management of the crisis and minimised the risk of medication-related harm. </w:t>
      </w:r>
    </w:p>
    <w:p w14:paraId="4E7938C9" w14:textId="15457D15"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HSSIB investigation therefore also emphasises the importance of enabling collaboration, accountability and continuous learning in the healthcare system as well as the role of leadership to drive organisational performance, which is related not only to the structure of the governance but also to how the various levels of governance contribute to the effective functioning of the healthcare system. </w:t>
      </w:r>
    </w:p>
    <w:p w14:paraId="1B8457FB" w14:textId="77777777" w:rsidR="00FD4E71" w:rsidRPr="001E6009" w:rsidRDefault="00000000" w:rsidP="001E6009">
      <w:pPr>
        <w:pStyle w:val="Heading2"/>
        <w:spacing w:before="240" w:after="240" w:line="360" w:lineRule="auto"/>
        <w:jc w:val="both"/>
        <w:rPr>
          <w:color w:val="000000" w:themeColor="text1"/>
          <w:sz w:val="22"/>
          <w:szCs w:val="22"/>
          <w:lang w:val="en-GB"/>
        </w:rPr>
      </w:pPr>
      <w:bookmarkStart w:id="7" w:name="_Toc236839931"/>
      <w:r w:rsidRPr="001E6009">
        <w:rPr>
          <w:color w:val="000000" w:themeColor="text1"/>
          <w:sz w:val="22"/>
          <w:szCs w:val="22"/>
          <w:lang w:val="en-GB"/>
        </w:rPr>
        <w:lastRenderedPageBreak/>
        <w:t>2.3 Leadership Theories and Application to the Case Study</w:t>
      </w:r>
      <w:bookmarkEnd w:id="7"/>
      <w:r w:rsidRPr="001E6009">
        <w:rPr>
          <w:color w:val="000000" w:themeColor="text1"/>
          <w:sz w:val="22"/>
          <w:szCs w:val="22"/>
          <w:lang w:val="en-GB"/>
        </w:rPr>
        <w:t xml:space="preserve"> </w:t>
      </w:r>
    </w:p>
    <w:p w14:paraId="3F2FED4F" w14:textId="77777777"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The HSSIB investigation clearly shows that patient safety is dependent on effective leadership within a complex healthcare system. It was not just a mistake but a result of poor leadership, communication, governance and multi-disciplinary coordination. Being a healthcare leader is about inspiring people and teams to work together to meet shared objectives and driving a culture of accountability, teamwork and continuous improvement. This case is explored using three styles of leadership which are transformational, situational and distributed.</w:t>
      </w:r>
    </w:p>
    <w:p w14:paraId="7C5F3DD4" w14:textId="77777777" w:rsidR="006A12E5"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Transformational leadership is about inspiring others, creating a vision, fostering innovation and a learning culture. Transformational leaders in healthcare promote open communication, enable employees to express concerns, and foster a patient safety environment (</w:t>
      </w:r>
      <w:proofErr w:type="spellStart"/>
      <w:r w:rsidRPr="001E6009">
        <w:rPr>
          <w:rFonts w:eastAsia="Times New Roman"/>
          <w:color w:val="000000" w:themeColor="text1"/>
          <w:lang w:val="en-GB"/>
        </w:rPr>
        <w:t>Ystaas</w:t>
      </w:r>
      <w:proofErr w:type="spellEnd"/>
      <w:r w:rsidRPr="001E6009">
        <w:rPr>
          <w:rFonts w:eastAsia="Times New Roman"/>
          <w:color w:val="000000" w:themeColor="text1"/>
          <w:lang w:val="en-GB"/>
        </w:rPr>
        <w:t xml:space="preserve"> </w:t>
      </w:r>
      <w:r w:rsidRPr="001E6009">
        <w:rPr>
          <w:rFonts w:eastAsia="Times New Roman"/>
          <w:i/>
          <w:iCs/>
          <w:color w:val="000000" w:themeColor="text1"/>
          <w:lang w:val="en-GB"/>
        </w:rPr>
        <w:t>et al</w:t>
      </w:r>
      <w:r w:rsidRPr="001E6009">
        <w:rPr>
          <w:rFonts w:eastAsia="Times New Roman"/>
          <w:color w:val="000000" w:themeColor="text1"/>
          <w:lang w:val="en-GB"/>
        </w:rPr>
        <w:t xml:space="preserve">., 2023). This does not appear to have been adequately communicated as suggested by the HSSIB investigation. There was some leadership at the national level to ensure that the patient's anticoagulant treatment was reassessed when circumstances changed in the clinical context, though the governance processes and national medication safety policies were in place. Interdepartmental communication was inadequate and no department took charge of restarting the medicine. </w:t>
      </w:r>
    </w:p>
    <w:p w14:paraId="2CAFC139" w14:textId="1F257DFE"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This meant that the leadership was more interested in following the processes than in encouraging collaboration and continuous monitoring. The NHS Staff Survey (2024) commissioned by NHS England also revealed that 71.5% of staff felt safe to talk to colleagues about concerns and 68.2% felt their organisation prioritised patient safety. While the overall results of this study suggest a positive safety culture nationally, the HSSIB case shows the difficulty of ensuring a safety culture becomes ingrained in consistent front line behaviour.</w:t>
      </w:r>
    </w:p>
    <w:p w14:paraId="7805B4F4" w14:textId="77777777" w:rsidR="00DC780A"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Hersey Blanchard's situational leadership theory suggests that leaders need to adjust their leadership styles to meet their team's needs and the circumstances (Gardi </w:t>
      </w:r>
      <w:r w:rsidRPr="001E6009">
        <w:rPr>
          <w:rFonts w:eastAsia="Times New Roman"/>
          <w:i/>
          <w:iCs/>
          <w:color w:val="000000" w:themeColor="text1"/>
          <w:lang w:val="en-GB"/>
        </w:rPr>
        <w:t>et al</w:t>
      </w:r>
      <w:r w:rsidRPr="001E6009">
        <w:rPr>
          <w:rFonts w:eastAsia="Times New Roman"/>
          <w:color w:val="000000" w:themeColor="text1"/>
          <w:lang w:val="en-GB"/>
        </w:rPr>
        <w:t xml:space="preserve">., 2024). This is especially applicable in clinical settings where the needs and preferences of patients may shift rapidly. Although active bleeding was the reason for withholding apixaban initially, it was a good clinical judgment. The patient however, stabilised and the pleura procedure was repeatedly </w:t>
      </w:r>
      <w:r w:rsidR="006A12E5" w:rsidRPr="001E6009">
        <w:rPr>
          <w:rFonts w:eastAsia="Times New Roman"/>
          <w:color w:val="000000" w:themeColor="text1"/>
          <w:lang w:val="en-GB"/>
        </w:rPr>
        <w:t>postponed,</w:t>
      </w:r>
      <w:r w:rsidRPr="001E6009">
        <w:rPr>
          <w:rFonts w:eastAsia="Times New Roman"/>
          <w:color w:val="000000" w:themeColor="text1"/>
          <w:lang w:val="en-GB"/>
        </w:rPr>
        <w:t xml:space="preserve"> and leadership did not change for the new risk type. Although multiple opportunities were available to review the anticoagulation, there was no systematic review. </w:t>
      </w:r>
    </w:p>
    <w:p w14:paraId="6D947328" w14:textId="653331AD"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Instead, the decision to restart the meds was done in a reactive way, based on assumption that it would be restarted at some point in the future, instead of the proactive approach of managing </w:t>
      </w:r>
      <w:r w:rsidRPr="001E6009">
        <w:rPr>
          <w:rFonts w:eastAsia="Times New Roman"/>
          <w:color w:val="000000" w:themeColor="text1"/>
          <w:lang w:val="en-GB"/>
        </w:rPr>
        <w:lastRenderedPageBreak/>
        <w:t xml:space="preserve">the patient's growing stroke risk. This is an example of an application that was not effective with situational leadership in a dynamic clinical situation. </w:t>
      </w:r>
    </w:p>
    <w:p w14:paraId="5F1EF83A" w14:textId="77777777" w:rsidR="007763D4"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It would have been more suitable to have a distributed leadership approach as the responsibility for patient care was shared across the ED, AMU, AGMW, RT, pharmacists and radiology services. Distributed leadership fosters a sense of shared responsibility, multi-disciplinary team working and joint decision-making rather than focussing for leadership on specific individuals (Carstensen</w:t>
      </w:r>
      <w:r w:rsidRPr="001E6009">
        <w:rPr>
          <w:rFonts w:eastAsia="Times New Roman"/>
          <w:i/>
          <w:iCs/>
          <w:color w:val="000000" w:themeColor="text1"/>
          <w:lang w:val="en-GB"/>
        </w:rPr>
        <w:t xml:space="preserve"> et al</w:t>
      </w:r>
      <w:r w:rsidRPr="001E6009">
        <w:rPr>
          <w:rFonts w:eastAsia="Times New Roman"/>
          <w:color w:val="000000" w:themeColor="text1"/>
          <w:lang w:val="en-GB"/>
        </w:rPr>
        <w:t xml:space="preserve">., 2023). </w:t>
      </w:r>
    </w:p>
    <w:p w14:paraId="7312C25C" w14:textId="0C316C93"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However, the HSSIB case revealed that communication was fragmented and ownership of the management of patients’ anticoagulation was unclear during the time they were awaiting transfer from one department to the next. This was partly due to lack of coordinated leadership which led to opportunities for medication review and missed restart. Structured multidisciplinary reviews, clear leadership roles and effective handovers within a distributed leadership model may have helped to increase the focus on accountability and help minimise the risk of missing doses of medications. </w:t>
      </w:r>
    </w:p>
    <w:p w14:paraId="393AF291" w14:textId="46AFB911" w:rsidR="007763D4"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In general, the leadership in the case was more reactive than proactive. Leaders of the organisation made use of established policies, electronic systems and regular clinical procedures, but were not expecting the impact of workforce challenges, delays in procedures and poor communication on patient safety. While there were national patient safety agendas and governance in place, the effectiveness of patient safety leadership was limited when there </w:t>
      </w:r>
      <w:r w:rsidR="007C4063" w:rsidRPr="001E6009">
        <w:rPr>
          <w:rFonts w:eastAsia="Times New Roman"/>
          <w:color w:val="000000" w:themeColor="text1"/>
          <w:lang w:val="en-GB"/>
        </w:rPr>
        <w:t>were</w:t>
      </w:r>
      <w:r w:rsidRPr="001E6009">
        <w:rPr>
          <w:rFonts w:eastAsia="Times New Roman"/>
          <w:color w:val="000000" w:themeColor="text1"/>
          <w:lang w:val="en-GB"/>
        </w:rPr>
        <w:t xml:space="preserve"> changing clinical context and multidisciplinary action needed to be coordinated. </w:t>
      </w:r>
    </w:p>
    <w:p w14:paraId="31B734F0" w14:textId="4225A515" w:rsidR="00FD4E71" w:rsidRPr="001E6009" w:rsidRDefault="00000000"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A more proactive approach that involved transformational leadership, situational decision making and distributed leadership might have facilitated earlier medication review, greater accountability and better team working. Further, emotionally intelligent leadership, which would foster open communication, psychological safety and learning, would have further enhanced staff engagement and organisational resilience. Thus, the HSSIB case illustrates that effective leadership is more than simply enacting policies, it involves leadership practices that are adaptive, collaborative and patient-centred, that </w:t>
      </w:r>
      <w:proofErr w:type="gramStart"/>
      <w:r w:rsidRPr="001E6009">
        <w:rPr>
          <w:rFonts w:eastAsia="Times New Roman"/>
          <w:color w:val="000000" w:themeColor="text1"/>
          <w:lang w:val="en-GB"/>
        </w:rPr>
        <w:t>are able to</w:t>
      </w:r>
      <w:proofErr w:type="gramEnd"/>
      <w:r w:rsidRPr="001E6009">
        <w:rPr>
          <w:rFonts w:eastAsia="Times New Roman"/>
          <w:color w:val="000000" w:themeColor="text1"/>
          <w:lang w:val="en-GB"/>
        </w:rPr>
        <w:t xml:space="preserve"> address the complexity and sustain safe, quality care.</w:t>
      </w:r>
    </w:p>
    <w:p w14:paraId="23599FB7" w14:textId="77777777" w:rsidR="00FF71F1" w:rsidRPr="001E6009" w:rsidRDefault="00FF71F1" w:rsidP="001E6009">
      <w:pPr>
        <w:pStyle w:val="Heading2"/>
        <w:spacing w:before="240" w:after="240" w:line="360" w:lineRule="auto"/>
        <w:jc w:val="both"/>
        <w:rPr>
          <w:color w:val="000000" w:themeColor="text1"/>
          <w:sz w:val="22"/>
          <w:szCs w:val="22"/>
          <w:lang w:val="en-GB"/>
        </w:rPr>
      </w:pPr>
      <w:bookmarkStart w:id="8" w:name="_Toc236839932"/>
      <w:r w:rsidRPr="001E6009">
        <w:rPr>
          <w:color w:val="000000" w:themeColor="text1"/>
          <w:sz w:val="22"/>
          <w:szCs w:val="22"/>
          <w:lang w:val="en-GB"/>
        </w:rPr>
        <w:lastRenderedPageBreak/>
        <w:t>2.4 Improvement, and Lessons Learned</w:t>
      </w:r>
      <w:bookmarkEnd w:id="8"/>
      <w:r w:rsidRPr="001E6009">
        <w:rPr>
          <w:color w:val="000000" w:themeColor="text1"/>
          <w:sz w:val="22"/>
          <w:szCs w:val="22"/>
          <w:lang w:val="en-GB"/>
        </w:rPr>
        <w:t> </w:t>
      </w:r>
    </w:p>
    <w:p w14:paraId="2B2B25A6" w14:textId="77777777" w:rsidR="00F82961"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most important lesson from this case is that patient harm did not result from one isolated clinical mistake. Rather a series of mistakes in reassessment, communication, documentation, digital support, staffing and governance led to the disastrous consequence. The HSSIB report indicates that the patient's apixaban was correctly paused in the ED due to active </w:t>
      </w:r>
      <w:r w:rsidR="005F5D53" w:rsidRPr="001E6009">
        <w:rPr>
          <w:rFonts w:eastAsia="Times New Roman"/>
          <w:color w:val="000000" w:themeColor="text1"/>
          <w:lang w:val="en-GB"/>
        </w:rPr>
        <w:t>bleeding but</w:t>
      </w:r>
      <w:r w:rsidRPr="001E6009">
        <w:rPr>
          <w:rFonts w:eastAsia="Times New Roman"/>
          <w:color w:val="000000" w:themeColor="text1"/>
          <w:lang w:val="en-GB"/>
        </w:rPr>
        <w:t xml:space="preserve"> was then being inappropriately paused for an extended period until the patient awaits a procedure for which apixaban was supposed to be resumed afterwards. The report further specifies that there was no reconsideration of a continued decision to pause the drug if the procedure did not occur, and the ePMA system did not remind the staff to look at the paused anticoagulant. </w:t>
      </w:r>
    </w:p>
    <w:p w14:paraId="4050FE15" w14:textId="320515AB" w:rsidR="00FF71F1" w:rsidRPr="001E6009" w:rsidRDefault="005F5D53"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Also,</w:t>
      </w:r>
      <w:r w:rsidR="00FF71F1" w:rsidRPr="001E6009">
        <w:rPr>
          <w:rFonts w:eastAsia="Times New Roman"/>
          <w:color w:val="000000" w:themeColor="text1"/>
          <w:lang w:val="en-GB"/>
        </w:rPr>
        <w:t xml:space="preserve"> the risk/benefit is not recorded in a manner that would enable other staff to challenge, revisit and update that risk. This implies that the first lesson is that of active review, not passive waiting (</w:t>
      </w:r>
      <w:proofErr w:type="spellStart"/>
      <w:r w:rsidR="00FF71F1" w:rsidRPr="001E6009">
        <w:rPr>
          <w:rFonts w:eastAsia="Times New Roman"/>
          <w:color w:val="000000" w:themeColor="text1"/>
          <w:lang w:val="en-GB"/>
        </w:rPr>
        <w:t>Douketis</w:t>
      </w:r>
      <w:proofErr w:type="spellEnd"/>
      <w:r w:rsidR="00FF71F1" w:rsidRPr="001E6009">
        <w:rPr>
          <w:rFonts w:eastAsia="Times New Roman"/>
          <w:color w:val="000000" w:themeColor="text1"/>
          <w:lang w:val="en-GB"/>
        </w:rPr>
        <w:t xml:space="preserve"> </w:t>
      </w:r>
      <w:r w:rsidR="00FF71F1" w:rsidRPr="001E6009">
        <w:rPr>
          <w:rFonts w:eastAsia="Times New Roman"/>
          <w:i/>
          <w:iCs/>
          <w:color w:val="000000" w:themeColor="text1"/>
          <w:lang w:val="en-GB"/>
        </w:rPr>
        <w:t>et al</w:t>
      </w:r>
      <w:r w:rsidR="00FF71F1" w:rsidRPr="001E6009">
        <w:rPr>
          <w:rFonts w:eastAsia="Times New Roman"/>
          <w:color w:val="000000" w:themeColor="text1"/>
          <w:lang w:val="en-GB"/>
        </w:rPr>
        <w:t xml:space="preserve">., 2022). In complex hospital pathways, medicines cannot be just left, with the expectation that someone down the line somewhere will take them up again. The clinical situation changed but not the medication plan when the procedure was deferred. A safer system would need the formality of a checkpoint every time there is a time critical medicine </w:t>
      </w:r>
      <w:r w:rsidR="00C1107B" w:rsidRPr="001E6009">
        <w:rPr>
          <w:rFonts w:eastAsia="Times New Roman"/>
          <w:color w:val="000000" w:themeColor="text1"/>
          <w:lang w:val="en-GB"/>
        </w:rPr>
        <w:t>where withheld</w:t>
      </w:r>
      <w:r w:rsidR="00FF71F1" w:rsidRPr="001E6009">
        <w:rPr>
          <w:rFonts w:eastAsia="Times New Roman"/>
          <w:color w:val="000000" w:themeColor="text1"/>
          <w:lang w:val="en-GB"/>
        </w:rPr>
        <w:t xml:space="preserve"> extends beyond an agreed period. </w:t>
      </w:r>
    </w:p>
    <w:p w14:paraId="79248857" w14:textId="77777777" w:rsidR="001F3215"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second lesson is that accountability is a must beyond the handoff. The patient was transferred between clinical settings (Emergency Department, Medical Ward and Respiratory Pathway) and different teams took charge of anticoagulation. HSSIB determined that uncertainty existed about the timing of the procedure, along with a mismatch between the demand of the respiratory service and the available capacity for this service, and the staffing pressures made it difficult to follow-up the medication status in a timely manner. Such were no little administrative </w:t>
      </w:r>
      <w:r w:rsidR="001F3215" w:rsidRPr="001E6009">
        <w:rPr>
          <w:rFonts w:eastAsia="Times New Roman"/>
          <w:color w:val="000000" w:themeColor="text1"/>
          <w:lang w:val="en-GB"/>
        </w:rPr>
        <w:t>problems,</w:t>
      </w:r>
      <w:r w:rsidRPr="001E6009">
        <w:rPr>
          <w:rFonts w:eastAsia="Times New Roman"/>
          <w:color w:val="000000" w:themeColor="text1"/>
          <w:lang w:val="en-GB"/>
        </w:rPr>
        <w:t xml:space="preserve"> and they directly impacted whether the patient attained a stroke-preventative medication (Sheikh </w:t>
      </w:r>
      <w:r w:rsidRPr="001E6009">
        <w:rPr>
          <w:rFonts w:eastAsia="Times New Roman"/>
          <w:i/>
          <w:iCs/>
          <w:color w:val="000000" w:themeColor="text1"/>
          <w:lang w:val="en-GB"/>
        </w:rPr>
        <w:t>et al.,</w:t>
      </w:r>
      <w:r w:rsidRPr="001E6009">
        <w:rPr>
          <w:rFonts w:eastAsia="Times New Roman"/>
          <w:color w:val="000000" w:themeColor="text1"/>
          <w:lang w:val="en-GB"/>
        </w:rPr>
        <w:t xml:space="preserve"> 2022). The case thus confirms that handovers should involve not only the treatment plan in hand, but also the criteria for who to take ownership of time critical medicines. </w:t>
      </w:r>
    </w:p>
    <w:p w14:paraId="43570E4A" w14:textId="77777777" w:rsidR="00544042"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A transfer note must clearly identify who will be keeping track, who will restart the medication and when this needs to be done. A third lesson concerns documentation. In this investigation, the reasoning behind the pause was not recorded clearly enough for other clinicians to build on it. This is a huge disadvantage as documentation is not only a record of what has </w:t>
      </w:r>
      <w:r w:rsidR="00544042" w:rsidRPr="001E6009">
        <w:rPr>
          <w:rFonts w:eastAsia="Times New Roman"/>
          <w:color w:val="000000" w:themeColor="text1"/>
          <w:lang w:val="en-GB"/>
        </w:rPr>
        <w:t>occurred but</w:t>
      </w:r>
      <w:r w:rsidRPr="001E6009">
        <w:rPr>
          <w:rFonts w:eastAsia="Times New Roman"/>
          <w:color w:val="000000" w:themeColor="text1"/>
          <w:lang w:val="en-GB"/>
        </w:rPr>
        <w:t xml:space="preserve"> is a means for understanding what has gone on clinically by all involved. Whatever team decides to </w:t>
      </w:r>
      <w:r w:rsidRPr="001E6009">
        <w:rPr>
          <w:rFonts w:eastAsia="Times New Roman"/>
          <w:color w:val="000000" w:themeColor="text1"/>
          <w:lang w:val="en-GB"/>
        </w:rPr>
        <w:lastRenderedPageBreak/>
        <w:t xml:space="preserve">withhold an anticoagulant for bleeding, another team should know whether it is intended to go on for a short time, until after a procedure, or to be completely evaluated by a specialist. </w:t>
      </w:r>
    </w:p>
    <w:p w14:paraId="7E3033DB" w14:textId="4ADAB4CE"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It could not be readily revisited when circumstances in the clinical context changed, and the lack of a clear written rationale made this decision vulnerable (Williams </w:t>
      </w:r>
      <w:r w:rsidRPr="001E6009">
        <w:rPr>
          <w:rFonts w:eastAsia="Times New Roman"/>
          <w:i/>
          <w:iCs/>
          <w:color w:val="000000" w:themeColor="text1"/>
          <w:lang w:val="en-GB"/>
        </w:rPr>
        <w:t>et al</w:t>
      </w:r>
      <w:r w:rsidRPr="001E6009">
        <w:rPr>
          <w:rFonts w:eastAsia="Times New Roman"/>
          <w:color w:val="000000" w:themeColor="text1"/>
          <w:lang w:val="en-GB"/>
        </w:rPr>
        <w:t xml:space="preserve">., 2022). In a safer system, documentation of reason for stopping, review time and conditions needed for restarting should be required of the clinician. That straightforward change alone might decrease the ambiguity and make the choice more obvious for all working with the patient (Osmani </w:t>
      </w:r>
      <w:r w:rsidRPr="001E6009">
        <w:rPr>
          <w:rFonts w:eastAsia="Times New Roman"/>
          <w:i/>
          <w:iCs/>
          <w:color w:val="000000" w:themeColor="text1"/>
          <w:lang w:val="en-GB"/>
        </w:rPr>
        <w:t>et al</w:t>
      </w:r>
      <w:r w:rsidRPr="001E6009">
        <w:rPr>
          <w:rFonts w:eastAsia="Times New Roman"/>
          <w:color w:val="000000" w:themeColor="text1"/>
          <w:lang w:val="en-GB"/>
        </w:rPr>
        <w:t>., 2023).</w:t>
      </w:r>
    </w:p>
    <w:p w14:paraId="25018339" w14:textId="77777777" w:rsidR="000D1F56"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fourth lesson is that digital systems need to facilitate, not just record, clinical decisions. Staff were nonetheless appropriately reminded that the apixaban had been stopped via the ePMA and HSSIB commented that currently it did not lead to a review because the pause was not triggered by it. That's a huge failure in the system. Electronic records should be not only a reflection of what has taken place, they should also enable staff to see what else still needs to take place (Bourne </w:t>
      </w:r>
      <w:r w:rsidRPr="001E6009">
        <w:rPr>
          <w:rFonts w:eastAsia="Times New Roman"/>
          <w:i/>
          <w:iCs/>
          <w:color w:val="000000" w:themeColor="text1"/>
          <w:lang w:val="en-GB"/>
        </w:rPr>
        <w:t>et al.,</w:t>
      </w:r>
      <w:r w:rsidRPr="001E6009">
        <w:rPr>
          <w:rFonts w:eastAsia="Times New Roman"/>
          <w:color w:val="000000" w:themeColor="text1"/>
          <w:lang w:val="en-GB"/>
        </w:rPr>
        <w:t xml:space="preserve"> 2024). </w:t>
      </w:r>
    </w:p>
    <w:p w14:paraId="1A425CA9" w14:textId="4EE43CE9"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An ePMA system should be able to provide reminders about medicines that are not being taken, remind medical staff that their time out has come to an end, and prompt clinicians to </w:t>
      </w:r>
      <w:proofErr w:type="gramStart"/>
      <w:r w:rsidRPr="001E6009">
        <w:rPr>
          <w:rFonts w:eastAsia="Times New Roman"/>
          <w:color w:val="000000" w:themeColor="text1"/>
          <w:lang w:val="en-GB"/>
        </w:rPr>
        <w:t>make a decision</w:t>
      </w:r>
      <w:proofErr w:type="gramEnd"/>
      <w:r w:rsidRPr="001E6009">
        <w:rPr>
          <w:rFonts w:eastAsia="Times New Roman"/>
          <w:color w:val="000000" w:themeColor="text1"/>
          <w:lang w:val="en-GB"/>
        </w:rPr>
        <w:t xml:space="preserve"> on restarting medicine after a procedure. The case illustrates that digital transformation that is </w:t>
      </w:r>
      <w:proofErr w:type="spellStart"/>
      <w:r w:rsidRPr="001E6009">
        <w:rPr>
          <w:rFonts w:eastAsia="Times New Roman"/>
          <w:color w:val="000000" w:themeColor="text1"/>
          <w:lang w:val="en-GB"/>
        </w:rPr>
        <w:t>centered</w:t>
      </w:r>
      <w:proofErr w:type="spellEnd"/>
      <w:r w:rsidRPr="001E6009">
        <w:rPr>
          <w:rFonts w:eastAsia="Times New Roman"/>
          <w:color w:val="000000" w:themeColor="text1"/>
          <w:lang w:val="en-GB"/>
        </w:rPr>
        <w:t xml:space="preserve"> on escalation and clinical workflow, not just on record keeping, is what can enhance safety.</w:t>
      </w:r>
    </w:p>
    <w:p w14:paraId="0D07C9D4" w14:textId="77777777" w:rsidR="00CD405B"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fifth lesson is that staffing and flow are patient safety issues, not just an operating issue. The investigation found there were limited specialist nursing and administrative support, a delay in follow-up, ward pressure that compromised resources to monitor the patient's medication record and poor attitudes. It also pointed out that imaging was delayed, as well as uncertainty regarding transfer to the respiratory ward, which led to prolonged waiting. Such were the circumstances in which a "medication pause" could spread as wildfire. This implies that upgrading the performance of health professionals must be more than individual clinical care, and addresses agility at a broader system level that influences clinical choices. </w:t>
      </w:r>
    </w:p>
    <w:p w14:paraId="388F17DA" w14:textId="77777777" w:rsidR="005E3BAD"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Safe medicine review practice requires adequate staffing, coordination and working resilience to make review work done. The final lesson is that organisations shall learn from near misses/harms, based on measurable standards. In this instance, it revealed the need for audit and learning regarding what occurred when the anticoagulants were paused, when procedures were delayed, and the decisions made to restart the anticoagulants (Kandiah </w:t>
      </w:r>
      <w:r w:rsidRPr="001E6009">
        <w:rPr>
          <w:rFonts w:eastAsia="Times New Roman"/>
          <w:i/>
          <w:iCs/>
          <w:color w:val="000000" w:themeColor="text1"/>
          <w:lang w:val="en-GB"/>
        </w:rPr>
        <w:t>et al.,</w:t>
      </w:r>
      <w:r w:rsidRPr="001E6009">
        <w:rPr>
          <w:rFonts w:eastAsia="Times New Roman"/>
          <w:color w:val="000000" w:themeColor="text1"/>
          <w:lang w:val="en-GB"/>
        </w:rPr>
        <w:t xml:space="preserve"> 2023). Improvement should </w:t>
      </w:r>
      <w:r w:rsidRPr="001E6009">
        <w:rPr>
          <w:rFonts w:eastAsia="Times New Roman"/>
          <w:color w:val="000000" w:themeColor="text1"/>
          <w:lang w:val="en-GB"/>
        </w:rPr>
        <w:lastRenderedPageBreak/>
        <w:t xml:space="preserve">thus be monitored using clear indicators, which might include number of cases of paused anticoagulants reviewed within a predetermined time, number of times that a restart plan will be documented, number of times ePMA prompts are actioned, and number of times that a delay in a procedure will be escalated appropriately. </w:t>
      </w:r>
    </w:p>
    <w:p w14:paraId="5E41972A" w14:textId="0EC50CF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Without measurable learning, the same failure can recur in a different patient pathway. The case thus demonstrates that governance, leadership, and data must collaborate for continuous improvement. The goal is not merely to respond to specific incidents, but to establish a framework that identifies risk early, allows for clear communication and supports safe restart decisions each time.</w:t>
      </w:r>
    </w:p>
    <w:p w14:paraId="155103FF" w14:textId="230DFE5C" w:rsidR="00FF71F1" w:rsidRPr="001E6009" w:rsidRDefault="00FF71F1" w:rsidP="001E6009">
      <w:pPr>
        <w:pStyle w:val="Heading1"/>
        <w:spacing w:before="240" w:after="240" w:line="360" w:lineRule="auto"/>
        <w:jc w:val="both"/>
        <w:rPr>
          <w:color w:val="000000" w:themeColor="text1"/>
          <w:sz w:val="22"/>
          <w:szCs w:val="22"/>
          <w:lang w:val="en-GB"/>
        </w:rPr>
      </w:pPr>
      <w:bookmarkStart w:id="9" w:name="_Toc236839933"/>
      <w:r w:rsidRPr="001E6009">
        <w:rPr>
          <w:color w:val="000000" w:themeColor="text1"/>
          <w:sz w:val="22"/>
          <w:szCs w:val="22"/>
          <w:lang w:val="en-GB"/>
        </w:rPr>
        <w:t>3. RECOMMENDATIONS</w:t>
      </w:r>
      <w:bookmarkEnd w:id="9"/>
    </w:p>
    <w:p w14:paraId="0FC2E23C" w14:textId="77777777" w:rsidR="004376F7"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first recommendation is to make a mandatory pathway for the review of anticoagulation for all patients who have their anticoagulation stopped prior to a procedure. This pathway should involve a clear and documented rationale for termination, a planned review date and a clear clinician referent point for the next decision. The pathway should incorporate an automatic (re)assessment if there is a delay in the procedure, otherwise a waiting period must be substituted (Dierkes </w:t>
      </w:r>
      <w:r w:rsidRPr="001E6009">
        <w:rPr>
          <w:rFonts w:eastAsia="Times New Roman"/>
          <w:i/>
          <w:iCs/>
          <w:color w:val="000000" w:themeColor="text1"/>
          <w:lang w:val="en-GB"/>
        </w:rPr>
        <w:t>et al</w:t>
      </w:r>
      <w:r w:rsidRPr="001E6009">
        <w:rPr>
          <w:rFonts w:eastAsia="Times New Roman"/>
          <w:color w:val="000000" w:themeColor="text1"/>
          <w:lang w:val="en-GB"/>
        </w:rPr>
        <w:t xml:space="preserve">., 2022). There it would have been a very good idea to have such a mechanism which would have led the team to rethink the bleeding vs stroke risk equation in the non-expected case of waiting too long for a bleed. </w:t>
      </w:r>
    </w:p>
    <w:p w14:paraId="0907EF03" w14:textId="77777777" w:rsidR="004376F7"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That would directly address the one central failure identified by HSSIB which is if the procedure didn't occur as planned, there was no reassessment. The second recommendation is to restructure communications relating to transfer of care. A medicines status summary should be provided at every handover from the ED to ward, ward to specialty teams and specialty teams to procedure teams indicating a summary of the medicine status including a list of any medicines where the time is critical that have been paused. What was stopped and why, what needs to occur before the restart, and who is responsible for ensuring the restart, should be stated in this summary. This would make it less likely that one team thinks they are taking care of the other team's medication (Sykes </w:t>
      </w:r>
      <w:r w:rsidRPr="001E6009">
        <w:rPr>
          <w:rFonts w:eastAsia="Times New Roman"/>
          <w:i/>
          <w:iCs/>
          <w:color w:val="000000" w:themeColor="text1"/>
          <w:lang w:val="en-GB"/>
        </w:rPr>
        <w:t>et al</w:t>
      </w:r>
      <w:r w:rsidRPr="001E6009">
        <w:rPr>
          <w:rFonts w:eastAsia="Times New Roman"/>
          <w:color w:val="000000" w:themeColor="text1"/>
          <w:lang w:val="en-GB"/>
        </w:rPr>
        <w:t xml:space="preserve">., 2022). </w:t>
      </w:r>
    </w:p>
    <w:p w14:paraId="43B2FE1B" w14:textId="77777777" w:rsidR="00CE7366"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It would additionally enhance responsibility along the pathway, especially significant </w:t>
      </w:r>
      <w:proofErr w:type="gramStart"/>
      <w:r w:rsidRPr="001E6009">
        <w:rPr>
          <w:rFonts w:eastAsia="Times New Roman"/>
          <w:color w:val="000000" w:themeColor="text1"/>
          <w:lang w:val="en-GB"/>
        </w:rPr>
        <w:t>in the event that</w:t>
      </w:r>
      <w:proofErr w:type="gramEnd"/>
      <w:r w:rsidRPr="001E6009">
        <w:rPr>
          <w:rFonts w:eastAsia="Times New Roman"/>
          <w:color w:val="000000" w:themeColor="text1"/>
          <w:lang w:val="en-GB"/>
        </w:rPr>
        <w:t xml:space="preserve"> the patient has been shuttled between multiple departments prior to the injury. The third recommendation is that digital security needs to be enhanced in the ePMA system. This should be alerted after a defined period after onset of a pause (after x hours or days), after a prolonged </w:t>
      </w:r>
      <w:r w:rsidRPr="001E6009">
        <w:rPr>
          <w:rFonts w:eastAsia="Times New Roman"/>
          <w:color w:val="000000" w:themeColor="text1"/>
          <w:lang w:val="en-GB"/>
        </w:rPr>
        <w:lastRenderedPageBreak/>
        <w:t xml:space="preserve">pause an alert should be set up and the medicine should be restarted/completed as a pause with a post procedure reminding prompt for re-starts or formal discontinuation. Documentation should not be completed post procedure without a medication decision. This would turn the digital system in passive record mode to active safety tool mode. This is one of the more direct, practical improvements that HSSIB identified because this seemed to be the reason that medicine was not paused and failed to trigger a review. Improved local governance and staff support are the fourth recommendation. </w:t>
      </w:r>
    </w:p>
    <w:p w14:paraId="7197B77A" w14:textId="77777777" w:rsidR="005A0652"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Advice on how to manage anticoagulation should be up to date, easily accessible and be based on national guidance (</w:t>
      </w:r>
      <w:proofErr w:type="spellStart"/>
      <w:r w:rsidRPr="001E6009">
        <w:rPr>
          <w:rFonts w:eastAsia="Times New Roman"/>
          <w:color w:val="000000" w:themeColor="text1"/>
          <w:lang w:val="en-GB"/>
        </w:rPr>
        <w:t>Sturmberg</w:t>
      </w:r>
      <w:proofErr w:type="spellEnd"/>
      <w:r w:rsidRPr="001E6009">
        <w:rPr>
          <w:rFonts w:eastAsia="Times New Roman"/>
          <w:color w:val="000000" w:themeColor="text1"/>
          <w:lang w:val="en-GB"/>
        </w:rPr>
        <w:t xml:space="preserve">, 2024). There should also be a brief and focused training for the staff to cover when and how to restart anticoagulants, particularly where proceedings take longer than usual or patients move between wards. Alongside this, provision of specialist and administrative staff should be sufficient to ensure that patients referred for imaging and imaging follow-up, and those needing surgical procedures are not waiting without being assessed for intervention. An area that this report identifies as having been a factor in the failure is staffing levels and lack of specialist staff, so governance improvement is as much about staff planning as it is about policy writing. </w:t>
      </w:r>
    </w:p>
    <w:p w14:paraId="4C9BFB54" w14:textId="5DA9B878" w:rsidR="00FD2737"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last one is to implement a straightforward audit-and-feedback process. All instances of stopping anticoagulation must be a subject for audit, time to review and resume/dose/start must be measured and reported to ward teams and governance committees. When any delay happens repeatedly, learning review and process change should be </w:t>
      </w:r>
      <w:r w:rsidR="005F39A6" w:rsidRPr="001E6009">
        <w:rPr>
          <w:rFonts w:eastAsia="Times New Roman"/>
          <w:color w:val="000000" w:themeColor="text1"/>
          <w:lang w:val="en-GB"/>
        </w:rPr>
        <w:t>affected</w:t>
      </w:r>
      <w:r w:rsidRPr="001E6009">
        <w:rPr>
          <w:rFonts w:eastAsia="Times New Roman"/>
          <w:color w:val="000000" w:themeColor="text1"/>
          <w:lang w:val="en-GB"/>
        </w:rPr>
        <w:t>. This is crucial since it was not the result of one person, but the system drew this out of itself under pressure (</w:t>
      </w:r>
      <w:proofErr w:type="spellStart"/>
      <w:r w:rsidRPr="001E6009">
        <w:rPr>
          <w:rFonts w:eastAsia="Times New Roman"/>
          <w:color w:val="000000" w:themeColor="text1"/>
          <w:lang w:val="en-GB"/>
        </w:rPr>
        <w:t>ElLithy</w:t>
      </w:r>
      <w:proofErr w:type="spellEnd"/>
      <w:r w:rsidRPr="001E6009">
        <w:rPr>
          <w:rFonts w:eastAsia="Times New Roman"/>
          <w:color w:val="000000" w:themeColor="text1"/>
          <w:lang w:val="en-GB"/>
        </w:rPr>
        <w:t xml:space="preserve"> </w:t>
      </w:r>
      <w:r w:rsidRPr="001E6009">
        <w:rPr>
          <w:rFonts w:eastAsia="Times New Roman"/>
          <w:i/>
          <w:iCs/>
          <w:color w:val="000000" w:themeColor="text1"/>
          <w:lang w:val="en-GB"/>
        </w:rPr>
        <w:t>et al</w:t>
      </w:r>
      <w:r w:rsidRPr="001E6009">
        <w:rPr>
          <w:rFonts w:eastAsia="Times New Roman"/>
          <w:color w:val="000000" w:themeColor="text1"/>
          <w:lang w:val="en-GB"/>
        </w:rPr>
        <w:t>., 2023). An effective audit cycle would enable leaders to identify any points at which the process fails to work, would build accountability and would contribute to continuous improvement. Overall, the safest approach is to shift from a culture of assumption to a culture of deliberate review, collective accountability, and explicit escalation.</w:t>
      </w:r>
    </w:p>
    <w:p w14:paraId="2FDBEE00" w14:textId="5132B6C2" w:rsidR="00FD2737" w:rsidRPr="001E6009" w:rsidRDefault="00FD2737" w:rsidP="001E6009">
      <w:pPr>
        <w:pStyle w:val="Heading1"/>
        <w:spacing w:before="240" w:after="240" w:line="360" w:lineRule="auto"/>
        <w:jc w:val="both"/>
        <w:rPr>
          <w:color w:val="000000" w:themeColor="text1"/>
          <w:sz w:val="22"/>
          <w:szCs w:val="22"/>
          <w:lang w:val="en-GB"/>
        </w:rPr>
      </w:pPr>
      <w:bookmarkStart w:id="10" w:name="_Toc236839934"/>
      <w:r w:rsidRPr="001E6009">
        <w:rPr>
          <w:color w:val="000000" w:themeColor="text1"/>
          <w:sz w:val="22"/>
          <w:szCs w:val="22"/>
          <w:lang w:val="en-GB"/>
        </w:rPr>
        <w:t>4. CONCLUSIONS</w:t>
      </w:r>
      <w:bookmarkEnd w:id="10"/>
    </w:p>
    <w:p w14:paraId="6769DA7A" w14:textId="0F18D516" w:rsidR="00667EBE" w:rsidRDefault="00FD2737"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The report concisely observed the HSSIB case where an </w:t>
      </w:r>
      <w:r w:rsidR="00D01FD2" w:rsidRPr="001E6009">
        <w:rPr>
          <w:rFonts w:eastAsia="Times New Roman"/>
          <w:color w:val="000000" w:themeColor="text1"/>
          <w:lang w:val="en-GB"/>
        </w:rPr>
        <w:t>87-year-old</w:t>
      </w:r>
      <w:r w:rsidRPr="001E6009">
        <w:rPr>
          <w:rFonts w:eastAsia="Times New Roman"/>
          <w:color w:val="000000" w:themeColor="text1"/>
          <w:lang w:val="en-GB"/>
        </w:rPr>
        <w:t xml:space="preserve"> patient was attacked with a stroke due to unavailability of apixaban in the time of hospital admission. The results show that the incident did not happen due to a single error, it happened due to system failure, communication gap, poor medications and casualty in governance and leadership. Though the decision of stopping the anticoagulation due to excessive bleeding was right, the lack </w:t>
      </w:r>
      <w:r w:rsidRPr="001E6009">
        <w:rPr>
          <w:rFonts w:eastAsia="Times New Roman"/>
          <w:color w:val="000000" w:themeColor="text1"/>
          <w:lang w:val="en-GB"/>
        </w:rPr>
        <w:lastRenderedPageBreak/>
        <w:t xml:space="preserve">of immediate steps and quick medications are the cause of the patient's life risk. The analysis shows that system knowledge and thinking is very essential for safe treatment of a suffering patient. It is proved that centralised and decentralised methods are not sufficient when national guidance, frontline clinical techniques are not mastered properly. </w:t>
      </w:r>
    </w:p>
    <w:p w14:paraId="4B1B5707" w14:textId="1F0A40EF" w:rsidR="00FD2737" w:rsidRPr="001E6009" w:rsidRDefault="00FD2737"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From the report it can be told that good governance and clinical flexibility is required for safe and effective treatment. In addition</w:t>
      </w:r>
      <w:r w:rsidR="00965AE1" w:rsidRPr="001E6009">
        <w:rPr>
          <w:rFonts w:eastAsia="Times New Roman"/>
          <w:color w:val="000000" w:themeColor="text1"/>
          <w:lang w:val="en-GB"/>
        </w:rPr>
        <w:t>,</w:t>
      </w:r>
      <w:r w:rsidRPr="001E6009">
        <w:rPr>
          <w:rFonts w:eastAsia="Times New Roman"/>
          <w:color w:val="000000" w:themeColor="text1"/>
          <w:lang w:val="en-GB"/>
        </w:rPr>
        <w:t xml:space="preserve"> it is also proved that situational, transformational methods are reliable for effective treatment and care for stroke attacked patients. Medical documentations, digital literacy and dynamic communication are the key areas for stable and reliable treatment. Junior clinicists should gain knowledge from the experienced one for fluency and confidence in multidisciplinary treatment so that the risk amount and critical situations can be erased from the medical environment.  </w:t>
      </w:r>
    </w:p>
    <w:p w14:paraId="56749313" w14:textId="77777777" w:rsidR="00FD2737" w:rsidRPr="001E6009" w:rsidRDefault="00FD2737" w:rsidP="001E6009">
      <w:pPr>
        <w:spacing w:before="240" w:after="240" w:line="360" w:lineRule="auto"/>
        <w:jc w:val="both"/>
        <w:rPr>
          <w:rFonts w:eastAsia="Times New Roman"/>
          <w:color w:val="000000" w:themeColor="text1"/>
          <w:lang w:val="en-GB"/>
        </w:rPr>
      </w:pPr>
    </w:p>
    <w:p w14:paraId="098764C5" w14:textId="77777777" w:rsidR="00FD2737" w:rsidRPr="001E6009" w:rsidRDefault="00FD2737" w:rsidP="001E6009">
      <w:pPr>
        <w:spacing w:before="240" w:after="240" w:line="360" w:lineRule="auto"/>
        <w:jc w:val="both"/>
        <w:rPr>
          <w:rFonts w:eastAsia="Times New Roman"/>
          <w:color w:val="000000" w:themeColor="text1"/>
          <w:lang w:val="en-GB"/>
        </w:rPr>
      </w:pPr>
    </w:p>
    <w:p w14:paraId="5045FAA2" w14:textId="77777777" w:rsidR="00FD2737" w:rsidRPr="001E6009" w:rsidRDefault="00FD2737" w:rsidP="001E6009">
      <w:pPr>
        <w:spacing w:before="240" w:after="240" w:line="360" w:lineRule="auto"/>
        <w:jc w:val="both"/>
        <w:rPr>
          <w:rFonts w:eastAsia="Times New Roman"/>
          <w:color w:val="000000" w:themeColor="text1"/>
          <w:lang w:val="en-GB"/>
        </w:rPr>
      </w:pPr>
    </w:p>
    <w:p w14:paraId="48AB0DA1" w14:textId="77777777" w:rsidR="00FD2737" w:rsidRPr="001E6009" w:rsidRDefault="00FD2737" w:rsidP="001E6009">
      <w:pPr>
        <w:spacing w:before="240" w:after="240" w:line="360" w:lineRule="auto"/>
        <w:jc w:val="both"/>
        <w:rPr>
          <w:rFonts w:eastAsia="Times New Roman"/>
          <w:color w:val="000000" w:themeColor="text1"/>
          <w:lang w:val="en-GB"/>
        </w:rPr>
      </w:pPr>
    </w:p>
    <w:p w14:paraId="008A182C" w14:textId="77777777" w:rsidR="00FD2737" w:rsidRPr="001E6009" w:rsidRDefault="00FD2737" w:rsidP="001E6009">
      <w:pPr>
        <w:spacing w:before="240" w:after="240" w:line="360" w:lineRule="auto"/>
        <w:jc w:val="both"/>
        <w:rPr>
          <w:rFonts w:eastAsia="Times New Roman"/>
          <w:color w:val="000000" w:themeColor="text1"/>
          <w:lang w:val="en-GB"/>
        </w:rPr>
      </w:pPr>
    </w:p>
    <w:p w14:paraId="557497D1" w14:textId="77777777" w:rsidR="00FF71F1" w:rsidRPr="001E6009" w:rsidRDefault="00FF71F1" w:rsidP="001E6009">
      <w:pPr>
        <w:spacing w:before="240" w:after="240" w:line="360" w:lineRule="auto"/>
        <w:jc w:val="both"/>
        <w:rPr>
          <w:rFonts w:eastAsia="Times New Roman"/>
          <w:color w:val="000000" w:themeColor="text1"/>
          <w:lang w:val="en-GB"/>
        </w:rPr>
      </w:pPr>
    </w:p>
    <w:p w14:paraId="5C76BC38" w14:textId="40698078"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br/>
        <w:t xml:space="preserve"> </w:t>
      </w:r>
      <w:r w:rsidRPr="001E6009">
        <w:rPr>
          <w:rFonts w:eastAsia="Times New Roman"/>
          <w:color w:val="000000" w:themeColor="text1"/>
          <w:lang w:val="en-GB"/>
        </w:rPr>
        <w:br w:type="page"/>
      </w:r>
    </w:p>
    <w:p w14:paraId="38F7153C" w14:textId="78333844" w:rsidR="00FF71F1" w:rsidRPr="001E6009" w:rsidRDefault="00FF71F1" w:rsidP="001E6009">
      <w:pPr>
        <w:pStyle w:val="Heading1"/>
        <w:spacing w:before="240" w:after="240" w:line="360" w:lineRule="auto"/>
        <w:jc w:val="both"/>
        <w:rPr>
          <w:color w:val="000000" w:themeColor="text1"/>
          <w:sz w:val="22"/>
          <w:szCs w:val="22"/>
          <w:lang w:val="en-GB"/>
        </w:rPr>
      </w:pPr>
      <w:bookmarkStart w:id="11" w:name="_Toc236839935"/>
      <w:r w:rsidRPr="001E6009">
        <w:rPr>
          <w:color w:val="000000" w:themeColor="text1"/>
          <w:sz w:val="22"/>
          <w:szCs w:val="22"/>
          <w:lang w:val="en-GB"/>
        </w:rPr>
        <w:lastRenderedPageBreak/>
        <w:t>REFERENCES</w:t>
      </w:r>
      <w:bookmarkEnd w:id="11"/>
    </w:p>
    <w:p w14:paraId="79F66980" w14:textId="77777777" w:rsidR="00FF71F1" w:rsidRPr="001E6009" w:rsidRDefault="00FF71F1" w:rsidP="001E6009">
      <w:pPr>
        <w:spacing w:before="240" w:after="240" w:line="360" w:lineRule="auto"/>
        <w:jc w:val="both"/>
        <w:rPr>
          <w:color w:val="000000" w:themeColor="text1"/>
          <w:lang w:val="en-GB"/>
        </w:rPr>
      </w:pPr>
      <w:proofErr w:type="spellStart"/>
      <w:r w:rsidRPr="001E6009">
        <w:rPr>
          <w:color w:val="000000" w:themeColor="text1"/>
          <w:lang w:val="en-GB"/>
        </w:rPr>
        <w:t>Aldahmashi</w:t>
      </w:r>
      <w:proofErr w:type="spellEnd"/>
      <w:r w:rsidRPr="001E6009">
        <w:rPr>
          <w:color w:val="000000" w:themeColor="text1"/>
          <w:lang w:val="en-GB"/>
        </w:rPr>
        <w:t xml:space="preserve">, A. and Abdulsamad, A., 2026. From Risk Management to Healthcare Quality: The Role of Leadership Effectiveness-A Narrative Review. </w:t>
      </w:r>
      <w:r w:rsidRPr="001E6009">
        <w:rPr>
          <w:i/>
          <w:iCs/>
          <w:color w:val="000000" w:themeColor="text1"/>
          <w:lang w:val="en-GB"/>
        </w:rPr>
        <w:t>Advances in Social Sciences Research Journal</w:t>
      </w:r>
      <w:r w:rsidRPr="001E6009">
        <w:rPr>
          <w:color w:val="000000" w:themeColor="text1"/>
          <w:lang w:val="en-GB"/>
        </w:rPr>
        <w:t xml:space="preserve">, </w:t>
      </w:r>
      <w:r w:rsidRPr="001E6009">
        <w:rPr>
          <w:i/>
          <w:iCs/>
          <w:color w:val="000000" w:themeColor="text1"/>
          <w:lang w:val="en-GB"/>
        </w:rPr>
        <w:t>13</w:t>
      </w:r>
      <w:r w:rsidRPr="001E6009">
        <w:rPr>
          <w:color w:val="000000" w:themeColor="text1"/>
          <w:lang w:val="en-GB"/>
        </w:rPr>
        <w:t xml:space="preserve">(5), pp.16-35. </w:t>
      </w:r>
      <w:hyperlink r:id="rId10" w:history="1">
        <w:r w:rsidRPr="001E6009">
          <w:rPr>
            <w:rStyle w:val="Hyperlink"/>
            <w:color w:val="000000" w:themeColor="text1"/>
            <w:lang w:val="en-GB"/>
          </w:rPr>
          <w:t>https://doi.org/10.14738/assrj.1305.1273</w:t>
        </w:r>
      </w:hyperlink>
    </w:p>
    <w:p w14:paraId="7D3A4803"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Alghamdi, D.S., </w:t>
      </w:r>
      <w:proofErr w:type="spellStart"/>
      <w:r w:rsidRPr="001E6009">
        <w:rPr>
          <w:color w:val="000000" w:themeColor="text1"/>
          <w:lang w:val="en-GB"/>
        </w:rPr>
        <w:t>Alhrasen</w:t>
      </w:r>
      <w:proofErr w:type="spellEnd"/>
      <w:r w:rsidRPr="001E6009">
        <w:rPr>
          <w:color w:val="000000" w:themeColor="text1"/>
          <w:lang w:val="en-GB"/>
        </w:rPr>
        <w:t xml:space="preserve">, M., Kassem, A., </w:t>
      </w:r>
      <w:proofErr w:type="spellStart"/>
      <w:r w:rsidRPr="001E6009">
        <w:rPr>
          <w:color w:val="000000" w:themeColor="text1"/>
          <w:lang w:val="en-GB"/>
        </w:rPr>
        <w:t>Alwagdani</w:t>
      </w:r>
      <w:proofErr w:type="spellEnd"/>
      <w:r w:rsidRPr="001E6009">
        <w:rPr>
          <w:color w:val="000000" w:themeColor="text1"/>
          <w:lang w:val="en-GB"/>
        </w:rPr>
        <w:t xml:space="preserve">, A., </w:t>
      </w:r>
      <w:proofErr w:type="spellStart"/>
      <w:r w:rsidRPr="001E6009">
        <w:rPr>
          <w:color w:val="000000" w:themeColor="text1"/>
          <w:lang w:val="en-GB"/>
        </w:rPr>
        <w:t>Tourkmani</w:t>
      </w:r>
      <w:proofErr w:type="spellEnd"/>
      <w:r w:rsidRPr="001E6009">
        <w:rPr>
          <w:color w:val="000000" w:themeColor="text1"/>
          <w:lang w:val="en-GB"/>
        </w:rPr>
        <w:t xml:space="preserve">, A.M., </w:t>
      </w:r>
      <w:proofErr w:type="spellStart"/>
      <w:r w:rsidRPr="001E6009">
        <w:rPr>
          <w:color w:val="000000" w:themeColor="text1"/>
          <w:lang w:val="en-GB"/>
        </w:rPr>
        <w:t>Alnowaiser</w:t>
      </w:r>
      <w:proofErr w:type="spellEnd"/>
      <w:r w:rsidRPr="001E6009">
        <w:rPr>
          <w:color w:val="000000" w:themeColor="text1"/>
          <w:lang w:val="en-GB"/>
        </w:rPr>
        <w:t xml:space="preserve">, N., Barakah, Y. Al and Alotaibi, Y.K., 2023. Implementation of medication reconciliation at admission and discharge in Ministry of </w:t>
      </w:r>
      <w:proofErr w:type="spellStart"/>
      <w:r w:rsidRPr="001E6009">
        <w:rPr>
          <w:color w:val="000000" w:themeColor="text1"/>
          <w:lang w:val="en-GB"/>
        </w:rPr>
        <w:t>Defense</w:t>
      </w:r>
      <w:proofErr w:type="spellEnd"/>
      <w:r w:rsidRPr="001E6009">
        <w:rPr>
          <w:color w:val="000000" w:themeColor="text1"/>
          <w:lang w:val="en-GB"/>
        </w:rPr>
        <w:t xml:space="preserve"> Health Services Hospitals: A multicentre study. </w:t>
      </w:r>
      <w:r w:rsidRPr="001E6009">
        <w:rPr>
          <w:i/>
          <w:iCs/>
          <w:color w:val="000000" w:themeColor="text1"/>
          <w:lang w:val="en-GB"/>
        </w:rPr>
        <w:t>BMJ Open Quality</w:t>
      </w:r>
      <w:r w:rsidRPr="001E6009">
        <w:rPr>
          <w:color w:val="000000" w:themeColor="text1"/>
          <w:lang w:val="en-GB"/>
        </w:rPr>
        <w:t xml:space="preserve">, [online] 12(2), p.e002121.  </w:t>
      </w:r>
      <w:hyperlink r:id="rId11" w:history="1">
        <w:r w:rsidRPr="001E6009">
          <w:rPr>
            <w:rStyle w:val="Hyperlink"/>
            <w:color w:val="000000" w:themeColor="text1"/>
            <w:lang w:val="en-GB"/>
          </w:rPr>
          <w:t>https://doi.org/10.1136/bmjoq-2022-002121</w:t>
        </w:r>
      </w:hyperlink>
    </w:p>
    <w:p w14:paraId="3FE98650"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Altamimi, H., Liu, Q. and Jimenez, B., 2023. Not too much, not too little: Centralization, decentralization, and organizational change. </w:t>
      </w:r>
      <w:r w:rsidRPr="001E6009">
        <w:rPr>
          <w:i/>
          <w:iCs/>
          <w:color w:val="000000" w:themeColor="text1"/>
          <w:lang w:val="en-GB"/>
        </w:rPr>
        <w:t>Journal of Public Administration Research and Theory</w:t>
      </w:r>
      <w:r w:rsidRPr="001E6009">
        <w:rPr>
          <w:color w:val="000000" w:themeColor="text1"/>
          <w:lang w:val="en-GB"/>
        </w:rPr>
        <w:t xml:space="preserve">, 33(1), pp.170–185.  </w:t>
      </w:r>
      <w:hyperlink r:id="rId12" w:history="1">
        <w:r w:rsidRPr="001E6009">
          <w:rPr>
            <w:rStyle w:val="Hyperlink"/>
            <w:color w:val="000000" w:themeColor="text1"/>
            <w:lang w:val="en-GB"/>
          </w:rPr>
          <w:t>https://doi.org/10.1093/jopart/muac016</w:t>
        </w:r>
      </w:hyperlink>
    </w:p>
    <w:p w14:paraId="7CD28233"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Bourne, R.S., Jeffries, M., Jennings, J.K., Ashcroft, D.M. and Norman, P., 2024. Improving medication safety for intensive care patients transitioning to a hospital ward: development of a theory-informed intervention package. BMC Health Services Research, [online] 24(1). </w:t>
      </w:r>
      <w:hyperlink r:id="rId13" w:history="1">
        <w:r w:rsidRPr="001E6009">
          <w:rPr>
            <w:rStyle w:val="Hyperlink"/>
            <w:rFonts w:eastAsia="Times New Roman"/>
            <w:color w:val="000000" w:themeColor="text1"/>
            <w:lang w:val="en-GB"/>
          </w:rPr>
          <w:t>https://doi.org/10.1186/s12913-024-11627-3</w:t>
        </w:r>
      </w:hyperlink>
      <w:r w:rsidRPr="001E6009">
        <w:rPr>
          <w:rFonts w:eastAsia="Times New Roman"/>
          <w:color w:val="000000" w:themeColor="text1"/>
          <w:lang w:val="en-GB"/>
        </w:rPr>
        <w:t>. </w:t>
      </w:r>
    </w:p>
    <w:p w14:paraId="32D9E83F"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Carstensen, K., Kjeldsen, A.M. and Nielsen, C., 2023. Distributed leadership in health quality improvement collaboratives. </w:t>
      </w:r>
      <w:r w:rsidRPr="001E6009">
        <w:rPr>
          <w:i/>
          <w:iCs/>
          <w:color w:val="000000" w:themeColor="text1"/>
          <w:lang w:val="en-GB"/>
        </w:rPr>
        <w:t>Health Care Management Review</w:t>
      </w:r>
      <w:r w:rsidRPr="001E6009">
        <w:rPr>
          <w:color w:val="000000" w:themeColor="text1"/>
          <w:lang w:val="en-GB"/>
        </w:rPr>
        <w:t xml:space="preserve">, 49(1), pp.46–58. </w:t>
      </w:r>
      <w:hyperlink r:id="rId14" w:history="1">
        <w:r w:rsidRPr="001E6009">
          <w:rPr>
            <w:rStyle w:val="Hyperlink"/>
            <w:color w:val="000000" w:themeColor="text1"/>
            <w:lang w:val="en-GB"/>
          </w:rPr>
          <w:t>https://doi.org/10.1097/HMR.0000000000000385</w:t>
        </w:r>
      </w:hyperlink>
    </w:p>
    <w:p w14:paraId="6CAF8D54" w14:textId="77777777" w:rsidR="00FF71F1" w:rsidRPr="001E6009" w:rsidRDefault="00FF71F1" w:rsidP="001E6009">
      <w:pPr>
        <w:spacing w:before="240" w:after="240" w:line="360" w:lineRule="auto"/>
        <w:jc w:val="both"/>
        <w:rPr>
          <w:color w:val="000000" w:themeColor="text1"/>
          <w:lang w:val="en-GB"/>
        </w:rPr>
      </w:pPr>
      <w:proofErr w:type="spellStart"/>
      <w:r w:rsidRPr="001E6009">
        <w:rPr>
          <w:color w:val="000000" w:themeColor="text1"/>
          <w:lang w:val="en-GB"/>
        </w:rPr>
        <w:t>Curșeu</w:t>
      </w:r>
      <w:proofErr w:type="spellEnd"/>
      <w:r w:rsidRPr="001E6009">
        <w:rPr>
          <w:color w:val="000000" w:themeColor="text1"/>
          <w:lang w:val="en-GB"/>
        </w:rPr>
        <w:t xml:space="preserve">, P.L., van Rijswijk, J. and </w:t>
      </w:r>
      <w:proofErr w:type="spellStart"/>
      <w:r w:rsidRPr="001E6009">
        <w:rPr>
          <w:color w:val="000000" w:themeColor="text1"/>
          <w:lang w:val="en-GB"/>
        </w:rPr>
        <w:t>Schruijer</w:t>
      </w:r>
      <w:proofErr w:type="spellEnd"/>
      <w:r w:rsidRPr="001E6009">
        <w:rPr>
          <w:color w:val="000000" w:themeColor="text1"/>
          <w:lang w:val="en-GB"/>
        </w:rPr>
        <w:t xml:space="preserve">, S., 2025. Collaborative and shared leadership dynamics in healthcare action teams: A systematic literature review. </w:t>
      </w:r>
      <w:r w:rsidRPr="001E6009">
        <w:rPr>
          <w:i/>
          <w:iCs/>
          <w:color w:val="000000" w:themeColor="text1"/>
          <w:lang w:val="en-GB"/>
        </w:rPr>
        <w:t>Journal of Healthcare Leadership</w:t>
      </w:r>
      <w:r w:rsidRPr="001E6009">
        <w:rPr>
          <w:color w:val="000000" w:themeColor="text1"/>
          <w:lang w:val="en-GB"/>
        </w:rPr>
        <w:t xml:space="preserve">, Volume 17, pp.877–899. </w:t>
      </w:r>
      <w:hyperlink r:id="rId15" w:history="1">
        <w:r w:rsidRPr="001E6009">
          <w:rPr>
            <w:rStyle w:val="Hyperlink"/>
            <w:color w:val="000000" w:themeColor="text1"/>
            <w:lang w:val="en-GB"/>
          </w:rPr>
          <w:t>https://doi.org/10.2147/JHL.S520534</w:t>
        </w:r>
      </w:hyperlink>
    </w:p>
    <w:p w14:paraId="25CDC48E"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Dierkes, A.M., Aiken, L.H., Sloane, D.M., </w:t>
      </w:r>
      <w:proofErr w:type="spellStart"/>
      <w:r w:rsidRPr="001E6009">
        <w:rPr>
          <w:rFonts w:eastAsia="Times New Roman"/>
          <w:color w:val="000000" w:themeColor="text1"/>
          <w:lang w:val="en-GB"/>
        </w:rPr>
        <w:t>Cimiotti</w:t>
      </w:r>
      <w:proofErr w:type="spellEnd"/>
      <w:r w:rsidRPr="001E6009">
        <w:rPr>
          <w:rFonts w:eastAsia="Times New Roman"/>
          <w:color w:val="000000" w:themeColor="text1"/>
          <w:lang w:val="en-GB"/>
        </w:rPr>
        <w:t xml:space="preserve">, J.P., Riman, K.A. and McHugh, M.D., 2022. Hospital nurse staffing and sepsis protocol compliance and outcomes among patients with sepsis in the USA: a multistate cross-sectional analysis. BMJ open, 12(3), p.e056802.  </w:t>
      </w:r>
      <w:hyperlink r:id="rId16" w:history="1">
        <w:r w:rsidRPr="001E6009">
          <w:rPr>
            <w:rStyle w:val="Hyperlink"/>
            <w:rFonts w:eastAsia="Times New Roman"/>
            <w:color w:val="000000" w:themeColor="text1"/>
            <w:lang w:val="en-GB"/>
          </w:rPr>
          <w:t>https://bmjopen.bmj.com/content/bmjopen/12/3/e056802.full.pdf</w:t>
        </w:r>
      </w:hyperlink>
      <w:r w:rsidRPr="001E6009">
        <w:rPr>
          <w:rFonts w:eastAsia="Times New Roman"/>
          <w:color w:val="000000" w:themeColor="text1"/>
          <w:lang w:val="en-GB"/>
        </w:rPr>
        <w:t> </w:t>
      </w:r>
    </w:p>
    <w:p w14:paraId="61FA4AEF" w14:textId="77777777" w:rsidR="00FF71F1" w:rsidRPr="001E6009" w:rsidRDefault="00FF71F1" w:rsidP="001E6009">
      <w:pPr>
        <w:spacing w:before="240" w:after="240" w:line="360" w:lineRule="auto"/>
        <w:jc w:val="both"/>
        <w:rPr>
          <w:rFonts w:eastAsia="Times New Roman"/>
          <w:color w:val="000000" w:themeColor="text1"/>
          <w:lang w:val="en-GB"/>
        </w:rPr>
      </w:pPr>
      <w:proofErr w:type="spellStart"/>
      <w:r w:rsidRPr="001E6009">
        <w:rPr>
          <w:rFonts w:eastAsia="Times New Roman"/>
          <w:color w:val="000000" w:themeColor="text1"/>
          <w:lang w:val="en-GB"/>
        </w:rPr>
        <w:t>Douketis</w:t>
      </w:r>
      <w:proofErr w:type="spellEnd"/>
      <w:r w:rsidRPr="001E6009">
        <w:rPr>
          <w:rFonts w:eastAsia="Times New Roman"/>
          <w:color w:val="000000" w:themeColor="text1"/>
          <w:lang w:val="en-GB"/>
        </w:rPr>
        <w:t xml:space="preserve">, J.D., Spyropoulos, A.C., Murad, M.H., </w:t>
      </w:r>
      <w:proofErr w:type="spellStart"/>
      <w:r w:rsidRPr="001E6009">
        <w:rPr>
          <w:rFonts w:eastAsia="Times New Roman"/>
          <w:color w:val="000000" w:themeColor="text1"/>
          <w:lang w:val="en-GB"/>
        </w:rPr>
        <w:t>Arcelus</w:t>
      </w:r>
      <w:proofErr w:type="spellEnd"/>
      <w:r w:rsidRPr="001E6009">
        <w:rPr>
          <w:rFonts w:eastAsia="Times New Roman"/>
          <w:color w:val="000000" w:themeColor="text1"/>
          <w:lang w:val="en-GB"/>
        </w:rPr>
        <w:t xml:space="preserve">, J.I., Dager, W.E., Dunn, A.S., Fargo, R.A., Levy, J.H., Samama, C.M., Shah, S.H., Sherwood, M.W., Tafur, A.J., Tang, L.V. and </w:t>
      </w:r>
      <w:proofErr w:type="spellStart"/>
      <w:r w:rsidRPr="001E6009">
        <w:rPr>
          <w:rFonts w:eastAsia="Times New Roman"/>
          <w:color w:val="000000" w:themeColor="text1"/>
          <w:lang w:val="en-GB"/>
        </w:rPr>
        <w:t>Moores</w:t>
      </w:r>
      <w:proofErr w:type="spellEnd"/>
      <w:r w:rsidRPr="001E6009">
        <w:rPr>
          <w:rFonts w:eastAsia="Times New Roman"/>
          <w:color w:val="000000" w:themeColor="text1"/>
          <w:lang w:val="en-GB"/>
        </w:rPr>
        <w:t xml:space="preserve">, L.K., 2022. Perioperative Management of Antithrombotic Therapy. CHEST, [online] 162(5), pp.e207–e243. </w:t>
      </w:r>
      <w:hyperlink r:id="rId17" w:history="1">
        <w:r w:rsidRPr="001E6009">
          <w:rPr>
            <w:rStyle w:val="Hyperlink"/>
            <w:rFonts w:eastAsia="Times New Roman"/>
            <w:color w:val="000000" w:themeColor="text1"/>
            <w:lang w:val="en-GB"/>
          </w:rPr>
          <w:t>https://doi.org/10.1016/j.chest.2022.07.025</w:t>
        </w:r>
      </w:hyperlink>
      <w:r w:rsidRPr="001E6009">
        <w:rPr>
          <w:rFonts w:eastAsia="Times New Roman"/>
          <w:color w:val="000000" w:themeColor="text1"/>
          <w:lang w:val="en-GB"/>
        </w:rPr>
        <w:t>. </w:t>
      </w:r>
    </w:p>
    <w:p w14:paraId="5A199A60" w14:textId="77777777" w:rsidR="00FF71F1" w:rsidRPr="001E6009" w:rsidRDefault="00FF71F1" w:rsidP="001E6009">
      <w:pPr>
        <w:spacing w:before="240" w:after="240" w:line="360" w:lineRule="auto"/>
        <w:jc w:val="both"/>
        <w:rPr>
          <w:color w:val="000000" w:themeColor="text1"/>
          <w:lang w:val="en-GB"/>
        </w:rPr>
      </w:pPr>
      <w:proofErr w:type="spellStart"/>
      <w:r w:rsidRPr="001E6009">
        <w:rPr>
          <w:color w:val="000000" w:themeColor="text1"/>
          <w:lang w:val="en-GB"/>
        </w:rPr>
        <w:lastRenderedPageBreak/>
        <w:t>Dresti</w:t>
      </w:r>
      <w:proofErr w:type="spellEnd"/>
      <w:r w:rsidRPr="001E6009">
        <w:rPr>
          <w:color w:val="000000" w:themeColor="text1"/>
          <w:lang w:val="en-GB"/>
        </w:rPr>
        <w:t xml:space="preserve">, S., 2024. </w:t>
      </w:r>
      <w:r w:rsidRPr="001E6009">
        <w:rPr>
          <w:i/>
          <w:iCs/>
          <w:color w:val="000000" w:themeColor="text1"/>
          <w:lang w:val="en-GB"/>
        </w:rPr>
        <w:t>Medication not given: Administration of time critical medication in the Emergency Department</w:t>
      </w:r>
      <w:r w:rsidRPr="001E6009">
        <w:rPr>
          <w:color w:val="000000" w:themeColor="text1"/>
          <w:lang w:val="en-GB"/>
        </w:rPr>
        <w:t xml:space="preserve">, </w:t>
      </w:r>
      <w:r w:rsidRPr="001E6009">
        <w:rPr>
          <w:i/>
          <w:iCs/>
          <w:color w:val="000000" w:themeColor="text1"/>
          <w:lang w:val="en-GB"/>
        </w:rPr>
        <w:t>HSSIB</w:t>
      </w:r>
      <w:r w:rsidRPr="001E6009">
        <w:rPr>
          <w:color w:val="000000" w:themeColor="text1"/>
          <w:lang w:val="en-GB"/>
        </w:rPr>
        <w:t xml:space="preserve">. Available at: </w:t>
      </w:r>
      <w:hyperlink r:id="rId18" w:history="1">
        <w:r w:rsidRPr="001E6009">
          <w:rPr>
            <w:rStyle w:val="Hyperlink"/>
            <w:color w:val="000000" w:themeColor="text1"/>
            <w:lang w:val="en-GB"/>
          </w:rPr>
          <w:t>https://www.hssib.org.uk/patient-safety-investigations/medication-related-harm/investigation-report/</w:t>
        </w:r>
      </w:hyperlink>
      <w:r w:rsidRPr="001E6009">
        <w:rPr>
          <w:color w:val="000000" w:themeColor="text1"/>
          <w:lang w:val="en-GB"/>
        </w:rPr>
        <w:t xml:space="preserve"> (Accessed: 04 August 2026).</w:t>
      </w:r>
    </w:p>
    <w:p w14:paraId="23442FC4"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Elliott, R.A., Camacho, E., Jankovic, D., </w:t>
      </w:r>
      <w:proofErr w:type="spellStart"/>
      <w:r w:rsidRPr="001E6009">
        <w:rPr>
          <w:color w:val="000000" w:themeColor="text1"/>
          <w:lang w:val="en-GB"/>
        </w:rPr>
        <w:t>Sculpher</w:t>
      </w:r>
      <w:proofErr w:type="spellEnd"/>
      <w:r w:rsidRPr="001E6009">
        <w:rPr>
          <w:color w:val="000000" w:themeColor="text1"/>
          <w:lang w:val="en-GB"/>
        </w:rPr>
        <w:t xml:space="preserve">, M.J. and Faria, R., 2021. Economic analysis of the prevalence and clinical and economic burden of medication error in England. </w:t>
      </w:r>
      <w:r w:rsidRPr="001E6009">
        <w:rPr>
          <w:i/>
          <w:iCs/>
          <w:color w:val="000000" w:themeColor="text1"/>
          <w:lang w:val="en-GB"/>
        </w:rPr>
        <w:t>BMJ Quality &amp; Safety</w:t>
      </w:r>
      <w:r w:rsidRPr="001E6009">
        <w:rPr>
          <w:color w:val="000000" w:themeColor="text1"/>
          <w:lang w:val="en-GB"/>
        </w:rPr>
        <w:t xml:space="preserve">, [online] 30(2), pp.96–105.  </w:t>
      </w:r>
      <w:hyperlink r:id="rId19" w:history="1">
        <w:r w:rsidRPr="001E6009">
          <w:rPr>
            <w:rStyle w:val="Hyperlink"/>
            <w:color w:val="000000" w:themeColor="text1"/>
            <w:lang w:val="en-GB"/>
          </w:rPr>
          <w:t>https://doi.org/10.1136/bmjqs-2019-010206</w:t>
        </w:r>
      </w:hyperlink>
    </w:p>
    <w:p w14:paraId="09E93258" w14:textId="77777777" w:rsidR="00FF71F1" w:rsidRPr="001E6009" w:rsidRDefault="00FF71F1" w:rsidP="001E6009">
      <w:pPr>
        <w:spacing w:before="240" w:after="240" w:line="360" w:lineRule="auto"/>
        <w:jc w:val="both"/>
        <w:rPr>
          <w:rFonts w:eastAsia="Times New Roman"/>
          <w:color w:val="000000" w:themeColor="text1"/>
          <w:lang w:val="en-GB"/>
        </w:rPr>
      </w:pPr>
      <w:proofErr w:type="spellStart"/>
      <w:r w:rsidRPr="001E6009">
        <w:rPr>
          <w:rFonts w:eastAsia="Times New Roman"/>
          <w:color w:val="000000" w:themeColor="text1"/>
          <w:lang w:val="en-GB"/>
        </w:rPr>
        <w:t>ElLithy</w:t>
      </w:r>
      <w:proofErr w:type="spellEnd"/>
      <w:r w:rsidRPr="001E6009">
        <w:rPr>
          <w:rFonts w:eastAsia="Times New Roman"/>
          <w:color w:val="000000" w:themeColor="text1"/>
          <w:lang w:val="en-GB"/>
        </w:rPr>
        <w:t xml:space="preserve">, M.H., Salah, H., Abdelghani, L.S., Assar, W. and Corbally, M., 2023. Benchmarking of medication incidents reporting and medication error rates in a JCI accredited university teaching hospital at a GCC country. Saudi Pharmaceutical Journal, 31(9), pp.1-11. </w:t>
      </w:r>
      <w:hyperlink r:id="rId20" w:history="1">
        <w:r w:rsidRPr="001E6009">
          <w:rPr>
            <w:rStyle w:val="Hyperlink"/>
            <w:rFonts w:eastAsia="Times New Roman"/>
            <w:color w:val="000000" w:themeColor="text1"/>
            <w:lang w:val="en-GB"/>
          </w:rPr>
          <w:t>https://doi.org/10.1016/j.jsps.2023.101726</w:t>
        </w:r>
      </w:hyperlink>
      <w:r w:rsidRPr="001E6009">
        <w:rPr>
          <w:rFonts w:eastAsia="Times New Roman"/>
          <w:color w:val="000000" w:themeColor="text1"/>
          <w:lang w:val="en-GB"/>
        </w:rPr>
        <w:t xml:space="preserve">   </w:t>
      </w:r>
    </w:p>
    <w:p w14:paraId="523D2007"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Fukami, T., 2025. The importance of supportive leadership in advancing patient safety. </w:t>
      </w:r>
      <w:r w:rsidRPr="001E6009">
        <w:rPr>
          <w:i/>
          <w:iCs/>
          <w:color w:val="000000" w:themeColor="text1"/>
          <w:lang w:val="en-GB"/>
        </w:rPr>
        <w:t>Cureus</w:t>
      </w:r>
      <w:r w:rsidRPr="001E6009">
        <w:rPr>
          <w:color w:val="000000" w:themeColor="text1"/>
          <w:lang w:val="en-GB"/>
        </w:rPr>
        <w:t xml:space="preserve">. [online] </w:t>
      </w:r>
      <w:hyperlink r:id="rId21" w:history="1">
        <w:r w:rsidRPr="001E6009">
          <w:rPr>
            <w:rStyle w:val="Hyperlink"/>
            <w:color w:val="000000" w:themeColor="text1"/>
            <w:lang w:val="en-GB"/>
          </w:rPr>
          <w:t>https://doi.org/10.7759/cureus.94056</w:t>
        </w:r>
      </w:hyperlink>
    </w:p>
    <w:p w14:paraId="0E028004"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Gardi, B., Ali, R. and Darmawan, D., 2024. Implementing Situational Leadership to Improve Team Performance in Multicultural Organizations. </w:t>
      </w:r>
      <w:r w:rsidRPr="001E6009">
        <w:rPr>
          <w:i/>
          <w:iCs/>
          <w:color w:val="000000" w:themeColor="text1"/>
          <w:lang w:val="en-GB"/>
        </w:rPr>
        <w:t>Journal of Social Science Studies</w:t>
      </w:r>
      <w:r w:rsidRPr="001E6009">
        <w:rPr>
          <w:color w:val="000000" w:themeColor="text1"/>
          <w:lang w:val="en-GB"/>
        </w:rPr>
        <w:t xml:space="preserve">, </w:t>
      </w:r>
      <w:r w:rsidRPr="001E6009">
        <w:rPr>
          <w:i/>
          <w:iCs/>
          <w:color w:val="000000" w:themeColor="text1"/>
          <w:lang w:val="en-GB"/>
        </w:rPr>
        <w:t>4</w:t>
      </w:r>
      <w:r w:rsidRPr="001E6009">
        <w:rPr>
          <w:color w:val="000000" w:themeColor="text1"/>
          <w:lang w:val="en-GB"/>
        </w:rPr>
        <w:t xml:space="preserve">(1), pp.61-66. </w:t>
      </w:r>
      <w:hyperlink r:id="rId22" w:history="1">
        <w:r w:rsidRPr="001E6009">
          <w:rPr>
            <w:rStyle w:val="Hyperlink"/>
            <w:color w:val="000000" w:themeColor="text1"/>
            <w:lang w:val="en-GB"/>
          </w:rPr>
          <w:t>https://jos3journals.id/index.php/jos3/article/view/291</w:t>
        </w:r>
      </w:hyperlink>
    </w:p>
    <w:p w14:paraId="10F5DA45"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Hodkinson, A., Tyler, N., Ashcroft, D.M., Keers, R.N., Khan, K., Phipps, D., </w:t>
      </w:r>
      <w:proofErr w:type="spellStart"/>
      <w:r w:rsidRPr="001E6009">
        <w:rPr>
          <w:color w:val="000000" w:themeColor="text1"/>
          <w:lang w:val="en-GB"/>
        </w:rPr>
        <w:t>Abuzour</w:t>
      </w:r>
      <w:proofErr w:type="spellEnd"/>
      <w:r w:rsidRPr="001E6009">
        <w:rPr>
          <w:color w:val="000000" w:themeColor="text1"/>
          <w:lang w:val="en-GB"/>
        </w:rPr>
        <w:t xml:space="preserve">, A., Bower, P., Avery, A., Campbell, S. and </w:t>
      </w:r>
      <w:proofErr w:type="spellStart"/>
      <w:r w:rsidRPr="001E6009">
        <w:rPr>
          <w:color w:val="000000" w:themeColor="text1"/>
          <w:lang w:val="en-GB"/>
        </w:rPr>
        <w:t>Panagioti</w:t>
      </w:r>
      <w:proofErr w:type="spellEnd"/>
      <w:r w:rsidRPr="001E6009">
        <w:rPr>
          <w:color w:val="000000" w:themeColor="text1"/>
          <w:lang w:val="en-GB"/>
        </w:rPr>
        <w:t xml:space="preserve">, M., 2021. Preventable medication harm across health care settings: A systematic review and meta-analysis. </w:t>
      </w:r>
      <w:r w:rsidRPr="001E6009">
        <w:rPr>
          <w:i/>
          <w:iCs/>
          <w:color w:val="000000" w:themeColor="text1"/>
          <w:lang w:val="en-GB"/>
        </w:rPr>
        <w:t>BMC Medicine</w:t>
      </w:r>
      <w:r w:rsidRPr="001E6009">
        <w:rPr>
          <w:color w:val="000000" w:themeColor="text1"/>
          <w:lang w:val="en-GB"/>
        </w:rPr>
        <w:t xml:space="preserve">, [online] 18(1). </w:t>
      </w:r>
      <w:hyperlink r:id="rId23" w:history="1">
        <w:r w:rsidRPr="001E6009">
          <w:rPr>
            <w:rStyle w:val="Hyperlink"/>
            <w:color w:val="000000" w:themeColor="text1"/>
            <w:lang w:val="en-GB"/>
          </w:rPr>
          <w:t>https://doi.org/10.1186/s12916-020-01774-9</w:t>
        </w:r>
      </w:hyperlink>
    </w:p>
    <w:p w14:paraId="42C3411D"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Jang, H., Lee, M. and Lee, N.-J., 2022. Communication Education regarding patient safety for registered nurses in acute hospital settings: A scoping review protocol. </w:t>
      </w:r>
      <w:r w:rsidRPr="001E6009">
        <w:rPr>
          <w:i/>
          <w:iCs/>
          <w:color w:val="000000" w:themeColor="text1"/>
          <w:lang w:val="en-GB"/>
        </w:rPr>
        <w:t>BMJ Open</w:t>
      </w:r>
      <w:r w:rsidRPr="001E6009">
        <w:rPr>
          <w:color w:val="000000" w:themeColor="text1"/>
          <w:lang w:val="en-GB"/>
        </w:rPr>
        <w:t xml:space="preserve">, [online] 12(2), p.e053217.  </w:t>
      </w:r>
      <w:hyperlink r:id="rId24" w:history="1">
        <w:r w:rsidRPr="001E6009">
          <w:rPr>
            <w:rStyle w:val="Hyperlink"/>
            <w:color w:val="000000" w:themeColor="text1"/>
            <w:lang w:val="en-GB"/>
          </w:rPr>
          <w:t>https://doi.org/10.1136/bmjopen-2021-053217</w:t>
        </w:r>
      </w:hyperlink>
    </w:p>
    <w:p w14:paraId="57A5CA47"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Kandiah, J., Nazar, H., Blacklock, J., Robinson, A. and Wright, D., 2023. Contextual factors influencing medicines-related interventions to support safe transitions for care home residents post hospital discharge: a systematic review and meta-ethnographic synthesis. International Journal of Clinical Pharmacy, 45(1), pp.26-37. </w:t>
      </w:r>
      <w:hyperlink r:id="rId25" w:history="1">
        <w:r w:rsidRPr="001E6009">
          <w:rPr>
            <w:rStyle w:val="Hyperlink"/>
            <w:rFonts w:eastAsia="Times New Roman"/>
            <w:color w:val="000000" w:themeColor="text1"/>
            <w:lang w:val="en-GB"/>
          </w:rPr>
          <w:t>https://doi.org/10.1007/s11096-022-01507-3</w:t>
        </w:r>
      </w:hyperlink>
      <w:r w:rsidRPr="001E6009">
        <w:rPr>
          <w:rFonts w:eastAsia="Times New Roman"/>
          <w:color w:val="000000" w:themeColor="text1"/>
          <w:lang w:val="en-GB"/>
        </w:rPr>
        <w:t> </w:t>
      </w:r>
    </w:p>
    <w:p w14:paraId="0E4DF058" w14:textId="6FC6B3B1"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National Health Service England</w:t>
      </w:r>
      <w:r w:rsidR="0001108E">
        <w:rPr>
          <w:color w:val="000000" w:themeColor="text1"/>
          <w:lang w:val="en-GB"/>
        </w:rPr>
        <w:t xml:space="preserve">., </w:t>
      </w:r>
      <w:r w:rsidRPr="001E6009">
        <w:rPr>
          <w:color w:val="000000" w:themeColor="text1"/>
          <w:lang w:val="en-GB"/>
        </w:rPr>
        <w:t xml:space="preserve">2024. </w:t>
      </w:r>
      <w:r w:rsidRPr="001E6009">
        <w:rPr>
          <w:i/>
          <w:iCs/>
          <w:color w:val="000000" w:themeColor="text1"/>
          <w:lang w:val="en-GB"/>
        </w:rPr>
        <w:t>NHS England » learn from patient safety events (LFPSE) service</w:t>
      </w:r>
      <w:r w:rsidRPr="001E6009">
        <w:rPr>
          <w:color w:val="000000" w:themeColor="text1"/>
          <w:lang w:val="en-GB"/>
        </w:rPr>
        <w:t xml:space="preserve">. [online] </w:t>
      </w:r>
      <w:r w:rsidRPr="001E6009">
        <w:rPr>
          <w:i/>
          <w:iCs/>
          <w:color w:val="000000" w:themeColor="text1"/>
          <w:lang w:val="en-GB"/>
        </w:rPr>
        <w:t>www.england.nhs.uk</w:t>
      </w:r>
      <w:r w:rsidRPr="001E6009">
        <w:rPr>
          <w:color w:val="000000" w:themeColor="text1"/>
          <w:lang w:val="en-GB"/>
        </w:rPr>
        <w:t xml:space="preserve">. Available at: </w:t>
      </w:r>
      <w:hyperlink r:id="rId26" w:history="1">
        <w:r w:rsidRPr="001E6009">
          <w:rPr>
            <w:rStyle w:val="Hyperlink"/>
            <w:color w:val="000000" w:themeColor="text1"/>
            <w:lang w:val="en-GB"/>
          </w:rPr>
          <w:t>https://www.england.nhs.uk/patient-</w:t>
        </w:r>
        <w:r w:rsidRPr="001E6009">
          <w:rPr>
            <w:rStyle w:val="Hyperlink"/>
            <w:color w:val="000000" w:themeColor="text1"/>
            <w:lang w:val="en-GB"/>
          </w:rPr>
          <w:lastRenderedPageBreak/>
          <w:t>safety/patient-safety-insight/learning-from-patient-safety-events/learn-from-patient-safety-events-service/</w:t>
        </w:r>
      </w:hyperlink>
      <w:r w:rsidRPr="001E6009">
        <w:rPr>
          <w:color w:val="000000" w:themeColor="text1"/>
          <w:lang w:val="en-GB"/>
        </w:rPr>
        <w:t xml:space="preserve"> [Accessed 4 Aug. 2026].  </w:t>
      </w:r>
    </w:p>
    <w:p w14:paraId="5F0A1EAF" w14:textId="6DEF99DC"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NHS England</w:t>
      </w:r>
      <w:r w:rsidR="00FD1A7F">
        <w:rPr>
          <w:color w:val="000000" w:themeColor="text1"/>
          <w:lang w:val="en-GB"/>
        </w:rPr>
        <w:t xml:space="preserve">., </w:t>
      </w:r>
      <w:r w:rsidRPr="001E6009">
        <w:rPr>
          <w:color w:val="000000" w:themeColor="text1"/>
          <w:lang w:val="en-GB"/>
        </w:rPr>
        <w:t xml:space="preserve">2024. </w:t>
      </w:r>
      <w:r w:rsidRPr="001E6009">
        <w:rPr>
          <w:i/>
          <w:iCs/>
          <w:color w:val="000000" w:themeColor="text1"/>
          <w:lang w:val="en-GB"/>
        </w:rPr>
        <w:t>NHS England - NHS long term workforce plan</w:t>
      </w:r>
      <w:r w:rsidRPr="001E6009">
        <w:rPr>
          <w:color w:val="000000" w:themeColor="text1"/>
          <w:lang w:val="en-GB"/>
        </w:rPr>
        <w:t xml:space="preserve">. [online] </w:t>
      </w:r>
      <w:r w:rsidRPr="001E6009">
        <w:rPr>
          <w:i/>
          <w:iCs/>
          <w:color w:val="000000" w:themeColor="text1"/>
          <w:lang w:val="en-GB"/>
        </w:rPr>
        <w:t>NHS England</w:t>
      </w:r>
      <w:r w:rsidRPr="001E6009">
        <w:rPr>
          <w:color w:val="000000" w:themeColor="text1"/>
          <w:lang w:val="en-GB"/>
        </w:rPr>
        <w:t xml:space="preserve">. NHS England. Available at: </w:t>
      </w:r>
      <w:hyperlink r:id="rId27" w:history="1">
        <w:r w:rsidRPr="001E6009">
          <w:rPr>
            <w:rStyle w:val="Hyperlink"/>
            <w:color w:val="000000" w:themeColor="text1"/>
            <w:lang w:val="en-GB"/>
          </w:rPr>
          <w:t>https://www.england.nhs.uk/long-read/nhs-long-term-workforce-plan-2/</w:t>
        </w:r>
      </w:hyperlink>
    </w:p>
    <w:p w14:paraId="2247FAB0" w14:textId="5FCD5B4E"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NHS staff survey results 2024.</w:t>
      </w:r>
      <w:r w:rsidR="00FD1A7F">
        <w:rPr>
          <w:color w:val="000000" w:themeColor="text1"/>
          <w:lang w:val="en-GB"/>
        </w:rPr>
        <w:t xml:space="preserve">, </w:t>
      </w:r>
      <w:r w:rsidRPr="001E6009">
        <w:rPr>
          <w:color w:val="000000" w:themeColor="text1"/>
          <w:lang w:val="en-GB"/>
        </w:rPr>
        <w:t xml:space="preserve">2024. [online] </w:t>
      </w:r>
      <w:r w:rsidRPr="001E6009">
        <w:rPr>
          <w:i/>
          <w:iCs/>
          <w:color w:val="000000" w:themeColor="text1"/>
          <w:lang w:val="en-GB"/>
        </w:rPr>
        <w:t>The NHS Alliance</w:t>
      </w:r>
      <w:r w:rsidRPr="001E6009">
        <w:rPr>
          <w:color w:val="000000" w:themeColor="text1"/>
          <w:lang w:val="en-GB"/>
        </w:rPr>
        <w:t xml:space="preserve">. Available at: </w:t>
      </w:r>
      <w:hyperlink r:id="rId28" w:history="1">
        <w:r w:rsidRPr="001E6009">
          <w:rPr>
            <w:rStyle w:val="Hyperlink"/>
            <w:color w:val="000000" w:themeColor="text1"/>
            <w:lang w:val="en-GB"/>
          </w:rPr>
          <w:t>https://thenhsalliance.org/resources/nhs-staff-survey-results-2024</w:t>
        </w:r>
      </w:hyperlink>
      <w:r w:rsidRPr="001E6009">
        <w:rPr>
          <w:color w:val="000000" w:themeColor="text1"/>
          <w:lang w:val="en-GB"/>
        </w:rPr>
        <w:t xml:space="preserve"> [Accessed 4 Aug. 2026]. </w:t>
      </w:r>
    </w:p>
    <w:p w14:paraId="3E6906FB" w14:textId="4E80D55C"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NICE</w:t>
      </w:r>
      <w:r w:rsidR="00FD1A7F">
        <w:rPr>
          <w:color w:val="000000" w:themeColor="text1"/>
          <w:lang w:val="en-GB"/>
        </w:rPr>
        <w:t xml:space="preserve">., </w:t>
      </w:r>
      <w:r w:rsidRPr="001E6009">
        <w:rPr>
          <w:color w:val="000000" w:themeColor="text1"/>
          <w:lang w:val="en-GB"/>
        </w:rPr>
        <w:t xml:space="preserve">2023. </w:t>
      </w:r>
      <w:r w:rsidRPr="001E6009">
        <w:rPr>
          <w:i/>
          <w:iCs/>
          <w:color w:val="000000" w:themeColor="text1"/>
          <w:lang w:val="en-GB"/>
        </w:rPr>
        <w:t>National Institute for Health and care excellence: Clinical guidelines</w:t>
      </w:r>
      <w:r w:rsidRPr="001E6009">
        <w:rPr>
          <w:color w:val="000000" w:themeColor="text1"/>
          <w:lang w:val="en-GB"/>
        </w:rPr>
        <w:t xml:space="preserve">. [online] </w:t>
      </w:r>
      <w:r w:rsidRPr="001E6009">
        <w:rPr>
          <w:i/>
          <w:iCs/>
          <w:color w:val="000000" w:themeColor="text1"/>
          <w:lang w:val="en-GB"/>
        </w:rPr>
        <w:t>Nih.gov</w:t>
      </w:r>
      <w:r w:rsidRPr="001E6009">
        <w:rPr>
          <w:color w:val="000000" w:themeColor="text1"/>
          <w:lang w:val="en-GB"/>
        </w:rPr>
        <w:t xml:space="preserve">. National Institute for Health and Care Excellence (UK). Available at: </w:t>
      </w:r>
      <w:hyperlink r:id="rId29" w:history="1">
        <w:r w:rsidRPr="001E6009">
          <w:rPr>
            <w:rStyle w:val="Hyperlink"/>
            <w:color w:val="000000" w:themeColor="text1"/>
            <w:lang w:val="en-GB"/>
          </w:rPr>
          <w:t>https://www.ncbi.nlm.nih.gov/books/NBK11822/</w:t>
        </w:r>
      </w:hyperlink>
    </w:p>
    <w:p w14:paraId="5E3DAB3D"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Osmani, F., Arab-</w:t>
      </w:r>
      <w:proofErr w:type="spellStart"/>
      <w:r w:rsidRPr="001E6009">
        <w:rPr>
          <w:rFonts w:eastAsia="Times New Roman"/>
          <w:color w:val="000000" w:themeColor="text1"/>
          <w:lang w:val="en-GB"/>
        </w:rPr>
        <w:t>Zozani</w:t>
      </w:r>
      <w:proofErr w:type="spellEnd"/>
      <w:r w:rsidRPr="001E6009">
        <w:rPr>
          <w:rFonts w:eastAsia="Times New Roman"/>
          <w:color w:val="000000" w:themeColor="text1"/>
          <w:lang w:val="en-GB"/>
        </w:rPr>
        <w:t xml:space="preserve">, M., </w:t>
      </w:r>
      <w:proofErr w:type="spellStart"/>
      <w:r w:rsidRPr="001E6009">
        <w:rPr>
          <w:rFonts w:eastAsia="Times New Roman"/>
          <w:color w:val="000000" w:themeColor="text1"/>
          <w:lang w:val="en-GB"/>
        </w:rPr>
        <w:t>Shahali</w:t>
      </w:r>
      <w:proofErr w:type="spellEnd"/>
      <w:r w:rsidRPr="001E6009">
        <w:rPr>
          <w:rFonts w:eastAsia="Times New Roman"/>
          <w:color w:val="000000" w:themeColor="text1"/>
          <w:lang w:val="en-GB"/>
        </w:rPr>
        <w:t xml:space="preserve">, Z. and Lotfi, F., 2023. Evaluation of the effectiveness of electronic prescription in reducing medical and medical errors (systematic review study). Annales </w:t>
      </w:r>
      <w:proofErr w:type="spellStart"/>
      <w:r w:rsidRPr="001E6009">
        <w:rPr>
          <w:rFonts w:eastAsia="Times New Roman"/>
          <w:color w:val="000000" w:themeColor="text1"/>
          <w:lang w:val="en-GB"/>
        </w:rPr>
        <w:t>Pharmaceutiques</w:t>
      </w:r>
      <w:proofErr w:type="spellEnd"/>
      <w:r w:rsidRPr="001E6009">
        <w:rPr>
          <w:rFonts w:eastAsia="Times New Roman"/>
          <w:color w:val="000000" w:themeColor="text1"/>
          <w:lang w:val="en-GB"/>
        </w:rPr>
        <w:t xml:space="preserve"> </w:t>
      </w:r>
      <w:proofErr w:type="spellStart"/>
      <w:r w:rsidRPr="001E6009">
        <w:rPr>
          <w:rFonts w:eastAsia="Times New Roman"/>
          <w:color w:val="000000" w:themeColor="text1"/>
          <w:lang w:val="en-GB"/>
        </w:rPr>
        <w:t>Françaises</w:t>
      </w:r>
      <w:proofErr w:type="spellEnd"/>
      <w:r w:rsidRPr="001E6009">
        <w:rPr>
          <w:rFonts w:eastAsia="Times New Roman"/>
          <w:color w:val="000000" w:themeColor="text1"/>
          <w:lang w:val="en-GB"/>
        </w:rPr>
        <w:t xml:space="preserve">, [online] 81(3), pp.433–445. </w:t>
      </w:r>
      <w:hyperlink r:id="rId30" w:history="1">
        <w:r w:rsidRPr="001E6009">
          <w:rPr>
            <w:rStyle w:val="Hyperlink"/>
            <w:rFonts w:eastAsia="Times New Roman"/>
            <w:color w:val="000000" w:themeColor="text1"/>
            <w:lang w:val="en-GB"/>
          </w:rPr>
          <w:t>https://doi.org/10.1016/j.pharma.2022.12.002</w:t>
        </w:r>
      </w:hyperlink>
      <w:r w:rsidRPr="001E6009">
        <w:rPr>
          <w:rFonts w:eastAsia="Times New Roman"/>
          <w:color w:val="000000" w:themeColor="text1"/>
          <w:lang w:val="en-GB"/>
        </w:rPr>
        <w:t>. </w:t>
      </w:r>
    </w:p>
    <w:p w14:paraId="7EDF3E1D"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Sheikh, A., Coleman, J., Chuter, A., Williams, R., </w:t>
      </w:r>
      <w:proofErr w:type="spellStart"/>
      <w:r w:rsidRPr="001E6009">
        <w:rPr>
          <w:rFonts w:eastAsia="Times New Roman"/>
          <w:color w:val="000000" w:themeColor="text1"/>
          <w:lang w:val="en-GB"/>
        </w:rPr>
        <w:t>Lilford</w:t>
      </w:r>
      <w:proofErr w:type="spellEnd"/>
      <w:r w:rsidRPr="001E6009">
        <w:rPr>
          <w:rFonts w:eastAsia="Times New Roman"/>
          <w:color w:val="000000" w:themeColor="text1"/>
          <w:lang w:val="en-GB"/>
        </w:rPr>
        <w:t xml:space="preserve">, R., Slee, A., Morrison, Z., Cresswell, K., Robertson, A., Slight, S. and Mozaffar, H., 2022. Electronic prescribing systems in hospitals to improve medication safety: a </w:t>
      </w:r>
      <w:proofErr w:type="spellStart"/>
      <w:r w:rsidRPr="001E6009">
        <w:rPr>
          <w:rFonts w:eastAsia="Times New Roman"/>
          <w:color w:val="000000" w:themeColor="text1"/>
          <w:lang w:val="en-GB"/>
        </w:rPr>
        <w:t>multimethods</w:t>
      </w:r>
      <w:proofErr w:type="spellEnd"/>
      <w:r w:rsidRPr="001E6009">
        <w:rPr>
          <w:rFonts w:eastAsia="Times New Roman"/>
          <w:color w:val="000000" w:themeColor="text1"/>
          <w:lang w:val="en-GB"/>
        </w:rPr>
        <w:t xml:space="preserve"> research programme. Programme Grants for Applied Research, 10(7), pp.1-164. </w:t>
      </w:r>
      <w:hyperlink r:id="rId31" w:history="1">
        <w:r w:rsidRPr="001E6009">
          <w:rPr>
            <w:rStyle w:val="Hyperlink"/>
            <w:rFonts w:eastAsia="Times New Roman"/>
            <w:color w:val="000000" w:themeColor="text1"/>
            <w:lang w:val="en-GB"/>
          </w:rPr>
          <w:t>https://www.journalslibrary.nihr.ac.uk/pgfar/KSRS2009</w:t>
        </w:r>
      </w:hyperlink>
      <w:r w:rsidRPr="001E6009">
        <w:rPr>
          <w:rFonts w:eastAsia="Times New Roman"/>
          <w:color w:val="000000" w:themeColor="text1"/>
          <w:lang w:val="en-GB"/>
        </w:rPr>
        <w:t> </w:t>
      </w:r>
    </w:p>
    <w:p w14:paraId="555EE182" w14:textId="24E62D78"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Statistics</w:t>
      </w:r>
      <w:r w:rsidR="00FE3B57">
        <w:rPr>
          <w:color w:val="000000" w:themeColor="text1"/>
          <w:lang w:val="en-GB"/>
        </w:rPr>
        <w:t xml:space="preserve">., </w:t>
      </w:r>
      <w:r w:rsidRPr="001E6009">
        <w:rPr>
          <w:color w:val="000000" w:themeColor="text1"/>
          <w:lang w:val="en-GB"/>
        </w:rPr>
        <w:t xml:space="preserve">2025. </w:t>
      </w:r>
      <w:r w:rsidRPr="001E6009">
        <w:rPr>
          <w:i/>
          <w:iCs/>
          <w:color w:val="000000" w:themeColor="text1"/>
          <w:lang w:val="en-GB"/>
        </w:rPr>
        <w:t>Statistics » quarter 1 2025/26 (</w:t>
      </w:r>
      <w:proofErr w:type="spellStart"/>
      <w:r w:rsidRPr="001E6009">
        <w:rPr>
          <w:i/>
          <w:iCs/>
          <w:color w:val="000000" w:themeColor="text1"/>
          <w:lang w:val="en-GB"/>
        </w:rPr>
        <w:t>april</w:t>
      </w:r>
      <w:proofErr w:type="spellEnd"/>
      <w:r w:rsidRPr="001E6009">
        <w:rPr>
          <w:i/>
          <w:iCs/>
          <w:color w:val="000000" w:themeColor="text1"/>
          <w:lang w:val="en-GB"/>
        </w:rPr>
        <w:t xml:space="preserve">, may, </w:t>
      </w:r>
      <w:proofErr w:type="spellStart"/>
      <w:r w:rsidRPr="001E6009">
        <w:rPr>
          <w:i/>
          <w:iCs/>
          <w:color w:val="000000" w:themeColor="text1"/>
          <w:lang w:val="en-GB"/>
        </w:rPr>
        <w:t>june</w:t>
      </w:r>
      <w:proofErr w:type="spellEnd"/>
      <w:r w:rsidRPr="001E6009">
        <w:rPr>
          <w:i/>
          <w:iCs/>
          <w:color w:val="000000" w:themeColor="text1"/>
          <w:lang w:val="en-GB"/>
        </w:rPr>
        <w:t xml:space="preserve"> 2025)</w:t>
      </w:r>
      <w:r w:rsidRPr="001E6009">
        <w:rPr>
          <w:color w:val="000000" w:themeColor="text1"/>
          <w:lang w:val="en-GB"/>
        </w:rPr>
        <w:t xml:space="preserve">. [online] England.nhs.uk. Available at: </w:t>
      </w:r>
      <w:hyperlink r:id="rId32" w:history="1">
        <w:r w:rsidRPr="001E6009">
          <w:rPr>
            <w:rStyle w:val="Hyperlink"/>
            <w:color w:val="000000" w:themeColor="text1"/>
            <w:lang w:val="en-GB"/>
          </w:rPr>
          <w:t>https://www.england.nhs.uk/statistics/statistical-work-areas/patient-safety-data/2025-26/q1/</w:t>
        </w:r>
      </w:hyperlink>
      <w:r w:rsidRPr="001E6009">
        <w:rPr>
          <w:color w:val="000000" w:themeColor="text1"/>
          <w:lang w:val="en-GB"/>
        </w:rPr>
        <w:t xml:space="preserve"> [Accessed 4 Aug. 2026]. </w:t>
      </w:r>
    </w:p>
    <w:p w14:paraId="33FE258C" w14:textId="77777777"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 xml:space="preserve">Steenkamp, I., Peltonen, L.M. and Chipps, J., 2025. Digital health readiness–insights from healthcare leaders in operational management: a cross-sectional survey. </w:t>
      </w:r>
      <w:r w:rsidRPr="001E6009">
        <w:rPr>
          <w:i/>
          <w:iCs/>
          <w:color w:val="000000" w:themeColor="text1"/>
          <w:lang w:val="en-GB"/>
        </w:rPr>
        <w:t>BMC Health Services Research</w:t>
      </w:r>
      <w:r w:rsidRPr="001E6009">
        <w:rPr>
          <w:color w:val="000000" w:themeColor="text1"/>
          <w:lang w:val="en-GB"/>
        </w:rPr>
        <w:t xml:space="preserve">, </w:t>
      </w:r>
      <w:r w:rsidRPr="001E6009">
        <w:rPr>
          <w:i/>
          <w:iCs/>
          <w:color w:val="000000" w:themeColor="text1"/>
          <w:lang w:val="en-GB"/>
        </w:rPr>
        <w:t>25</w:t>
      </w:r>
      <w:r w:rsidRPr="001E6009">
        <w:rPr>
          <w:color w:val="000000" w:themeColor="text1"/>
          <w:lang w:val="en-GB"/>
        </w:rPr>
        <w:t xml:space="preserve">(1), p.240. </w:t>
      </w:r>
      <w:hyperlink r:id="rId33" w:history="1">
        <w:r w:rsidRPr="001E6009">
          <w:rPr>
            <w:rStyle w:val="Hyperlink"/>
            <w:color w:val="000000" w:themeColor="text1"/>
            <w:lang w:val="en-GB"/>
          </w:rPr>
          <w:t>https://doi.org/10.1186/s12913-024-12129-y</w:t>
        </w:r>
      </w:hyperlink>
    </w:p>
    <w:p w14:paraId="37F34639" w14:textId="77777777" w:rsidR="00FF71F1" w:rsidRPr="001E6009" w:rsidRDefault="00FF71F1" w:rsidP="001E6009">
      <w:pPr>
        <w:spacing w:before="240" w:after="240" w:line="360" w:lineRule="auto"/>
        <w:jc w:val="both"/>
        <w:rPr>
          <w:rFonts w:eastAsia="Times New Roman"/>
          <w:color w:val="000000" w:themeColor="text1"/>
          <w:lang w:val="en-GB"/>
        </w:rPr>
      </w:pPr>
      <w:proofErr w:type="spellStart"/>
      <w:r w:rsidRPr="001E6009">
        <w:rPr>
          <w:rFonts w:eastAsia="Times New Roman"/>
          <w:color w:val="000000" w:themeColor="text1"/>
          <w:lang w:val="en-GB"/>
        </w:rPr>
        <w:t>Sturmberg</w:t>
      </w:r>
      <w:proofErr w:type="spellEnd"/>
      <w:r w:rsidRPr="001E6009">
        <w:rPr>
          <w:rFonts w:eastAsia="Times New Roman"/>
          <w:color w:val="000000" w:themeColor="text1"/>
          <w:lang w:val="en-GB"/>
        </w:rPr>
        <w:t xml:space="preserve">, J., 2024. Systems thinking to improve healthcare. BMJ, [online] p.q105. </w:t>
      </w:r>
      <w:hyperlink r:id="rId34" w:history="1">
        <w:r w:rsidRPr="001E6009">
          <w:rPr>
            <w:rStyle w:val="Hyperlink"/>
            <w:rFonts w:eastAsia="Times New Roman"/>
            <w:color w:val="000000" w:themeColor="text1"/>
            <w:lang w:val="en-GB"/>
          </w:rPr>
          <w:t>https://doi.org/10.1136/bmj.q105</w:t>
        </w:r>
      </w:hyperlink>
      <w:r w:rsidRPr="001E6009">
        <w:rPr>
          <w:rFonts w:eastAsia="Times New Roman"/>
          <w:color w:val="000000" w:themeColor="text1"/>
          <w:lang w:val="en-GB"/>
        </w:rPr>
        <w:t>. </w:t>
      </w:r>
    </w:p>
    <w:p w14:paraId="0AD9D4CC"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Sykes, M., O’Halloran, E., Mahon, L., McSharry, J., Allan, L., Thomson, R., Finch, T. and Kolehmainen, N., 2022. Enhancing national audit through addressing the quality improvement capabilities of feedback recipients: a multi-phase intervention development study. Pilot and </w:t>
      </w:r>
      <w:r w:rsidRPr="001E6009">
        <w:rPr>
          <w:rFonts w:eastAsia="Times New Roman"/>
          <w:color w:val="000000" w:themeColor="text1"/>
          <w:lang w:val="en-GB"/>
        </w:rPr>
        <w:lastRenderedPageBreak/>
        <w:t xml:space="preserve">Feasibility Studies, 8(1), p.143. </w:t>
      </w:r>
      <w:hyperlink r:id="rId35" w:history="1">
        <w:r w:rsidRPr="001E6009">
          <w:rPr>
            <w:rStyle w:val="Hyperlink"/>
            <w:rFonts w:eastAsia="Times New Roman"/>
            <w:color w:val="000000" w:themeColor="text1"/>
            <w:lang w:val="en-GB"/>
          </w:rPr>
          <w:t>https://link.springer.com/content/pdf/10.1186/s40814-022-01099-9.pdf</w:t>
        </w:r>
      </w:hyperlink>
      <w:r w:rsidRPr="001E6009">
        <w:rPr>
          <w:rFonts w:eastAsia="Times New Roman"/>
          <w:color w:val="000000" w:themeColor="text1"/>
          <w:lang w:val="en-GB"/>
        </w:rPr>
        <w:t> </w:t>
      </w:r>
    </w:p>
    <w:p w14:paraId="61C552A6" w14:textId="77777777" w:rsidR="00FF71F1" w:rsidRPr="001E6009" w:rsidRDefault="00FF71F1" w:rsidP="001E6009">
      <w:pPr>
        <w:spacing w:before="240" w:after="240" w:line="360" w:lineRule="auto"/>
        <w:jc w:val="both"/>
        <w:rPr>
          <w:rFonts w:eastAsia="Times New Roman"/>
          <w:color w:val="000000" w:themeColor="text1"/>
          <w:lang w:val="en-GB"/>
        </w:rPr>
      </w:pPr>
      <w:r w:rsidRPr="001E6009">
        <w:rPr>
          <w:rFonts w:eastAsia="Times New Roman"/>
          <w:color w:val="000000" w:themeColor="text1"/>
          <w:lang w:val="en-GB"/>
        </w:rPr>
        <w:t xml:space="preserve">Williams, J., Malden, S., Heeney, C., </w:t>
      </w:r>
      <w:proofErr w:type="spellStart"/>
      <w:r w:rsidRPr="001E6009">
        <w:rPr>
          <w:rFonts w:eastAsia="Times New Roman"/>
          <w:color w:val="000000" w:themeColor="text1"/>
          <w:lang w:val="en-GB"/>
        </w:rPr>
        <w:t>Bouamrane</w:t>
      </w:r>
      <w:proofErr w:type="spellEnd"/>
      <w:r w:rsidRPr="001E6009">
        <w:rPr>
          <w:rFonts w:eastAsia="Times New Roman"/>
          <w:color w:val="000000" w:themeColor="text1"/>
          <w:lang w:val="en-GB"/>
        </w:rPr>
        <w:t xml:space="preserve">, M., Holder, M., Perera, U., Bates, D.W. and Sheikh, A., 2022. Optimizing Hospital Electronic Prescribing Systems: A Systematic Scoping Review. Journal of Patient Safety, [online] 18(2), pp.e547–e562. </w:t>
      </w:r>
      <w:hyperlink r:id="rId36" w:history="1">
        <w:r w:rsidRPr="001E6009">
          <w:rPr>
            <w:rStyle w:val="Hyperlink"/>
            <w:rFonts w:eastAsia="Times New Roman"/>
            <w:color w:val="000000" w:themeColor="text1"/>
            <w:lang w:val="en-GB"/>
          </w:rPr>
          <w:t>https://doi.org/10.1097/pts.0000000000000867</w:t>
        </w:r>
      </w:hyperlink>
      <w:r w:rsidRPr="001E6009">
        <w:rPr>
          <w:rFonts w:eastAsia="Times New Roman"/>
          <w:color w:val="000000" w:themeColor="text1"/>
          <w:lang w:val="en-GB"/>
        </w:rPr>
        <w:t>. </w:t>
      </w:r>
    </w:p>
    <w:p w14:paraId="6A00A183" w14:textId="51A34F3C"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World Health Organization</w:t>
      </w:r>
      <w:r w:rsidR="004605C0">
        <w:rPr>
          <w:color w:val="000000" w:themeColor="text1"/>
          <w:lang w:val="en-GB"/>
        </w:rPr>
        <w:t xml:space="preserve">., </w:t>
      </w:r>
      <w:r w:rsidRPr="001E6009">
        <w:rPr>
          <w:color w:val="000000" w:themeColor="text1"/>
          <w:lang w:val="en-GB"/>
        </w:rPr>
        <w:t>202</w:t>
      </w:r>
      <w:r w:rsidR="004605C0">
        <w:rPr>
          <w:color w:val="000000" w:themeColor="text1"/>
          <w:lang w:val="en-GB"/>
        </w:rPr>
        <w:t>2</w:t>
      </w:r>
      <w:r w:rsidRPr="001E6009">
        <w:rPr>
          <w:color w:val="000000" w:themeColor="text1"/>
          <w:lang w:val="en-GB"/>
        </w:rPr>
        <w:t xml:space="preserve">. </w:t>
      </w:r>
      <w:r w:rsidRPr="001E6009">
        <w:rPr>
          <w:i/>
          <w:iCs/>
          <w:color w:val="000000" w:themeColor="text1"/>
          <w:lang w:val="en-GB"/>
        </w:rPr>
        <w:t>WHO calls for urgent action by countries for achieving medication without harm</w:t>
      </w:r>
      <w:r w:rsidRPr="001E6009">
        <w:rPr>
          <w:color w:val="000000" w:themeColor="text1"/>
          <w:lang w:val="en-GB"/>
        </w:rPr>
        <w:t xml:space="preserve">. [online] </w:t>
      </w:r>
      <w:r w:rsidRPr="001E6009">
        <w:rPr>
          <w:i/>
          <w:iCs/>
          <w:color w:val="000000" w:themeColor="text1"/>
          <w:lang w:val="en-GB"/>
        </w:rPr>
        <w:t>www.who.int</w:t>
      </w:r>
      <w:r w:rsidRPr="001E6009">
        <w:rPr>
          <w:color w:val="000000" w:themeColor="text1"/>
          <w:lang w:val="en-GB"/>
        </w:rPr>
        <w:t xml:space="preserve">. Available at: </w:t>
      </w:r>
      <w:hyperlink r:id="rId37" w:history="1">
        <w:r w:rsidRPr="001E6009">
          <w:rPr>
            <w:rStyle w:val="Hyperlink"/>
            <w:color w:val="000000" w:themeColor="text1"/>
            <w:lang w:val="en-GB"/>
          </w:rPr>
          <w:t>https://www.who.int/news/item/16-09-2022-who-calls-for-urgent-action-by-countries-for-achieving-medication-without-harm</w:t>
        </w:r>
      </w:hyperlink>
    </w:p>
    <w:p w14:paraId="35411E6B" w14:textId="4C803F52"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World Health Organization</w:t>
      </w:r>
      <w:r w:rsidR="004605C0">
        <w:rPr>
          <w:color w:val="000000" w:themeColor="text1"/>
          <w:lang w:val="en-GB"/>
        </w:rPr>
        <w:t xml:space="preserve">., </w:t>
      </w:r>
      <w:r w:rsidRPr="001E6009">
        <w:rPr>
          <w:color w:val="000000" w:themeColor="text1"/>
          <w:lang w:val="en-GB"/>
        </w:rPr>
        <w:t xml:space="preserve">2023. </w:t>
      </w:r>
      <w:r w:rsidRPr="001E6009">
        <w:rPr>
          <w:i/>
          <w:iCs/>
          <w:color w:val="000000" w:themeColor="text1"/>
          <w:lang w:val="en-GB"/>
        </w:rPr>
        <w:t>Patient safety</w:t>
      </w:r>
      <w:r w:rsidRPr="001E6009">
        <w:rPr>
          <w:color w:val="000000" w:themeColor="text1"/>
          <w:lang w:val="en-GB"/>
        </w:rPr>
        <w:t xml:space="preserve">. [online] </w:t>
      </w:r>
      <w:r w:rsidRPr="001E6009">
        <w:rPr>
          <w:i/>
          <w:iCs/>
          <w:color w:val="000000" w:themeColor="text1"/>
          <w:lang w:val="en-GB"/>
        </w:rPr>
        <w:t>World Health Organization</w:t>
      </w:r>
      <w:r w:rsidRPr="001E6009">
        <w:rPr>
          <w:color w:val="000000" w:themeColor="text1"/>
          <w:lang w:val="en-GB"/>
        </w:rPr>
        <w:t xml:space="preserve">. Available at: </w:t>
      </w:r>
      <w:hyperlink r:id="rId38" w:history="1">
        <w:r w:rsidRPr="001E6009">
          <w:rPr>
            <w:rStyle w:val="Hyperlink"/>
            <w:color w:val="000000" w:themeColor="text1"/>
            <w:lang w:val="en-GB"/>
          </w:rPr>
          <w:t>https://www.who.int/news-room/fact-sheets/detail/patient-safety</w:t>
        </w:r>
      </w:hyperlink>
      <w:r w:rsidRPr="001E6009">
        <w:rPr>
          <w:color w:val="000000" w:themeColor="text1"/>
          <w:lang w:val="en-GB"/>
        </w:rPr>
        <w:t xml:space="preserve"> [Accessed 4 Aug. 2026]. </w:t>
      </w:r>
    </w:p>
    <w:p w14:paraId="1E38C411" w14:textId="311218D5" w:rsidR="00FF71F1" w:rsidRPr="001E6009" w:rsidRDefault="00FF71F1" w:rsidP="001E6009">
      <w:pPr>
        <w:spacing w:before="240" w:after="240" w:line="360" w:lineRule="auto"/>
        <w:jc w:val="both"/>
        <w:rPr>
          <w:color w:val="000000" w:themeColor="text1"/>
          <w:lang w:val="en-GB"/>
        </w:rPr>
      </w:pPr>
      <w:r w:rsidRPr="001E6009">
        <w:rPr>
          <w:color w:val="000000" w:themeColor="text1"/>
          <w:lang w:val="en-GB"/>
        </w:rPr>
        <w:t>World Health Organization (WHO)</w:t>
      </w:r>
      <w:r w:rsidR="004605C0">
        <w:rPr>
          <w:color w:val="000000" w:themeColor="text1"/>
          <w:lang w:val="en-GB"/>
        </w:rPr>
        <w:t xml:space="preserve">., </w:t>
      </w:r>
      <w:r w:rsidRPr="001E6009">
        <w:rPr>
          <w:color w:val="000000" w:themeColor="text1"/>
          <w:lang w:val="en-GB"/>
        </w:rPr>
        <w:t xml:space="preserve">2021. </w:t>
      </w:r>
      <w:r w:rsidRPr="001E6009">
        <w:rPr>
          <w:i/>
          <w:iCs/>
          <w:color w:val="000000" w:themeColor="text1"/>
          <w:lang w:val="en-GB"/>
        </w:rPr>
        <w:t>Global patient safety action plan 2021-2030</w:t>
      </w:r>
      <w:r w:rsidRPr="001E6009">
        <w:rPr>
          <w:color w:val="000000" w:themeColor="text1"/>
          <w:lang w:val="en-GB"/>
        </w:rPr>
        <w:t xml:space="preserve">. [online] </w:t>
      </w:r>
      <w:r w:rsidRPr="001E6009">
        <w:rPr>
          <w:i/>
          <w:iCs/>
          <w:color w:val="000000" w:themeColor="text1"/>
          <w:lang w:val="en-GB"/>
        </w:rPr>
        <w:t>World Health Organization</w:t>
      </w:r>
      <w:r w:rsidRPr="001E6009">
        <w:rPr>
          <w:color w:val="000000" w:themeColor="text1"/>
          <w:lang w:val="en-GB"/>
        </w:rPr>
        <w:t xml:space="preserve">. Available at: </w:t>
      </w:r>
      <w:hyperlink r:id="rId39" w:history="1">
        <w:r w:rsidRPr="001E6009">
          <w:rPr>
            <w:rStyle w:val="Hyperlink"/>
            <w:color w:val="000000" w:themeColor="text1"/>
            <w:lang w:val="en-GB"/>
          </w:rPr>
          <w:t>https://www.who.int/teams/integrated-health-services/patient-safety/policy/global-patient-safety-action-plan</w:t>
        </w:r>
      </w:hyperlink>
    </w:p>
    <w:p w14:paraId="02C687D0" w14:textId="77777777" w:rsidR="00FF71F1" w:rsidRPr="001E6009" w:rsidRDefault="00FF71F1" w:rsidP="001E6009">
      <w:pPr>
        <w:spacing w:before="240" w:after="240" w:line="360" w:lineRule="auto"/>
        <w:jc w:val="both"/>
        <w:rPr>
          <w:color w:val="000000" w:themeColor="text1"/>
          <w:lang w:val="en-GB"/>
        </w:rPr>
      </w:pPr>
      <w:proofErr w:type="spellStart"/>
      <w:r w:rsidRPr="001E6009">
        <w:rPr>
          <w:color w:val="000000" w:themeColor="text1"/>
          <w:lang w:val="en-GB"/>
        </w:rPr>
        <w:t>Ystaas</w:t>
      </w:r>
      <w:proofErr w:type="spellEnd"/>
      <w:r w:rsidRPr="001E6009">
        <w:rPr>
          <w:color w:val="000000" w:themeColor="text1"/>
          <w:lang w:val="en-GB"/>
        </w:rPr>
        <w:t xml:space="preserve">, L.M.K., </w:t>
      </w:r>
      <w:proofErr w:type="spellStart"/>
      <w:r w:rsidRPr="001E6009">
        <w:rPr>
          <w:color w:val="000000" w:themeColor="text1"/>
          <w:lang w:val="en-GB"/>
        </w:rPr>
        <w:t>Nikitara</w:t>
      </w:r>
      <w:proofErr w:type="spellEnd"/>
      <w:r w:rsidRPr="001E6009">
        <w:rPr>
          <w:color w:val="000000" w:themeColor="text1"/>
          <w:lang w:val="en-GB"/>
        </w:rPr>
        <w:t xml:space="preserve">, M., Ghobrial, S., </w:t>
      </w:r>
      <w:proofErr w:type="spellStart"/>
      <w:r w:rsidRPr="001E6009">
        <w:rPr>
          <w:color w:val="000000" w:themeColor="text1"/>
          <w:lang w:val="en-GB"/>
        </w:rPr>
        <w:t>Latzourakis</w:t>
      </w:r>
      <w:proofErr w:type="spellEnd"/>
      <w:r w:rsidRPr="001E6009">
        <w:rPr>
          <w:color w:val="000000" w:themeColor="text1"/>
          <w:lang w:val="en-GB"/>
        </w:rPr>
        <w:t xml:space="preserve">, E., Polychronis, G. and Constantinou, C.S., 2023. The impact of transformational leadership in the nursing work environment and patients’ outcomes: a systematic review. </w:t>
      </w:r>
      <w:r w:rsidRPr="001E6009">
        <w:rPr>
          <w:i/>
          <w:iCs/>
          <w:color w:val="000000" w:themeColor="text1"/>
          <w:lang w:val="en-GB"/>
        </w:rPr>
        <w:t>Nursing Reports</w:t>
      </w:r>
      <w:r w:rsidRPr="001E6009">
        <w:rPr>
          <w:color w:val="000000" w:themeColor="text1"/>
          <w:lang w:val="en-GB"/>
        </w:rPr>
        <w:t xml:space="preserve">, </w:t>
      </w:r>
      <w:r w:rsidRPr="001E6009">
        <w:rPr>
          <w:i/>
          <w:iCs/>
          <w:color w:val="000000" w:themeColor="text1"/>
          <w:lang w:val="en-GB"/>
        </w:rPr>
        <w:t>13</w:t>
      </w:r>
      <w:r w:rsidRPr="001E6009">
        <w:rPr>
          <w:color w:val="000000" w:themeColor="text1"/>
          <w:lang w:val="en-GB"/>
        </w:rPr>
        <w:t xml:space="preserve">(3), pp.1271-1290. </w:t>
      </w:r>
      <w:hyperlink r:id="rId40" w:history="1">
        <w:r w:rsidRPr="001E6009">
          <w:rPr>
            <w:rStyle w:val="Hyperlink"/>
            <w:color w:val="000000" w:themeColor="text1"/>
            <w:lang w:val="en-GB"/>
          </w:rPr>
          <w:t>https://doi.org/10.3390/nursrep13030108</w:t>
        </w:r>
      </w:hyperlink>
    </w:p>
    <w:sectPr w:rsidR="00FF71F1" w:rsidRPr="001E6009" w:rsidSect="00920A30">
      <w:footerReference w:type="default" r:id="rId41"/>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1DA21C" w14:textId="77777777" w:rsidR="00D83718" w:rsidRDefault="00D83718">
      <w:pPr>
        <w:spacing w:line="240" w:lineRule="auto"/>
      </w:pPr>
      <w:r>
        <w:separator/>
      </w:r>
    </w:p>
  </w:endnote>
  <w:endnote w:type="continuationSeparator" w:id="0">
    <w:p w14:paraId="204ACA51" w14:textId="77777777" w:rsidR="00D83718" w:rsidRDefault="00D837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3E6B5CBD-1064-CE48-9382-30CD588DA0F2}"/>
    <w:embedBold r:id="rId2" w:fontKey="{6561EF55-3FF0-EE4D-82F6-435239697CAF}"/>
    <w:embedItalic r:id="rId3" w:fontKey="{42A59280-A476-FE45-8E80-7C1AB13EA3C6}"/>
  </w:font>
  <w:font w:name="Times New Roman">
    <w:panose1 w:val="02020603050405020304"/>
    <w:charset w:val="00"/>
    <w:family w:val="roman"/>
    <w:pitch w:val="variable"/>
    <w:sig w:usb0="E0002EFF" w:usb1="C000785B" w:usb2="00000009" w:usb3="00000000" w:csb0="000001FF" w:csb1="00000000"/>
    <w:embedRegular r:id="rId4" w:fontKey="{40342C49-A61B-3D4F-BC8C-D3392A788AD5}"/>
    <w:embedBold r:id="rId5" w:fontKey="{D90F2D28-5C40-1F4E-8352-854BC3E208A4}"/>
    <w:embedItalic r:id="rId6" w:fontKey="{E66B8E6D-E036-3D41-BE9C-4D04FF146A88}"/>
  </w:font>
  <w:font w:name="Calibri">
    <w:panose1 w:val="020F0502020204030204"/>
    <w:charset w:val="00"/>
    <w:family w:val="swiss"/>
    <w:pitch w:val="variable"/>
    <w:sig w:usb0="E4002EFF" w:usb1="C200247B" w:usb2="00000009" w:usb3="00000000" w:csb0="000001FF" w:csb1="00000000"/>
    <w:embedRegular r:id="rId7" w:fontKey="{8D5396A9-8C6E-EB46-9ADF-7B16D492271E}"/>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8" w:fontKey="{C7381024-8AAB-C343-8AA7-2CE59C013F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39583637"/>
      <w:docPartObj>
        <w:docPartGallery w:val="Page Numbers (Bottom of Page)"/>
        <w:docPartUnique/>
      </w:docPartObj>
    </w:sdtPr>
    <w:sdtEndPr>
      <w:rPr>
        <w:noProof/>
      </w:rPr>
    </w:sdtEndPr>
    <w:sdtContent>
      <w:p w14:paraId="666630D1" w14:textId="336B3B89" w:rsidR="00FF71F1" w:rsidRDefault="00FF71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0295C" w14:textId="77777777" w:rsidR="00FF71F1" w:rsidRDefault="00FF7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2F0014" w14:textId="77777777" w:rsidR="00D83718" w:rsidRDefault="00D83718">
      <w:pPr>
        <w:spacing w:line="240" w:lineRule="auto"/>
      </w:pPr>
      <w:r>
        <w:separator/>
      </w:r>
    </w:p>
  </w:footnote>
  <w:footnote w:type="continuationSeparator" w:id="0">
    <w:p w14:paraId="2737E645" w14:textId="77777777" w:rsidR="00D83718" w:rsidRDefault="00D83718">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E71"/>
    <w:rsid w:val="0001108E"/>
    <w:rsid w:val="000D1F56"/>
    <w:rsid w:val="001C38B8"/>
    <w:rsid w:val="001E6009"/>
    <w:rsid w:val="001F3215"/>
    <w:rsid w:val="00203067"/>
    <w:rsid w:val="00204071"/>
    <w:rsid w:val="002A5783"/>
    <w:rsid w:val="002B2E81"/>
    <w:rsid w:val="003B21E4"/>
    <w:rsid w:val="003B548B"/>
    <w:rsid w:val="004376F7"/>
    <w:rsid w:val="004605C0"/>
    <w:rsid w:val="004B4C7F"/>
    <w:rsid w:val="004F758B"/>
    <w:rsid w:val="00500A04"/>
    <w:rsid w:val="00542B34"/>
    <w:rsid w:val="00544042"/>
    <w:rsid w:val="00552C4E"/>
    <w:rsid w:val="00571243"/>
    <w:rsid w:val="0059197F"/>
    <w:rsid w:val="005A0652"/>
    <w:rsid w:val="005E3BAD"/>
    <w:rsid w:val="005E7D6D"/>
    <w:rsid w:val="005F39A6"/>
    <w:rsid w:val="005F5D53"/>
    <w:rsid w:val="00667EBE"/>
    <w:rsid w:val="006A12E5"/>
    <w:rsid w:val="007763D4"/>
    <w:rsid w:val="007C4063"/>
    <w:rsid w:val="007C4B1B"/>
    <w:rsid w:val="00805B9A"/>
    <w:rsid w:val="008F5069"/>
    <w:rsid w:val="00901893"/>
    <w:rsid w:val="00902FB1"/>
    <w:rsid w:val="00920A30"/>
    <w:rsid w:val="00965AE1"/>
    <w:rsid w:val="009C4238"/>
    <w:rsid w:val="00A06E3B"/>
    <w:rsid w:val="00AB4BC4"/>
    <w:rsid w:val="00BA3419"/>
    <w:rsid w:val="00C1107B"/>
    <w:rsid w:val="00CA1636"/>
    <w:rsid w:val="00CB17B6"/>
    <w:rsid w:val="00CD405B"/>
    <w:rsid w:val="00CE7366"/>
    <w:rsid w:val="00D01FD2"/>
    <w:rsid w:val="00D06877"/>
    <w:rsid w:val="00D7751F"/>
    <w:rsid w:val="00D83718"/>
    <w:rsid w:val="00DC780A"/>
    <w:rsid w:val="00F66062"/>
    <w:rsid w:val="00F67694"/>
    <w:rsid w:val="00F82961"/>
    <w:rsid w:val="00FD1A7F"/>
    <w:rsid w:val="00FD2737"/>
    <w:rsid w:val="00FD4E71"/>
    <w:rsid w:val="00FE3B57"/>
    <w:rsid w:val="00FF71F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DF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F71F1"/>
    <w:pPr>
      <w:keepNext/>
      <w:keepLines/>
      <w:spacing w:before="400" w:after="120"/>
      <w:jc w:val="center"/>
      <w:outlineLvl w:val="0"/>
    </w:pPr>
    <w:rPr>
      <w:b/>
      <w:sz w:val="28"/>
      <w:szCs w:val="40"/>
    </w:rPr>
  </w:style>
  <w:style w:type="paragraph" w:styleId="Heading2">
    <w:name w:val="heading 2"/>
    <w:basedOn w:val="Normal"/>
    <w:next w:val="Normal"/>
    <w:uiPriority w:val="9"/>
    <w:unhideWhenUsed/>
    <w:qFormat/>
    <w:rsid w:val="00FF71F1"/>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FF71F1"/>
    <w:rPr>
      <w:color w:val="0000FF" w:themeColor="hyperlink"/>
      <w:u w:val="single"/>
    </w:rPr>
  </w:style>
  <w:style w:type="character" w:styleId="UnresolvedMention">
    <w:name w:val="Unresolved Mention"/>
    <w:basedOn w:val="DefaultParagraphFont"/>
    <w:uiPriority w:val="99"/>
    <w:semiHidden/>
    <w:unhideWhenUsed/>
    <w:rsid w:val="00FF71F1"/>
    <w:rPr>
      <w:color w:val="605E5C"/>
      <w:shd w:val="clear" w:color="auto" w:fill="E1DFDD"/>
    </w:rPr>
  </w:style>
  <w:style w:type="paragraph" w:styleId="TOCHeading">
    <w:name w:val="TOC Heading"/>
    <w:basedOn w:val="Heading1"/>
    <w:next w:val="Normal"/>
    <w:uiPriority w:val="39"/>
    <w:unhideWhenUsed/>
    <w:qFormat/>
    <w:rsid w:val="00FF71F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F71F1"/>
    <w:pPr>
      <w:spacing w:after="100"/>
    </w:pPr>
  </w:style>
  <w:style w:type="paragraph" w:styleId="TOC2">
    <w:name w:val="toc 2"/>
    <w:basedOn w:val="Normal"/>
    <w:next w:val="Normal"/>
    <w:autoRedefine/>
    <w:uiPriority w:val="39"/>
    <w:unhideWhenUsed/>
    <w:rsid w:val="00FF71F1"/>
    <w:pPr>
      <w:spacing w:after="100"/>
      <w:ind w:left="220"/>
    </w:pPr>
  </w:style>
  <w:style w:type="paragraph" w:styleId="Header">
    <w:name w:val="header"/>
    <w:basedOn w:val="Normal"/>
    <w:link w:val="HeaderChar"/>
    <w:uiPriority w:val="99"/>
    <w:unhideWhenUsed/>
    <w:rsid w:val="00FF71F1"/>
    <w:pPr>
      <w:tabs>
        <w:tab w:val="center" w:pos="4513"/>
        <w:tab w:val="right" w:pos="9026"/>
      </w:tabs>
      <w:spacing w:line="240" w:lineRule="auto"/>
    </w:pPr>
  </w:style>
  <w:style w:type="character" w:customStyle="1" w:styleId="HeaderChar">
    <w:name w:val="Header Char"/>
    <w:basedOn w:val="DefaultParagraphFont"/>
    <w:link w:val="Header"/>
    <w:uiPriority w:val="99"/>
    <w:rsid w:val="00FF71F1"/>
  </w:style>
  <w:style w:type="paragraph" w:styleId="Footer">
    <w:name w:val="footer"/>
    <w:basedOn w:val="Normal"/>
    <w:link w:val="FooterChar"/>
    <w:uiPriority w:val="99"/>
    <w:unhideWhenUsed/>
    <w:rsid w:val="00FF71F1"/>
    <w:pPr>
      <w:tabs>
        <w:tab w:val="center" w:pos="4513"/>
        <w:tab w:val="right" w:pos="9026"/>
      </w:tabs>
      <w:spacing w:line="240" w:lineRule="auto"/>
    </w:pPr>
  </w:style>
  <w:style w:type="character" w:customStyle="1" w:styleId="FooterChar">
    <w:name w:val="Footer Char"/>
    <w:basedOn w:val="DefaultParagraphFont"/>
    <w:link w:val="Footer"/>
    <w:uiPriority w:val="99"/>
    <w:rsid w:val="00FF71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86/s12913-024-11627-3" TargetMode="External"/><Relationship Id="rId18" Type="http://schemas.openxmlformats.org/officeDocument/2006/relationships/hyperlink" Target="https://www.hssib.org.uk/patient-safety-investigations/medication-related-harm/investigation-report/" TargetMode="External"/><Relationship Id="rId26" Type="http://schemas.openxmlformats.org/officeDocument/2006/relationships/hyperlink" Target="https://www.england.nhs.uk/patient-safety/patient-safety-insight/learning-from-patient-safety-events/learn-from-patient-safety-events-service/" TargetMode="External"/><Relationship Id="rId39" Type="http://schemas.openxmlformats.org/officeDocument/2006/relationships/hyperlink" Target="https://www.who.int/teams/integrated-health-services/patient-safety/policy/global-patient-safety-action-plan" TargetMode="External"/><Relationship Id="rId21" Type="http://schemas.openxmlformats.org/officeDocument/2006/relationships/hyperlink" Target="https://doi.org/10.7759/cureus.94056" TargetMode="External"/><Relationship Id="rId34" Type="http://schemas.openxmlformats.org/officeDocument/2006/relationships/hyperlink" Target="https://doi.org/10.1136/bmj.q105"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mjopen.bmj.com/content/bmjopen/12/3/e056802.full.pdf" TargetMode="External"/><Relationship Id="rId20" Type="http://schemas.openxmlformats.org/officeDocument/2006/relationships/hyperlink" Target="https://doi.org/10.1016/j.jsps.2023.101726" TargetMode="External"/><Relationship Id="rId29" Type="http://schemas.openxmlformats.org/officeDocument/2006/relationships/hyperlink" Target="https://www.ncbi.nlm.nih.gov/books/NBK1182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36/bmjoq-2022-002121" TargetMode="External"/><Relationship Id="rId24" Type="http://schemas.openxmlformats.org/officeDocument/2006/relationships/hyperlink" Target="https://doi.org/10.1136/bmjopen-2021-053217" TargetMode="External"/><Relationship Id="rId32" Type="http://schemas.openxmlformats.org/officeDocument/2006/relationships/hyperlink" Target="https://www.england.nhs.uk/statistics/statistical-work-areas/patient-safety-data/2025-26/q1/" TargetMode="External"/><Relationship Id="rId37" Type="http://schemas.openxmlformats.org/officeDocument/2006/relationships/hyperlink" Target="https://www.who.int/news/item/16-09-2022-who-calls-for-urgent-action-by-countries-for-achieving-medication-without-harm" TargetMode="External"/><Relationship Id="rId40" Type="http://schemas.openxmlformats.org/officeDocument/2006/relationships/hyperlink" Target="https://doi.org/10.3390/nursrep13030108" TargetMode="External"/><Relationship Id="rId5" Type="http://schemas.openxmlformats.org/officeDocument/2006/relationships/footnotes" Target="footnotes.xml"/><Relationship Id="rId15" Type="http://schemas.openxmlformats.org/officeDocument/2006/relationships/hyperlink" Target="https://doi.org/10.2147/JHL.S520534" TargetMode="External"/><Relationship Id="rId23" Type="http://schemas.openxmlformats.org/officeDocument/2006/relationships/hyperlink" Target="https://doi.org/10.1186/s12916-020-01774-9" TargetMode="External"/><Relationship Id="rId28" Type="http://schemas.openxmlformats.org/officeDocument/2006/relationships/hyperlink" Target="https://thenhsalliance.org/resources/nhs-staff-survey-results-2024" TargetMode="External"/><Relationship Id="rId36" Type="http://schemas.openxmlformats.org/officeDocument/2006/relationships/hyperlink" Target="https://doi.org/10.1097/pts.0000000000000867" TargetMode="External"/><Relationship Id="rId10" Type="http://schemas.openxmlformats.org/officeDocument/2006/relationships/hyperlink" Target="https://doi.org/10.14738/assrj.1305.1273" TargetMode="External"/><Relationship Id="rId19" Type="http://schemas.openxmlformats.org/officeDocument/2006/relationships/hyperlink" Target="https://doi.org/10.1136/bmjqs-2019-010206" TargetMode="External"/><Relationship Id="rId31" Type="http://schemas.openxmlformats.org/officeDocument/2006/relationships/hyperlink" Target="https://www.journalslibrary.nihr.ac.uk/pgfar/KSRS200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97/HMR.0000000000000385" TargetMode="External"/><Relationship Id="rId22" Type="http://schemas.openxmlformats.org/officeDocument/2006/relationships/hyperlink" Target="https://jos3journals.id/index.php/jos3/article/view/291" TargetMode="External"/><Relationship Id="rId27" Type="http://schemas.openxmlformats.org/officeDocument/2006/relationships/hyperlink" Target="https://www.england.nhs.uk/long-read/nhs-long-term-workforce-plan-2/" TargetMode="External"/><Relationship Id="rId30" Type="http://schemas.openxmlformats.org/officeDocument/2006/relationships/hyperlink" Target="https://doi.org/10.1016/j.pharma.2022.12.002" TargetMode="External"/><Relationship Id="rId35" Type="http://schemas.openxmlformats.org/officeDocument/2006/relationships/hyperlink" Target="https://link.springer.com/content/pdf/10.1186/s40814-022-01099-9.pdf"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093/jopart/muac016" TargetMode="External"/><Relationship Id="rId17" Type="http://schemas.openxmlformats.org/officeDocument/2006/relationships/hyperlink" Target="https://doi.org/10.1016/j.chest.2022.07.025" TargetMode="External"/><Relationship Id="rId25" Type="http://schemas.openxmlformats.org/officeDocument/2006/relationships/hyperlink" Target="https://doi.org/10.1007/s11096-022-01507-3" TargetMode="External"/><Relationship Id="rId33" Type="http://schemas.openxmlformats.org/officeDocument/2006/relationships/hyperlink" Target="https://doi.org/10.1186/s12913-024-12129-y" TargetMode="External"/><Relationship Id="rId38" Type="http://schemas.openxmlformats.org/officeDocument/2006/relationships/hyperlink" Target="https://www.who.int/news-room/fact-sheets/detail/patient-safety"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1AFC1-6C3C-4E3C-B8B1-55AFF850C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6987</Words>
  <Characters>39829</Characters>
  <Application>Microsoft Office Word</Application>
  <DocSecurity>0</DocSecurity>
  <Lines>331</Lines>
  <Paragraphs>93</Paragraphs>
  <ScaleCrop>false</ScaleCrop>
  <Company/>
  <LinksUpToDate>false</LinksUpToDate>
  <CharactersWithSpaces>46723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2026-08-05T11:02:00Z</dcterms:created>
  <dcterms:modified xsi:type="dcterms:W3CDTF">2026-08-10T20:51:00Z</dcterms:modified>
</cp:coreProperties>
</file>