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E5A1D" w14:textId="77777777" w:rsidR="00D8649D" w:rsidRDefault="00D8649D" w:rsidP="00715E0E">
      <w:pPr>
        <w:spacing w:line="360" w:lineRule="auto"/>
        <w:jc w:val="both"/>
        <w:rPr>
          <w:rFonts w:ascii="Times New Roman" w:eastAsia="Times New Roman" w:hAnsi="Times New Roman" w:cs="Times New Roman"/>
          <w:b/>
          <w:sz w:val="24"/>
          <w:szCs w:val="24"/>
        </w:rPr>
      </w:pPr>
    </w:p>
    <w:p w14:paraId="3619DC22" w14:textId="77777777" w:rsidR="00D8649D" w:rsidRDefault="00D8649D" w:rsidP="00715E0E">
      <w:pPr>
        <w:spacing w:line="360" w:lineRule="auto"/>
        <w:jc w:val="both"/>
        <w:rPr>
          <w:rFonts w:ascii="Times New Roman" w:eastAsia="Times New Roman" w:hAnsi="Times New Roman" w:cs="Times New Roman"/>
          <w:b/>
          <w:sz w:val="24"/>
          <w:szCs w:val="24"/>
        </w:rPr>
      </w:pPr>
    </w:p>
    <w:p w14:paraId="517DE11E" w14:textId="77777777" w:rsidR="00D8649D" w:rsidRDefault="00D8649D" w:rsidP="00715E0E">
      <w:pPr>
        <w:spacing w:line="360" w:lineRule="auto"/>
        <w:jc w:val="both"/>
        <w:rPr>
          <w:rFonts w:ascii="Times New Roman" w:eastAsia="Times New Roman" w:hAnsi="Times New Roman" w:cs="Times New Roman"/>
          <w:b/>
          <w:sz w:val="24"/>
          <w:szCs w:val="24"/>
        </w:rPr>
      </w:pPr>
    </w:p>
    <w:p w14:paraId="4DD7A110" w14:textId="77777777" w:rsidR="00D8649D" w:rsidRDefault="00D8649D" w:rsidP="00715E0E">
      <w:pPr>
        <w:spacing w:line="360" w:lineRule="auto"/>
        <w:jc w:val="both"/>
        <w:rPr>
          <w:rFonts w:ascii="Times New Roman" w:eastAsia="Times New Roman" w:hAnsi="Times New Roman" w:cs="Times New Roman"/>
          <w:b/>
          <w:sz w:val="24"/>
          <w:szCs w:val="24"/>
        </w:rPr>
      </w:pPr>
    </w:p>
    <w:p w14:paraId="24C0A6FC" w14:textId="77777777" w:rsidR="00D8649D" w:rsidRDefault="00D8649D" w:rsidP="00715E0E">
      <w:pPr>
        <w:spacing w:line="360" w:lineRule="auto"/>
        <w:jc w:val="both"/>
        <w:rPr>
          <w:rFonts w:ascii="Times New Roman" w:eastAsia="Times New Roman" w:hAnsi="Times New Roman" w:cs="Times New Roman"/>
          <w:b/>
          <w:sz w:val="24"/>
          <w:szCs w:val="24"/>
        </w:rPr>
      </w:pPr>
    </w:p>
    <w:p w14:paraId="6D5580E3" w14:textId="77777777" w:rsidR="00D8649D" w:rsidRDefault="00D8649D" w:rsidP="00715E0E">
      <w:pPr>
        <w:spacing w:line="360" w:lineRule="auto"/>
        <w:jc w:val="both"/>
        <w:rPr>
          <w:rFonts w:ascii="Times New Roman" w:eastAsia="Times New Roman" w:hAnsi="Times New Roman" w:cs="Times New Roman"/>
          <w:b/>
          <w:sz w:val="24"/>
          <w:szCs w:val="24"/>
        </w:rPr>
      </w:pPr>
    </w:p>
    <w:p w14:paraId="6C469385" w14:textId="77CB189A" w:rsidR="00D8649D" w:rsidRDefault="00D23189" w:rsidP="00715E0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57BBE36" wp14:editId="43CD3367">
            <wp:extent cx="3913665" cy="15011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7171" cy="1506320"/>
                    </a:xfrm>
                    <a:prstGeom prst="rect">
                      <a:avLst/>
                    </a:prstGeom>
                  </pic:spPr>
                </pic:pic>
              </a:graphicData>
            </a:graphic>
          </wp:inline>
        </w:drawing>
      </w:r>
    </w:p>
    <w:p w14:paraId="223C5995" w14:textId="77777777" w:rsidR="00D8649D" w:rsidRDefault="00D8649D" w:rsidP="00715E0E">
      <w:pPr>
        <w:spacing w:line="360" w:lineRule="auto"/>
        <w:jc w:val="both"/>
        <w:rPr>
          <w:rFonts w:ascii="Times New Roman" w:eastAsia="Times New Roman" w:hAnsi="Times New Roman" w:cs="Times New Roman"/>
          <w:b/>
          <w:sz w:val="24"/>
          <w:szCs w:val="24"/>
        </w:rPr>
      </w:pPr>
    </w:p>
    <w:p w14:paraId="55A393D6" w14:textId="27F6531E" w:rsidR="00D8649D" w:rsidRDefault="00D8649D" w:rsidP="00715E0E">
      <w:pPr>
        <w:spacing w:line="360" w:lineRule="auto"/>
        <w:jc w:val="both"/>
        <w:rPr>
          <w:rFonts w:ascii="Times New Roman" w:eastAsia="Times New Roman" w:hAnsi="Times New Roman" w:cs="Times New Roman"/>
          <w:b/>
          <w:sz w:val="24"/>
          <w:szCs w:val="24"/>
        </w:rPr>
      </w:pPr>
    </w:p>
    <w:p w14:paraId="12DAC54E" w14:textId="0A69C249" w:rsidR="00511DAE" w:rsidRPr="00511DAE" w:rsidRDefault="00511DAE" w:rsidP="00511DAE">
      <w:pPr>
        <w:jc w:val="center"/>
        <w:rPr>
          <w:b/>
          <w:sz w:val="32"/>
          <w:szCs w:val="32"/>
        </w:rPr>
      </w:pPr>
      <w:proofErr w:type="spellStart"/>
      <w:r w:rsidRPr="00511DAE">
        <w:rPr>
          <w:b/>
          <w:sz w:val="32"/>
          <w:szCs w:val="32"/>
        </w:rPr>
        <w:t>Programme</w:t>
      </w:r>
      <w:proofErr w:type="spellEnd"/>
      <w:r w:rsidRPr="00511DAE">
        <w:rPr>
          <w:b/>
          <w:sz w:val="32"/>
          <w:szCs w:val="32"/>
        </w:rPr>
        <w:t>: BA Business Management</w:t>
      </w:r>
    </w:p>
    <w:p w14:paraId="164F165B" w14:textId="77777777" w:rsidR="00511DAE" w:rsidRPr="00511DAE" w:rsidRDefault="00511DAE" w:rsidP="00511DAE">
      <w:pPr>
        <w:jc w:val="center"/>
        <w:rPr>
          <w:b/>
          <w:sz w:val="32"/>
          <w:szCs w:val="32"/>
        </w:rPr>
      </w:pPr>
    </w:p>
    <w:p w14:paraId="6DD0067E" w14:textId="4F35F306" w:rsidR="00511DAE" w:rsidRPr="00511DAE" w:rsidRDefault="00511DAE" w:rsidP="00511DAE">
      <w:pPr>
        <w:jc w:val="center"/>
        <w:rPr>
          <w:b/>
          <w:sz w:val="32"/>
          <w:szCs w:val="32"/>
        </w:rPr>
      </w:pPr>
      <w:r w:rsidRPr="00511DAE">
        <w:rPr>
          <w:b/>
          <w:sz w:val="32"/>
          <w:szCs w:val="32"/>
        </w:rPr>
        <w:t xml:space="preserve">Module: </w:t>
      </w:r>
      <w:r>
        <w:rPr>
          <w:b/>
          <w:sz w:val="32"/>
          <w:szCs w:val="32"/>
        </w:rPr>
        <w:t>Accounting Fundamentals</w:t>
      </w:r>
    </w:p>
    <w:p w14:paraId="2F4B2C3E" w14:textId="77777777" w:rsidR="00511DAE" w:rsidRPr="00511DAE" w:rsidRDefault="00511DAE" w:rsidP="00511DAE">
      <w:pPr>
        <w:jc w:val="center"/>
        <w:rPr>
          <w:b/>
          <w:sz w:val="32"/>
          <w:szCs w:val="32"/>
        </w:rPr>
      </w:pPr>
    </w:p>
    <w:p w14:paraId="609602B6" w14:textId="4CB977B4" w:rsidR="00511DAE" w:rsidRPr="00511DAE" w:rsidRDefault="00511DAE" w:rsidP="00511DAE">
      <w:pPr>
        <w:jc w:val="center"/>
        <w:rPr>
          <w:b/>
          <w:sz w:val="32"/>
          <w:szCs w:val="32"/>
        </w:rPr>
      </w:pPr>
      <w:r w:rsidRPr="00511DAE">
        <w:rPr>
          <w:b/>
          <w:sz w:val="32"/>
          <w:szCs w:val="32"/>
        </w:rPr>
        <w:t>Module code: LCBB400</w:t>
      </w:r>
      <w:r>
        <w:rPr>
          <w:b/>
          <w:sz w:val="32"/>
          <w:szCs w:val="32"/>
        </w:rPr>
        <w:t>1</w:t>
      </w:r>
    </w:p>
    <w:p w14:paraId="2F4A751E" w14:textId="77777777" w:rsidR="00511DAE" w:rsidRDefault="00511DAE" w:rsidP="00511DAE">
      <w:pPr>
        <w:jc w:val="center"/>
        <w:rPr>
          <w:b/>
          <w:sz w:val="26"/>
          <w:szCs w:val="26"/>
        </w:rPr>
      </w:pPr>
    </w:p>
    <w:p w14:paraId="75F2F288" w14:textId="4A2500D8" w:rsidR="00511DAE" w:rsidRPr="00511DAE" w:rsidRDefault="00511DAE" w:rsidP="00511DAE">
      <w:pPr>
        <w:jc w:val="center"/>
        <w:rPr>
          <w:sz w:val="28"/>
          <w:szCs w:val="28"/>
        </w:rPr>
      </w:pPr>
      <w:r w:rsidRPr="00511DAE">
        <w:rPr>
          <w:sz w:val="28"/>
          <w:szCs w:val="28"/>
        </w:rPr>
        <w:t xml:space="preserve">Lecturer: </w:t>
      </w:r>
      <w:r>
        <w:rPr>
          <w:sz w:val="28"/>
          <w:szCs w:val="28"/>
        </w:rPr>
        <w:t>Nadeem Mirza</w:t>
      </w:r>
    </w:p>
    <w:p w14:paraId="6474A656" w14:textId="77777777" w:rsidR="00511DAE" w:rsidRPr="00511DAE" w:rsidRDefault="00511DAE" w:rsidP="00511DAE">
      <w:pPr>
        <w:jc w:val="center"/>
        <w:rPr>
          <w:sz w:val="28"/>
          <w:szCs w:val="28"/>
        </w:rPr>
      </w:pPr>
    </w:p>
    <w:p w14:paraId="044F3343" w14:textId="6A1E1951" w:rsidR="00511DAE" w:rsidRPr="00511DAE" w:rsidRDefault="00511DAE" w:rsidP="00511DAE">
      <w:pPr>
        <w:jc w:val="center"/>
        <w:rPr>
          <w:sz w:val="28"/>
          <w:szCs w:val="28"/>
        </w:rPr>
      </w:pPr>
      <w:r w:rsidRPr="00511DAE">
        <w:rPr>
          <w:sz w:val="28"/>
          <w:szCs w:val="28"/>
        </w:rPr>
        <w:t>Student Name: Sandra Iulia Ghinescu</w:t>
      </w:r>
    </w:p>
    <w:p w14:paraId="1FBE1DBB" w14:textId="77777777" w:rsidR="00511DAE" w:rsidRPr="00511DAE" w:rsidRDefault="00511DAE" w:rsidP="00511DAE">
      <w:pPr>
        <w:jc w:val="center"/>
        <w:rPr>
          <w:sz w:val="28"/>
          <w:szCs w:val="28"/>
        </w:rPr>
      </w:pPr>
    </w:p>
    <w:p w14:paraId="6D6E3B86" w14:textId="77777777" w:rsidR="00511DAE" w:rsidRPr="00511DAE" w:rsidRDefault="00511DAE" w:rsidP="00511DAE">
      <w:pPr>
        <w:jc w:val="center"/>
        <w:rPr>
          <w:sz w:val="28"/>
          <w:szCs w:val="28"/>
        </w:rPr>
      </w:pPr>
      <w:r w:rsidRPr="00511DAE">
        <w:rPr>
          <w:sz w:val="28"/>
          <w:szCs w:val="28"/>
        </w:rPr>
        <w:t>Student ID: 2118454</w:t>
      </w:r>
    </w:p>
    <w:p w14:paraId="2FDF6B95" w14:textId="77777777" w:rsidR="00AE0B53" w:rsidRDefault="00AE0B53" w:rsidP="00511DAE">
      <w:pPr>
        <w:spacing w:line="360" w:lineRule="auto"/>
        <w:jc w:val="center"/>
        <w:rPr>
          <w:rFonts w:ascii="Times New Roman" w:eastAsia="Times New Roman" w:hAnsi="Times New Roman" w:cs="Times New Roman"/>
          <w:b/>
          <w:sz w:val="24"/>
          <w:szCs w:val="24"/>
        </w:rPr>
      </w:pPr>
    </w:p>
    <w:p w14:paraId="52D6151A" w14:textId="77777777" w:rsidR="00D8649D" w:rsidRDefault="00D8649D" w:rsidP="00715E0E">
      <w:pPr>
        <w:spacing w:line="360" w:lineRule="auto"/>
        <w:jc w:val="both"/>
        <w:rPr>
          <w:rFonts w:ascii="Times New Roman" w:eastAsia="Times New Roman" w:hAnsi="Times New Roman" w:cs="Times New Roman"/>
          <w:b/>
          <w:sz w:val="24"/>
          <w:szCs w:val="24"/>
        </w:rPr>
      </w:pPr>
    </w:p>
    <w:p w14:paraId="31634812" w14:textId="77777777" w:rsidR="00D8649D" w:rsidRDefault="00D8649D" w:rsidP="00715E0E">
      <w:pPr>
        <w:spacing w:line="360" w:lineRule="auto"/>
        <w:jc w:val="both"/>
        <w:rPr>
          <w:rFonts w:ascii="Times New Roman" w:eastAsia="Times New Roman" w:hAnsi="Times New Roman" w:cs="Times New Roman"/>
          <w:b/>
          <w:sz w:val="24"/>
          <w:szCs w:val="24"/>
        </w:rPr>
      </w:pPr>
    </w:p>
    <w:p w14:paraId="058E6DFD" w14:textId="77777777" w:rsidR="00D8649D" w:rsidRDefault="00D8649D" w:rsidP="00715E0E">
      <w:pPr>
        <w:spacing w:line="360" w:lineRule="auto"/>
        <w:jc w:val="both"/>
        <w:rPr>
          <w:rFonts w:ascii="Times New Roman" w:eastAsia="Times New Roman" w:hAnsi="Times New Roman" w:cs="Times New Roman"/>
          <w:b/>
          <w:sz w:val="24"/>
          <w:szCs w:val="24"/>
        </w:rPr>
      </w:pPr>
    </w:p>
    <w:p w14:paraId="569D7FB0" w14:textId="77777777" w:rsidR="00D8649D" w:rsidRDefault="00D8649D" w:rsidP="00715E0E">
      <w:pPr>
        <w:spacing w:line="360" w:lineRule="auto"/>
        <w:jc w:val="both"/>
        <w:rPr>
          <w:rFonts w:ascii="Times New Roman" w:eastAsia="Times New Roman" w:hAnsi="Times New Roman" w:cs="Times New Roman"/>
          <w:b/>
          <w:sz w:val="24"/>
          <w:szCs w:val="24"/>
        </w:rPr>
      </w:pPr>
    </w:p>
    <w:p w14:paraId="54910CDC" w14:textId="77777777" w:rsidR="00D8649D" w:rsidRDefault="00D8649D" w:rsidP="00715E0E">
      <w:pPr>
        <w:spacing w:line="360" w:lineRule="auto"/>
        <w:jc w:val="both"/>
        <w:rPr>
          <w:rFonts w:ascii="Times New Roman" w:eastAsia="Times New Roman" w:hAnsi="Times New Roman" w:cs="Times New Roman"/>
          <w:b/>
          <w:sz w:val="24"/>
          <w:szCs w:val="24"/>
        </w:rPr>
      </w:pPr>
    </w:p>
    <w:p w14:paraId="2F787FCA" w14:textId="77777777" w:rsidR="00D8649D" w:rsidRDefault="00D8649D" w:rsidP="00715E0E">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bCs/>
          <w:color w:val="auto"/>
          <w:sz w:val="36"/>
          <w:szCs w:val="36"/>
          <w:lang w:val="en" w:eastAsia="en-IN"/>
        </w:rPr>
        <w:id w:val="-329678657"/>
        <w:docPartObj>
          <w:docPartGallery w:val="Table of Contents"/>
          <w:docPartUnique/>
        </w:docPartObj>
      </w:sdtPr>
      <w:sdtEndPr>
        <w:rPr>
          <w:noProof/>
          <w:sz w:val="22"/>
          <w:szCs w:val="22"/>
        </w:rPr>
      </w:sdtEndPr>
      <w:sdtContent>
        <w:p w14:paraId="37A85714" w14:textId="74D3A350" w:rsidR="00D8649D" w:rsidRPr="00D8649D" w:rsidRDefault="00D8649D" w:rsidP="00715E0E">
          <w:pPr>
            <w:pStyle w:val="TOCHeading"/>
            <w:spacing w:line="360" w:lineRule="auto"/>
            <w:jc w:val="center"/>
            <w:rPr>
              <w:rFonts w:ascii="Times New Roman" w:hAnsi="Times New Roman" w:cs="Times New Roman"/>
              <w:b/>
              <w:bCs/>
              <w:color w:val="auto"/>
              <w:sz w:val="28"/>
              <w:szCs w:val="28"/>
            </w:rPr>
          </w:pPr>
          <w:r w:rsidRPr="00D8649D">
            <w:rPr>
              <w:rFonts w:ascii="Times New Roman" w:hAnsi="Times New Roman" w:cs="Times New Roman"/>
              <w:b/>
              <w:bCs/>
              <w:color w:val="auto"/>
              <w:sz w:val="28"/>
              <w:szCs w:val="28"/>
            </w:rPr>
            <w:t>Table of Contents</w:t>
          </w:r>
        </w:p>
        <w:p w14:paraId="46FD5F26" w14:textId="610CED28" w:rsidR="00D8649D" w:rsidRPr="00D8649D" w:rsidRDefault="00D8649D" w:rsidP="00715E0E">
          <w:pPr>
            <w:pStyle w:val="TOC1"/>
            <w:tabs>
              <w:tab w:val="right" w:leader="dot" w:pos="9350"/>
            </w:tabs>
            <w:spacing w:line="360" w:lineRule="auto"/>
            <w:jc w:val="both"/>
            <w:rPr>
              <w:rFonts w:ascii="Times New Roman" w:hAnsi="Times New Roman" w:cs="Times New Roman"/>
              <w:noProof/>
              <w:sz w:val="24"/>
              <w:szCs w:val="24"/>
            </w:rPr>
          </w:pPr>
          <w:r w:rsidRPr="00D8649D">
            <w:rPr>
              <w:rFonts w:ascii="Times New Roman" w:hAnsi="Times New Roman" w:cs="Times New Roman"/>
              <w:sz w:val="24"/>
              <w:szCs w:val="24"/>
            </w:rPr>
            <w:fldChar w:fldCharType="begin"/>
          </w:r>
          <w:r w:rsidRPr="00D8649D">
            <w:rPr>
              <w:rFonts w:ascii="Times New Roman" w:hAnsi="Times New Roman" w:cs="Times New Roman"/>
              <w:sz w:val="24"/>
              <w:szCs w:val="24"/>
            </w:rPr>
            <w:instrText xml:space="preserve"> TOC \o "1-3" \h \z \u </w:instrText>
          </w:r>
          <w:r w:rsidRPr="00D8649D">
            <w:rPr>
              <w:rFonts w:ascii="Times New Roman" w:hAnsi="Times New Roman" w:cs="Times New Roman"/>
              <w:sz w:val="24"/>
              <w:szCs w:val="24"/>
            </w:rPr>
            <w:fldChar w:fldCharType="separate"/>
          </w:r>
          <w:hyperlink w:anchor="_Toc121247377" w:history="1">
            <w:r w:rsidRPr="00D8649D">
              <w:rPr>
                <w:rStyle w:val="Hyperlink"/>
                <w:rFonts w:ascii="Times New Roman" w:hAnsi="Times New Roman" w:cs="Times New Roman"/>
                <w:noProof/>
                <w:sz w:val="24"/>
                <w:szCs w:val="24"/>
              </w:rPr>
              <w:t>Introduction</w:t>
            </w:r>
            <w:r w:rsidRPr="00D8649D">
              <w:rPr>
                <w:rFonts w:ascii="Times New Roman" w:hAnsi="Times New Roman" w:cs="Times New Roman"/>
                <w:noProof/>
                <w:webHidden/>
                <w:sz w:val="24"/>
                <w:szCs w:val="24"/>
              </w:rPr>
              <w:tab/>
            </w:r>
            <w:r w:rsidRPr="00D8649D">
              <w:rPr>
                <w:rFonts w:ascii="Times New Roman" w:hAnsi="Times New Roman" w:cs="Times New Roman"/>
                <w:noProof/>
                <w:webHidden/>
                <w:sz w:val="24"/>
                <w:szCs w:val="24"/>
              </w:rPr>
              <w:fldChar w:fldCharType="begin"/>
            </w:r>
            <w:r w:rsidRPr="00D8649D">
              <w:rPr>
                <w:rFonts w:ascii="Times New Roman" w:hAnsi="Times New Roman" w:cs="Times New Roman"/>
                <w:noProof/>
                <w:webHidden/>
                <w:sz w:val="24"/>
                <w:szCs w:val="24"/>
              </w:rPr>
              <w:instrText xml:space="preserve"> PAGEREF _Toc121247377 \h </w:instrText>
            </w:r>
            <w:r w:rsidRPr="00D8649D">
              <w:rPr>
                <w:rFonts w:ascii="Times New Roman" w:hAnsi="Times New Roman" w:cs="Times New Roman"/>
                <w:noProof/>
                <w:webHidden/>
                <w:sz w:val="24"/>
                <w:szCs w:val="24"/>
              </w:rPr>
            </w:r>
            <w:r w:rsidRPr="00D8649D">
              <w:rPr>
                <w:rFonts w:ascii="Times New Roman" w:hAnsi="Times New Roman" w:cs="Times New Roman"/>
                <w:noProof/>
                <w:webHidden/>
                <w:sz w:val="24"/>
                <w:szCs w:val="24"/>
              </w:rPr>
              <w:fldChar w:fldCharType="separate"/>
            </w:r>
            <w:r w:rsidRPr="00D8649D">
              <w:rPr>
                <w:rFonts w:ascii="Times New Roman" w:hAnsi="Times New Roman" w:cs="Times New Roman"/>
                <w:noProof/>
                <w:webHidden/>
                <w:sz w:val="24"/>
                <w:szCs w:val="24"/>
              </w:rPr>
              <w:t>3</w:t>
            </w:r>
            <w:r w:rsidRPr="00D8649D">
              <w:rPr>
                <w:rFonts w:ascii="Times New Roman" w:hAnsi="Times New Roman" w:cs="Times New Roman"/>
                <w:noProof/>
                <w:webHidden/>
                <w:sz w:val="24"/>
                <w:szCs w:val="24"/>
              </w:rPr>
              <w:fldChar w:fldCharType="end"/>
            </w:r>
          </w:hyperlink>
        </w:p>
        <w:p w14:paraId="0138068E" w14:textId="4826082C"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78" w:history="1">
            <w:r w:rsidR="00D8649D" w:rsidRPr="00D8649D">
              <w:rPr>
                <w:rStyle w:val="Hyperlink"/>
                <w:rFonts w:ascii="Times New Roman" w:hAnsi="Times New Roman" w:cs="Times New Roman"/>
                <w:noProof/>
                <w:sz w:val="24"/>
                <w:szCs w:val="24"/>
              </w:rPr>
              <w:t>The main users of financial statements and their needs</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_Toc121247378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3</w:t>
            </w:r>
            <w:r w:rsidR="00D8649D" w:rsidRPr="00D8649D">
              <w:rPr>
                <w:rFonts w:ascii="Times New Roman" w:hAnsi="Times New Roman" w:cs="Times New Roman"/>
                <w:noProof/>
                <w:webHidden/>
                <w:sz w:val="24"/>
                <w:szCs w:val="24"/>
              </w:rPr>
              <w:fldChar w:fldCharType="end"/>
            </w:r>
          </w:hyperlink>
        </w:p>
        <w:p w14:paraId="5D602F94" w14:textId="03708CB5"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79" w:history="1">
            <w:r w:rsidR="00D8649D" w:rsidRPr="00D8649D">
              <w:rPr>
                <w:rStyle w:val="Hyperlink"/>
                <w:rFonts w:ascii="Times New Roman" w:hAnsi="Times New Roman" w:cs="Times New Roman"/>
                <w:noProof/>
                <w:sz w:val="24"/>
                <w:szCs w:val="24"/>
              </w:rPr>
              <w:t>Basic principles underlying in financial statement</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_Toc121247379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3</w:t>
            </w:r>
            <w:r w:rsidR="00D8649D" w:rsidRPr="00D8649D">
              <w:rPr>
                <w:rFonts w:ascii="Times New Roman" w:hAnsi="Times New Roman" w:cs="Times New Roman"/>
                <w:noProof/>
                <w:webHidden/>
                <w:sz w:val="24"/>
                <w:szCs w:val="24"/>
              </w:rPr>
              <w:fldChar w:fldCharType="end"/>
            </w:r>
          </w:hyperlink>
        </w:p>
        <w:p w14:paraId="4E0E313C" w14:textId="244CF9CC"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0" w:history="1">
            <w:r w:rsidR="00D8649D" w:rsidRPr="00D8649D">
              <w:rPr>
                <w:rStyle w:val="Hyperlink"/>
                <w:rFonts w:ascii="Times New Roman" w:hAnsi="Times New Roman" w:cs="Times New Roman"/>
                <w:noProof/>
                <w:sz w:val="24"/>
                <w:szCs w:val="24"/>
              </w:rPr>
              <w:t>Recognize the measuring problems arising in financial accounting</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_Toc121247380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4</w:t>
            </w:r>
            <w:r w:rsidR="00D8649D" w:rsidRPr="00D8649D">
              <w:rPr>
                <w:rFonts w:ascii="Times New Roman" w:hAnsi="Times New Roman" w:cs="Times New Roman"/>
                <w:noProof/>
                <w:webHidden/>
                <w:sz w:val="24"/>
                <w:szCs w:val="24"/>
              </w:rPr>
              <w:fldChar w:fldCharType="end"/>
            </w:r>
          </w:hyperlink>
        </w:p>
        <w:p w14:paraId="1183A264" w14:textId="0A44FDFA"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1" w:history="1">
            <w:r w:rsidR="00D8649D" w:rsidRPr="00D8649D">
              <w:rPr>
                <w:rStyle w:val="Hyperlink"/>
                <w:rFonts w:ascii="Times New Roman" w:hAnsi="Times New Roman" w:cs="Times New Roman"/>
                <w:noProof/>
                <w:sz w:val="24"/>
                <w:szCs w:val="24"/>
              </w:rPr>
              <w:t>Preparation of income statement and financial position for Wales Plc</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_Toc121247381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5</w:t>
            </w:r>
            <w:r w:rsidR="00D8649D" w:rsidRPr="00D8649D">
              <w:rPr>
                <w:rFonts w:ascii="Times New Roman" w:hAnsi="Times New Roman" w:cs="Times New Roman"/>
                <w:noProof/>
                <w:webHidden/>
                <w:sz w:val="24"/>
                <w:szCs w:val="24"/>
              </w:rPr>
              <w:fldChar w:fldCharType="end"/>
            </w:r>
          </w:hyperlink>
        </w:p>
        <w:p w14:paraId="01F996C5" w14:textId="451BB8AD"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2" w:history="1">
            <w:r w:rsidR="00D8649D" w:rsidRPr="00D8649D">
              <w:rPr>
                <w:rStyle w:val="Hyperlink"/>
                <w:rFonts w:ascii="Times New Roman" w:hAnsi="Times New Roman" w:cs="Times New Roman"/>
                <w:noProof/>
                <w:sz w:val="24"/>
                <w:szCs w:val="24"/>
              </w:rPr>
              <w:t>Computation of Income Statement of Wales Plc</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_Toc121247382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5</w:t>
            </w:r>
            <w:r w:rsidR="00D8649D" w:rsidRPr="00D8649D">
              <w:rPr>
                <w:rFonts w:ascii="Times New Roman" w:hAnsi="Times New Roman" w:cs="Times New Roman"/>
                <w:noProof/>
                <w:webHidden/>
                <w:sz w:val="24"/>
                <w:szCs w:val="24"/>
              </w:rPr>
              <w:fldChar w:fldCharType="end"/>
            </w:r>
          </w:hyperlink>
        </w:p>
        <w:p w14:paraId="5F19BF22" w14:textId="1D3D476D"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3" w:history="1">
            <w:r w:rsidR="00D8649D" w:rsidRPr="00D8649D">
              <w:rPr>
                <w:rStyle w:val="Hyperlink"/>
                <w:rFonts w:ascii="Times New Roman" w:hAnsi="Times New Roman" w:cs="Times New Roman"/>
                <w:noProof/>
                <w:sz w:val="24"/>
                <w:szCs w:val="24"/>
              </w:rPr>
              <w:t>Computation of Financial Position Statement of Wales Plc</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_Toc121247383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6</w:t>
            </w:r>
            <w:r w:rsidR="00D8649D" w:rsidRPr="00D8649D">
              <w:rPr>
                <w:rFonts w:ascii="Times New Roman" w:hAnsi="Times New Roman" w:cs="Times New Roman"/>
                <w:noProof/>
                <w:webHidden/>
                <w:sz w:val="24"/>
                <w:szCs w:val="24"/>
              </w:rPr>
              <w:fldChar w:fldCharType="end"/>
            </w:r>
          </w:hyperlink>
        </w:p>
        <w:p w14:paraId="79C664B3" w14:textId="04FC1CAF"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4" w:history="1">
            <w:r w:rsidR="00D8649D" w:rsidRPr="00D8649D">
              <w:rPr>
                <w:rStyle w:val="Hyperlink"/>
                <w:rFonts w:ascii="Times New Roman" w:hAnsi="Times New Roman" w:cs="Times New Roman"/>
                <w:noProof/>
                <w:sz w:val="24"/>
                <w:szCs w:val="24"/>
              </w:rPr>
              <w:t>The reason of evaluating financial position statement</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_Toc121247384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7</w:t>
            </w:r>
            <w:r w:rsidR="00D8649D" w:rsidRPr="00D8649D">
              <w:rPr>
                <w:rFonts w:ascii="Times New Roman" w:hAnsi="Times New Roman" w:cs="Times New Roman"/>
                <w:noProof/>
                <w:webHidden/>
                <w:sz w:val="24"/>
                <w:szCs w:val="24"/>
              </w:rPr>
              <w:fldChar w:fldCharType="end"/>
            </w:r>
          </w:hyperlink>
        </w:p>
        <w:p w14:paraId="4B1226B4" w14:textId="3CC4975D"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5" w:history="1">
            <w:r w:rsidR="00D8649D" w:rsidRPr="00D8649D">
              <w:rPr>
                <w:rStyle w:val="Hyperlink"/>
                <w:rFonts w:ascii="Times New Roman" w:hAnsi="Times New Roman" w:cs="Times New Roman"/>
                <w:noProof/>
                <w:sz w:val="24"/>
                <w:szCs w:val="24"/>
              </w:rPr>
              <w:t>Ratio Analysis</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_Toc121247385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8</w:t>
            </w:r>
            <w:r w:rsidR="00D8649D" w:rsidRPr="00D8649D">
              <w:rPr>
                <w:rFonts w:ascii="Times New Roman" w:hAnsi="Times New Roman" w:cs="Times New Roman"/>
                <w:noProof/>
                <w:webHidden/>
                <w:sz w:val="24"/>
                <w:szCs w:val="24"/>
              </w:rPr>
              <w:fldChar w:fldCharType="end"/>
            </w:r>
          </w:hyperlink>
        </w:p>
        <w:p w14:paraId="1263B504" w14:textId="022CCC4A"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6" w:history="1">
            <w:r w:rsidR="00D8649D" w:rsidRPr="00D8649D">
              <w:rPr>
                <w:rStyle w:val="Hyperlink"/>
                <w:rFonts w:ascii="Times New Roman" w:hAnsi="Times New Roman" w:cs="Times New Roman"/>
                <w:noProof/>
                <w:sz w:val="24"/>
                <w:szCs w:val="24"/>
              </w:rPr>
              <w:t>Interpretation of the financial statement and ratio calculation, comment of the financial performance and position of Sweets Plc</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_Toc121247386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12</w:t>
            </w:r>
            <w:r w:rsidR="00D8649D" w:rsidRPr="00D8649D">
              <w:rPr>
                <w:rFonts w:ascii="Times New Roman" w:hAnsi="Times New Roman" w:cs="Times New Roman"/>
                <w:noProof/>
                <w:webHidden/>
                <w:sz w:val="24"/>
                <w:szCs w:val="24"/>
              </w:rPr>
              <w:fldChar w:fldCharType="end"/>
            </w:r>
          </w:hyperlink>
        </w:p>
        <w:p w14:paraId="162403F7" w14:textId="7C9C229F" w:rsidR="00D8649D" w:rsidRP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7" w:history="1">
            <w:r w:rsidR="00D8649D" w:rsidRPr="00D8649D">
              <w:rPr>
                <w:rStyle w:val="Hyperlink"/>
                <w:rFonts w:ascii="Times New Roman" w:hAnsi="Times New Roman" w:cs="Times New Roman"/>
                <w:noProof/>
                <w:sz w:val="24"/>
                <w:szCs w:val="24"/>
              </w:rPr>
              <w:t>Conclusion</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_Toc121247387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14</w:t>
            </w:r>
            <w:r w:rsidR="00D8649D" w:rsidRPr="00D8649D">
              <w:rPr>
                <w:rFonts w:ascii="Times New Roman" w:hAnsi="Times New Roman" w:cs="Times New Roman"/>
                <w:noProof/>
                <w:webHidden/>
                <w:sz w:val="24"/>
                <w:szCs w:val="24"/>
              </w:rPr>
              <w:fldChar w:fldCharType="end"/>
            </w:r>
          </w:hyperlink>
        </w:p>
        <w:p w14:paraId="7EB8E654" w14:textId="69ACCB1B" w:rsidR="00D8649D" w:rsidRDefault="00E60845" w:rsidP="00715E0E">
          <w:pPr>
            <w:pStyle w:val="TOC1"/>
            <w:tabs>
              <w:tab w:val="right" w:leader="dot" w:pos="9350"/>
            </w:tabs>
            <w:spacing w:line="360" w:lineRule="auto"/>
            <w:jc w:val="both"/>
            <w:rPr>
              <w:rFonts w:ascii="Times New Roman" w:hAnsi="Times New Roman" w:cs="Times New Roman"/>
              <w:noProof/>
              <w:sz w:val="24"/>
              <w:szCs w:val="24"/>
            </w:rPr>
          </w:pPr>
          <w:hyperlink w:anchor="_Toc121247388" w:history="1">
            <w:r w:rsidR="00D8649D" w:rsidRPr="00D8649D">
              <w:rPr>
                <w:rStyle w:val="Hyperlink"/>
                <w:rFonts w:ascii="Times New Roman" w:hAnsi="Times New Roman" w:cs="Times New Roman"/>
                <w:noProof/>
                <w:sz w:val="24"/>
                <w:szCs w:val="24"/>
              </w:rPr>
              <w:t>Reference List</w:t>
            </w:r>
            <w:r w:rsidR="00D8649D" w:rsidRPr="00D8649D">
              <w:rPr>
                <w:rFonts w:ascii="Times New Roman" w:hAnsi="Times New Roman" w:cs="Times New Roman"/>
                <w:noProof/>
                <w:webHidden/>
                <w:sz w:val="24"/>
                <w:szCs w:val="24"/>
              </w:rPr>
              <w:tab/>
            </w:r>
            <w:r w:rsidR="00D8649D" w:rsidRPr="00D8649D">
              <w:rPr>
                <w:rFonts w:ascii="Times New Roman" w:hAnsi="Times New Roman" w:cs="Times New Roman"/>
                <w:noProof/>
                <w:webHidden/>
                <w:sz w:val="24"/>
                <w:szCs w:val="24"/>
              </w:rPr>
              <w:fldChar w:fldCharType="begin"/>
            </w:r>
            <w:r w:rsidR="00D8649D" w:rsidRPr="00D8649D">
              <w:rPr>
                <w:rFonts w:ascii="Times New Roman" w:hAnsi="Times New Roman" w:cs="Times New Roman"/>
                <w:noProof/>
                <w:webHidden/>
                <w:sz w:val="24"/>
                <w:szCs w:val="24"/>
              </w:rPr>
              <w:instrText xml:space="preserve"> PAGEREF _Toc121247388 \h </w:instrText>
            </w:r>
            <w:r w:rsidR="00D8649D" w:rsidRPr="00D8649D">
              <w:rPr>
                <w:rFonts w:ascii="Times New Roman" w:hAnsi="Times New Roman" w:cs="Times New Roman"/>
                <w:noProof/>
                <w:webHidden/>
                <w:sz w:val="24"/>
                <w:szCs w:val="24"/>
              </w:rPr>
            </w:r>
            <w:r w:rsidR="00D8649D" w:rsidRPr="00D8649D">
              <w:rPr>
                <w:rFonts w:ascii="Times New Roman" w:hAnsi="Times New Roman" w:cs="Times New Roman"/>
                <w:noProof/>
                <w:webHidden/>
                <w:sz w:val="24"/>
                <w:szCs w:val="24"/>
              </w:rPr>
              <w:fldChar w:fldCharType="separate"/>
            </w:r>
            <w:r w:rsidR="00D8649D" w:rsidRPr="00D8649D">
              <w:rPr>
                <w:rFonts w:ascii="Times New Roman" w:hAnsi="Times New Roman" w:cs="Times New Roman"/>
                <w:noProof/>
                <w:webHidden/>
                <w:sz w:val="24"/>
                <w:szCs w:val="24"/>
              </w:rPr>
              <w:t>15</w:t>
            </w:r>
            <w:r w:rsidR="00D8649D" w:rsidRPr="00D8649D">
              <w:rPr>
                <w:rFonts w:ascii="Times New Roman" w:hAnsi="Times New Roman" w:cs="Times New Roman"/>
                <w:noProof/>
                <w:webHidden/>
                <w:sz w:val="24"/>
                <w:szCs w:val="24"/>
              </w:rPr>
              <w:fldChar w:fldCharType="end"/>
            </w:r>
          </w:hyperlink>
        </w:p>
        <w:p w14:paraId="10FE87F6" w14:textId="1E918D59" w:rsidR="00051BA7" w:rsidRPr="00051BA7" w:rsidRDefault="00051BA7" w:rsidP="00051BA7">
          <w:r>
            <w:t xml:space="preserve">Financial </w:t>
          </w:r>
          <w:r w:rsidR="00E60845">
            <w:t>Calculations</w:t>
          </w:r>
          <w:r>
            <w:t>………………………………………………………………………</w:t>
          </w:r>
          <w:r w:rsidR="00E60845">
            <w:t>...</w:t>
          </w:r>
          <w:r>
            <w:t>……</w:t>
          </w:r>
          <w:r w:rsidR="00E60845">
            <w:t>...</w:t>
          </w:r>
          <w:r>
            <w:t>…</w:t>
          </w:r>
          <w:r w:rsidR="00935AE3">
            <w:t>23</w:t>
          </w:r>
        </w:p>
        <w:p w14:paraId="50217202" w14:textId="24F8B8BB" w:rsidR="00D8649D" w:rsidRDefault="00D8649D" w:rsidP="00715E0E">
          <w:pPr>
            <w:spacing w:line="360" w:lineRule="auto"/>
            <w:jc w:val="both"/>
          </w:pPr>
          <w:r w:rsidRPr="00D8649D">
            <w:rPr>
              <w:rFonts w:ascii="Times New Roman" w:hAnsi="Times New Roman" w:cs="Times New Roman"/>
              <w:b/>
              <w:bCs/>
              <w:noProof/>
              <w:sz w:val="24"/>
              <w:szCs w:val="24"/>
            </w:rPr>
            <w:fldChar w:fldCharType="end"/>
          </w:r>
        </w:p>
      </w:sdtContent>
    </w:sdt>
    <w:p w14:paraId="4622DE6B" w14:textId="77777777" w:rsidR="00737B23" w:rsidRDefault="00737B23" w:rsidP="00715E0E">
      <w:pPr>
        <w:spacing w:line="360" w:lineRule="auto"/>
        <w:jc w:val="both"/>
        <w:rPr>
          <w:rFonts w:ascii="Times New Roman" w:eastAsia="Times New Roman" w:hAnsi="Times New Roman" w:cs="Times New Roman"/>
          <w:b/>
          <w:sz w:val="24"/>
          <w:szCs w:val="24"/>
        </w:rPr>
      </w:pPr>
    </w:p>
    <w:p w14:paraId="0CC0CEC2" w14:textId="455DA88C" w:rsidR="004F41A2" w:rsidRDefault="00737B23" w:rsidP="00715E0E">
      <w:pPr>
        <w:pStyle w:val="Heading1"/>
        <w:spacing w:line="360" w:lineRule="auto"/>
      </w:pPr>
      <w:r>
        <w:br w:type="page"/>
      </w:r>
      <w:bookmarkStart w:id="0" w:name="_Toc121247377"/>
      <w:r w:rsidR="00A47AC7">
        <w:lastRenderedPageBreak/>
        <w:t>Introduction</w:t>
      </w:r>
      <w:bookmarkEnd w:id="0"/>
      <w:r w:rsidR="00A47AC7">
        <w:t xml:space="preserve"> </w:t>
      </w:r>
    </w:p>
    <w:p w14:paraId="5BC88D6A" w14:textId="77777777"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fundamentals of accounting are highly related with the concept of record keeping. Record keeping is also considered as the most primary function in accounting. A business or an industry must compile their financial or accounting operations with a standard form of retaining, storing, analyzing and interpreting financial resources or information. A company’s overall accounting process is divided into three major sections such as financial accounting, managerial accounting and income taxes. This particular report has focused into the financial accounting part that is mainly associated with preparation and interpretation of  financial statements of a company including income statement, balance sheet and cash-flow statement. </w:t>
      </w:r>
    </w:p>
    <w:p w14:paraId="37E60A67" w14:textId="77777777" w:rsidR="004F41A2" w:rsidRDefault="00A47AC7" w:rsidP="00715E0E">
      <w:pPr>
        <w:pStyle w:val="Heading1"/>
        <w:spacing w:line="360" w:lineRule="auto"/>
      </w:pPr>
      <w:bookmarkStart w:id="1" w:name="_Toc121247378"/>
      <w:r>
        <w:t>The main users of financial statements and their needs</w:t>
      </w:r>
      <w:bookmarkEnd w:id="1"/>
      <w:r>
        <w:t xml:space="preserve"> </w:t>
      </w:r>
    </w:p>
    <w:p w14:paraId="0F0769BE" w14:textId="77777777" w:rsidR="00D8649D"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statements of any specific company are mainly used by the company's major stakeholders such as investors, market analysts and creditors. It allows them to assess the current financial position of a business that measures a company's ability to hold strong financial holdings (Kadim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Apart from the three types of  users or financial statements, management of the company, customers, competitors, government agencies and employees are also considered as valuable users of financial statements that help them to make financial decisions within critical situations. According to Osadchy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 use of financial statements can be divided into two parts such as external users and internal users. Internal users </w:t>
      </w:r>
      <w:r w:rsidR="00737B23">
        <w:rPr>
          <w:rFonts w:ascii="Times New Roman" w:eastAsia="Times New Roman" w:hAnsi="Times New Roman" w:cs="Times New Roman"/>
          <w:sz w:val="24"/>
          <w:szCs w:val="24"/>
        </w:rPr>
        <w:t>refer</w:t>
      </w:r>
      <w:r>
        <w:rPr>
          <w:rFonts w:ascii="Times New Roman" w:eastAsia="Times New Roman" w:hAnsi="Times New Roman" w:cs="Times New Roman"/>
          <w:sz w:val="24"/>
          <w:szCs w:val="24"/>
        </w:rPr>
        <w:t xml:space="preserve"> to those people who are internally associated with the business and its financial operations such as employees, management and suppliers. </w:t>
      </w:r>
    </w:p>
    <w:p w14:paraId="30CE3A5D" w14:textId="77777777" w:rsidR="00D8649D"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external users include customers, investors and lenders of the business. Although, based on some academic reviews it has been stated that if a company’s financial statement consists of wrong data or interpreting mis-information, it could lead a firm to a drastic situation. Hence, it is essential for the financial managers or the operators of the business to incur only the right resources and financial information to present in the financial statements. Preparing an effective financial statement is needed by many who are typically associated with the organization (Roychowdhury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major need of financial statements in a firm as it is able to provide a clear and concise snapshot of the organization. </w:t>
      </w:r>
    </w:p>
    <w:p w14:paraId="0F29E4AB" w14:textId="2A7049DC"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it includes measurement of financial health, providing deep insights into the performance, operations and as well as cash flow. As it has been already stated that there are three types of financial statements that are  mainly prepared within a company such as income statement, </w:t>
      </w:r>
      <w:r>
        <w:rPr>
          <w:rFonts w:ascii="Times New Roman" w:eastAsia="Times New Roman" w:hAnsi="Times New Roman" w:cs="Times New Roman"/>
          <w:sz w:val="24"/>
          <w:szCs w:val="24"/>
        </w:rPr>
        <w:lastRenderedPageBreak/>
        <w:t xml:space="preserve">statement of balance sheet and a cash flow statement (Barker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These financial statements provide different insights such as company total income and expenses, current asset and liability level and also the cash flow inflation within a company throughout the year. </w:t>
      </w:r>
    </w:p>
    <w:p w14:paraId="55362007" w14:textId="77777777" w:rsidR="004F41A2" w:rsidRDefault="00A47AC7" w:rsidP="00715E0E">
      <w:pPr>
        <w:pStyle w:val="Heading1"/>
        <w:spacing w:line="360" w:lineRule="auto"/>
      </w:pPr>
      <w:bookmarkStart w:id="2" w:name="_Toc121247379"/>
      <w:r>
        <w:t>Basic principles underlying in financial statement</w:t>
      </w:r>
      <w:bookmarkEnd w:id="2"/>
      <w:r>
        <w:t xml:space="preserve"> </w:t>
      </w:r>
    </w:p>
    <w:p w14:paraId="32B469F0" w14:textId="77777777" w:rsidR="00D8649D"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principles as per accounting books and journals has been defined as a core process that helps an organization to manage both </w:t>
      </w:r>
      <w:r w:rsidR="00737B23">
        <w:rPr>
          <w:rFonts w:ascii="Times New Roman" w:eastAsia="Times New Roman" w:hAnsi="Times New Roman" w:cs="Times New Roman"/>
          <w:sz w:val="24"/>
          <w:szCs w:val="24"/>
        </w:rPr>
        <w:t>finances</w:t>
      </w:r>
      <w:r>
        <w:rPr>
          <w:rFonts w:ascii="Times New Roman" w:eastAsia="Times New Roman" w:hAnsi="Times New Roman" w:cs="Times New Roman"/>
          <w:sz w:val="24"/>
          <w:szCs w:val="24"/>
        </w:rPr>
        <w:t xml:space="preserve"> related within and outside of annual budget setting. As per the statement of Quarm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there are five major principles associated with a business that includes consistency, timelessness, justification, documentation and certification. The purpose of mentioning the financial principles underlying the financial statement is to guide a firm and its managers while making investment or financing on decisions. Although, among all the financial principles, it has been highlighted that maintaining a good cash flow in the business is essentially important. Furthermore, the reason cash flow as a core financial principle plays an important role as it is able to draw the possible drawbacks in the company’s financial cash flow statement (Gardi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also able to alert financial managers regarding if any negative cash flow inflation is involved within the process that could possibly prevent the major risks that can disrupt a new decision of a management regarding launching a new project or either invest in a product. </w:t>
      </w:r>
    </w:p>
    <w:p w14:paraId="18779752" w14:textId="2AEBCA16"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it has been stated financial principles are also able to guide organizations while preparing for vast and various financial statements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Setting accounting principles while preparing financial statements ensures that they are complete, consistent and also easier to make critical comparisons. Computing financial statements such as income statements, balance sheets and cash flow statements in such a way helps an investor to understand the changes within financial performance of a company over the years (Günay and Fatih, 2020). Moreover, it provides an easier form of the company’s financial insights that helps to acknowledge the specific areas that are needed to be changed or omitted to strengthen the financial position and also increase the level of growth and work efficiency of a particular company. </w:t>
      </w:r>
    </w:p>
    <w:p w14:paraId="3EF4D20C" w14:textId="77777777" w:rsidR="004F41A2" w:rsidRDefault="00A47AC7" w:rsidP="00715E0E">
      <w:pPr>
        <w:pStyle w:val="Heading1"/>
        <w:spacing w:line="360" w:lineRule="auto"/>
      </w:pPr>
      <w:bookmarkStart w:id="3" w:name="_Toc121247380"/>
      <w:r>
        <w:t>Recognize the measuring problems arising in financial accounting</w:t>
      </w:r>
      <w:bookmarkEnd w:id="3"/>
      <w:r>
        <w:t xml:space="preserve"> </w:t>
      </w:r>
    </w:p>
    <w:p w14:paraId="04A5BB84" w14:textId="77777777"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assessment is the conversion of financial or economic data into monetary, hourly, or other units. In the views of Zamora-Ramírez and Morales-Díaz (2018), accounting measuring methods aid in the comparison and evaluation of accounting information. There are special issues that impact the various financial reporting measurement bases, such as absorption costing, value </w:t>
      </w:r>
      <w:r>
        <w:rPr>
          <w:rFonts w:ascii="Times New Roman" w:eastAsia="Times New Roman" w:hAnsi="Times New Roman" w:cs="Times New Roman"/>
          <w:sz w:val="24"/>
          <w:szCs w:val="24"/>
        </w:rPr>
        <w:lastRenderedPageBreak/>
        <w:t xml:space="preserve">towards the firm, fair value, net realizable value, and valuation in use. Beside all this, other three common issues that arise during the preparation of the financial statements include reporting mistakes, differences in judgment, and misreporting. While it has been further demonstrated that reporting mistakes are errors caused by things like misjudgments or transposition figures (Ravazzi, 2022). Therefore, it is important for a business to maintain proper and ethical accounting principles and an incurred set of rules. As it has been found that Inaccurate financial accounting poses several risks, such as poor operational choices, adverse publicity, monetary penalties, loss of business value, and even civil proceedings against the firm and its executives. </w:t>
      </w:r>
    </w:p>
    <w:p w14:paraId="512AE51C" w14:textId="40C94696" w:rsidR="004F41A2" w:rsidRDefault="00A47AC7" w:rsidP="00715E0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Meanwhile, the researchers and scholars have demonstrated the major reason or the cause of the leaders of a firm to face several measuring problems that typically arise in financial accounting due to many reasons, </w:t>
      </w:r>
      <w:r w:rsidR="00737B23">
        <w:rPr>
          <w:rFonts w:ascii="Times New Roman" w:eastAsia="Times New Roman" w:hAnsi="Times New Roman" w:cs="Times New Roman"/>
          <w:sz w:val="24"/>
          <w:szCs w:val="24"/>
        </w:rPr>
        <w:t>specifically</w:t>
      </w:r>
      <w:r>
        <w:rPr>
          <w:rFonts w:ascii="Times New Roman" w:eastAsia="Times New Roman" w:hAnsi="Times New Roman" w:cs="Times New Roman"/>
          <w:sz w:val="24"/>
          <w:szCs w:val="24"/>
        </w:rPr>
        <w:t xml:space="preserve"> it happens while one does not have sufficient and accurate knowledge of financial accounting (Lahiri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Apart from this, A lost opportunity, a loss of money, or a bad investment can all occur in the absence of financial skill, and this is one of the leading causes of monetary issues . Hence, it is suggested to the organizations for taking necessary actions such as recruiting financial experts for conducting the financial evaluation, use of right sources and information, and proper measuring and review is also crucial (Salamzadeh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In addition to this, it is further recommended that the companies do not undertake high-risk investments like speculation property investment, financial securities, or trash bonds. Conserve the money by investing in deposit accounts, alternative investments, treasury securities and explore other options to spend the total  money of the company.</w:t>
      </w:r>
    </w:p>
    <w:p w14:paraId="75A43956" w14:textId="20B70864" w:rsidR="004F41A2" w:rsidRDefault="00117D28" w:rsidP="00715E0E">
      <w:pPr>
        <w:pStyle w:val="Heading1"/>
        <w:spacing w:line="360" w:lineRule="auto"/>
      </w:pPr>
      <w:bookmarkStart w:id="4" w:name="_Toc121247381"/>
      <w:r>
        <w:t>“</w:t>
      </w:r>
      <w:r w:rsidR="00A47AC7">
        <w:t>Preparation of income statement and financial position for Wales Plc</w:t>
      </w:r>
      <w:bookmarkEnd w:id="4"/>
      <w:r>
        <w:t>”</w:t>
      </w:r>
    </w:p>
    <w:p w14:paraId="38389419" w14:textId="77777777" w:rsidR="004F41A2" w:rsidRDefault="00A47AC7" w:rsidP="00715E0E">
      <w:pPr>
        <w:pStyle w:val="Heading1"/>
        <w:spacing w:line="360" w:lineRule="auto"/>
      </w:pPr>
      <w:bookmarkStart w:id="5" w:name="_Toc121247382"/>
      <w:r>
        <w:t>Computation of Income Statement of Wales Plc</w:t>
      </w:r>
      <w:bookmarkEnd w:id="5"/>
      <w:r>
        <w:t xml:space="preserve"> </w:t>
      </w:r>
    </w:p>
    <w:p w14:paraId="6D9666A9" w14:textId="77777777" w:rsidR="004F41A2" w:rsidRDefault="004F41A2" w:rsidP="00715E0E">
      <w:pPr>
        <w:spacing w:line="360" w:lineRule="auto"/>
        <w:jc w:val="both"/>
        <w:rPr>
          <w:rFonts w:ascii="Times New Roman" w:eastAsia="Times New Roman" w:hAnsi="Times New Roman" w:cs="Times New Roman"/>
          <w:b/>
          <w:sz w:val="24"/>
          <w:szCs w:val="24"/>
        </w:rPr>
      </w:pPr>
    </w:p>
    <w:tbl>
      <w:tblPr>
        <w:tblStyle w:val="a"/>
        <w:tblW w:w="5730" w:type="dxa"/>
        <w:jc w:val="center"/>
        <w:tblBorders>
          <w:top w:val="nil"/>
          <w:left w:val="nil"/>
          <w:bottom w:val="nil"/>
          <w:right w:val="nil"/>
          <w:insideH w:val="nil"/>
          <w:insideV w:val="nil"/>
        </w:tblBorders>
        <w:tblLayout w:type="fixed"/>
        <w:tblLook w:val="0600" w:firstRow="0" w:lastRow="0" w:firstColumn="0" w:lastColumn="0" w:noHBand="1" w:noVBand="1"/>
      </w:tblPr>
      <w:tblGrid>
        <w:gridCol w:w="4050"/>
        <w:gridCol w:w="1680"/>
      </w:tblGrid>
      <w:tr w:rsidR="004F41A2" w14:paraId="535383F5" w14:textId="77777777" w:rsidTr="00737B23">
        <w:trPr>
          <w:trHeight w:val="515"/>
          <w:jc w:val="center"/>
        </w:trPr>
        <w:tc>
          <w:tcPr>
            <w:tcW w:w="5730" w:type="dxa"/>
            <w:gridSpan w:val="2"/>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14:paraId="3DED4A98" w14:textId="3891D07D" w:rsidR="004F41A2" w:rsidRDefault="00117D28"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Computation of Income Statement of Wales Plc</w:t>
            </w:r>
            <w:r>
              <w:rPr>
                <w:rFonts w:ascii="Times New Roman" w:eastAsia="Times New Roman" w:hAnsi="Times New Roman" w:cs="Times New Roman"/>
                <w:b/>
                <w:sz w:val="24"/>
                <w:szCs w:val="24"/>
              </w:rPr>
              <w:t>”</w:t>
            </w:r>
          </w:p>
        </w:tc>
      </w:tr>
      <w:tr w:rsidR="004F41A2" w14:paraId="16234554" w14:textId="77777777" w:rsidTr="00737B23">
        <w:trPr>
          <w:trHeight w:val="515"/>
          <w:jc w:val="center"/>
        </w:trPr>
        <w:tc>
          <w:tcPr>
            <w:tcW w:w="4050"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vAlign w:val="bottom"/>
          </w:tcPr>
          <w:p w14:paraId="45FA2692" w14:textId="3264AE0E"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168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vAlign w:val="bottom"/>
          </w:tcPr>
          <w:p w14:paraId="28A67D57" w14:textId="77777777"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w:t>
            </w:r>
          </w:p>
        </w:tc>
      </w:tr>
      <w:tr w:rsidR="004F41A2" w14:paraId="793B0690" w14:textId="77777777" w:rsidTr="00737B23">
        <w:trPr>
          <w:trHeight w:val="515"/>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276F5F" w14:textId="246EE51E"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DE870C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8,00,000</w:t>
            </w:r>
          </w:p>
        </w:tc>
      </w:tr>
      <w:tr w:rsidR="004F41A2" w14:paraId="65E8D0B4"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77A9B6" w14:textId="385B6896"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sidR="00A47AC7">
              <w:rPr>
                <w:rFonts w:ascii="Times New Roman" w:eastAsia="Times New Roman" w:hAnsi="Times New Roman" w:cs="Times New Roman"/>
                <w:sz w:val="24"/>
                <w:szCs w:val="24"/>
              </w:rPr>
              <w:t>Cost of sales</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1B69E6E"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5,78,650</w:t>
            </w:r>
          </w:p>
        </w:tc>
      </w:tr>
      <w:tr w:rsidR="004F41A2" w14:paraId="2493772E"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9B7510" w14:textId="0F1DCFAA"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Gross profit</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E6C15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221350</w:t>
            </w:r>
          </w:p>
        </w:tc>
      </w:tr>
      <w:tr w:rsidR="004F41A2" w14:paraId="3788C440"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4FD416" w14:textId="36F259FD"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Administrative expenses</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88288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4F41A2" w14:paraId="0DC4DB53"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DD9DF9" w14:textId="6422E2FE"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Interest paid</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5022151"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4F41A2" w14:paraId="2279DB30"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1EA9C9" w14:textId="5364A649"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Directors' remuneration</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646B6C"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4F41A2" w14:paraId="3440B919"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DA88D2" w14:textId="5974A8AF"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Distribution costs</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BFA59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r>
      <w:tr w:rsidR="004F41A2" w14:paraId="1A380789"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09B7BE" w14:textId="0F332915"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Operating profit</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DACEB0"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132000</w:t>
            </w:r>
          </w:p>
        </w:tc>
      </w:tr>
      <w:tr w:rsidR="004F41A2" w14:paraId="0FD38C43" w14:textId="77777777" w:rsidTr="00737B23">
        <w:trPr>
          <w:trHeight w:val="515"/>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85E530" w14:textId="0AD24493"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Profit before tax</w:t>
            </w:r>
            <w:r>
              <w:rPr>
                <w:rFonts w:ascii="Times New Roman" w:eastAsia="Times New Roman" w:hAnsi="Times New Roman" w:cs="Times New Roman"/>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5B65B26"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353350</w:t>
            </w:r>
          </w:p>
        </w:tc>
      </w:tr>
      <w:tr w:rsidR="004F41A2" w14:paraId="2EE301E5"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B89672" w14:textId="1584B4AA"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Taxation</w:t>
            </w:r>
            <w:r>
              <w:rPr>
                <w:rFonts w:ascii="Times New Roman" w:eastAsia="Times New Roman" w:hAnsi="Times New Roman" w:cs="Times New Roman"/>
                <w:b/>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705E6A"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100000</w:t>
            </w:r>
          </w:p>
        </w:tc>
      </w:tr>
      <w:tr w:rsidR="004F41A2" w14:paraId="294C14B4" w14:textId="77777777" w:rsidTr="00737B23">
        <w:trPr>
          <w:trHeight w:val="500"/>
          <w:jc w:val="center"/>
        </w:trPr>
        <w:tc>
          <w:tcPr>
            <w:tcW w:w="40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CC6B8F" w14:textId="016DB926"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Profit for the period</w:t>
            </w:r>
            <w:r>
              <w:rPr>
                <w:rFonts w:ascii="Times New Roman" w:eastAsia="Times New Roman" w:hAnsi="Times New Roman" w:cs="Times New Roman"/>
                <w:b/>
                <w:sz w:val="24"/>
                <w:szCs w:val="24"/>
              </w:rPr>
              <w:t>”</w:t>
            </w:r>
          </w:p>
        </w:tc>
        <w:tc>
          <w:tcPr>
            <w:tcW w:w="16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471DB9"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253350</w:t>
            </w:r>
          </w:p>
        </w:tc>
      </w:tr>
    </w:tbl>
    <w:p w14:paraId="66C316B4" w14:textId="77777777" w:rsidR="004F41A2" w:rsidRDefault="004F41A2" w:rsidP="00715E0E">
      <w:pPr>
        <w:spacing w:line="360" w:lineRule="auto"/>
        <w:jc w:val="both"/>
        <w:rPr>
          <w:rFonts w:ascii="Times New Roman" w:eastAsia="Times New Roman" w:hAnsi="Times New Roman" w:cs="Times New Roman"/>
          <w:b/>
          <w:sz w:val="24"/>
          <w:szCs w:val="24"/>
        </w:rPr>
      </w:pPr>
    </w:p>
    <w:p w14:paraId="654AE502" w14:textId="183EEC96" w:rsidR="004F41A2" w:rsidRDefault="00A47AC7" w:rsidP="00715E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Computation of Income Statement of Wales Plc.</w:t>
      </w:r>
    </w:p>
    <w:p w14:paraId="054073F8" w14:textId="4106E699" w:rsidR="004F41A2" w:rsidRDefault="00A47AC7" w:rsidP="00715E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Self-Developed)</w:t>
      </w:r>
    </w:p>
    <w:p w14:paraId="14AD9656" w14:textId="77777777" w:rsidR="004F41A2" w:rsidRDefault="004F41A2" w:rsidP="00715E0E">
      <w:pPr>
        <w:spacing w:line="360" w:lineRule="auto"/>
        <w:jc w:val="both"/>
        <w:rPr>
          <w:rFonts w:ascii="Times New Roman" w:eastAsia="Times New Roman" w:hAnsi="Times New Roman" w:cs="Times New Roman"/>
          <w:b/>
          <w:sz w:val="24"/>
          <w:szCs w:val="24"/>
        </w:rPr>
      </w:pPr>
    </w:p>
    <w:p w14:paraId="626D1F48" w14:textId="77777777" w:rsidR="004F41A2" w:rsidRDefault="00A47AC7" w:rsidP="00715E0E">
      <w:pPr>
        <w:pStyle w:val="Heading1"/>
        <w:spacing w:line="360" w:lineRule="auto"/>
      </w:pPr>
      <w:bookmarkStart w:id="6" w:name="_Toc121247383"/>
      <w:r>
        <w:t>Computation of Financial Position Statement of Wales Plc</w:t>
      </w:r>
      <w:bookmarkEnd w:id="6"/>
      <w:r>
        <w:t xml:space="preserve"> </w:t>
      </w:r>
    </w:p>
    <w:tbl>
      <w:tblPr>
        <w:tblStyle w:val="a0"/>
        <w:tblW w:w="7215" w:type="dxa"/>
        <w:jc w:val="center"/>
        <w:tblBorders>
          <w:top w:val="nil"/>
          <w:left w:val="nil"/>
          <w:bottom w:val="nil"/>
          <w:right w:val="nil"/>
          <w:insideH w:val="nil"/>
          <w:insideV w:val="nil"/>
        </w:tblBorders>
        <w:tblLayout w:type="fixed"/>
        <w:tblLook w:val="0600" w:firstRow="0" w:lastRow="0" w:firstColumn="0" w:lastColumn="0" w:noHBand="1" w:noVBand="1"/>
      </w:tblPr>
      <w:tblGrid>
        <w:gridCol w:w="4455"/>
        <w:gridCol w:w="2760"/>
      </w:tblGrid>
      <w:tr w:rsidR="004F41A2" w14:paraId="6FD5FBEC" w14:textId="77777777" w:rsidTr="00737B23">
        <w:trPr>
          <w:trHeight w:val="515"/>
          <w:jc w:val="center"/>
        </w:trPr>
        <w:tc>
          <w:tcPr>
            <w:tcW w:w="7215" w:type="dxa"/>
            <w:gridSpan w:val="2"/>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14:paraId="0F55F649" w14:textId="719FDEE7" w:rsidR="004F41A2" w:rsidRDefault="00117D28"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Computation of Financial Position Statement of Wales Plc</w:t>
            </w:r>
            <w:r>
              <w:rPr>
                <w:rFonts w:ascii="Times New Roman" w:eastAsia="Times New Roman" w:hAnsi="Times New Roman" w:cs="Times New Roman"/>
                <w:b/>
                <w:sz w:val="24"/>
                <w:szCs w:val="24"/>
              </w:rPr>
              <w:t>”</w:t>
            </w:r>
          </w:p>
        </w:tc>
      </w:tr>
      <w:tr w:rsidR="004F41A2" w14:paraId="44F4FD1A" w14:textId="77777777" w:rsidTr="00737B23">
        <w:trPr>
          <w:trHeight w:val="515"/>
          <w:jc w:val="center"/>
        </w:trPr>
        <w:tc>
          <w:tcPr>
            <w:tcW w:w="445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vAlign w:val="bottom"/>
          </w:tcPr>
          <w:p w14:paraId="7F2E8FC8"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276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vAlign w:val="bottom"/>
          </w:tcPr>
          <w:p w14:paraId="384EE005" w14:textId="77777777"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w:t>
            </w:r>
          </w:p>
        </w:tc>
      </w:tr>
      <w:tr w:rsidR="004F41A2" w14:paraId="4F2FC535" w14:textId="77777777" w:rsidTr="00737B23">
        <w:trPr>
          <w:trHeight w:val="515"/>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9EADC2" w14:textId="36F49302" w:rsidR="004F41A2" w:rsidRDefault="00117D28"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w:t>
            </w:r>
            <w:r w:rsidR="00A47AC7">
              <w:rPr>
                <w:rFonts w:ascii="Times New Roman" w:eastAsia="Times New Roman" w:hAnsi="Times New Roman" w:cs="Times New Roman"/>
                <w:b/>
                <w:i/>
                <w:sz w:val="24"/>
                <w:szCs w:val="24"/>
                <w:u w:val="single"/>
              </w:rPr>
              <w:t>Assets</w:t>
            </w:r>
            <w:r>
              <w:rPr>
                <w:rFonts w:ascii="Times New Roman" w:eastAsia="Times New Roman" w:hAnsi="Times New Roman" w:cs="Times New Roman"/>
                <w:b/>
                <w:i/>
                <w:sz w:val="24"/>
                <w:szCs w:val="24"/>
                <w:u w:val="single"/>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7CA0C0"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249A70C2"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AD6BD3" w14:textId="131FAEC0"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Noncurrent assets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0E7B3B"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0DF52378"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E492B9" w14:textId="017B1163"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Property and equipment</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2DDB1A8"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6,32,730</w:t>
            </w:r>
          </w:p>
        </w:tc>
      </w:tr>
      <w:tr w:rsidR="004F41A2" w14:paraId="0B2B2C45"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5E773C" w14:textId="59588C0B"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Current assets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310EB9A"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004DCB88"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4E04D2" w14:textId="231A46EB"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Inventories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1BB72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3,30,600</w:t>
            </w:r>
          </w:p>
        </w:tc>
      </w:tr>
      <w:tr w:rsidR="004F41A2" w14:paraId="58B0233A"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85BFA7" w14:textId="76E58BF7"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1639B0"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171105</w:t>
            </w:r>
          </w:p>
        </w:tc>
      </w:tr>
      <w:tr w:rsidR="004F41A2" w14:paraId="191F1577"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443F82" w14:textId="4876B830"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Cash and bank</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D455D7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76,250</w:t>
            </w:r>
          </w:p>
        </w:tc>
      </w:tr>
      <w:tr w:rsidR="004F41A2" w14:paraId="3268C301"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5887467A" w14:textId="0D00CF92"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Total assets</w:t>
            </w:r>
            <w:r>
              <w:rPr>
                <w:rFonts w:ascii="Times New Roman" w:eastAsia="Times New Roman" w:hAnsi="Times New Roman" w:cs="Times New Roman"/>
                <w:b/>
                <w:sz w:val="24"/>
                <w:szCs w:val="24"/>
              </w:rPr>
              <w:t>”</w:t>
            </w:r>
          </w:p>
        </w:tc>
        <w:tc>
          <w:tcPr>
            <w:tcW w:w="276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tcPr>
          <w:p w14:paraId="58A7A4C3"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12,10,685</w:t>
            </w:r>
          </w:p>
        </w:tc>
      </w:tr>
      <w:tr w:rsidR="004F41A2" w14:paraId="7C88D9B7" w14:textId="77777777" w:rsidTr="00737B23">
        <w:trPr>
          <w:trHeight w:val="515"/>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0DC1FF" w14:textId="6BD58428" w:rsidR="004F41A2" w:rsidRDefault="00117D28"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Liabilities</w:t>
            </w:r>
            <w:r>
              <w:rPr>
                <w:rFonts w:ascii="Times New Roman" w:eastAsia="Times New Roman" w:hAnsi="Times New Roman" w:cs="Times New Roman"/>
                <w:b/>
                <w:i/>
                <w:sz w:val="24"/>
                <w:szCs w:val="24"/>
                <w:u w:val="single"/>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D83C29"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1FD47992"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15461B" w14:textId="3C35B031"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Current liabilities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2F40C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530B623C"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488BC3" w14:textId="21450441"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Trade payable</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269AB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1,71,355</w:t>
            </w:r>
          </w:p>
        </w:tc>
      </w:tr>
      <w:tr w:rsidR="004F41A2" w14:paraId="6E340B79"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C47142" w14:textId="4FC925E8"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Ordinary dividend paid</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39EC88"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4F41A2" w14:paraId="4DC3DE94"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A91AA4" w14:textId="3902C235"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Preference dividends paid</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6FDED1"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4F41A2" w14:paraId="1F67071B"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3EA7C2" w14:textId="3184805E"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Commission owed</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B6AF11"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4F41A2" w14:paraId="2E5888B1"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8847E3" w14:textId="143CC679" w:rsidR="004F41A2" w:rsidRPr="00117D28" w:rsidRDefault="00117D28" w:rsidP="00715E0E">
            <w:pPr>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r w:rsidR="00A47AC7" w:rsidRPr="00117D28">
              <w:rPr>
                <w:rFonts w:ascii="Times New Roman" w:eastAsia="Times New Roman" w:hAnsi="Times New Roman" w:cs="Times New Roman"/>
                <w:b/>
                <w:bCs/>
                <w:sz w:val="24"/>
                <w:szCs w:val="24"/>
              </w:rPr>
              <w:t>Non-current liabilities</w:t>
            </w:r>
            <w:r>
              <w:rPr>
                <w:rFonts w:ascii="Times New Roman" w:eastAsia="Times New Roman" w:hAnsi="Times New Roman" w:cs="Times New Roman"/>
                <w:b/>
                <w:bCs/>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3AA85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21EBF995"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80B08A" w14:textId="5D68D833"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sidR="00A47AC7">
              <w:rPr>
                <w:rFonts w:ascii="Times New Roman" w:eastAsia="Times New Roman" w:hAnsi="Times New Roman" w:cs="Times New Roman"/>
                <w:sz w:val="24"/>
                <w:szCs w:val="24"/>
              </w:rPr>
              <w:t>4% Debentures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501677E"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32,980</w:t>
            </w:r>
          </w:p>
        </w:tc>
      </w:tr>
      <w:tr w:rsidR="004F41A2" w14:paraId="6F335ACD"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74D2946E" w14:textId="6AEFCB1B"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Total liabilities</w:t>
            </w:r>
            <w:r>
              <w:rPr>
                <w:rFonts w:ascii="Times New Roman" w:eastAsia="Times New Roman" w:hAnsi="Times New Roman" w:cs="Times New Roman"/>
                <w:b/>
                <w:sz w:val="24"/>
                <w:szCs w:val="24"/>
              </w:rPr>
              <w:t>”</w:t>
            </w:r>
          </w:p>
        </w:tc>
        <w:tc>
          <w:tcPr>
            <w:tcW w:w="276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tcPr>
          <w:p w14:paraId="4D952EDB"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2,57,335</w:t>
            </w:r>
          </w:p>
        </w:tc>
      </w:tr>
      <w:tr w:rsidR="004F41A2" w14:paraId="1322007E" w14:textId="77777777" w:rsidTr="00737B23">
        <w:trPr>
          <w:trHeight w:val="515"/>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2F631C" w14:textId="2AEC8471" w:rsidR="004F41A2" w:rsidRDefault="00117D28"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Equity</w:t>
            </w:r>
            <w:r>
              <w:rPr>
                <w:rFonts w:ascii="Times New Roman" w:eastAsia="Times New Roman" w:hAnsi="Times New Roman" w:cs="Times New Roman"/>
                <w:b/>
                <w:i/>
                <w:sz w:val="24"/>
                <w:szCs w:val="24"/>
                <w:u w:val="single"/>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F9EDBB"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67180C5A"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79A849" w14:textId="168A993F"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Ordinary shares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39A91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4F41A2" w14:paraId="307C837E"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9EB95B" w14:textId="1CA5A389"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Preference shares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43997AD"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4F41A2" w14:paraId="79DBA252"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CD42BB" w14:textId="47282556" w:rsidR="004F41A2" w:rsidRDefault="00117D28"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Retained earnings</w:t>
            </w:r>
            <w:r>
              <w:rPr>
                <w:rFonts w:ascii="Times New Roman" w:eastAsia="Times New Roman" w:hAnsi="Times New Roman" w:cs="Times New Roman"/>
                <w:sz w:val="24"/>
                <w:szCs w:val="24"/>
              </w:rPr>
              <w:t>”</w:t>
            </w:r>
          </w:p>
        </w:tc>
        <w:tc>
          <w:tcPr>
            <w:tcW w:w="27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485BE1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253350</w:t>
            </w:r>
          </w:p>
        </w:tc>
      </w:tr>
      <w:tr w:rsidR="004F41A2" w14:paraId="2A235443"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79EF15AD" w14:textId="671C5634"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Total equity</w:t>
            </w:r>
            <w:r>
              <w:rPr>
                <w:rFonts w:ascii="Times New Roman" w:eastAsia="Times New Roman" w:hAnsi="Times New Roman" w:cs="Times New Roman"/>
                <w:b/>
                <w:sz w:val="24"/>
                <w:szCs w:val="24"/>
              </w:rPr>
              <w:t>”</w:t>
            </w:r>
          </w:p>
        </w:tc>
        <w:tc>
          <w:tcPr>
            <w:tcW w:w="276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tcPr>
          <w:p w14:paraId="641F91A5"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9,53,350</w:t>
            </w:r>
          </w:p>
        </w:tc>
      </w:tr>
      <w:tr w:rsidR="004F41A2" w14:paraId="51D3343A" w14:textId="77777777" w:rsidTr="00737B23">
        <w:trPr>
          <w:trHeight w:val="500"/>
          <w:jc w:val="center"/>
        </w:trPr>
        <w:tc>
          <w:tcPr>
            <w:tcW w:w="445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286468B5" w14:textId="16E9A9FB" w:rsidR="004F41A2" w:rsidRDefault="00117D28"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Total equity and liability</w:t>
            </w:r>
            <w:r>
              <w:rPr>
                <w:rFonts w:ascii="Times New Roman" w:eastAsia="Times New Roman" w:hAnsi="Times New Roman" w:cs="Times New Roman"/>
                <w:b/>
                <w:sz w:val="24"/>
                <w:szCs w:val="24"/>
              </w:rPr>
              <w:t>”</w:t>
            </w:r>
          </w:p>
        </w:tc>
        <w:tc>
          <w:tcPr>
            <w:tcW w:w="276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tcPr>
          <w:p w14:paraId="2F119D7B"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12,10,685</w:t>
            </w:r>
          </w:p>
        </w:tc>
      </w:tr>
    </w:tbl>
    <w:p w14:paraId="2E8765EB" w14:textId="77777777" w:rsidR="004F41A2" w:rsidRDefault="004F41A2" w:rsidP="00715E0E">
      <w:pPr>
        <w:spacing w:line="360" w:lineRule="auto"/>
        <w:jc w:val="both"/>
        <w:rPr>
          <w:rFonts w:ascii="Times New Roman" w:eastAsia="Times New Roman" w:hAnsi="Times New Roman" w:cs="Times New Roman"/>
          <w:b/>
          <w:sz w:val="24"/>
          <w:szCs w:val="24"/>
        </w:rPr>
      </w:pPr>
    </w:p>
    <w:p w14:paraId="1B5DC1D7" w14:textId="53699AC4" w:rsidR="004F41A2" w:rsidRDefault="00117D28" w:rsidP="00715E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Table 2: Computation of Financial Position of Wales Plc.</w:t>
      </w:r>
      <w:r>
        <w:rPr>
          <w:rFonts w:ascii="Times New Roman" w:eastAsia="Times New Roman" w:hAnsi="Times New Roman" w:cs="Times New Roman"/>
          <w:b/>
          <w:sz w:val="24"/>
          <w:szCs w:val="24"/>
        </w:rPr>
        <w:t>”</w:t>
      </w:r>
    </w:p>
    <w:p w14:paraId="57BDD5D1" w14:textId="6B50BB95" w:rsidR="004F41A2" w:rsidRDefault="004F41A2" w:rsidP="00715E0E">
      <w:pPr>
        <w:spacing w:line="360" w:lineRule="auto"/>
        <w:jc w:val="center"/>
        <w:rPr>
          <w:rFonts w:ascii="Times New Roman" w:eastAsia="Times New Roman" w:hAnsi="Times New Roman" w:cs="Times New Roman"/>
          <w:b/>
          <w:sz w:val="24"/>
          <w:szCs w:val="24"/>
        </w:rPr>
      </w:pPr>
    </w:p>
    <w:p w14:paraId="28C0A5A5" w14:textId="3C7A15C3" w:rsidR="004F41A2" w:rsidRDefault="00117D28" w:rsidP="00715E0E">
      <w:pPr>
        <w:pStyle w:val="Heading1"/>
        <w:spacing w:line="360" w:lineRule="auto"/>
      </w:pPr>
      <w:bookmarkStart w:id="7" w:name="_Toc121247384"/>
      <w:r>
        <w:t>“</w:t>
      </w:r>
      <w:r w:rsidR="00A47AC7">
        <w:t>The reason of evaluating financial position statement</w:t>
      </w:r>
      <w:bookmarkEnd w:id="7"/>
      <w:r>
        <w:t>”</w:t>
      </w:r>
      <w:r w:rsidR="00A47AC7">
        <w:t xml:space="preserve"> </w:t>
      </w:r>
    </w:p>
    <w:p w14:paraId="0266FDAC" w14:textId="60219A54"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stated that the economic structure report assists the company in maintaining control of its money, which is particularly significant with regard to the connections the company maintains with its clients and its vendors. The position statement has to be balanced in accordance with the idea of double-entry accounting in order for it to be understandable for the audience to whom it is directed. According to the findings of the study, the assets section of a balance sheet comes first out of the three primary categories that make up the document, and its portion of the total is by far the largest (Homonoff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worth of all resources that may be reasonably expected to be turned into cash within the next year and that are used to support continuing operations and pay current costs is considered to be the worth of a company's current assets, as the name of this asset category suggests. According to Lea (2021), </w:t>
      </w:r>
      <w:r w:rsidR="003647F0" w:rsidRPr="003647F0">
        <w:rPr>
          <w:rFonts w:ascii="Times New Roman" w:eastAsia="Times New Roman" w:hAnsi="Times New Roman" w:cs="Times New Roman"/>
          <w:sz w:val="24"/>
          <w:szCs w:val="24"/>
        </w:rPr>
        <w:t xml:space="preserve">In the widest possible definition, liabilities are defined </w:t>
      </w:r>
      <w:r w:rsidR="003647F0" w:rsidRPr="003647F0">
        <w:rPr>
          <w:rFonts w:ascii="Times New Roman" w:eastAsia="Times New Roman" w:hAnsi="Times New Roman" w:cs="Times New Roman"/>
          <w:sz w:val="24"/>
          <w:szCs w:val="24"/>
        </w:rPr>
        <w:lastRenderedPageBreak/>
        <w:t>that are due by a firm as a result of a past transaction, and the recovery of it that creates a reduction of macroeconomic value for the organization. Both current and noncurrent obligations are both possible types of liabilities.</w:t>
      </w:r>
      <w:r w:rsidR="003647F0">
        <w:rPr>
          <w:rFonts w:ascii="Times New Roman" w:eastAsia="Times New Roman" w:hAnsi="Times New Roman" w:cs="Times New Roman"/>
          <w:sz w:val="24"/>
          <w:szCs w:val="24"/>
        </w:rPr>
        <w:t xml:space="preserve"> On</w:t>
      </w:r>
      <w:r>
        <w:rPr>
          <w:rFonts w:ascii="Times New Roman" w:eastAsia="Times New Roman" w:hAnsi="Times New Roman" w:cs="Times New Roman"/>
          <w:sz w:val="24"/>
          <w:szCs w:val="24"/>
        </w:rPr>
        <w:t xml:space="preserve"> the contrary, the assets of a business are valued, and the value of those assets, together with the value of any liabilities and equity, are all documented on the firm's financial position statement (Xu and Liu, 2021). An asset is a depiction of resources that are within the control of the organization and have the ability to give future economic advantages to the organization. These resources have the potential to deliver future impact on the bottom line. Existing assets may be divided into two categories such as  current and noncurrent. The distinction between the two is based on the frequency with which the assets have been used during the course of their economic lifetime (Ji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However, there is a good chance that current assets, such as </w:t>
      </w:r>
      <w:r w:rsidR="003647F0">
        <w:rPr>
          <w:rFonts w:ascii="Times New Roman" w:eastAsia="Times New Roman" w:hAnsi="Times New Roman" w:cs="Times New Roman"/>
          <w:sz w:val="24"/>
          <w:szCs w:val="24"/>
        </w:rPr>
        <w:t>“</w:t>
      </w:r>
      <w:r>
        <w:rPr>
          <w:rFonts w:ascii="Times New Roman" w:eastAsia="Times New Roman" w:hAnsi="Times New Roman" w:cs="Times New Roman"/>
          <w:sz w:val="24"/>
          <w:szCs w:val="24"/>
        </w:rPr>
        <w:t>inventories</w:t>
      </w:r>
      <w:r w:rsidR="003647F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3647F0">
        <w:rPr>
          <w:rFonts w:ascii="Times New Roman" w:eastAsia="Times New Roman" w:hAnsi="Times New Roman" w:cs="Times New Roman"/>
          <w:sz w:val="24"/>
          <w:szCs w:val="24"/>
        </w:rPr>
        <w:t>“</w:t>
      </w:r>
      <w:r>
        <w:rPr>
          <w:rFonts w:ascii="Times New Roman" w:eastAsia="Times New Roman" w:hAnsi="Times New Roman" w:cs="Times New Roman"/>
          <w:sz w:val="24"/>
          <w:szCs w:val="24"/>
        </w:rPr>
        <w:t>accounts receivable</w:t>
      </w:r>
      <w:r w:rsidR="003647F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can </w:t>
      </w:r>
      <w:r w:rsidR="003647F0">
        <w:rPr>
          <w:rFonts w:ascii="Times New Roman" w:eastAsia="Times New Roman" w:hAnsi="Times New Roman" w:cs="Times New Roman"/>
          <w:sz w:val="24"/>
          <w:szCs w:val="24"/>
        </w:rPr>
        <w:t xml:space="preserve">involve in the </w:t>
      </w:r>
      <w:r>
        <w:rPr>
          <w:rFonts w:ascii="Times New Roman" w:eastAsia="Times New Roman" w:hAnsi="Times New Roman" w:cs="Times New Roman"/>
          <w:sz w:val="24"/>
          <w:szCs w:val="24"/>
        </w:rPr>
        <w:t xml:space="preserve">income </w:t>
      </w:r>
      <w:r w:rsidR="003647F0">
        <w:rPr>
          <w:rFonts w:ascii="Times New Roman" w:eastAsia="Times New Roman" w:hAnsi="Times New Roman" w:cs="Times New Roman"/>
          <w:sz w:val="24"/>
          <w:szCs w:val="24"/>
        </w:rPr>
        <w:t xml:space="preserve">statement </w:t>
      </w:r>
      <w:r>
        <w:rPr>
          <w:rFonts w:ascii="Times New Roman" w:eastAsia="Times New Roman" w:hAnsi="Times New Roman" w:cs="Times New Roman"/>
          <w:sz w:val="24"/>
          <w:szCs w:val="24"/>
        </w:rPr>
        <w:t xml:space="preserve">within a year of the asset's acquisition. In addition, there are two categories of liabilities that may be distinguished from one another that include accounts payable and non-current obligations. </w:t>
      </w:r>
    </w:p>
    <w:p w14:paraId="019F61F1" w14:textId="741A2167"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demonstrated that company's accounts payable are one example of its current obligations (Amanda, 2019). Accounts payable are a short-term debt owing to the company's suppliers. On a company's balance sheet, the overall sum of obligations due by the company includes not only its current liabilities but also its non-current </w:t>
      </w:r>
      <w:r w:rsidR="00737B23">
        <w:rPr>
          <w:rFonts w:ascii="Times New Roman" w:eastAsia="Times New Roman" w:hAnsi="Times New Roman" w:cs="Times New Roman"/>
          <w:sz w:val="24"/>
          <w:szCs w:val="24"/>
        </w:rPr>
        <w:t>liabilities. On</w:t>
      </w:r>
      <w:r>
        <w:rPr>
          <w:rFonts w:ascii="Times New Roman" w:eastAsia="Times New Roman" w:hAnsi="Times New Roman" w:cs="Times New Roman"/>
          <w:sz w:val="24"/>
          <w:szCs w:val="24"/>
        </w:rPr>
        <w:t xml:space="preserve"> the other hand, non-current liabilities are protracted commitments or promises </w:t>
      </w:r>
      <w:r w:rsidR="003647F0">
        <w:rPr>
          <w:rFonts w:ascii="Times New Roman" w:eastAsia="Times New Roman" w:hAnsi="Times New Roman" w:cs="Times New Roman"/>
          <w:sz w:val="24"/>
          <w:szCs w:val="24"/>
        </w:rPr>
        <w:t xml:space="preserve">which cannot be </w:t>
      </w:r>
      <w:r>
        <w:rPr>
          <w:rFonts w:ascii="Times New Roman" w:eastAsia="Times New Roman" w:hAnsi="Times New Roman" w:cs="Times New Roman"/>
          <w:sz w:val="24"/>
          <w:szCs w:val="24"/>
        </w:rPr>
        <w:t xml:space="preserve"> </w:t>
      </w:r>
      <w:r w:rsidR="003647F0">
        <w:rPr>
          <w:rFonts w:ascii="Times New Roman" w:eastAsia="Times New Roman" w:hAnsi="Times New Roman" w:cs="Times New Roman"/>
          <w:sz w:val="24"/>
          <w:szCs w:val="24"/>
        </w:rPr>
        <w:t xml:space="preserve">evaluated </w:t>
      </w:r>
      <w:r>
        <w:rPr>
          <w:rFonts w:ascii="Times New Roman" w:eastAsia="Times New Roman" w:hAnsi="Times New Roman" w:cs="Times New Roman"/>
          <w:sz w:val="24"/>
          <w:szCs w:val="24"/>
        </w:rPr>
        <w:t xml:space="preserve">to be repaid within one year </w:t>
      </w:r>
      <w:r w:rsidR="003647F0">
        <w:rPr>
          <w:rFonts w:ascii="Times New Roman" w:eastAsia="Times New Roman" w:hAnsi="Times New Roman" w:cs="Times New Roman"/>
          <w:sz w:val="24"/>
          <w:szCs w:val="24"/>
        </w:rPr>
        <w:t xml:space="preserve">and at the prime date the value or variables has been initiated </w:t>
      </w:r>
      <w:r>
        <w:rPr>
          <w:rFonts w:ascii="Times New Roman" w:eastAsia="Times New Roman" w:hAnsi="Times New Roman" w:cs="Times New Roman"/>
          <w:sz w:val="24"/>
          <w:szCs w:val="24"/>
        </w:rPr>
        <w:t>(Brumby, 2022). These liabilities are distinct from current liabilities, which are short-term obligations or commitments. Both the fact also  states that statements of financial position does have a positive net worth in the first place, which is due to the concept of accounting of double entry, and the fact that the owners keep good documents of the cash and billing entries that allows them to be coherent with the company's balance sheet, are attributable to the fact that the accounting simple idea of double entry.</w:t>
      </w:r>
    </w:p>
    <w:p w14:paraId="5A7D1A77" w14:textId="77777777" w:rsidR="004F41A2" w:rsidRDefault="004F41A2" w:rsidP="00715E0E">
      <w:pPr>
        <w:spacing w:line="360" w:lineRule="auto"/>
        <w:jc w:val="both"/>
        <w:rPr>
          <w:rFonts w:ascii="Times New Roman" w:eastAsia="Times New Roman" w:hAnsi="Times New Roman" w:cs="Times New Roman"/>
          <w:b/>
          <w:sz w:val="24"/>
          <w:szCs w:val="24"/>
        </w:rPr>
      </w:pPr>
    </w:p>
    <w:p w14:paraId="0C6D1EC0" w14:textId="77777777" w:rsidR="004F41A2" w:rsidRDefault="00A47AC7" w:rsidP="00715E0E">
      <w:pPr>
        <w:pStyle w:val="Heading1"/>
        <w:spacing w:line="360" w:lineRule="auto"/>
      </w:pPr>
      <w:bookmarkStart w:id="8" w:name="_Toc121247385"/>
      <w:r>
        <w:t>Ratio Analysis</w:t>
      </w:r>
      <w:bookmarkEnd w:id="8"/>
      <w:r>
        <w:t xml:space="preserve"> </w:t>
      </w:r>
    </w:p>
    <w:p w14:paraId="514170AF" w14:textId="77777777" w:rsidR="004F41A2" w:rsidRDefault="004F41A2" w:rsidP="00715E0E">
      <w:pPr>
        <w:spacing w:line="360" w:lineRule="auto"/>
        <w:jc w:val="both"/>
        <w:rPr>
          <w:rFonts w:ascii="Times New Roman" w:eastAsia="Times New Roman" w:hAnsi="Times New Roman" w:cs="Times New Roman"/>
          <w:b/>
          <w:sz w:val="24"/>
          <w:szCs w:val="24"/>
        </w:rPr>
      </w:pPr>
    </w:p>
    <w:tbl>
      <w:tblPr>
        <w:tblStyle w:val="a1"/>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7065"/>
        <w:gridCol w:w="945"/>
        <w:gridCol w:w="810"/>
      </w:tblGrid>
      <w:tr w:rsidR="004F41A2" w14:paraId="71D283EF" w14:textId="77777777" w:rsidTr="00737B23">
        <w:trPr>
          <w:trHeight w:val="485"/>
          <w:jc w:val="center"/>
        </w:trPr>
        <w:tc>
          <w:tcPr>
            <w:tcW w:w="8820" w:type="dxa"/>
            <w:gridSpan w:val="3"/>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14:paraId="568CC79C" w14:textId="77777777"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Computation of Ratio Analysis</w:t>
            </w:r>
          </w:p>
        </w:tc>
      </w:tr>
      <w:tr w:rsidR="004F41A2" w14:paraId="5DDFC2CA"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vAlign w:val="bottom"/>
          </w:tcPr>
          <w:p w14:paraId="341C66FB"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Particulars</w:t>
            </w:r>
          </w:p>
        </w:tc>
        <w:tc>
          <w:tcPr>
            <w:tcW w:w="945"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vAlign w:val="bottom"/>
          </w:tcPr>
          <w:p w14:paraId="40A7681A" w14:textId="77777777"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810" w:type="dxa"/>
            <w:tcBorders>
              <w:top w:val="nil"/>
              <w:left w:val="nil"/>
              <w:bottom w:val="single" w:sz="8" w:space="0" w:color="000000"/>
              <w:right w:val="single" w:sz="8" w:space="0" w:color="000000"/>
            </w:tcBorders>
            <w:shd w:val="clear" w:color="auto" w:fill="B4C6E7"/>
            <w:tcMar>
              <w:top w:w="100" w:type="dxa"/>
              <w:left w:w="100" w:type="dxa"/>
              <w:bottom w:w="100" w:type="dxa"/>
              <w:right w:w="100" w:type="dxa"/>
            </w:tcMar>
            <w:vAlign w:val="bottom"/>
          </w:tcPr>
          <w:p w14:paraId="71517AC5" w14:textId="77777777" w:rsidR="004F41A2" w:rsidRDefault="00A47AC7" w:rsidP="00715E0E">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r>
      <w:tr w:rsidR="004F41A2" w14:paraId="04DB760A"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409686"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ROCE</w:t>
            </w:r>
          </w:p>
        </w:tc>
      </w:tr>
      <w:tr w:rsidR="004F41A2" w14:paraId="6A6A3A27"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4C0BB6"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Formula of ROCE = Total Assets- Current Liabilities</w:t>
            </w:r>
          </w:p>
        </w:tc>
      </w:tr>
      <w:tr w:rsidR="004F41A2" w14:paraId="71362B24"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45DFE2"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Total Assets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AAA24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10087</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20CBC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9736</w:t>
            </w:r>
          </w:p>
        </w:tc>
      </w:tr>
      <w:tr w:rsidR="004F41A2" w14:paraId="7B8DFE54"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21F778"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Current Liabilities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1F85F2"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2355</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62561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2303</w:t>
            </w:r>
          </w:p>
        </w:tc>
      </w:tr>
      <w:tr w:rsidR="004F41A2" w14:paraId="1426F78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62E975"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ROCE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A2FA9C"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74E29F"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r>
      <w:tr w:rsidR="004F41A2" w14:paraId="73F2F5C8"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F3DDED"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ROE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9590AE"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DC5D44"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7EF6D1B2"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CBF211"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Formula of ROE = Net Income / Equity</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124C1F"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FF01DA"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157D109B"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D7A122"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Net Income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4D7EC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366</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05619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431</w:t>
            </w:r>
          </w:p>
        </w:tc>
      </w:tr>
      <w:tr w:rsidR="004F41A2" w14:paraId="030EB41C"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F2D9BB"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Equity</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97C97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2912</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183DFB"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3088</w:t>
            </w:r>
          </w:p>
        </w:tc>
      </w:tr>
      <w:tr w:rsidR="004F41A2" w14:paraId="0C879CFE"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203544"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A85A27"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13%</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9782F3"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14%</w:t>
            </w:r>
          </w:p>
        </w:tc>
      </w:tr>
      <w:tr w:rsidR="004F41A2" w14:paraId="5C072361"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9E614A"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Earnings Per Share</w:t>
            </w:r>
          </w:p>
        </w:tc>
      </w:tr>
      <w:tr w:rsidR="004F41A2" w14:paraId="2C4AF338" w14:textId="77777777" w:rsidTr="00737B23">
        <w:trPr>
          <w:trHeight w:val="126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E535BB" w14:textId="2B7B3B3D" w:rsidR="004F41A2" w:rsidRDefault="00AD3AD3"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Formula of Earning Per Share = Net Income -preferred Dividend  / Number of Common Shares Outstanding</w:t>
            </w:r>
            <w:r>
              <w:rPr>
                <w:rFonts w:ascii="Times New Roman" w:eastAsia="Times New Roman" w:hAnsi="Times New Roman" w:cs="Times New Roman"/>
                <w:sz w:val="24"/>
                <w:szCs w:val="24"/>
              </w:rPr>
              <w:t>”</w:t>
            </w:r>
          </w:p>
        </w:tc>
      </w:tr>
      <w:tr w:rsidR="004F41A2" w14:paraId="519A39F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2616C3B"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Net Income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81F8C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366</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33142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431</w:t>
            </w:r>
          </w:p>
        </w:tc>
      </w:tr>
      <w:tr w:rsidR="004F41A2" w14:paraId="2F25ABD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AFCD32" w14:textId="2C695D85" w:rsidR="004F41A2" w:rsidRDefault="00737B23"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preferred</w:t>
            </w:r>
            <w:r w:rsidR="00A47AC7">
              <w:rPr>
                <w:rFonts w:ascii="Times New Roman" w:eastAsia="Times New Roman" w:hAnsi="Times New Roman" w:cs="Times New Roman"/>
                <w:i/>
                <w:sz w:val="24"/>
                <w:szCs w:val="24"/>
              </w:rPr>
              <w:t xml:space="preserve"> Dividend</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5FBDAD"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242</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FC4666"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255</w:t>
            </w:r>
          </w:p>
        </w:tc>
      </w:tr>
      <w:tr w:rsidR="004F41A2" w14:paraId="17E6E9B3"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3F4461"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Number of Common Shares Outstanding</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2F2A2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722AF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r>
      <w:tr w:rsidR="004F41A2" w14:paraId="6F3BF0A8"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A032B3"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Earnings Per Share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C5B91E"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41%</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5BA7A9"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59%</w:t>
            </w:r>
          </w:p>
        </w:tc>
      </w:tr>
      <w:tr w:rsidR="004F41A2" w14:paraId="48E75849"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8C5D62"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Net Profit Margin</w:t>
            </w:r>
          </w:p>
        </w:tc>
      </w:tr>
      <w:tr w:rsidR="004F41A2" w14:paraId="2C14F812" w14:textId="77777777" w:rsidTr="00737B23">
        <w:trPr>
          <w:trHeight w:val="87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32C0A2"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Formula of Net Profit Margin = Revenue - Cost /  Revenue</w:t>
            </w:r>
          </w:p>
        </w:tc>
      </w:tr>
      <w:tr w:rsidR="004F41A2" w14:paraId="21B9C189"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7D8FB3"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Revenue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FE929A"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4B103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4F41A2" w14:paraId="4D97E954"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42570B"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Cost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123CA2"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2646</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ACBB3E"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2698</w:t>
            </w:r>
          </w:p>
        </w:tc>
      </w:tr>
      <w:tr w:rsidR="004F41A2" w14:paraId="6972C0DD"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DF2803"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 Margin</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0ED588"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0.59</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227F18"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0.60</w:t>
            </w:r>
          </w:p>
        </w:tc>
      </w:tr>
      <w:tr w:rsidR="004F41A2" w14:paraId="2CDF84ED"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5DD5F1" w14:textId="3F4CF8B9" w:rsidR="004F41A2" w:rsidRDefault="00AD3AD3"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Asset Turnover Ratio</w:t>
            </w:r>
            <w:r>
              <w:rPr>
                <w:rFonts w:ascii="Times New Roman" w:eastAsia="Times New Roman" w:hAnsi="Times New Roman" w:cs="Times New Roman"/>
                <w:b/>
                <w:i/>
                <w:sz w:val="24"/>
                <w:szCs w:val="24"/>
                <w:u w:val="single"/>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581D4"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B25E7C"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09D0FF6E" w14:textId="77777777" w:rsidTr="00737B23">
        <w:trPr>
          <w:trHeight w:val="890"/>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FB55B0" w14:textId="6F6E08A2" w:rsidR="004F41A2" w:rsidRDefault="00AD3AD3"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47AC7">
              <w:rPr>
                <w:rFonts w:ascii="Times New Roman" w:eastAsia="Times New Roman" w:hAnsi="Times New Roman" w:cs="Times New Roman"/>
                <w:sz w:val="24"/>
                <w:szCs w:val="24"/>
              </w:rPr>
              <w:t>Formula of Asset Turnover Ratio =  Revenue - Total Asset</w:t>
            </w:r>
            <w:r>
              <w:rPr>
                <w:rFonts w:ascii="Times New Roman" w:eastAsia="Times New Roman" w:hAnsi="Times New Roman" w:cs="Times New Roman"/>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12EF64"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76C0D7"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4F41A2" w14:paraId="4D7F5CA7"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E3D43C"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Revenue</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51E142"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3B6430"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4F41A2" w14:paraId="710936B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125CFE" w14:textId="628B08E2" w:rsidR="004F41A2" w:rsidRDefault="00AD3AD3"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Total Assets</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864C7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10087</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2F98E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9736</w:t>
            </w:r>
          </w:p>
        </w:tc>
      </w:tr>
      <w:tr w:rsidR="004F41A2" w14:paraId="75CB9731"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862803" w14:textId="438AB194" w:rsidR="004F41A2" w:rsidRDefault="00AD3AD3"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Asset Turnover Ratio</w:t>
            </w:r>
            <w:r>
              <w:rPr>
                <w:rFonts w:ascii="Times New Roman" w:eastAsia="Times New Roman" w:hAnsi="Times New Roman" w:cs="Times New Roman"/>
                <w:b/>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B9C0D8"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0.64</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2822CB"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0.69</w:t>
            </w:r>
          </w:p>
        </w:tc>
      </w:tr>
      <w:tr w:rsidR="004F41A2" w14:paraId="67A2440A"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741DA7" w14:textId="63C02B7C" w:rsidR="004F41A2" w:rsidRDefault="00A13A5E"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Stock Holding Days</w:t>
            </w:r>
            <w:r>
              <w:rPr>
                <w:rFonts w:ascii="Times New Roman" w:eastAsia="Times New Roman" w:hAnsi="Times New Roman" w:cs="Times New Roman"/>
                <w:b/>
                <w:i/>
                <w:sz w:val="24"/>
                <w:szCs w:val="24"/>
                <w:u w:val="single"/>
              </w:rPr>
              <w:t>”</w:t>
            </w:r>
          </w:p>
        </w:tc>
      </w:tr>
      <w:tr w:rsidR="004F41A2" w14:paraId="7CB58C9C" w14:textId="77777777" w:rsidTr="00737B23">
        <w:trPr>
          <w:trHeight w:val="90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19328F" w14:textId="4380CFB3" w:rsidR="004F41A2" w:rsidRDefault="00A13A5E"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t>
            </w:r>
            <w:r w:rsidR="00A47AC7">
              <w:rPr>
                <w:rFonts w:ascii="Times New Roman" w:eastAsia="Times New Roman" w:hAnsi="Times New Roman" w:cs="Times New Roman"/>
                <w:b/>
                <w:sz w:val="24"/>
                <w:szCs w:val="24"/>
              </w:rPr>
              <w:t>Formula of Stock Holding Days = Inventory / Cost of Goods Sold x 365</w:t>
            </w:r>
            <w:r>
              <w:rPr>
                <w:rFonts w:ascii="Times New Roman" w:eastAsia="Times New Roman" w:hAnsi="Times New Roman" w:cs="Times New Roman"/>
                <w:b/>
                <w:sz w:val="24"/>
                <w:szCs w:val="24"/>
              </w:rPr>
              <w:t>”</w:t>
            </w:r>
          </w:p>
        </w:tc>
      </w:tr>
      <w:tr w:rsidR="004F41A2" w14:paraId="446BA8B6"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E035C1"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Inventory</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B1B5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659</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D46D22"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708</w:t>
            </w:r>
          </w:p>
        </w:tc>
      </w:tr>
      <w:tr w:rsidR="004F41A2" w14:paraId="0B500009"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1343584" w14:textId="0133B741" w:rsidR="004F41A2" w:rsidRDefault="00A13A5E"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Cost of Goods Sold</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F5FC44"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3097</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DBAB86"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3235</w:t>
            </w:r>
          </w:p>
        </w:tc>
      </w:tr>
      <w:tr w:rsidR="004F41A2" w14:paraId="54286CDC"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1E1045" w14:textId="4A345072" w:rsidR="004F41A2" w:rsidRDefault="00A13A5E"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Stock Holding Days</w:t>
            </w:r>
            <w:r>
              <w:rPr>
                <w:rFonts w:ascii="Times New Roman" w:eastAsia="Times New Roman" w:hAnsi="Times New Roman" w:cs="Times New Roman"/>
                <w:b/>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62E6FA"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78</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4402B4"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80</w:t>
            </w:r>
          </w:p>
        </w:tc>
      </w:tr>
      <w:tr w:rsidR="004F41A2" w14:paraId="49224E6E"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E519FA" w14:textId="0661D3A2" w:rsidR="004F41A2" w:rsidRDefault="00A13A5E"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Debtors Collection Period</w:t>
            </w:r>
            <w:r>
              <w:rPr>
                <w:rFonts w:ascii="Times New Roman" w:eastAsia="Times New Roman" w:hAnsi="Times New Roman" w:cs="Times New Roman"/>
                <w:b/>
                <w:i/>
                <w:sz w:val="24"/>
                <w:szCs w:val="24"/>
                <w:u w:val="single"/>
              </w:rPr>
              <w:t>”</w:t>
            </w:r>
          </w:p>
        </w:tc>
      </w:tr>
      <w:tr w:rsidR="004F41A2" w14:paraId="43B6E976" w14:textId="77777777" w:rsidTr="00737B23">
        <w:trPr>
          <w:trHeight w:val="93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27BE28"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Formula of Debtors Collection  Days = Debtors/ Sales Turnover x 365</w:t>
            </w:r>
          </w:p>
        </w:tc>
      </w:tr>
      <w:tr w:rsidR="004F41A2" w14:paraId="347495DE"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27210B"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Debtors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2B804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1278</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E5297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1249</w:t>
            </w:r>
          </w:p>
        </w:tc>
      </w:tr>
      <w:tr w:rsidR="004F41A2" w14:paraId="356B801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A6451B"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Sales Turnover</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B60662"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1FB4E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4F41A2" w14:paraId="01AEA18B"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1EF150"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1C71E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72</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4AEE8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68</w:t>
            </w:r>
          </w:p>
        </w:tc>
      </w:tr>
      <w:tr w:rsidR="004F41A2" w14:paraId="5029C1B2"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7810D0" w14:textId="0358CEEB" w:rsidR="004F41A2" w:rsidRDefault="00A13A5E"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w:t>
            </w:r>
            <w:r w:rsidR="00A47AC7">
              <w:rPr>
                <w:rFonts w:ascii="Times New Roman" w:eastAsia="Times New Roman" w:hAnsi="Times New Roman" w:cs="Times New Roman"/>
                <w:b/>
                <w:i/>
                <w:sz w:val="24"/>
                <w:szCs w:val="24"/>
                <w:u w:val="single"/>
              </w:rPr>
              <w:t>Current Ratio</w:t>
            </w:r>
            <w:r>
              <w:rPr>
                <w:rFonts w:ascii="Times New Roman" w:eastAsia="Times New Roman" w:hAnsi="Times New Roman" w:cs="Times New Roman"/>
                <w:b/>
                <w:i/>
                <w:sz w:val="24"/>
                <w:szCs w:val="24"/>
                <w:u w:val="single"/>
              </w:rPr>
              <w:t>”</w:t>
            </w:r>
          </w:p>
        </w:tc>
      </w:tr>
      <w:tr w:rsidR="004F41A2" w14:paraId="1D2ED4CD" w14:textId="77777777" w:rsidTr="00737B23">
        <w:trPr>
          <w:trHeight w:val="87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F8BB1A" w14:textId="0DE6F7A8" w:rsidR="004F41A2" w:rsidRDefault="00A13A5E"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Formula of Current Ratio = Current Assets / Current Liabilities</w:t>
            </w:r>
            <w:r>
              <w:rPr>
                <w:rFonts w:ascii="Times New Roman" w:eastAsia="Times New Roman" w:hAnsi="Times New Roman" w:cs="Times New Roman"/>
                <w:b/>
                <w:sz w:val="24"/>
                <w:szCs w:val="24"/>
              </w:rPr>
              <w:t>”</w:t>
            </w:r>
          </w:p>
        </w:tc>
      </w:tr>
      <w:tr w:rsidR="004F41A2" w14:paraId="536CB329"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A675CB" w14:textId="45A6D4E5" w:rsidR="004F41A2" w:rsidRDefault="00A13A5E"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Current Assets</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1C4DD"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2355</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EA1D2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2305</w:t>
            </w:r>
          </w:p>
        </w:tc>
      </w:tr>
      <w:tr w:rsidR="004F41A2" w14:paraId="5602A9BF"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C221805" w14:textId="127C2D5D" w:rsidR="004F41A2" w:rsidRDefault="00A13A5E"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Current Liabilities</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002F6B"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3046</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27C6C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2511</w:t>
            </w:r>
          </w:p>
        </w:tc>
      </w:tr>
      <w:tr w:rsidR="004F41A2" w14:paraId="5D707B10"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36E738" w14:textId="77777777" w:rsidR="004F41A2" w:rsidRDefault="00A47AC7" w:rsidP="00715E0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51193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0.77</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417D4C"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0.92</w:t>
            </w:r>
          </w:p>
        </w:tc>
      </w:tr>
      <w:tr w:rsidR="004F41A2" w14:paraId="0E5D5CF0"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2E0654"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Gearing Ratio</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B5A579"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99EE72"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6F33BDCE"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C32EA4"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Formula of Gearing Ratio = Debt +Debt / Equity</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E1200C"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97375D"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F41A2" w14:paraId="34CE10C9"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056B91"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Debt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FC6A8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7175</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8F7025"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6648</w:t>
            </w:r>
          </w:p>
        </w:tc>
      </w:tr>
      <w:tr w:rsidR="004F41A2" w14:paraId="26712C57"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66C496"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Equity</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9098F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10087</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4919D8"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9736</w:t>
            </w:r>
          </w:p>
        </w:tc>
      </w:tr>
      <w:tr w:rsidR="004F41A2" w14:paraId="2C4E0745"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BEDA46"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C8AA03"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1.42</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2F1539"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r>
      <w:tr w:rsidR="004F41A2" w14:paraId="00F6C749" w14:textId="77777777" w:rsidTr="00737B23">
        <w:trPr>
          <w:trHeight w:val="485"/>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879BA8E" w14:textId="77777777" w:rsidR="004F41A2" w:rsidRDefault="00A47AC7" w:rsidP="00715E0E">
            <w:pPr>
              <w:spacing w:before="240"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Interest Cover Ratio</w:t>
            </w:r>
          </w:p>
        </w:tc>
      </w:tr>
      <w:tr w:rsidR="004F41A2" w14:paraId="6035837B" w14:textId="77777777" w:rsidTr="00737B23">
        <w:trPr>
          <w:trHeight w:val="770"/>
          <w:jc w:val="center"/>
        </w:trPr>
        <w:tc>
          <w:tcPr>
            <w:tcW w:w="8820"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47EC00" w14:textId="2DE56FE5" w:rsidR="004F41A2" w:rsidRDefault="00A13A5E"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A47AC7">
              <w:rPr>
                <w:rFonts w:ascii="Times New Roman" w:eastAsia="Times New Roman" w:hAnsi="Times New Roman" w:cs="Times New Roman"/>
                <w:b/>
                <w:sz w:val="24"/>
                <w:szCs w:val="24"/>
              </w:rPr>
              <w:t>Formula of Interest Cover Ratio = Current Assets - Current Liabilities / Inventories</w:t>
            </w:r>
            <w:r>
              <w:rPr>
                <w:rFonts w:ascii="Times New Roman" w:eastAsia="Times New Roman" w:hAnsi="Times New Roman" w:cs="Times New Roman"/>
                <w:b/>
                <w:sz w:val="24"/>
                <w:szCs w:val="24"/>
              </w:rPr>
              <w:t>”</w:t>
            </w:r>
          </w:p>
        </w:tc>
      </w:tr>
      <w:tr w:rsidR="004F41A2" w14:paraId="233460C1"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001F5F8" w14:textId="7FD6775B" w:rsidR="004F41A2" w:rsidRDefault="00A13A5E"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Current Assets</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45D2A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2355</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AF4D4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2305</w:t>
            </w:r>
          </w:p>
        </w:tc>
      </w:tr>
      <w:tr w:rsidR="004F41A2" w14:paraId="3FAEAF36"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B709C4A" w14:textId="32584D3D" w:rsidR="004F41A2" w:rsidRDefault="00A13A5E"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r w:rsidR="00A47AC7">
              <w:rPr>
                <w:rFonts w:ascii="Times New Roman" w:eastAsia="Times New Roman" w:hAnsi="Times New Roman" w:cs="Times New Roman"/>
                <w:i/>
                <w:sz w:val="24"/>
                <w:szCs w:val="24"/>
              </w:rPr>
              <w:t>Current Liabilities</w:t>
            </w:r>
            <w:r>
              <w:rPr>
                <w:rFonts w:ascii="Times New Roman" w:eastAsia="Times New Roman" w:hAnsi="Times New Roman" w:cs="Times New Roman"/>
                <w:i/>
                <w:sz w:val="24"/>
                <w:szCs w:val="24"/>
              </w:rPr>
              <w:t>”</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288400"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3046</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5CA18F"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2511</w:t>
            </w:r>
          </w:p>
        </w:tc>
      </w:tr>
      <w:tr w:rsidR="004F41A2" w14:paraId="687DF357"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B84704D" w14:textId="77777777" w:rsidR="004F41A2" w:rsidRDefault="00A47AC7" w:rsidP="00715E0E">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Inventories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D510F8"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659</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F8A927" w14:textId="77777777" w:rsidR="004F41A2" w:rsidRDefault="00A47AC7" w:rsidP="00715E0E">
            <w:pPr>
              <w:spacing w:before="240"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708</w:t>
            </w:r>
          </w:p>
        </w:tc>
      </w:tr>
      <w:tr w:rsidR="004F41A2" w14:paraId="68B671B0" w14:textId="77777777" w:rsidTr="00737B23">
        <w:trPr>
          <w:trHeight w:val="485"/>
          <w:jc w:val="center"/>
        </w:trPr>
        <w:tc>
          <w:tcPr>
            <w:tcW w:w="70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ED36F5" w14:textId="77777777" w:rsidR="004F41A2" w:rsidRDefault="00A47AC7" w:rsidP="00715E0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 Cover Ratio</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62337E"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-1.05</w:t>
            </w:r>
          </w:p>
        </w:tc>
        <w:tc>
          <w:tcPr>
            <w:tcW w:w="8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5E1E1F" w14:textId="77777777" w:rsidR="004F41A2" w:rsidRDefault="00A47AC7" w:rsidP="00715E0E">
            <w:pPr>
              <w:spacing w:before="240"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-0.29</w:t>
            </w:r>
          </w:p>
        </w:tc>
      </w:tr>
    </w:tbl>
    <w:p w14:paraId="3A345264" w14:textId="3E13426B" w:rsidR="004F41A2" w:rsidRDefault="00A47AC7" w:rsidP="00715E0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Computation of Ratio Analysis of Sweets Plc.</w:t>
      </w:r>
    </w:p>
    <w:p w14:paraId="04499DEC" w14:textId="57E4C09B" w:rsidR="004F41A2" w:rsidRDefault="004F41A2" w:rsidP="00715E0E">
      <w:pPr>
        <w:spacing w:line="360" w:lineRule="auto"/>
        <w:jc w:val="center"/>
        <w:rPr>
          <w:rFonts w:ascii="Times New Roman" w:eastAsia="Times New Roman" w:hAnsi="Times New Roman" w:cs="Times New Roman"/>
          <w:b/>
          <w:sz w:val="24"/>
          <w:szCs w:val="24"/>
        </w:rPr>
      </w:pPr>
    </w:p>
    <w:p w14:paraId="173C272D" w14:textId="125E0383" w:rsidR="004F41A2" w:rsidRDefault="00A13A5E" w:rsidP="00715E0E">
      <w:pPr>
        <w:pStyle w:val="Heading1"/>
        <w:spacing w:line="360" w:lineRule="auto"/>
      </w:pPr>
      <w:bookmarkStart w:id="9" w:name="_Toc121247386"/>
      <w:r>
        <w:t>“</w:t>
      </w:r>
      <w:r w:rsidR="00A47AC7">
        <w:t>Interpretation of the financial statement and ratio calculation, comment of the financial performance and position of Sweets Plc</w:t>
      </w:r>
      <w:bookmarkEnd w:id="9"/>
      <w:r>
        <w:t>”</w:t>
      </w:r>
      <w:r w:rsidR="00A47AC7">
        <w:t xml:space="preserve"> </w:t>
      </w:r>
    </w:p>
    <w:p w14:paraId="5D13077E" w14:textId="77777777"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Ratio analysis is considered as one of the most strategic and efficient financial methods that helps a business to gain information about all the essential financial data or information that could possibly be used while marking an important decision. According to the report of Kliestik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(2020), it has been stated that ratio analysis is a core financial method that allows a company to evaluate its current financial position in the competitive market. It has all the capability of comparing the financial statement with its previous year’s financial position. </w:t>
      </w:r>
    </w:p>
    <w:p w14:paraId="79B7A4EA" w14:textId="6E9ECC5D"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for this particular company named as Sweets Plc it is already assumed that the company is effectively able to continue their business in a strong competitive market by leveraging a flexible financial position method. From the financial statements of the company such as income statement and balance sheet statement it is observed that the company has maintained a good financial position that has helped this business further to continue at an efficient level in terms of leveraging liquidity, efficiency and managing the company’s solvency level (Hertati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For example, one of the major </w:t>
      </w:r>
      <w:r w:rsidR="00737B23">
        <w:rPr>
          <w:rFonts w:ascii="Times New Roman" w:eastAsia="Times New Roman" w:hAnsi="Times New Roman" w:cs="Times New Roman"/>
          <w:sz w:val="24"/>
          <w:szCs w:val="24"/>
        </w:rPr>
        <w:t>proofs</w:t>
      </w:r>
      <w:r>
        <w:rPr>
          <w:rFonts w:ascii="Times New Roman" w:eastAsia="Times New Roman" w:hAnsi="Times New Roman" w:cs="Times New Roman"/>
          <w:sz w:val="24"/>
          <w:szCs w:val="24"/>
        </w:rPr>
        <w:t xml:space="preserve"> that this particular company is shifting forward by gaining a positive inflation in the market, as in the income statement the revenue of the company has been exceeded from $ 6441 to $ 6738. </w:t>
      </w:r>
    </w:p>
    <w:p w14:paraId="2E9B6E27" w14:textId="77777777"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to critically measure a company's different financial insights or variables such as profitability, liquidity, efficiency and solvency multiple ratio analysis has been evaluated from Sweets Plc for two years 2020 and 2021 respectively. </w:t>
      </w:r>
    </w:p>
    <w:p w14:paraId="21B9C3F2" w14:textId="79DA8FC0"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first two ratio calculations have been done including both ROCE and ROE. In general, ROCE and ROE define the meaning of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Return on Capital Employed</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Return on Equity</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per the statement of Singh and Das (2018), ROCE or Return on Capital Employed is one of the major accounting ratio calculations that assess a company's profitability and level of capital efficiency. The average ROCE margin in the industries should be at least 20% that shows the company has a good level of capital efficiency and has also generated a good profitability margin within the company. Here, for this particular company the ROCE percentage is 12%  (Waraich, 2019). In the first year and  in the second year the percentage of ROCE is estimated to be 11%. Hence, it shows the efficiency level of holding huge capital or maintaining a good </w:t>
      </w:r>
      <w:r w:rsidR="00737B23">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profits within the company has been competitively low in the two years compared to its average ROCE margin of industry. </w:t>
      </w:r>
    </w:p>
    <w:p w14:paraId="153E8E5C" w14:textId="26ED43B8"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Meanwhile, a ROE or Return on Equity shows a firm its ability to generate good returns from its investment that has been received from the shareholders (Adawiyah  and Setiyawati, 2019). In general, the average good returns of equity </w:t>
      </w:r>
      <w:r w:rsidR="00737B23">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between 15 to 20% within the industry. Therefore, for Sweets Plc, in two years the percentage of ROE has been 13% and 14%, accordingly. It is highly close to the good ROE value that means this particular company has been in a good position </w:t>
      </w:r>
      <w:r>
        <w:rPr>
          <w:rFonts w:ascii="Times New Roman" w:eastAsia="Times New Roman" w:hAnsi="Times New Roman" w:cs="Times New Roman"/>
          <w:sz w:val="24"/>
          <w:szCs w:val="24"/>
        </w:rPr>
        <w:lastRenderedPageBreak/>
        <w:t xml:space="preserve">of controlling return on equity from the investment received from its shareholders. Additionally, several other measurements have been done within the ratio analysis of Sweet Plc that includes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EPS or Earning Per Share</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Net Profit Margin</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Asset Turnover</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stock holding days</w:t>
      </w:r>
      <w:r w:rsidR="00A13A5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1BE821E3" w14:textId="4B4845AC" w:rsidR="004F41A2"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Earnings</w:t>
      </w:r>
      <w:r w:rsidR="00A47AC7">
        <w:rPr>
          <w:rFonts w:ascii="Times New Roman" w:eastAsia="Times New Roman" w:hAnsi="Times New Roman" w:cs="Times New Roman"/>
          <w:sz w:val="24"/>
          <w:szCs w:val="24"/>
        </w:rPr>
        <w:t xml:space="preserve"> Per Share Ratio evaluates a company’s profitability that has been distributed to each share of stocks. It can be also defined as the net profit earned by a company and divided with the number of company’s outstanding shares. As per the report of Pointer and Khoi, (2019), it has been stated that evaluation on earning per share of a company analyzes the monetary value or amount a company generates from its each share of stocks. Therefore, a stock with a growth of at least 25% compared to its previous year’s growth indicates a company having strong demand  regarding its product and services. For this particular company, in the first year the earning per share has been estimated at 41% and in the second year or 2021, the earning per share is estimated at 59%. </w:t>
      </w:r>
    </w:p>
    <w:p w14:paraId="3368B95D" w14:textId="254B91EE"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Henceforth, it can be assumed that in comparison with the last year’s, in 2021 the demand of product and share has been increased. Meanwhile, the net profit margin of Sweets Plc has been estimated at 0.59 and 0.60 in the two relevant years. Usually, net profit margin ratio is considered as one type of major financial ratio that evaluates a company's profitability level (Osazefua Imhanzenobe, 2020). A 10% net profit margin is referred to as a good net profit margin according to industrial level. Therefore, for this particular company the net profit margin level is competitively placed in a good situation compared to industry average net profit margin. It means that Sweet Plc has been able to generate a good </w:t>
      </w:r>
      <w:r w:rsidR="00737B23">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profits from each dollar of revenue it has sold. Despite this, an asset turnover ratio under the context of financial ratio indicates a ratio between the value of a company's revenue and its value of assets. According to Purba and Bimantara (2020), an asset turnover ratio simply measures a company’s efficiency level of deploying assets from its produced revenues. Hereby, in this particular case the asset turnover ratio is estimated at 0.64 and 0.69 for the two relevant years 2020 and 2021.</w:t>
      </w:r>
    </w:p>
    <w:p w14:paraId="05540B8E" w14:textId="77777777"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good asset turnover ratio based on industry average is more than 1. Thereby, the asset turnover of this particular company is competitively lower than the average industrial asset turnover ratio. Under the context of financial ratio evolution, the analysis of stock holding days measures a company's ability or holding days to store a particular stock before its sold (Lins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Here, for this particular company it has been observed that the stock holdings days of this company was 78 days in the year of 2020 and in 2021, the stock holding days is estimated at 80 days. In general, </w:t>
      </w:r>
      <w:r>
        <w:rPr>
          <w:rFonts w:ascii="Times New Roman" w:eastAsia="Times New Roman" w:hAnsi="Times New Roman" w:cs="Times New Roman"/>
          <w:sz w:val="24"/>
          <w:szCs w:val="24"/>
        </w:rPr>
        <w:lastRenderedPageBreak/>
        <w:t xml:space="preserve">according to most of the industries a good stock holding days is between 5 to 10 days. However, several researchers critically argue that the stock holding days can be varied from one organization to another based on their flow of product selling and also depends on the type of product or service being sold by this particular company. </w:t>
      </w:r>
    </w:p>
    <w:p w14:paraId="539BEB97" w14:textId="2EEAEB5D"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it can be stated that the stock holding period is extensively broad compared to the industry’s average holding days. It further shows that for selling one unit stock it takes 78 days or 80 days for this company which is also not beneficial for the company. Along with this, other four types of ratios have been calculated that include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current ratio, gearing ratio and interest cover ratio.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indicates the average taken time by a company for collecting the trade debts (Munene  and Tibbs, 2018). Henceforth, for this particular company it has been assumed that the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in 2020 was 78 days and in 2021 the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is estimated at 68 days. </w:t>
      </w:r>
    </w:p>
    <w:p w14:paraId="738E14EB" w14:textId="77777777" w:rsidR="00737B23"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industry’s average, less than 2 months is referred to as a good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for most of the organizations. Although, for this particular company in both of the years the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has exceeded more than two years. Hence, it is suggested to this company to control the </w:t>
      </w:r>
      <w:r w:rsidR="00737B23">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collection period in order to retain more profitable gains. Current ratio, under the financial performance evaluation is considered as one of the major and most important financial ratios that interprets a company's current ability to pay all short-term obligations (Hasanaj and Kuqi, 2019). Henceforth, for this particular company the current ratio for two years has been estimated at 1:077 and 1:0.92. It shows that the company has been able to pay short-term obligations within a short-period. </w:t>
      </w:r>
    </w:p>
    <w:p w14:paraId="1FA9F2A6" w14:textId="044C05FB"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gearing ratio shows the financial metrics that are possibly able to compare shareholders' equity with company’s debt (Ginting, 2021). Meanwhile, the interest cover ratio examines a firm's ability to pay interest on its outstanding debt. Here, for this particular it is reviewed that the gearing ratio of this company has been estimated at 1.42 and 1.37 for the two years respectively. The interest cover ratio of the company has been estimated at -1.05 and - 0.29. Based on the assumption it can be stated the level of gearing ratio and interest coverage ratio is extensively lower compared to its industrial average value. </w:t>
      </w:r>
    </w:p>
    <w:p w14:paraId="55CE8845" w14:textId="77777777" w:rsidR="004F41A2" w:rsidRDefault="00A47AC7" w:rsidP="00715E0E">
      <w:pPr>
        <w:pStyle w:val="Heading1"/>
        <w:spacing w:line="360" w:lineRule="auto"/>
      </w:pPr>
      <w:bookmarkStart w:id="10" w:name="_Toc121247387"/>
      <w:r>
        <w:t>Conclusion</w:t>
      </w:r>
      <w:bookmarkEnd w:id="10"/>
      <w:r>
        <w:t xml:space="preserve"> </w:t>
      </w:r>
    </w:p>
    <w:p w14:paraId="6F4EA138" w14:textId="7863FCEC" w:rsidR="004F41A2" w:rsidRDefault="00A47AC7"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of this particular study, it can be evaluated that proper accounting not just facilitates the smooth operation of an organization's day-to-day operations and also contributes to the </w:t>
      </w:r>
      <w:r>
        <w:rPr>
          <w:rFonts w:ascii="Times New Roman" w:eastAsia="Times New Roman" w:hAnsi="Times New Roman" w:cs="Times New Roman"/>
          <w:sz w:val="24"/>
          <w:szCs w:val="24"/>
        </w:rPr>
        <w:lastRenderedPageBreak/>
        <w:t xml:space="preserve">development of that organization in the years to come. Simultaneously, those financial statements that are generated by the many bookkeeping methods are utilized by a variety of stakeholders in order to make economic choices. Furthermore, based on the case about given companies such as Wales Plc and Sweets Plc, it is assumed that the current financial position might be in a good position, hence it is not as competitive compared to other companies under the same industry. Therefore, it is suggested the companies to use to properly utilized the financial operations and as well as it is further recommended to use multiple other type of analysis method such as CAPEX, projected budget, NPV, ARR and others. </w:t>
      </w:r>
    </w:p>
    <w:p w14:paraId="2A40471E" w14:textId="77777777" w:rsidR="00737B23" w:rsidRDefault="00737B23" w:rsidP="00715E0E">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68BDF99" w14:textId="174AC3A5" w:rsidR="004F41A2" w:rsidRPr="00737B23" w:rsidRDefault="00A47AC7" w:rsidP="00715E0E">
      <w:pPr>
        <w:pStyle w:val="Heading1"/>
        <w:spacing w:line="360" w:lineRule="auto"/>
      </w:pPr>
      <w:bookmarkStart w:id="11" w:name="_Toc121247388"/>
      <w:r w:rsidRPr="00737B23">
        <w:lastRenderedPageBreak/>
        <w:t>Reference List</w:t>
      </w:r>
      <w:bookmarkEnd w:id="11"/>
    </w:p>
    <w:p w14:paraId="25B97577"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Adawiyah</w:t>
      </w:r>
      <w:proofErr w:type="spellEnd"/>
      <w:r>
        <w:rPr>
          <w:rFonts w:ascii="Times New Roman" w:eastAsia="Times New Roman" w:hAnsi="Times New Roman" w:cs="Times New Roman"/>
          <w:sz w:val="24"/>
          <w:szCs w:val="24"/>
        </w:rPr>
        <w:t xml:space="preserve">, N.R. and </w:t>
      </w:r>
      <w:proofErr w:type="spellStart"/>
      <w:r>
        <w:rPr>
          <w:rFonts w:ascii="Times New Roman" w:eastAsia="Times New Roman" w:hAnsi="Times New Roman" w:cs="Times New Roman"/>
          <w:sz w:val="24"/>
          <w:szCs w:val="24"/>
        </w:rPr>
        <w:t>Setiyawati</w:t>
      </w:r>
      <w:proofErr w:type="spellEnd"/>
      <w:r>
        <w:rPr>
          <w:rFonts w:ascii="Times New Roman" w:eastAsia="Times New Roman" w:hAnsi="Times New Roman" w:cs="Times New Roman"/>
          <w:sz w:val="24"/>
          <w:szCs w:val="24"/>
        </w:rPr>
        <w:t xml:space="preserve">, H., 2019. The Effect of Current Ratio, Return on Equity, And Firm Size on Stock Return (Study of Manufacturing Sector Food and </w:t>
      </w:r>
      <w:proofErr w:type="spellStart"/>
      <w:r>
        <w:rPr>
          <w:rFonts w:ascii="Times New Roman" w:eastAsia="Times New Roman" w:hAnsi="Times New Roman" w:cs="Times New Roman"/>
          <w:sz w:val="24"/>
          <w:szCs w:val="24"/>
        </w:rPr>
        <w:t>Baverage</w:t>
      </w:r>
      <w:proofErr w:type="spellEnd"/>
      <w:r>
        <w:rPr>
          <w:rFonts w:ascii="Times New Roman" w:eastAsia="Times New Roman" w:hAnsi="Times New Roman" w:cs="Times New Roman"/>
          <w:sz w:val="24"/>
          <w:szCs w:val="24"/>
        </w:rPr>
        <w:t xml:space="preserve"> in Indonesia Stock Exchange). Scholars Bulletin, 5(09), pp.513-520. </w:t>
      </w:r>
      <w:hyperlink r:id="rId8">
        <w:r>
          <w:rPr>
            <w:rFonts w:ascii="Times New Roman" w:eastAsia="Times New Roman" w:hAnsi="Times New Roman" w:cs="Times New Roman"/>
            <w:color w:val="1155CC"/>
            <w:sz w:val="24"/>
            <w:szCs w:val="24"/>
            <w:u w:val="single"/>
          </w:rPr>
          <w:t>https://5y1.org/download/068b9c2c893dce0f7eb17431c9503954.pdf</w:t>
        </w:r>
      </w:hyperlink>
    </w:p>
    <w:p w14:paraId="56DC220F"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Amanda, R.I., 2019. The Impact of Cash Turnover, Receivable Turnover, Inventory Turnover, Current Ratio and Debt to Equity Ratio on Profitability. Journal of research in management, 2(2). </w:t>
      </w:r>
      <w:hyperlink r:id="rId9">
        <w:r>
          <w:rPr>
            <w:rFonts w:ascii="Times New Roman" w:eastAsia="Times New Roman" w:hAnsi="Times New Roman" w:cs="Times New Roman"/>
            <w:color w:val="1155CC"/>
            <w:sz w:val="24"/>
            <w:szCs w:val="24"/>
            <w:u w:val="single"/>
          </w:rPr>
          <w:t>https://scholar.archive.org/work/v7h6yj5rkjfevmcnduh4fqou5u/access/wayback/http://irs-managementstudies.com/index.php/irs/article/download/66/50</w:t>
        </w:r>
      </w:hyperlink>
    </w:p>
    <w:p w14:paraId="56136C65"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Barker, R., Lennard, A., Penman, S. and Teixeira, A., 2022. Accounting for intangible assets: suggested solutions. Accounting and Business Research, 52(6), pp.601-630. </w:t>
      </w:r>
      <w:hyperlink r:id="rId10">
        <w:r>
          <w:rPr>
            <w:rFonts w:ascii="Times New Roman" w:eastAsia="Times New Roman" w:hAnsi="Times New Roman" w:cs="Times New Roman"/>
            <w:color w:val="1155CC"/>
            <w:sz w:val="24"/>
            <w:szCs w:val="24"/>
            <w:u w:val="single"/>
          </w:rPr>
          <w:t>https://www.tandfonline.com/doi/pdf/10.1080/00014788.2021.1938963</w:t>
        </w:r>
      </w:hyperlink>
    </w:p>
    <w:p w14:paraId="42323B74"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Brumby, J., Sirois, B.A., Serrano </w:t>
      </w:r>
      <w:proofErr w:type="spellStart"/>
      <w:r>
        <w:rPr>
          <w:rFonts w:ascii="Times New Roman" w:eastAsia="Times New Roman" w:hAnsi="Times New Roman" w:cs="Times New Roman"/>
          <w:sz w:val="24"/>
          <w:szCs w:val="24"/>
        </w:rPr>
        <w:t>Machorro</w:t>
      </w:r>
      <w:proofErr w:type="spellEnd"/>
      <w:r>
        <w:rPr>
          <w:rFonts w:ascii="Times New Roman" w:eastAsia="Times New Roman" w:hAnsi="Times New Roman" w:cs="Times New Roman"/>
          <w:sz w:val="24"/>
          <w:szCs w:val="24"/>
        </w:rPr>
        <w:t xml:space="preserve">, J.C. and Mason, P., 2022. A Sum of Parts. </w:t>
      </w:r>
      <w:hyperlink r:id="rId11">
        <w:r>
          <w:rPr>
            <w:rFonts w:ascii="Times New Roman" w:eastAsia="Times New Roman" w:hAnsi="Times New Roman" w:cs="Times New Roman"/>
            <w:color w:val="1155CC"/>
            <w:sz w:val="24"/>
            <w:szCs w:val="24"/>
            <w:u w:val="single"/>
          </w:rPr>
          <w:t>https://openknowledge.worldbank.org/bitstream/handle/10986/38301/IDU05a51c12104406046980a312080d8940dda37.pdf?sequence=1</w:t>
        </w:r>
      </w:hyperlink>
    </w:p>
    <w:p w14:paraId="1C1FA609"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Gardi</w:t>
      </w:r>
      <w:proofErr w:type="spellEnd"/>
      <w:r>
        <w:rPr>
          <w:rFonts w:ascii="Times New Roman" w:eastAsia="Times New Roman" w:hAnsi="Times New Roman" w:cs="Times New Roman"/>
          <w:sz w:val="24"/>
          <w:szCs w:val="24"/>
        </w:rPr>
        <w:t xml:space="preserve">, Bayar, </w:t>
      </w:r>
      <w:proofErr w:type="spellStart"/>
      <w:r>
        <w:rPr>
          <w:rFonts w:ascii="Times New Roman" w:eastAsia="Times New Roman" w:hAnsi="Times New Roman" w:cs="Times New Roman"/>
          <w:sz w:val="24"/>
          <w:szCs w:val="24"/>
        </w:rPr>
        <w:t>Pshdar</w:t>
      </w:r>
      <w:proofErr w:type="spellEnd"/>
      <w:r>
        <w:rPr>
          <w:rFonts w:ascii="Times New Roman" w:eastAsia="Times New Roman" w:hAnsi="Times New Roman" w:cs="Times New Roman"/>
          <w:sz w:val="24"/>
          <w:szCs w:val="24"/>
        </w:rPr>
        <w:t xml:space="preserve"> Abdalla Hamza, </w:t>
      </w:r>
      <w:proofErr w:type="spellStart"/>
      <w:r>
        <w:rPr>
          <w:rFonts w:ascii="Times New Roman" w:eastAsia="Times New Roman" w:hAnsi="Times New Roman" w:cs="Times New Roman"/>
          <w:sz w:val="24"/>
          <w:szCs w:val="24"/>
        </w:rPr>
        <w:t>Bawan</w:t>
      </w:r>
      <w:proofErr w:type="spellEnd"/>
      <w:r>
        <w:rPr>
          <w:rFonts w:ascii="Times New Roman" w:eastAsia="Times New Roman" w:hAnsi="Times New Roman" w:cs="Times New Roman"/>
          <w:sz w:val="24"/>
          <w:szCs w:val="24"/>
        </w:rPr>
        <w:t xml:space="preserve"> Yassin Sabir, Hassan Mahmood Aziz, </w:t>
      </w:r>
      <w:proofErr w:type="spellStart"/>
      <w:r>
        <w:rPr>
          <w:rFonts w:ascii="Times New Roman" w:eastAsia="Times New Roman" w:hAnsi="Times New Roman" w:cs="Times New Roman"/>
          <w:sz w:val="24"/>
          <w:szCs w:val="24"/>
        </w:rPr>
        <w:t>Sarhang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Sorguli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Nabaz</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Nawzad</w:t>
      </w:r>
      <w:proofErr w:type="spellEnd"/>
      <w:r>
        <w:rPr>
          <w:rFonts w:ascii="Times New Roman" w:eastAsia="Times New Roman" w:hAnsi="Times New Roman" w:cs="Times New Roman"/>
          <w:sz w:val="24"/>
          <w:szCs w:val="24"/>
        </w:rPr>
        <w:t xml:space="preserve"> Abdullah, and </w:t>
      </w:r>
      <w:proofErr w:type="spellStart"/>
      <w:r>
        <w:rPr>
          <w:rFonts w:ascii="Times New Roman" w:eastAsia="Times New Roman" w:hAnsi="Times New Roman" w:cs="Times New Roman"/>
          <w:sz w:val="24"/>
          <w:szCs w:val="24"/>
        </w:rPr>
        <w:t>Farhad</w:t>
      </w:r>
      <w:proofErr w:type="spellEnd"/>
      <w:r>
        <w:rPr>
          <w:rFonts w:ascii="Times New Roman" w:eastAsia="Times New Roman" w:hAnsi="Times New Roman" w:cs="Times New Roman"/>
          <w:sz w:val="24"/>
          <w:szCs w:val="24"/>
        </w:rPr>
        <w:t xml:space="preserve"> Al-</w:t>
      </w:r>
      <w:proofErr w:type="spellStart"/>
      <w:r>
        <w:rPr>
          <w:rFonts w:ascii="Times New Roman" w:eastAsia="Times New Roman" w:hAnsi="Times New Roman" w:cs="Times New Roman"/>
          <w:sz w:val="24"/>
          <w:szCs w:val="24"/>
        </w:rPr>
        <w:t>Kake</w:t>
      </w:r>
      <w:proofErr w:type="spellEnd"/>
      <w:r>
        <w:rPr>
          <w:rFonts w:ascii="Times New Roman" w:eastAsia="Times New Roman" w:hAnsi="Times New Roman" w:cs="Times New Roman"/>
          <w:sz w:val="24"/>
          <w:szCs w:val="24"/>
        </w:rPr>
        <w:t xml:space="preserve">. "Investigating the effects of financial accounting reports on managerial decision making in small and medium-sized enterprises." </w:t>
      </w:r>
      <w:proofErr w:type="spellStart"/>
      <w:r>
        <w:rPr>
          <w:rFonts w:ascii="Times New Roman" w:eastAsia="Times New Roman" w:hAnsi="Times New Roman" w:cs="Times New Roman"/>
          <w:sz w:val="24"/>
          <w:szCs w:val="24"/>
        </w:rPr>
        <w:t>Bawan</w:t>
      </w:r>
      <w:proofErr w:type="spellEnd"/>
      <w:r>
        <w:rPr>
          <w:rFonts w:ascii="Times New Roman" w:eastAsia="Times New Roman" w:hAnsi="Times New Roman" w:cs="Times New Roman"/>
          <w:sz w:val="24"/>
          <w:szCs w:val="24"/>
        </w:rPr>
        <w:t xml:space="preserve"> Yassin and Mahmood Aziz, Hassan and </w:t>
      </w:r>
      <w:proofErr w:type="spellStart"/>
      <w:r>
        <w:rPr>
          <w:rFonts w:ascii="Times New Roman" w:eastAsia="Times New Roman" w:hAnsi="Times New Roman" w:cs="Times New Roman"/>
          <w:sz w:val="24"/>
          <w:szCs w:val="24"/>
        </w:rPr>
        <w:t>Sorguli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Sarhang</w:t>
      </w:r>
      <w:proofErr w:type="spellEnd"/>
      <w:r>
        <w:rPr>
          <w:rFonts w:ascii="Times New Roman" w:eastAsia="Times New Roman" w:hAnsi="Times New Roman" w:cs="Times New Roman"/>
          <w:sz w:val="24"/>
          <w:szCs w:val="24"/>
        </w:rPr>
        <w:t xml:space="preserve"> and Abdullah, </w:t>
      </w:r>
      <w:proofErr w:type="spellStart"/>
      <w:r>
        <w:rPr>
          <w:rFonts w:ascii="Times New Roman" w:eastAsia="Times New Roman" w:hAnsi="Times New Roman" w:cs="Times New Roman"/>
          <w:sz w:val="24"/>
          <w:szCs w:val="24"/>
        </w:rPr>
        <w:t>Nabaz</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Nawzad</w:t>
      </w:r>
      <w:proofErr w:type="spellEnd"/>
      <w:r>
        <w:rPr>
          <w:rFonts w:ascii="Times New Roman" w:eastAsia="Times New Roman" w:hAnsi="Times New Roman" w:cs="Times New Roman"/>
          <w:sz w:val="24"/>
          <w:szCs w:val="24"/>
        </w:rPr>
        <w:t xml:space="preserve"> and Al-</w:t>
      </w:r>
      <w:proofErr w:type="spellStart"/>
      <w:r>
        <w:rPr>
          <w:rFonts w:ascii="Times New Roman" w:eastAsia="Times New Roman" w:hAnsi="Times New Roman" w:cs="Times New Roman"/>
          <w:sz w:val="24"/>
          <w:szCs w:val="24"/>
        </w:rPr>
        <w:t>Kake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farhad</w:t>
      </w:r>
      <w:proofErr w:type="spellEnd"/>
      <w:r>
        <w:rPr>
          <w:rFonts w:ascii="Times New Roman" w:eastAsia="Times New Roman" w:hAnsi="Times New Roman" w:cs="Times New Roman"/>
          <w:sz w:val="24"/>
          <w:szCs w:val="24"/>
        </w:rPr>
        <w:t xml:space="preserve">, Investigating the Effects of Financial Accounting Reports on Managerial Decision Making in Small and Medium-sized Enterprises (April 28, 2021) (2021). </w:t>
      </w:r>
      <w:hyperlink r:id="rId12">
        <w:r>
          <w:rPr>
            <w:rFonts w:ascii="Times New Roman" w:eastAsia="Times New Roman" w:hAnsi="Times New Roman" w:cs="Times New Roman"/>
            <w:color w:val="1155CC"/>
            <w:sz w:val="24"/>
            <w:szCs w:val="24"/>
            <w:u w:val="single"/>
          </w:rPr>
          <w:t>https://www.turcomat.org/index.php/turkbilmat/article/download/4733/3964</w:t>
        </w:r>
      </w:hyperlink>
    </w:p>
    <w:p w14:paraId="05317965"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Ginting</w:t>
      </w:r>
      <w:proofErr w:type="spellEnd"/>
      <w:r>
        <w:rPr>
          <w:rFonts w:ascii="Times New Roman" w:eastAsia="Times New Roman" w:hAnsi="Times New Roman" w:cs="Times New Roman"/>
          <w:sz w:val="24"/>
          <w:szCs w:val="24"/>
        </w:rPr>
        <w:t xml:space="preserve">, E.S., 2021. Ratio-Based Financial Performance Analysis of PT. </w:t>
      </w:r>
      <w:proofErr w:type="spellStart"/>
      <w:r>
        <w:rPr>
          <w:rFonts w:ascii="Times New Roman" w:eastAsia="Times New Roman" w:hAnsi="Times New Roman" w:cs="Times New Roman"/>
          <w:sz w:val="24"/>
          <w:szCs w:val="24"/>
        </w:rPr>
        <w:t>Mustika</w:t>
      </w:r>
      <w:proofErr w:type="spellEnd"/>
      <w:r>
        <w:rPr>
          <w:rFonts w:ascii="Times New Roman" w:eastAsia="Times New Roman" w:hAnsi="Times New Roman" w:cs="Times New Roman"/>
          <w:sz w:val="24"/>
          <w:szCs w:val="24"/>
        </w:rPr>
        <w:t xml:space="preserve"> Ratu, </w:t>
      </w:r>
      <w:proofErr w:type="spellStart"/>
      <w:r>
        <w:rPr>
          <w:rFonts w:ascii="Times New Roman" w:eastAsia="Times New Roman" w:hAnsi="Times New Roman" w:cs="Times New Roman"/>
          <w:sz w:val="24"/>
          <w:szCs w:val="24"/>
        </w:rPr>
        <w:t>Tbk</w:t>
      </w:r>
      <w:proofErr w:type="spellEnd"/>
      <w:r>
        <w:rPr>
          <w:rFonts w:ascii="Times New Roman" w:eastAsia="Times New Roman" w:hAnsi="Times New Roman" w:cs="Times New Roman"/>
          <w:sz w:val="24"/>
          <w:szCs w:val="24"/>
        </w:rPr>
        <w:t>. Enrichment: Journal of Management, 11(2), pp.456-462. https://www.enrichment.iocspublisher.org/index.php/enrichment/article/download/124/92</w:t>
      </w:r>
    </w:p>
    <w:p w14:paraId="560ACE2A"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Günay</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Fatih</w:t>
      </w:r>
      <w:proofErr w:type="spellEnd"/>
      <w:r>
        <w:rPr>
          <w:rFonts w:ascii="Times New Roman" w:eastAsia="Times New Roman" w:hAnsi="Times New Roman" w:cs="Times New Roman"/>
          <w:sz w:val="24"/>
          <w:szCs w:val="24"/>
        </w:rPr>
        <w:t xml:space="preserve">, E.C.E.R., 2020. Cash flow based financial performance of </w:t>
      </w:r>
      <w:proofErr w:type="spellStart"/>
      <w:r>
        <w:rPr>
          <w:rFonts w:ascii="Times New Roman" w:eastAsia="Times New Roman" w:hAnsi="Times New Roman" w:cs="Times New Roman"/>
          <w:sz w:val="24"/>
          <w:szCs w:val="24"/>
        </w:rPr>
        <w:t>Borsa</w:t>
      </w:r>
      <w:proofErr w:type="spellEnd"/>
      <w:r>
        <w:rPr>
          <w:rFonts w:ascii="Times New Roman" w:eastAsia="Times New Roman" w:hAnsi="Times New Roman" w:cs="Times New Roman"/>
          <w:sz w:val="24"/>
          <w:szCs w:val="24"/>
        </w:rPr>
        <w:t xml:space="preserve"> İstanbul tourism companies by Entropy-MAIRCA integrated model. Journal of multidisciplinary academic tourism, 5(1), pp.29-37. </w:t>
      </w:r>
      <w:hyperlink r:id="rId13">
        <w:r>
          <w:rPr>
            <w:rFonts w:ascii="Times New Roman" w:eastAsia="Times New Roman" w:hAnsi="Times New Roman" w:cs="Times New Roman"/>
            <w:color w:val="1155CC"/>
            <w:sz w:val="24"/>
            <w:szCs w:val="24"/>
            <w:u w:val="single"/>
          </w:rPr>
          <w:t>https://dergipark.org.tr/en/download/article-file/1201292</w:t>
        </w:r>
      </w:hyperlink>
    </w:p>
    <w:p w14:paraId="7793FD1E"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Hasanaj</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Kuqi</w:t>
      </w:r>
      <w:proofErr w:type="spellEnd"/>
      <w:r>
        <w:rPr>
          <w:rFonts w:ascii="Times New Roman" w:eastAsia="Times New Roman" w:hAnsi="Times New Roman" w:cs="Times New Roman"/>
          <w:sz w:val="24"/>
          <w:szCs w:val="24"/>
        </w:rPr>
        <w:t xml:space="preserve">, B., 2019. Analysis of financial statements. Humanities and Social Science Research, 2(2), pp.p17-p17. </w:t>
      </w:r>
      <w:hyperlink r:id="rId14">
        <w:r>
          <w:rPr>
            <w:rFonts w:ascii="Times New Roman" w:eastAsia="Times New Roman" w:hAnsi="Times New Roman" w:cs="Times New Roman"/>
            <w:color w:val="1155CC"/>
            <w:sz w:val="24"/>
            <w:szCs w:val="24"/>
            <w:u w:val="single"/>
          </w:rPr>
          <w:t>https://j.ideasspread.org/index.php/hssr/article/download/305/229</w:t>
        </w:r>
      </w:hyperlink>
    </w:p>
    <w:p w14:paraId="03625C44"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Hertati</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Widiyanti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Desfitrina</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Syafarudin</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Safkaur</w:t>
      </w:r>
      <w:proofErr w:type="spellEnd"/>
      <w:r>
        <w:rPr>
          <w:rFonts w:ascii="Times New Roman" w:eastAsia="Times New Roman" w:hAnsi="Times New Roman" w:cs="Times New Roman"/>
          <w:sz w:val="24"/>
          <w:szCs w:val="24"/>
        </w:rPr>
        <w:t xml:space="preserve">, O., 2020. The effects of economic crisis on business finance. International journal of economics and financial issues, 10(3), p.236. </w:t>
      </w:r>
      <w:hyperlink r:id="rId15">
        <w:r>
          <w:rPr>
            <w:rFonts w:ascii="Times New Roman" w:eastAsia="Times New Roman" w:hAnsi="Times New Roman" w:cs="Times New Roman"/>
            <w:color w:val="1155CC"/>
            <w:sz w:val="24"/>
            <w:szCs w:val="24"/>
            <w:u w:val="single"/>
          </w:rPr>
          <w:t>https://pdfs.semanticscholar.org/867e/27fefca8c6f8374d9799a9c6cf06cd68a8d1.pdf</w:t>
        </w:r>
      </w:hyperlink>
    </w:p>
    <w:p w14:paraId="6F7A539F"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Homonoff</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Spreen</w:t>
      </w:r>
      <w:proofErr w:type="spellEnd"/>
      <w:r>
        <w:rPr>
          <w:rFonts w:ascii="Times New Roman" w:eastAsia="Times New Roman" w:hAnsi="Times New Roman" w:cs="Times New Roman"/>
          <w:sz w:val="24"/>
          <w:szCs w:val="24"/>
        </w:rPr>
        <w:t xml:space="preserve">, T.L. and Clair, T.S., 2020. Balance sheet insolvency and contribution revenue in public charities. Journal of Public Economics, 186, p.104177. </w:t>
      </w:r>
      <w:hyperlink r:id="rId16">
        <w:r>
          <w:rPr>
            <w:rFonts w:ascii="Times New Roman" w:eastAsia="Times New Roman" w:hAnsi="Times New Roman" w:cs="Times New Roman"/>
            <w:color w:val="1155CC"/>
            <w:sz w:val="24"/>
            <w:szCs w:val="24"/>
            <w:u w:val="single"/>
          </w:rPr>
          <w:t>https://www.nber.org/system/files/working_papers/w26546/w26546.pdf</w:t>
        </w:r>
      </w:hyperlink>
    </w:p>
    <w:p w14:paraId="42E7006F"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 S., Lee, B. and Yi, M.Y., 2021. Building life-span prediction for life cycle assessment and life cycle cost using machine learning: A big data approach. Building and Environment, 205, p.108267. </w:t>
      </w:r>
      <w:hyperlink r:id="rId17">
        <w:r>
          <w:rPr>
            <w:rFonts w:ascii="Times New Roman" w:eastAsia="Times New Roman" w:hAnsi="Times New Roman" w:cs="Times New Roman"/>
            <w:color w:val="1155CC"/>
            <w:sz w:val="24"/>
            <w:szCs w:val="24"/>
            <w:u w:val="single"/>
          </w:rPr>
          <w:t>https://www.researchgate.net/profile/Sukwon-Ji/publication/354014226_Building_life-span_prediction_for_life_cycle_assessment_and_life_cycle_cost_using_machine_learning_A_big_data_approach/links/620306f853fa314148297395/Building-life-span-prediction-for-life-cycle-assessment-and-life-cycle-cost-using-machine-learning-A-big-data-approach.pdf</w:t>
        </w:r>
      </w:hyperlink>
    </w:p>
    <w:p w14:paraId="33087DF6"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Kadim</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Sunardi</w:t>
      </w:r>
      <w:proofErr w:type="spellEnd"/>
      <w:r>
        <w:rPr>
          <w:rFonts w:ascii="Times New Roman" w:eastAsia="Times New Roman" w:hAnsi="Times New Roman" w:cs="Times New Roman"/>
          <w:sz w:val="24"/>
          <w:szCs w:val="24"/>
        </w:rPr>
        <w:t xml:space="preserve">, N. and Husain, T., 2020. The modeling firm's value based on financial ratios, intellectual capital and dividend policy. Accounting, 6(5), pp.859-870. </w:t>
      </w:r>
      <w:hyperlink r:id="rId18">
        <w:r>
          <w:rPr>
            <w:rFonts w:ascii="Times New Roman" w:eastAsia="Times New Roman" w:hAnsi="Times New Roman" w:cs="Times New Roman"/>
            <w:color w:val="1155CC"/>
            <w:sz w:val="24"/>
            <w:szCs w:val="24"/>
            <w:u w:val="single"/>
          </w:rPr>
          <w:t>http://m.growingscience.com/ac/Vol6/ac_2020_48.pdf</w:t>
        </w:r>
      </w:hyperlink>
    </w:p>
    <w:p w14:paraId="67D525D3"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Kliestik</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Valaskova</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Lazaroiu</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Kovacova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Vrbka</w:t>
      </w:r>
      <w:proofErr w:type="spellEnd"/>
      <w:r>
        <w:rPr>
          <w:rFonts w:ascii="Times New Roman" w:eastAsia="Times New Roman" w:hAnsi="Times New Roman" w:cs="Times New Roman"/>
          <w:sz w:val="24"/>
          <w:szCs w:val="24"/>
        </w:rPr>
        <w:t xml:space="preserve">, J., 2020. Remaining financially healthy and competitive: The role of financial predictors. Journal of Competitiveness, 12(1), p.74. </w:t>
      </w:r>
      <w:hyperlink r:id="rId19">
        <w:r>
          <w:rPr>
            <w:rFonts w:ascii="Times New Roman" w:eastAsia="Times New Roman" w:hAnsi="Times New Roman" w:cs="Times New Roman"/>
            <w:color w:val="1155CC"/>
            <w:sz w:val="24"/>
            <w:szCs w:val="24"/>
            <w:u w:val="single"/>
          </w:rPr>
          <w:t>https://pdfs.semanticscholar.org/5400/0fcd811eb1a5259be85f9ce9d03d9c24a15c.pdf</w:t>
        </w:r>
      </w:hyperlink>
    </w:p>
    <w:p w14:paraId="7718F939"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Lahiri</w:t>
      </w:r>
      <w:proofErr w:type="spellEnd"/>
      <w:r>
        <w:rPr>
          <w:rFonts w:ascii="Times New Roman" w:eastAsia="Times New Roman" w:hAnsi="Times New Roman" w:cs="Times New Roman"/>
          <w:sz w:val="24"/>
          <w:szCs w:val="24"/>
        </w:rPr>
        <w:t xml:space="preserve">, S., Mukherjee, D. and Peng, M.W., 2020. Behind the internationalization of family SMEs: A strategy tripod synthesis. Global Strategy Journal, 10(4), pp.813-838. </w:t>
      </w:r>
      <w:hyperlink r:id="rId20">
        <w:r>
          <w:rPr>
            <w:rFonts w:ascii="Times New Roman" w:eastAsia="Times New Roman" w:hAnsi="Times New Roman" w:cs="Times New Roman"/>
            <w:color w:val="1155CC"/>
            <w:sz w:val="24"/>
            <w:szCs w:val="24"/>
            <w:u w:val="single"/>
          </w:rPr>
          <w:t>https://www.researchgate.net/profile/Somnath-Lahiri-2/publication/339964200_Behind_the_internationalization_of_family_SME_s_A_strategy_tripod_synthesis/links/5e9cfc6ea6fdcca7892843ae/Behind-the-internationalization-of-family-SME-s-A-strategy-tripod-synthesis.pdf</w:t>
        </w:r>
      </w:hyperlink>
    </w:p>
    <w:p w14:paraId="141DFD4A"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 S.E., 2021. Debt and </w:t>
      </w:r>
      <w:proofErr w:type="spellStart"/>
      <w:r>
        <w:rPr>
          <w:rFonts w:ascii="Times New Roman" w:eastAsia="Times New Roman" w:hAnsi="Times New Roman" w:cs="Times New Roman"/>
          <w:sz w:val="24"/>
          <w:szCs w:val="24"/>
        </w:rPr>
        <w:t>overindebtedness</w:t>
      </w:r>
      <w:proofErr w:type="spellEnd"/>
      <w:r>
        <w:rPr>
          <w:rFonts w:ascii="Times New Roman" w:eastAsia="Times New Roman" w:hAnsi="Times New Roman" w:cs="Times New Roman"/>
          <w:sz w:val="24"/>
          <w:szCs w:val="24"/>
        </w:rPr>
        <w:t xml:space="preserve">: Psychological evidence and its policy implications. Social Issues and Policy Review, 15(1), pp.146-179. </w:t>
      </w:r>
      <w:hyperlink r:id="rId21">
        <w:r>
          <w:rPr>
            <w:rFonts w:ascii="Times New Roman" w:eastAsia="Times New Roman" w:hAnsi="Times New Roman" w:cs="Times New Roman"/>
            <w:color w:val="1155CC"/>
            <w:sz w:val="24"/>
            <w:szCs w:val="24"/>
            <w:u w:val="single"/>
          </w:rPr>
          <w:t>https://spssi.onlinelibrary.wiley.com/doi/pdfdirect/10.1111/sipr.12074</w:t>
        </w:r>
      </w:hyperlink>
    </w:p>
    <w:p w14:paraId="5D8AC3D7"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Lins</w:t>
      </w:r>
      <w:proofErr w:type="spellEnd"/>
      <w:r>
        <w:rPr>
          <w:rFonts w:ascii="Times New Roman" w:eastAsia="Times New Roman" w:hAnsi="Times New Roman" w:cs="Times New Roman"/>
          <w:sz w:val="24"/>
          <w:szCs w:val="24"/>
        </w:rPr>
        <w:t xml:space="preserve">, K.V., </w:t>
      </w:r>
      <w:proofErr w:type="spellStart"/>
      <w:r>
        <w:rPr>
          <w:rFonts w:ascii="Times New Roman" w:eastAsia="Times New Roman" w:hAnsi="Times New Roman" w:cs="Times New Roman"/>
          <w:sz w:val="24"/>
          <w:szCs w:val="24"/>
        </w:rPr>
        <w:t>Servaes</w:t>
      </w:r>
      <w:proofErr w:type="spellEnd"/>
      <w:r>
        <w:rPr>
          <w:rFonts w:ascii="Times New Roman" w:eastAsia="Times New Roman" w:hAnsi="Times New Roman" w:cs="Times New Roman"/>
          <w:sz w:val="24"/>
          <w:szCs w:val="24"/>
        </w:rPr>
        <w:t xml:space="preserve">, H. and Tamayo, A., 2019. Social capital, trust, and corporate performance: how CSR helped companies during the financial crisis (and why it can keep helping them). Journal of Applied Corporate Finance, 31(2), pp.59-71. </w:t>
      </w:r>
      <w:hyperlink r:id="rId22">
        <w:r>
          <w:rPr>
            <w:rFonts w:ascii="Times New Roman" w:eastAsia="Times New Roman" w:hAnsi="Times New Roman" w:cs="Times New Roman"/>
            <w:color w:val="1155CC"/>
            <w:sz w:val="24"/>
            <w:szCs w:val="24"/>
            <w:u w:val="single"/>
          </w:rPr>
          <w:t>http://eprints.lse.ac.uk/100539/1/401linsservaestamayofinaldc22219_acceptedbyauthors_openaccess.pdf</w:t>
        </w:r>
      </w:hyperlink>
    </w:p>
    <w:p w14:paraId="2F8805A5"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Z., </w:t>
      </w:r>
      <w:proofErr w:type="spellStart"/>
      <w:r>
        <w:rPr>
          <w:rFonts w:ascii="Times New Roman" w:eastAsia="Times New Roman" w:hAnsi="Times New Roman" w:cs="Times New Roman"/>
          <w:sz w:val="24"/>
          <w:szCs w:val="24"/>
        </w:rPr>
        <w:t>Jubb</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Abhayawansa</w:t>
      </w:r>
      <w:proofErr w:type="spellEnd"/>
      <w:r>
        <w:rPr>
          <w:rFonts w:ascii="Times New Roman" w:eastAsia="Times New Roman" w:hAnsi="Times New Roman" w:cs="Times New Roman"/>
          <w:sz w:val="24"/>
          <w:szCs w:val="24"/>
        </w:rPr>
        <w:t xml:space="preserve">, S., 2018.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and evaluating integrated reporting: insights from applying a normative benchmark. Journal of Intellectual Capital. </w:t>
      </w:r>
      <w:hyperlink r:id="rId23">
        <w:r>
          <w:rPr>
            <w:rFonts w:ascii="Times New Roman" w:eastAsia="Times New Roman" w:hAnsi="Times New Roman" w:cs="Times New Roman"/>
            <w:color w:val="1155CC"/>
            <w:sz w:val="24"/>
            <w:szCs w:val="24"/>
            <w:u w:val="single"/>
          </w:rPr>
          <w:t>https://fardapaper.ir/mohavaha/uploads/2019/07/Fardapaper-Analysing-and-evaluating-integrated-reporting-Insights-from-applying-a-normative-benchmark.pdf</w:t>
        </w:r>
      </w:hyperlink>
    </w:p>
    <w:p w14:paraId="104D4C0F"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Munene, F. and Tibbs, C.Y., 2018. Accounts receivable management and financial performance of Embu Water and Sanitation Company Limited, Embu County, Kenya. ACCOUNTS RECEIVABLE MANAGEMENT AND FINANCIAL PERFORMANCE OF EMBU WATER AND SANITATION COMPANY LIMITED, EMBU COUNTY, KENYA. Kenya: International Academic Journal of Economics and Finance. </w:t>
      </w:r>
      <w:hyperlink r:id="rId24">
        <w:r>
          <w:rPr>
            <w:rFonts w:ascii="Times New Roman" w:eastAsia="Times New Roman" w:hAnsi="Times New Roman" w:cs="Times New Roman"/>
            <w:color w:val="1155CC"/>
            <w:sz w:val="24"/>
            <w:szCs w:val="24"/>
            <w:u w:val="single"/>
          </w:rPr>
          <w:t>https://ir-library.ku.ac.ke/bitstream/handle/123456789/19512/Accounts%20Receivable%20Management%20and%20Financial%20Performance%20of%20Embu%20Water%20and%20Sanitation%20Company%20Limited,%20Embu%20County,%20Kenya.pdf?sequence=1</w:t>
        </w:r>
      </w:hyperlink>
    </w:p>
    <w:p w14:paraId="006B8903"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Osadchy</w:t>
      </w:r>
      <w:proofErr w:type="spellEnd"/>
      <w:r>
        <w:rPr>
          <w:rFonts w:ascii="Times New Roman" w:eastAsia="Times New Roman" w:hAnsi="Times New Roman" w:cs="Times New Roman"/>
          <w:sz w:val="24"/>
          <w:szCs w:val="24"/>
        </w:rPr>
        <w:t xml:space="preserve">, E.A., </w:t>
      </w:r>
      <w:proofErr w:type="spellStart"/>
      <w:r>
        <w:rPr>
          <w:rFonts w:ascii="Times New Roman" w:eastAsia="Times New Roman" w:hAnsi="Times New Roman" w:cs="Times New Roman"/>
          <w:sz w:val="24"/>
          <w:szCs w:val="24"/>
        </w:rPr>
        <w:t>Akhmetshin</w:t>
      </w:r>
      <w:proofErr w:type="spellEnd"/>
      <w:r>
        <w:rPr>
          <w:rFonts w:ascii="Times New Roman" w:eastAsia="Times New Roman" w:hAnsi="Times New Roman" w:cs="Times New Roman"/>
          <w:sz w:val="24"/>
          <w:szCs w:val="24"/>
        </w:rPr>
        <w:t xml:space="preserve">, E.M., </w:t>
      </w:r>
      <w:proofErr w:type="spellStart"/>
      <w:r>
        <w:rPr>
          <w:rFonts w:ascii="Times New Roman" w:eastAsia="Times New Roman" w:hAnsi="Times New Roman" w:cs="Times New Roman"/>
          <w:sz w:val="24"/>
          <w:szCs w:val="24"/>
        </w:rPr>
        <w:t>Amirova</w:t>
      </w:r>
      <w:proofErr w:type="spellEnd"/>
      <w:r>
        <w:rPr>
          <w:rFonts w:ascii="Times New Roman" w:eastAsia="Times New Roman" w:hAnsi="Times New Roman" w:cs="Times New Roman"/>
          <w:sz w:val="24"/>
          <w:szCs w:val="24"/>
        </w:rPr>
        <w:t xml:space="preserve">, E.F., </w:t>
      </w:r>
      <w:proofErr w:type="spellStart"/>
      <w:r>
        <w:rPr>
          <w:rFonts w:ascii="Times New Roman" w:eastAsia="Times New Roman" w:hAnsi="Times New Roman" w:cs="Times New Roman"/>
          <w:sz w:val="24"/>
          <w:szCs w:val="24"/>
        </w:rPr>
        <w:t>Bochkareva</w:t>
      </w:r>
      <w:proofErr w:type="spellEnd"/>
      <w:r>
        <w:rPr>
          <w:rFonts w:ascii="Times New Roman" w:eastAsia="Times New Roman" w:hAnsi="Times New Roman" w:cs="Times New Roman"/>
          <w:sz w:val="24"/>
          <w:szCs w:val="24"/>
        </w:rPr>
        <w:t xml:space="preserve">, T.N., </w:t>
      </w:r>
      <w:proofErr w:type="spellStart"/>
      <w:r>
        <w:rPr>
          <w:rFonts w:ascii="Times New Roman" w:eastAsia="Times New Roman" w:hAnsi="Times New Roman" w:cs="Times New Roman"/>
          <w:sz w:val="24"/>
          <w:szCs w:val="24"/>
        </w:rPr>
        <w:t>Gazizyanova</w:t>
      </w:r>
      <w:proofErr w:type="spellEnd"/>
      <w:r>
        <w:rPr>
          <w:rFonts w:ascii="Times New Roman" w:eastAsia="Times New Roman" w:hAnsi="Times New Roman" w:cs="Times New Roman"/>
          <w:sz w:val="24"/>
          <w:szCs w:val="24"/>
        </w:rPr>
        <w:t xml:space="preserve">, Y. and </w:t>
      </w:r>
      <w:proofErr w:type="spellStart"/>
      <w:r>
        <w:rPr>
          <w:rFonts w:ascii="Times New Roman" w:eastAsia="Times New Roman" w:hAnsi="Times New Roman" w:cs="Times New Roman"/>
          <w:sz w:val="24"/>
          <w:szCs w:val="24"/>
        </w:rPr>
        <w:t>Yumashev</w:t>
      </w:r>
      <w:proofErr w:type="spellEnd"/>
      <w:r>
        <w:rPr>
          <w:rFonts w:ascii="Times New Roman" w:eastAsia="Times New Roman" w:hAnsi="Times New Roman" w:cs="Times New Roman"/>
          <w:sz w:val="24"/>
          <w:szCs w:val="24"/>
        </w:rPr>
        <w:t xml:space="preserve">, A.V., 2018. Financial statements of a company as an information base for decision-making in a transforming economy. </w:t>
      </w:r>
      <w:hyperlink r:id="rId25">
        <w:r>
          <w:rPr>
            <w:rFonts w:ascii="Times New Roman" w:eastAsia="Times New Roman" w:hAnsi="Times New Roman" w:cs="Times New Roman"/>
            <w:color w:val="1155CC"/>
            <w:sz w:val="24"/>
            <w:szCs w:val="24"/>
            <w:u w:val="single"/>
          </w:rPr>
          <w:t>https://www.um.edu.mt/library/oar/bitstream/123456789/33582/1/Financial_Statements_of_a_Company_as_an_Information_Base_2018.pdf</w:t>
        </w:r>
      </w:hyperlink>
    </w:p>
    <w:p w14:paraId="3873D5FD"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Osazefua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Imhanzenobe</w:t>
      </w:r>
      <w:proofErr w:type="spellEnd"/>
      <w:r>
        <w:rPr>
          <w:rFonts w:ascii="Times New Roman" w:eastAsia="Times New Roman" w:hAnsi="Times New Roman" w:cs="Times New Roman"/>
          <w:sz w:val="24"/>
          <w:szCs w:val="24"/>
        </w:rPr>
        <w:t xml:space="preserve">, J., 2020. Managers’ financial practices and financial sustainability of Nigerian manufacturing companies: Which ratios matter </w:t>
      </w:r>
      <w:proofErr w:type="gramStart"/>
      <w:r>
        <w:rPr>
          <w:rFonts w:ascii="Times New Roman" w:eastAsia="Times New Roman" w:hAnsi="Times New Roman" w:cs="Times New Roman"/>
          <w:sz w:val="24"/>
          <w:szCs w:val="24"/>
        </w:rPr>
        <w:t>most?.</w:t>
      </w:r>
      <w:proofErr w:type="gramEnd"/>
      <w:r>
        <w:rPr>
          <w:rFonts w:ascii="Times New Roman" w:eastAsia="Times New Roman" w:hAnsi="Times New Roman" w:cs="Times New Roman"/>
          <w:sz w:val="24"/>
          <w:szCs w:val="24"/>
        </w:rPr>
        <w:t xml:space="preserve"> Cogent Economics &amp; Finance, 8(1), p.1724241. </w:t>
      </w:r>
      <w:hyperlink r:id="rId26">
        <w:r>
          <w:rPr>
            <w:rFonts w:ascii="Times New Roman" w:eastAsia="Times New Roman" w:hAnsi="Times New Roman" w:cs="Times New Roman"/>
            <w:color w:val="1155CC"/>
            <w:sz w:val="24"/>
            <w:szCs w:val="24"/>
            <w:u w:val="single"/>
          </w:rPr>
          <w:t>https://www.tandfonline.com/doi/pdf/10.1080/23322039.2020.1724241</w:t>
        </w:r>
      </w:hyperlink>
    </w:p>
    <w:p w14:paraId="4EE51098"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Pointer, L.V. and Khoi, P.D., 2019. Predictors of return on assets and return on equity for banking and insurance companies on Vietnam stock exchange. Entrepreneurial Business and Economics Review, 7(4), pp.185-198. </w:t>
      </w:r>
      <w:hyperlink r:id="rId27">
        <w:r>
          <w:rPr>
            <w:rFonts w:ascii="Times New Roman" w:eastAsia="Times New Roman" w:hAnsi="Times New Roman" w:cs="Times New Roman"/>
            <w:color w:val="1155CC"/>
            <w:sz w:val="24"/>
            <w:szCs w:val="24"/>
            <w:u w:val="single"/>
          </w:rPr>
          <w:t>https://eber.uek.krakow.pl/index.php/eber/article/view/664</w:t>
        </w:r>
      </w:hyperlink>
    </w:p>
    <w:p w14:paraId="44BA79AD"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Purba</w:t>
      </w:r>
      <w:proofErr w:type="spellEnd"/>
      <w:r>
        <w:rPr>
          <w:rFonts w:ascii="Times New Roman" w:eastAsia="Times New Roman" w:hAnsi="Times New Roman" w:cs="Times New Roman"/>
          <w:sz w:val="24"/>
          <w:szCs w:val="24"/>
        </w:rPr>
        <w:t xml:space="preserve">, J.H.V. and </w:t>
      </w:r>
      <w:proofErr w:type="spellStart"/>
      <w:r>
        <w:rPr>
          <w:rFonts w:ascii="Times New Roman" w:eastAsia="Times New Roman" w:hAnsi="Times New Roman" w:cs="Times New Roman"/>
          <w:sz w:val="24"/>
          <w:szCs w:val="24"/>
        </w:rPr>
        <w:t>Bimantara</w:t>
      </w:r>
      <w:proofErr w:type="spellEnd"/>
      <w:r>
        <w:rPr>
          <w:rFonts w:ascii="Times New Roman" w:eastAsia="Times New Roman" w:hAnsi="Times New Roman" w:cs="Times New Roman"/>
          <w:sz w:val="24"/>
          <w:szCs w:val="24"/>
        </w:rPr>
        <w:t xml:space="preserve">, D., 2020, May. The influence of asset management on financial performance, with panel data analysis. In 2nd International Seminar on Business, Economics, Social Science and Technology (ISBEST 2019) (pp. 150-155). Atlantis Press. </w:t>
      </w:r>
      <w:hyperlink r:id="rId28">
        <w:r>
          <w:rPr>
            <w:rFonts w:ascii="Times New Roman" w:eastAsia="Times New Roman" w:hAnsi="Times New Roman" w:cs="Times New Roman"/>
            <w:color w:val="1155CC"/>
            <w:sz w:val="24"/>
            <w:szCs w:val="24"/>
            <w:u w:val="single"/>
          </w:rPr>
          <w:t>https://www.atlantis-press.com/article/125940917.pdf</w:t>
        </w:r>
      </w:hyperlink>
    </w:p>
    <w:p w14:paraId="40DAAF40"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Quarm</w:t>
      </w:r>
      <w:proofErr w:type="spellEnd"/>
      <w:r>
        <w:rPr>
          <w:rFonts w:ascii="Times New Roman" w:eastAsia="Times New Roman" w:hAnsi="Times New Roman" w:cs="Times New Roman"/>
          <w:sz w:val="24"/>
          <w:szCs w:val="24"/>
        </w:rPr>
        <w:t>, R.S., Sam-</w:t>
      </w:r>
      <w:proofErr w:type="spellStart"/>
      <w:r>
        <w:rPr>
          <w:rFonts w:ascii="Times New Roman" w:eastAsia="Times New Roman" w:hAnsi="Times New Roman" w:cs="Times New Roman"/>
          <w:sz w:val="24"/>
          <w:szCs w:val="24"/>
        </w:rPr>
        <w:t>Quarm</w:t>
      </w:r>
      <w:proofErr w:type="spellEnd"/>
      <w:r>
        <w:rPr>
          <w:rFonts w:ascii="Times New Roman" w:eastAsia="Times New Roman" w:hAnsi="Times New Roman" w:cs="Times New Roman"/>
          <w:sz w:val="24"/>
          <w:szCs w:val="24"/>
        </w:rPr>
        <w:t>, R. and Sam-</w:t>
      </w:r>
      <w:proofErr w:type="spellStart"/>
      <w:r>
        <w:rPr>
          <w:rFonts w:ascii="Times New Roman" w:eastAsia="Times New Roman" w:hAnsi="Times New Roman" w:cs="Times New Roman"/>
          <w:sz w:val="24"/>
          <w:szCs w:val="24"/>
        </w:rPr>
        <w:t>Quarm</w:t>
      </w:r>
      <w:proofErr w:type="spellEnd"/>
      <w:r>
        <w:rPr>
          <w:rFonts w:ascii="Times New Roman" w:eastAsia="Times New Roman" w:hAnsi="Times New Roman" w:cs="Times New Roman"/>
          <w:sz w:val="24"/>
          <w:szCs w:val="24"/>
        </w:rPr>
        <w:t xml:space="preserve">, R., 2020. The Ramifications of the Treasury Single Account, the </w:t>
      </w:r>
      <w:proofErr w:type="spellStart"/>
      <w:r>
        <w:rPr>
          <w:rFonts w:ascii="Times New Roman" w:eastAsia="Times New Roman" w:hAnsi="Times New Roman" w:cs="Times New Roman"/>
          <w:sz w:val="24"/>
          <w:szCs w:val="24"/>
        </w:rPr>
        <w:t>Ifmis</w:t>
      </w:r>
      <w:proofErr w:type="spellEnd"/>
      <w:r>
        <w:rPr>
          <w:rFonts w:ascii="Times New Roman" w:eastAsia="Times New Roman" w:hAnsi="Times New Roman" w:cs="Times New Roman"/>
          <w:sz w:val="24"/>
          <w:szCs w:val="24"/>
        </w:rPr>
        <w:t xml:space="preserve"> Platform, and Government Cash Management in Developing Economies in the </w:t>
      </w:r>
      <w:r>
        <w:rPr>
          <w:rFonts w:ascii="Times New Roman" w:eastAsia="Times New Roman" w:hAnsi="Times New Roman" w:cs="Times New Roman"/>
          <w:sz w:val="24"/>
          <w:szCs w:val="24"/>
        </w:rPr>
        <w:lastRenderedPageBreak/>
        <w:t xml:space="preserve">Wake of the Covid-19 Pandemic: Ghana’s Empirical Example. Journal of Economics and Business, 3(4). </w:t>
      </w:r>
      <w:hyperlink r:id="rId29">
        <w:r>
          <w:rPr>
            <w:rFonts w:ascii="Times New Roman" w:eastAsia="Times New Roman" w:hAnsi="Times New Roman" w:cs="Times New Roman"/>
            <w:color w:val="1155CC"/>
            <w:sz w:val="24"/>
            <w:szCs w:val="24"/>
            <w:u w:val="single"/>
          </w:rPr>
          <w:t>https://www.researchgate.net/profile/Richmond-Sam-Quarm-2/publication/347560897_The_Ramifications_of_the_Treasury_Single_Account_the_Ifmis_Platform_and_Government_Cash_Management_in_Developing_Economies_in_the_Wake_of_the_Covid-19_Pandemic_Ghana%27s_Empirical_Example/links/5fe1e36f92851c13feadc77e/The-Ramifications-of-the-Treasury-Single-Account-the-Ifmis-Platform-and-Government-Cash-Management-in-Developing-Economies-in-the-Wake-of-the-Covid-19-Pandemic-Ghanas-Empirical-Example.pdf</w:t>
        </w:r>
      </w:hyperlink>
    </w:p>
    <w:p w14:paraId="2081F614"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Ravazzi</w:t>
      </w:r>
      <w:proofErr w:type="spellEnd"/>
      <w:r>
        <w:rPr>
          <w:rFonts w:ascii="Times New Roman" w:eastAsia="Times New Roman" w:hAnsi="Times New Roman" w:cs="Times New Roman"/>
          <w:sz w:val="24"/>
          <w:szCs w:val="24"/>
        </w:rPr>
        <w:t xml:space="preserve">, S., 2022. Beyond plans, governance structures, and organizational strategies: how emotional mechanisms can make a difference in emergency response processes. Policy Sciences, pp.1-25. </w:t>
      </w:r>
      <w:hyperlink r:id="rId30">
        <w:r>
          <w:rPr>
            <w:rFonts w:ascii="Times New Roman" w:eastAsia="Times New Roman" w:hAnsi="Times New Roman" w:cs="Times New Roman"/>
            <w:color w:val="1155CC"/>
            <w:sz w:val="24"/>
            <w:szCs w:val="24"/>
            <w:u w:val="single"/>
          </w:rPr>
          <w:t>https://link.springer.com/article/10.1007/s11077-022-09480-4</w:t>
        </w:r>
      </w:hyperlink>
    </w:p>
    <w:p w14:paraId="34CA3036"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Roychowdhury</w:t>
      </w:r>
      <w:proofErr w:type="spellEnd"/>
      <w:r>
        <w:rPr>
          <w:rFonts w:ascii="Times New Roman" w:eastAsia="Times New Roman" w:hAnsi="Times New Roman" w:cs="Times New Roman"/>
          <w:sz w:val="24"/>
          <w:szCs w:val="24"/>
        </w:rPr>
        <w:t xml:space="preserve">, S., Shroff, N. and Verdi, R.S., 2019. The effects of financial reporting and disclosure on corporate investment: A review. Journal of Accounting and Economics, 68(2-3), p.101246. </w:t>
      </w:r>
      <w:hyperlink r:id="rId31">
        <w:r>
          <w:rPr>
            <w:rFonts w:ascii="Times New Roman" w:eastAsia="Times New Roman" w:hAnsi="Times New Roman" w:cs="Times New Roman"/>
            <w:color w:val="1155CC"/>
            <w:sz w:val="24"/>
            <w:szCs w:val="24"/>
            <w:u w:val="single"/>
          </w:rPr>
          <w:t>https://fardapaper.ir/mohavaha/uploads/2020/07/Fardapaper-The-effects-of-financial-reporting-and-disclosure-on-corporate-investment-A-review.pdf</w:t>
        </w:r>
      </w:hyperlink>
    </w:p>
    <w:p w14:paraId="4BA86461"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Salamzadeh</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Tajpour</w:t>
      </w:r>
      <w:proofErr w:type="spellEnd"/>
      <w:r>
        <w:rPr>
          <w:rFonts w:ascii="Times New Roman" w:eastAsia="Times New Roman" w:hAnsi="Times New Roman" w:cs="Times New Roman"/>
          <w:sz w:val="24"/>
          <w:szCs w:val="24"/>
        </w:rPr>
        <w:t xml:space="preserve">, M. and Hosseini, E., 2019. Corporate entrepreneurship in University of Tehran: does human resources management </w:t>
      </w:r>
      <w:proofErr w:type="gramStart"/>
      <w:r>
        <w:rPr>
          <w:rFonts w:ascii="Times New Roman" w:eastAsia="Times New Roman" w:hAnsi="Times New Roman" w:cs="Times New Roman"/>
          <w:sz w:val="24"/>
          <w:szCs w:val="24"/>
        </w:rPr>
        <w:t>matter?.</w:t>
      </w:r>
      <w:proofErr w:type="gramEnd"/>
      <w:r>
        <w:rPr>
          <w:rFonts w:ascii="Times New Roman" w:eastAsia="Times New Roman" w:hAnsi="Times New Roman" w:cs="Times New Roman"/>
          <w:sz w:val="24"/>
          <w:szCs w:val="24"/>
        </w:rPr>
        <w:t xml:space="preserve"> International journal of knowledge-based development, 10(3), pp.276-292. </w:t>
      </w:r>
      <w:hyperlink r:id="rId32">
        <w:r>
          <w:rPr>
            <w:rFonts w:ascii="Times New Roman" w:eastAsia="Times New Roman" w:hAnsi="Times New Roman" w:cs="Times New Roman"/>
            <w:color w:val="1155CC"/>
            <w:sz w:val="24"/>
            <w:szCs w:val="24"/>
            <w:u w:val="single"/>
          </w:rPr>
          <w:t>https://www.researchgate.net/profile/Mehdi-Tajpour-2/publication/336626582_Corporate_entrepreneurship_in_University_of_Tehran_does_human_resources_management_matter/links/5e0f9e8692851c8364b00af7/Corporate-entrepreneurship-in-University-of-Tehran-does-human-resources-management-matter.pdf</w:t>
        </w:r>
      </w:hyperlink>
    </w:p>
    <w:p w14:paraId="161FB223"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S. and Das, S., 2018. Impact of post-merger and acquisition activities on the financial performance of banks: A study of Indian private sector and public sector banks. </w:t>
      </w:r>
      <w:proofErr w:type="spellStart"/>
      <w:r>
        <w:rPr>
          <w:rFonts w:ascii="Times New Roman" w:eastAsia="Times New Roman" w:hAnsi="Times New Roman" w:cs="Times New Roman"/>
          <w:sz w:val="24"/>
          <w:szCs w:val="24"/>
        </w:rPr>
        <w:t>Revista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Espacios</w:t>
      </w:r>
      <w:proofErr w:type="spellEnd"/>
      <w:r>
        <w:rPr>
          <w:rFonts w:ascii="Times New Roman" w:eastAsia="Times New Roman" w:hAnsi="Times New Roman" w:cs="Times New Roman"/>
          <w:sz w:val="24"/>
          <w:szCs w:val="24"/>
        </w:rPr>
        <w:t xml:space="preserve"> Magazine, 39(26), p.25. </w:t>
      </w:r>
      <w:hyperlink r:id="rId33">
        <w:r>
          <w:rPr>
            <w:rFonts w:ascii="Times New Roman" w:eastAsia="Times New Roman" w:hAnsi="Times New Roman" w:cs="Times New Roman"/>
            <w:color w:val="1155CC"/>
            <w:sz w:val="24"/>
            <w:szCs w:val="24"/>
            <w:u w:val="single"/>
          </w:rPr>
          <w:t>https://www.researchgate.net/profile/Subhankar-Das-2/publication/327836765_Impact_of_post-merger_and_acquisition_activities_on_the_financial_performance_of_banks_a_study_of_Indian_private_sector_and_public_sector_banks_Impacto_de_las_actividades_posteriores_a_la_fusion_y_adq/links/5ba897bda6fdccd3cb6e552e/Impact-of-post-merger-and-acquisition-activities-on-the-financial-performance-of-banks-a-study-of-Indian-private-sector-and-public-sector-banks-Impacto-de-las-actividades-posteriores-a-la-fusion-y-adq.pdf</w:t>
        </w:r>
      </w:hyperlink>
    </w:p>
    <w:p w14:paraId="59019479" w14:textId="77777777" w:rsidR="00737B23" w:rsidRDefault="00737B23" w:rsidP="00715E0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Waraich</w:t>
      </w:r>
      <w:proofErr w:type="spellEnd"/>
      <w:r>
        <w:rPr>
          <w:rFonts w:ascii="Times New Roman" w:eastAsia="Times New Roman" w:hAnsi="Times New Roman" w:cs="Times New Roman"/>
          <w:sz w:val="24"/>
          <w:szCs w:val="24"/>
        </w:rPr>
        <w:t xml:space="preserve">, S., 2019. FUNDAMENTAL ANALYSIS OF HOUSING FINANCE SECTOR IN INDIA. Editorial Board, 8(12), p.102. </w:t>
      </w:r>
      <w:hyperlink r:id="rId34" w:anchor="page=110">
        <w:r>
          <w:rPr>
            <w:rFonts w:ascii="Times New Roman" w:eastAsia="Times New Roman" w:hAnsi="Times New Roman" w:cs="Times New Roman"/>
            <w:color w:val="1155CC"/>
            <w:sz w:val="24"/>
            <w:szCs w:val="24"/>
            <w:u w:val="single"/>
          </w:rPr>
          <w:t>http://ijmer.s3.amazonaws.com/pdf/volume8/volume8-issue12(4)-2019.pdf#page=110</w:t>
        </w:r>
      </w:hyperlink>
    </w:p>
    <w:p w14:paraId="2CA9C2CB" w14:textId="77777777" w:rsidR="00737B23" w:rsidRDefault="00737B23" w:rsidP="00715E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Xu, J. and Liu, F., 2021. Nexus between intellectual capital and financial performance: An investigation of Chinese manufacturing industry. Journal of Business Economics and Management, 22(1), pp.217-235. </w:t>
      </w:r>
      <w:hyperlink r:id="rId35">
        <w:r>
          <w:rPr>
            <w:rFonts w:ascii="Times New Roman" w:eastAsia="Times New Roman" w:hAnsi="Times New Roman" w:cs="Times New Roman"/>
            <w:color w:val="1155CC"/>
            <w:sz w:val="24"/>
            <w:szCs w:val="24"/>
            <w:u w:val="single"/>
          </w:rPr>
          <w:t>https://jau.vgtu.lt/index.php/JBEM/article/download/13888/10262</w:t>
        </w:r>
      </w:hyperlink>
    </w:p>
    <w:p w14:paraId="07A2C19D" w14:textId="77777777" w:rsidR="00737B23" w:rsidRDefault="00737B23" w:rsidP="00715E0E">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Zamora-Ramírez, C. and Morales-Díaz, J., 2018. The use of fair value measurement in financial reporting: A literature review. Studies of Applied Economics, 36(2), pp.489-514. </w:t>
      </w:r>
      <w:hyperlink r:id="rId36">
        <w:r>
          <w:rPr>
            <w:rFonts w:ascii="Times New Roman" w:eastAsia="Times New Roman" w:hAnsi="Times New Roman" w:cs="Times New Roman"/>
            <w:color w:val="1155CC"/>
            <w:sz w:val="24"/>
            <w:szCs w:val="24"/>
            <w:u w:val="single"/>
          </w:rPr>
          <w:t>https://ojs.ual.es/ojs/index.php/eea/article/download/2540/2939</w:t>
        </w:r>
      </w:hyperlink>
    </w:p>
    <w:p w14:paraId="0D81FC52"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3D07F312"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54D4E5EB"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43214E14"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49E717E9"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5B90C5A7"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59580D39"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7C20B702"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0C011F44"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3ADE376D"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18250F1D"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7D740241"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751AE988"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12ECF3B2"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67711480"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59B831E7"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038D1BC6"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5F4E5DB6"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00B9C33B"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3D020B6E" w14:textId="77777777" w:rsidR="00CC09E8" w:rsidRDefault="00CC09E8" w:rsidP="00715E0E">
      <w:pPr>
        <w:spacing w:line="360" w:lineRule="auto"/>
        <w:jc w:val="both"/>
        <w:rPr>
          <w:rFonts w:ascii="Times New Roman" w:eastAsia="Times New Roman" w:hAnsi="Times New Roman" w:cs="Times New Roman"/>
          <w:color w:val="1155CC"/>
          <w:sz w:val="24"/>
          <w:szCs w:val="24"/>
          <w:u w:val="single"/>
        </w:rPr>
      </w:pPr>
    </w:p>
    <w:p w14:paraId="6AE94823" w14:textId="77777777" w:rsidR="00CC09E8" w:rsidRDefault="00CC09E8" w:rsidP="00715E0E">
      <w:pPr>
        <w:spacing w:line="360" w:lineRule="auto"/>
        <w:jc w:val="both"/>
        <w:rPr>
          <w:rFonts w:ascii="Times New Roman" w:eastAsia="Times New Roman" w:hAnsi="Times New Roman" w:cs="Times New Roman"/>
          <w:color w:val="1155CC"/>
          <w:sz w:val="24"/>
          <w:szCs w:val="24"/>
          <w:u w:val="single"/>
        </w:rPr>
      </w:pPr>
    </w:p>
    <w:tbl>
      <w:tblPr>
        <w:tblW w:w="6740" w:type="dxa"/>
        <w:tblLook w:val="04A0" w:firstRow="1" w:lastRow="0" w:firstColumn="1" w:lastColumn="0" w:noHBand="0" w:noVBand="1"/>
      </w:tblPr>
      <w:tblGrid>
        <w:gridCol w:w="4865"/>
        <w:gridCol w:w="1875"/>
      </w:tblGrid>
      <w:tr w:rsidR="0071037E" w:rsidRPr="0071037E" w14:paraId="5351DFA4" w14:textId="77777777" w:rsidTr="0071037E">
        <w:trPr>
          <w:trHeight w:val="312"/>
        </w:trPr>
        <w:tc>
          <w:tcPr>
            <w:tcW w:w="6740"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4C1A132" w14:textId="77777777" w:rsidR="0071037E" w:rsidRPr="0071037E" w:rsidRDefault="0071037E" w:rsidP="0071037E">
            <w:pPr>
              <w:spacing w:line="240" w:lineRule="auto"/>
              <w:jc w:val="center"/>
              <w:rPr>
                <w:rFonts w:ascii="Times New Roman" w:eastAsia="Times New Roman" w:hAnsi="Times New Roman" w:cs="Times New Roman"/>
                <w:b/>
                <w:bCs/>
                <w:color w:val="000000"/>
                <w:sz w:val="24"/>
                <w:szCs w:val="24"/>
                <w:lang w:val="en-GB" w:eastAsia="en-GB"/>
              </w:rPr>
            </w:pPr>
            <w:proofErr w:type="spellStart"/>
            <w:r w:rsidRPr="0071037E">
              <w:rPr>
                <w:rFonts w:ascii="Times New Roman" w:eastAsia="Times New Roman" w:hAnsi="Times New Roman" w:cs="Times New Roman"/>
                <w:b/>
                <w:bCs/>
                <w:color w:val="000000"/>
                <w:sz w:val="24"/>
                <w:szCs w:val="24"/>
                <w:lang w:val="en-GB" w:eastAsia="en-GB"/>
              </w:rPr>
              <w:lastRenderedPageBreak/>
              <w:t>Comuptation</w:t>
            </w:r>
            <w:proofErr w:type="spellEnd"/>
            <w:r w:rsidRPr="0071037E">
              <w:rPr>
                <w:rFonts w:ascii="Times New Roman" w:eastAsia="Times New Roman" w:hAnsi="Times New Roman" w:cs="Times New Roman"/>
                <w:b/>
                <w:bCs/>
                <w:color w:val="000000"/>
                <w:sz w:val="24"/>
                <w:szCs w:val="24"/>
                <w:lang w:val="en-GB" w:eastAsia="en-GB"/>
              </w:rPr>
              <w:t xml:space="preserve"> of Financial Statement of Wales Plc </w:t>
            </w:r>
          </w:p>
        </w:tc>
      </w:tr>
      <w:tr w:rsidR="0071037E" w:rsidRPr="0071037E" w14:paraId="5556A969" w14:textId="77777777" w:rsidTr="0071037E">
        <w:trPr>
          <w:trHeight w:val="312"/>
        </w:trPr>
        <w:tc>
          <w:tcPr>
            <w:tcW w:w="4865" w:type="dxa"/>
            <w:tcBorders>
              <w:top w:val="nil"/>
              <w:left w:val="single" w:sz="4" w:space="0" w:color="auto"/>
              <w:bottom w:val="single" w:sz="4" w:space="0" w:color="auto"/>
              <w:right w:val="single" w:sz="4" w:space="0" w:color="auto"/>
            </w:tcBorders>
            <w:shd w:val="clear" w:color="000000" w:fill="B4C6E7"/>
            <w:noWrap/>
            <w:vAlign w:val="bottom"/>
            <w:hideMark/>
          </w:tcPr>
          <w:p w14:paraId="06FD86AD" w14:textId="77777777" w:rsidR="0071037E" w:rsidRPr="0071037E" w:rsidRDefault="0071037E" w:rsidP="0071037E">
            <w:pPr>
              <w:spacing w:line="240" w:lineRule="auto"/>
              <w:rPr>
                <w:rFonts w:ascii="Times New Roman" w:eastAsia="Times New Roman" w:hAnsi="Times New Roman" w:cs="Times New Roman"/>
                <w:b/>
                <w:bCs/>
                <w:color w:val="000000"/>
                <w:sz w:val="24"/>
                <w:szCs w:val="24"/>
                <w:lang w:val="en-GB" w:eastAsia="en-GB"/>
              </w:rPr>
            </w:pPr>
            <w:r w:rsidRPr="0071037E">
              <w:rPr>
                <w:rFonts w:ascii="Times New Roman" w:eastAsia="Times New Roman" w:hAnsi="Times New Roman" w:cs="Times New Roman"/>
                <w:b/>
                <w:bCs/>
                <w:color w:val="000000"/>
                <w:sz w:val="24"/>
                <w:szCs w:val="24"/>
                <w:lang w:val="en-GB" w:eastAsia="en-GB"/>
              </w:rPr>
              <w:t xml:space="preserve">Particulars </w:t>
            </w:r>
          </w:p>
        </w:tc>
        <w:tc>
          <w:tcPr>
            <w:tcW w:w="1875" w:type="dxa"/>
            <w:tcBorders>
              <w:top w:val="nil"/>
              <w:left w:val="nil"/>
              <w:bottom w:val="single" w:sz="4" w:space="0" w:color="auto"/>
              <w:right w:val="single" w:sz="4" w:space="0" w:color="auto"/>
            </w:tcBorders>
            <w:shd w:val="clear" w:color="000000" w:fill="B4C6E7"/>
            <w:noWrap/>
            <w:vAlign w:val="bottom"/>
            <w:hideMark/>
          </w:tcPr>
          <w:p w14:paraId="47244422" w14:textId="77777777" w:rsidR="0071037E" w:rsidRPr="0071037E" w:rsidRDefault="0071037E" w:rsidP="0071037E">
            <w:pPr>
              <w:spacing w:line="240" w:lineRule="auto"/>
              <w:jc w:val="center"/>
              <w:rPr>
                <w:rFonts w:ascii="Times New Roman" w:eastAsia="Times New Roman" w:hAnsi="Times New Roman" w:cs="Times New Roman"/>
                <w:b/>
                <w:bCs/>
                <w:color w:val="000000"/>
                <w:sz w:val="24"/>
                <w:szCs w:val="24"/>
                <w:lang w:val="en-GB" w:eastAsia="en-GB"/>
              </w:rPr>
            </w:pPr>
            <w:r w:rsidRPr="0071037E">
              <w:rPr>
                <w:rFonts w:ascii="Times New Roman" w:eastAsia="Times New Roman" w:hAnsi="Times New Roman" w:cs="Times New Roman"/>
                <w:b/>
                <w:bCs/>
                <w:color w:val="000000"/>
                <w:sz w:val="24"/>
                <w:szCs w:val="24"/>
                <w:lang w:val="en-GB" w:eastAsia="en-GB"/>
              </w:rPr>
              <w:t>Amount</w:t>
            </w:r>
          </w:p>
        </w:tc>
      </w:tr>
      <w:tr w:rsidR="0071037E" w:rsidRPr="0071037E" w14:paraId="06E93B48" w14:textId="77777777" w:rsidTr="0071037E">
        <w:trPr>
          <w:trHeight w:val="312"/>
        </w:trPr>
        <w:tc>
          <w:tcPr>
            <w:tcW w:w="4865" w:type="dxa"/>
            <w:tcBorders>
              <w:top w:val="nil"/>
              <w:left w:val="single" w:sz="4" w:space="0" w:color="auto"/>
              <w:bottom w:val="single" w:sz="4" w:space="0" w:color="auto"/>
              <w:right w:val="single" w:sz="4" w:space="0" w:color="auto"/>
            </w:tcBorders>
            <w:shd w:val="clear" w:color="auto" w:fill="auto"/>
            <w:noWrap/>
            <w:hideMark/>
          </w:tcPr>
          <w:p w14:paraId="78AE11E9" w14:textId="77777777" w:rsidR="0071037E" w:rsidRPr="0071037E" w:rsidRDefault="0071037E" w:rsidP="0071037E">
            <w:pPr>
              <w:spacing w:line="240" w:lineRule="auto"/>
              <w:rPr>
                <w:rFonts w:ascii="Times New Roman" w:eastAsia="Times New Roman" w:hAnsi="Times New Roman" w:cs="Times New Roman"/>
                <w:b/>
                <w:bCs/>
                <w:i/>
                <w:iCs/>
                <w:sz w:val="23"/>
                <w:szCs w:val="23"/>
                <w:u w:val="single"/>
                <w:lang w:val="en-GB" w:eastAsia="en-GB"/>
              </w:rPr>
            </w:pPr>
            <w:r w:rsidRPr="0071037E">
              <w:rPr>
                <w:rFonts w:ascii="Times New Roman" w:eastAsia="Times New Roman" w:hAnsi="Times New Roman" w:cs="Times New Roman"/>
                <w:b/>
                <w:bCs/>
                <w:i/>
                <w:iCs/>
                <w:sz w:val="23"/>
                <w:szCs w:val="23"/>
                <w:u w:val="single"/>
                <w:lang w:val="en-GB" w:eastAsia="en-GB"/>
              </w:rPr>
              <w:t>Assets</w:t>
            </w:r>
          </w:p>
        </w:tc>
        <w:tc>
          <w:tcPr>
            <w:tcW w:w="1875" w:type="dxa"/>
            <w:tcBorders>
              <w:top w:val="nil"/>
              <w:left w:val="nil"/>
              <w:bottom w:val="single" w:sz="4" w:space="0" w:color="auto"/>
              <w:right w:val="single" w:sz="4" w:space="0" w:color="auto"/>
            </w:tcBorders>
            <w:shd w:val="clear" w:color="auto" w:fill="auto"/>
            <w:noWrap/>
            <w:hideMark/>
          </w:tcPr>
          <w:p w14:paraId="48F1FFA5" w14:textId="77777777" w:rsidR="0071037E" w:rsidRPr="0071037E" w:rsidRDefault="0071037E" w:rsidP="0071037E">
            <w:pPr>
              <w:spacing w:line="240" w:lineRule="auto"/>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784259AB"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3C93E092"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Noncurrent assets</w:t>
            </w:r>
          </w:p>
        </w:tc>
        <w:tc>
          <w:tcPr>
            <w:tcW w:w="1875" w:type="dxa"/>
            <w:tcBorders>
              <w:top w:val="nil"/>
              <w:left w:val="nil"/>
              <w:bottom w:val="single" w:sz="4" w:space="0" w:color="auto"/>
              <w:right w:val="single" w:sz="4" w:space="0" w:color="auto"/>
            </w:tcBorders>
            <w:shd w:val="clear" w:color="auto" w:fill="auto"/>
            <w:noWrap/>
            <w:hideMark/>
          </w:tcPr>
          <w:p w14:paraId="101B0959" w14:textId="77777777" w:rsidR="0071037E" w:rsidRPr="0071037E" w:rsidRDefault="0071037E" w:rsidP="0071037E">
            <w:pPr>
              <w:spacing w:line="240" w:lineRule="auto"/>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03E3CAEB"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2476FA1F"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Property and equipment</w:t>
            </w:r>
          </w:p>
        </w:tc>
        <w:tc>
          <w:tcPr>
            <w:tcW w:w="1875" w:type="dxa"/>
            <w:tcBorders>
              <w:top w:val="nil"/>
              <w:left w:val="nil"/>
              <w:bottom w:val="single" w:sz="4" w:space="0" w:color="auto"/>
              <w:right w:val="single" w:sz="4" w:space="0" w:color="auto"/>
            </w:tcBorders>
            <w:shd w:val="clear" w:color="auto" w:fill="auto"/>
            <w:noWrap/>
            <w:hideMark/>
          </w:tcPr>
          <w:p w14:paraId="03663AA0"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632,730</w:t>
            </w:r>
          </w:p>
        </w:tc>
      </w:tr>
      <w:tr w:rsidR="0071037E" w:rsidRPr="0071037E" w14:paraId="6D419839"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54EC5517"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Current assets</w:t>
            </w:r>
          </w:p>
        </w:tc>
        <w:tc>
          <w:tcPr>
            <w:tcW w:w="1875" w:type="dxa"/>
            <w:tcBorders>
              <w:top w:val="nil"/>
              <w:left w:val="nil"/>
              <w:bottom w:val="single" w:sz="4" w:space="0" w:color="auto"/>
              <w:right w:val="single" w:sz="4" w:space="0" w:color="auto"/>
            </w:tcBorders>
            <w:shd w:val="clear" w:color="auto" w:fill="auto"/>
            <w:noWrap/>
            <w:hideMark/>
          </w:tcPr>
          <w:p w14:paraId="09892448" w14:textId="77777777" w:rsidR="0071037E" w:rsidRPr="0071037E" w:rsidRDefault="0071037E" w:rsidP="0071037E">
            <w:pPr>
              <w:spacing w:line="240" w:lineRule="auto"/>
              <w:jc w:val="right"/>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7502F559"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0879BA25"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Inventories</w:t>
            </w:r>
          </w:p>
        </w:tc>
        <w:tc>
          <w:tcPr>
            <w:tcW w:w="1875" w:type="dxa"/>
            <w:tcBorders>
              <w:top w:val="nil"/>
              <w:left w:val="nil"/>
              <w:bottom w:val="single" w:sz="4" w:space="0" w:color="auto"/>
              <w:right w:val="single" w:sz="4" w:space="0" w:color="auto"/>
            </w:tcBorders>
            <w:shd w:val="clear" w:color="auto" w:fill="auto"/>
            <w:noWrap/>
            <w:hideMark/>
          </w:tcPr>
          <w:p w14:paraId="40E6E599"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330,600</w:t>
            </w:r>
          </w:p>
        </w:tc>
      </w:tr>
      <w:tr w:rsidR="0071037E" w:rsidRPr="0071037E" w14:paraId="3B1E7D44"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0D8B3E36"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Debtors</w:t>
            </w:r>
          </w:p>
        </w:tc>
        <w:tc>
          <w:tcPr>
            <w:tcW w:w="1875" w:type="dxa"/>
            <w:tcBorders>
              <w:top w:val="nil"/>
              <w:left w:val="nil"/>
              <w:bottom w:val="single" w:sz="4" w:space="0" w:color="auto"/>
              <w:right w:val="single" w:sz="4" w:space="0" w:color="auto"/>
            </w:tcBorders>
            <w:shd w:val="clear" w:color="auto" w:fill="auto"/>
            <w:noWrap/>
            <w:hideMark/>
          </w:tcPr>
          <w:p w14:paraId="31DE603B"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171105</w:t>
            </w:r>
          </w:p>
        </w:tc>
      </w:tr>
      <w:tr w:rsidR="0071037E" w:rsidRPr="0071037E" w14:paraId="735F1BD3"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1BB87EA2"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Cash and bank</w:t>
            </w:r>
          </w:p>
        </w:tc>
        <w:tc>
          <w:tcPr>
            <w:tcW w:w="1875" w:type="dxa"/>
            <w:tcBorders>
              <w:top w:val="nil"/>
              <w:left w:val="nil"/>
              <w:bottom w:val="single" w:sz="4" w:space="0" w:color="auto"/>
              <w:right w:val="single" w:sz="4" w:space="0" w:color="auto"/>
            </w:tcBorders>
            <w:shd w:val="clear" w:color="auto" w:fill="auto"/>
            <w:noWrap/>
            <w:hideMark/>
          </w:tcPr>
          <w:p w14:paraId="0FDEDA08"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76,250</w:t>
            </w:r>
          </w:p>
        </w:tc>
      </w:tr>
      <w:tr w:rsidR="0071037E" w:rsidRPr="0071037E" w14:paraId="2A91AED8" w14:textId="77777777" w:rsidTr="0071037E">
        <w:trPr>
          <w:trHeight w:val="300"/>
        </w:trPr>
        <w:tc>
          <w:tcPr>
            <w:tcW w:w="4865" w:type="dxa"/>
            <w:tcBorders>
              <w:top w:val="nil"/>
              <w:left w:val="single" w:sz="4" w:space="0" w:color="auto"/>
              <w:bottom w:val="single" w:sz="4" w:space="0" w:color="auto"/>
              <w:right w:val="single" w:sz="4" w:space="0" w:color="auto"/>
            </w:tcBorders>
            <w:shd w:val="clear" w:color="000000" w:fill="B4C6E7"/>
            <w:noWrap/>
            <w:hideMark/>
          </w:tcPr>
          <w:p w14:paraId="22BB7354" w14:textId="77777777" w:rsidR="0071037E" w:rsidRPr="0071037E" w:rsidRDefault="0071037E" w:rsidP="0071037E">
            <w:pPr>
              <w:spacing w:line="240" w:lineRule="auto"/>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Total assets</w:t>
            </w:r>
          </w:p>
        </w:tc>
        <w:tc>
          <w:tcPr>
            <w:tcW w:w="1875" w:type="dxa"/>
            <w:tcBorders>
              <w:top w:val="nil"/>
              <w:left w:val="nil"/>
              <w:bottom w:val="single" w:sz="4" w:space="0" w:color="auto"/>
              <w:right w:val="single" w:sz="4" w:space="0" w:color="auto"/>
            </w:tcBorders>
            <w:shd w:val="clear" w:color="000000" w:fill="B4C6E7"/>
            <w:noWrap/>
            <w:hideMark/>
          </w:tcPr>
          <w:p w14:paraId="0C4412CB" w14:textId="77777777" w:rsidR="0071037E" w:rsidRPr="0071037E" w:rsidRDefault="0071037E" w:rsidP="0071037E">
            <w:pPr>
              <w:spacing w:line="240" w:lineRule="auto"/>
              <w:jc w:val="right"/>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1,210,685</w:t>
            </w:r>
          </w:p>
        </w:tc>
      </w:tr>
      <w:tr w:rsidR="0071037E" w:rsidRPr="0071037E" w14:paraId="149090ED" w14:textId="77777777" w:rsidTr="0071037E">
        <w:trPr>
          <w:trHeight w:val="312"/>
        </w:trPr>
        <w:tc>
          <w:tcPr>
            <w:tcW w:w="4865" w:type="dxa"/>
            <w:tcBorders>
              <w:top w:val="nil"/>
              <w:left w:val="single" w:sz="4" w:space="0" w:color="auto"/>
              <w:bottom w:val="single" w:sz="4" w:space="0" w:color="auto"/>
              <w:right w:val="single" w:sz="4" w:space="0" w:color="auto"/>
            </w:tcBorders>
            <w:shd w:val="clear" w:color="auto" w:fill="auto"/>
            <w:noWrap/>
            <w:hideMark/>
          </w:tcPr>
          <w:p w14:paraId="31ED57AE" w14:textId="77777777" w:rsidR="0071037E" w:rsidRPr="0071037E" w:rsidRDefault="0071037E" w:rsidP="0071037E">
            <w:pPr>
              <w:spacing w:line="240" w:lineRule="auto"/>
              <w:rPr>
                <w:rFonts w:ascii="Times New Roman" w:eastAsia="Times New Roman" w:hAnsi="Times New Roman" w:cs="Times New Roman"/>
                <w:b/>
                <w:bCs/>
                <w:i/>
                <w:iCs/>
                <w:sz w:val="23"/>
                <w:szCs w:val="23"/>
                <w:u w:val="single"/>
                <w:lang w:val="en-GB" w:eastAsia="en-GB"/>
              </w:rPr>
            </w:pPr>
            <w:r w:rsidRPr="0071037E">
              <w:rPr>
                <w:rFonts w:ascii="Times New Roman" w:eastAsia="Times New Roman" w:hAnsi="Times New Roman" w:cs="Times New Roman"/>
                <w:b/>
                <w:bCs/>
                <w:i/>
                <w:iCs/>
                <w:sz w:val="23"/>
                <w:szCs w:val="23"/>
                <w:u w:val="single"/>
                <w:lang w:val="en-GB" w:eastAsia="en-GB"/>
              </w:rPr>
              <w:t>Liabilities</w:t>
            </w:r>
          </w:p>
        </w:tc>
        <w:tc>
          <w:tcPr>
            <w:tcW w:w="1875" w:type="dxa"/>
            <w:tcBorders>
              <w:top w:val="nil"/>
              <w:left w:val="nil"/>
              <w:bottom w:val="single" w:sz="4" w:space="0" w:color="auto"/>
              <w:right w:val="single" w:sz="4" w:space="0" w:color="auto"/>
            </w:tcBorders>
            <w:shd w:val="clear" w:color="auto" w:fill="auto"/>
            <w:noWrap/>
            <w:hideMark/>
          </w:tcPr>
          <w:p w14:paraId="7949856D" w14:textId="77777777" w:rsidR="0071037E" w:rsidRPr="0071037E" w:rsidRDefault="0071037E" w:rsidP="0071037E">
            <w:pPr>
              <w:spacing w:line="240" w:lineRule="auto"/>
              <w:jc w:val="right"/>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0182944B"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09147DFC"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Current liabilities</w:t>
            </w:r>
          </w:p>
        </w:tc>
        <w:tc>
          <w:tcPr>
            <w:tcW w:w="1875" w:type="dxa"/>
            <w:tcBorders>
              <w:top w:val="nil"/>
              <w:left w:val="nil"/>
              <w:bottom w:val="single" w:sz="4" w:space="0" w:color="auto"/>
              <w:right w:val="single" w:sz="4" w:space="0" w:color="auto"/>
            </w:tcBorders>
            <w:shd w:val="clear" w:color="auto" w:fill="auto"/>
            <w:noWrap/>
            <w:hideMark/>
          </w:tcPr>
          <w:p w14:paraId="7231F4A0" w14:textId="77777777" w:rsidR="0071037E" w:rsidRPr="0071037E" w:rsidRDefault="0071037E" w:rsidP="0071037E">
            <w:pPr>
              <w:spacing w:line="240" w:lineRule="auto"/>
              <w:jc w:val="right"/>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0CFC6D77"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097F9F99"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Trade payable</w:t>
            </w:r>
          </w:p>
        </w:tc>
        <w:tc>
          <w:tcPr>
            <w:tcW w:w="1875" w:type="dxa"/>
            <w:tcBorders>
              <w:top w:val="nil"/>
              <w:left w:val="nil"/>
              <w:bottom w:val="single" w:sz="4" w:space="0" w:color="auto"/>
              <w:right w:val="single" w:sz="4" w:space="0" w:color="auto"/>
            </w:tcBorders>
            <w:shd w:val="clear" w:color="auto" w:fill="auto"/>
            <w:noWrap/>
            <w:hideMark/>
          </w:tcPr>
          <w:p w14:paraId="001A535B"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171,355</w:t>
            </w:r>
          </w:p>
        </w:tc>
      </w:tr>
      <w:tr w:rsidR="0071037E" w:rsidRPr="0071037E" w14:paraId="3BD00EFA"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4B002E2F"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Ordinary dividend paid</w:t>
            </w:r>
          </w:p>
        </w:tc>
        <w:tc>
          <w:tcPr>
            <w:tcW w:w="1875" w:type="dxa"/>
            <w:tcBorders>
              <w:top w:val="nil"/>
              <w:left w:val="nil"/>
              <w:bottom w:val="single" w:sz="4" w:space="0" w:color="auto"/>
              <w:right w:val="single" w:sz="4" w:space="0" w:color="auto"/>
            </w:tcBorders>
            <w:shd w:val="clear" w:color="auto" w:fill="auto"/>
            <w:noWrap/>
            <w:hideMark/>
          </w:tcPr>
          <w:p w14:paraId="60F89745"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20000</w:t>
            </w:r>
          </w:p>
        </w:tc>
      </w:tr>
      <w:tr w:rsidR="0071037E" w:rsidRPr="0071037E" w14:paraId="41FB8F72"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37DB6FA7"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Preference dividends paid</w:t>
            </w:r>
          </w:p>
        </w:tc>
        <w:tc>
          <w:tcPr>
            <w:tcW w:w="1875" w:type="dxa"/>
            <w:tcBorders>
              <w:top w:val="nil"/>
              <w:left w:val="nil"/>
              <w:bottom w:val="single" w:sz="4" w:space="0" w:color="auto"/>
              <w:right w:val="single" w:sz="4" w:space="0" w:color="auto"/>
            </w:tcBorders>
            <w:shd w:val="clear" w:color="auto" w:fill="auto"/>
            <w:noWrap/>
            <w:hideMark/>
          </w:tcPr>
          <w:p w14:paraId="7857238B"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30000</w:t>
            </w:r>
          </w:p>
        </w:tc>
      </w:tr>
      <w:tr w:rsidR="0071037E" w:rsidRPr="0071037E" w14:paraId="40F1E220"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6ABADD4E"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Commission owed</w:t>
            </w:r>
          </w:p>
        </w:tc>
        <w:tc>
          <w:tcPr>
            <w:tcW w:w="1875" w:type="dxa"/>
            <w:tcBorders>
              <w:top w:val="nil"/>
              <w:left w:val="nil"/>
              <w:bottom w:val="single" w:sz="4" w:space="0" w:color="auto"/>
              <w:right w:val="single" w:sz="4" w:space="0" w:color="auto"/>
            </w:tcBorders>
            <w:shd w:val="clear" w:color="auto" w:fill="auto"/>
            <w:noWrap/>
            <w:hideMark/>
          </w:tcPr>
          <w:p w14:paraId="1DC8F1D3"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3000</w:t>
            </w:r>
          </w:p>
        </w:tc>
      </w:tr>
      <w:tr w:rsidR="0071037E" w:rsidRPr="0071037E" w14:paraId="0957E75C"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1A7CC17D"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Non-current liabilities</w:t>
            </w:r>
          </w:p>
        </w:tc>
        <w:tc>
          <w:tcPr>
            <w:tcW w:w="1875" w:type="dxa"/>
            <w:tcBorders>
              <w:top w:val="nil"/>
              <w:left w:val="nil"/>
              <w:bottom w:val="single" w:sz="4" w:space="0" w:color="auto"/>
              <w:right w:val="single" w:sz="4" w:space="0" w:color="auto"/>
            </w:tcBorders>
            <w:shd w:val="clear" w:color="auto" w:fill="auto"/>
            <w:noWrap/>
            <w:hideMark/>
          </w:tcPr>
          <w:p w14:paraId="3F17A669" w14:textId="77777777" w:rsidR="0071037E" w:rsidRPr="0071037E" w:rsidRDefault="0071037E" w:rsidP="0071037E">
            <w:pPr>
              <w:spacing w:line="240" w:lineRule="auto"/>
              <w:jc w:val="right"/>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7C1FA8A5"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0C536667"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4% Debentures</w:t>
            </w:r>
          </w:p>
        </w:tc>
        <w:tc>
          <w:tcPr>
            <w:tcW w:w="1875" w:type="dxa"/>
            <w:tcBorders>
              <w:top w:val="nil"/>
              <w:left w:val="nil"/>
              <w:bottom w:val="single" w:sz="4" w:space="0" w:color="auto"/>
              <w:right w:val="single" w:sz="4" w:space="0" w:color="auto"/>
            </w:tcBorders>
            <w:shd w:val="clear" w:color="auto" w:fill="auto"/>
            <w:noWrap/>
            <w:hideMark/>
          </w:tcPr>
          <w:p w14:paraId="768C36CF"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32,980</w:t>
            </w:r>
          </w:p>
        </w:tc>
      </w:tr>
      <w:tr w:rsidR="0071037E" w:rsidRPr="0071037E" w14:paraId="51801C91" w14:textId="77777777" w:rsidTr="0071037E">
        <w:trPr>
          <w:trHeight w:val="300"/>
        </w:trPr>
        <w:tc>
          <w:tcPr>
            <w:tcW w:w="4865" w:type="dxa"/>
            <w:tcBorders>
              <w:top w:val="nil"/>
              <w:left w:val="single" w:sz="4" w:space="0" w:color="auto"/>
              <w:bottom w:val="single" w:sz="4" w:space="0" w:color="auto"/>
              <w:right w:val="single" w:sz="4" w:space="0" w:color="auto"/>
            </w:tcBorders>
            <w:shd w:val="clear" w:color="000000" w:fill="B4C6E7"/>
            <w:noWrap/>
            <w:hideMark/>
          </w:tcPr>
          <w:p w14:paraId="6595AF1C" w14:textId="77777777" w:rsidR="0071037E" w:rsidRPr="0071037E" w:rsidRDefault="0071037E" w:rsidP="0071037E">
            <w:pPr>
              <w:spacing w:line="240" w:lineRule="auto"/>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Total liabilities</w:t>
            </w:r>
          </w:p>
        </w:tc>
        <w:tc>
          <w:tcPr>
            <w:tcW w:w="1875" w:type="dxa"/>
            <w:tcBorders>
              <w:top w:val="nil"/>
              <w:left w:val="nil"/>
              <w:bottom w:val="single" w:sz="4" w:space="0" w:color="auto"/>
              <w:right w:val="single" w:sz="4" w:space="0" w:color="auto"/>
            </w:tcBorders>
            <w:shd w:val="clear" w:color="000000" w:fill="B4C6E7"/>
            <w:noWrap/>
            <w:hideMark/>
          </w:tcPr>
          <w:p w14:paraId="3A6BB80A" w14:textId="77777777" w:rsidR="0071037E" w:rsidRPr="0071037E" w:rsidRDefault="0071037E" w:rsidP="0071037E">
            <w:pPr>
              <w:spacing w:line="240" w:lineRule="auto"/>
              <w:jc w:val="right"/>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257,335</w:t>
            </w:r>
          </w:p>
        </w:tc>
      </w:tr>
      <w:tr w:rsidR="0071037E" w:rsidRPr="0071037E" w14:paraId="6EE45264" w14:textId="77777777" w:rsidTr="0071037E">
        <w:trPr>
          <w:trHeight w:val="312"/>
        </w:trPr>
        <w:tc>
          <w:tcPr>
            <w:tcW w:w="4865" w:type="dxa"/>
            <w:tcBorders>
              <w:top w:val="nil"/>
              <w:left w:val="single" w:sz="4" w:space="0" w:color="auto"/>
              <w:bottom w:val="single" w:sz="4" w:space="0" w:color="auto"/>
              <w:right w:val="single" w:sz="4" w:space="0" w:color="auto"/>
            </w:tcBorders>
            <w:shd w:val="clear" w:color="auto" w:fill="auto"/>
            <w:noWrap/>
            <w:hideMark/>
          </w:tcPr>
          <w:p w14:paraId="3AD4C4B6" w14:textId="77777777" w:rsidR="0071037E" w:rsidRPr="0071037E" w:rsidRDefault="0071037E" w:rsidP="0071037E">
            <w:pPr>
              <w:spacing w:line="240" w:lineRule="auto"/>
              <w:rPr>
                <w:rFonts w:ascii="Times New Roman" w:eastAsia="Times New Roman" w:hAnsi="Times New Roman" w:cs="Times New Roman"/>
                <w:b/>
                <w:bCs/>
                <w:i/>
                <w:iCs/>
                <w:sz w:val="23"/>
                <w:szCs w:val="23"/>
                <w:u w:val="single"/>
                <w:lang w:val="en-GB" w:eastAsia="en-GB"/>
              </w:rPr>
            </w:pPr>
            <w:r w:rsidRPr="0071037E">
              <w:rPr>
                <w:rFonts w:ascii="Times New Roman" w:eastAsia="Times New Roman" w:hAnsi="Times New Roman" w:cs="Times New Roman"/>
                <w:b/>
                <w:bCs/>
                <w:i/>
                <w:iCs/>
                <w:sz w:val="23"/>
                <w:szCs w:val="23"/>
                <w:u w:val="single"/>
                <w:lang w:val="en-GB" w:eastAsia="en-GB"/>
              </w:rPr>
              <w:t>Equity</w:t>
            </w:r>
          </w:p>
        </w:tc>
        <w:tc>
          <w:tcPr>
            <w:tcW w:w="1875" w:type="dxa"/>
            <w:tcBorders>
              <w:top w:val="nil"/>
              <w:left w:val="nil"/>
              <w:bottom w:val="single" w:sz="4" w:space="0" w:color="auto"/>
              <w:right w:val="single" w:sz="4" w:space="0" w:color="auto"/>
            </w:tcBorders>
            <w:shd w:val="clear" w:color="auto" w:fill="auto"/>
            <w:noWrap/>
            <w:hideMark/>
          </w:tcPr>
          <w:p w14:paraId="0F8B5263" w14:textId="77777777" w:rsidR="0071037E" w:rsidRPr="0071037E" w:rsidRDefault="0071037E" w:rsidP="0071037E">
            <w:pPr>
              <w:spacing w:line="240" w:lineRule="auto"/>
              <w:jc w:val="right"/>
              <w:rPr>
                <w:rFonts w:ascii="Calibri" w:eastAsia="Times New Roman" w:hAnsi="Calibri" w:cs="Calibri"/>
                <w:color w:val="000000"/>
                <w:lang w:val="en-GB" w:eastAsia="en-GB"/>
              </w:rPr>
            </w:pPr>
            <w:r w:rsidRPr="0071037E">
              <w:rPr>
                <w:rFonts w:ascii="Calibri" w:eastAsia="Times New Roman" w:hAnsi="Calibri" w:cs="Calibri"/>
                <w:color w:val="000000"/>
                <w:lang w:val="en-GB" w:eastAsia="en-GB"/>
              </w:rPr>
              <w:t> </w:t>
            </w:r>
          </w:p>
        </w:tc>
      </w:tr>
      <w:tr w:rsidR="0071037E" w:rsidRPr="0071037E" w14:paraId="45C9C1F8"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4839A988"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Ordinary shares</w:t>
            </w:r>
          </w:p>
        </w:tc>
        <w:tc>
          <w:tcPr>
            <w:tcW w:w="1875" w:type="dxa"/>
            <w:tcBorders>
              <w:top w:val="nil"/>
              <w:left w:val="nil"/>
              <w:bottom w:val="single" w:sz="4" w:space="0" w:color="auto"/>
              <w:right w:val="single" w:sz="4" w:space="0" w:color="auto"/>
            </w:tcBorders>
            <w:shd w:val="clear" w:color="auto" w:fill="auto"/>
            <w:noWrap/>
            <w:hideMark/>
          </w:tcPr>
          <w:p w14:paraId="6729B320"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400,000</w:t>
            </w:r>
          </w:p>
        </w:tc>
      </w:tr>
      <w:tr w:rsidR="0071037E" w:rsidRPr="0071037E" w14:paraId="2E7D7C1F"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68231DC9"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Preference shares</w:t>
            </w:r>
          </w:p>
        </w:tc>
        <w:tc>
          <w:tcPr>
            <w:tcW w:w="1875" w:type="dxa"/>
            <w:tcBorders>
              <w:top w:val="nil"/>
              <w:left w:val="nil"/>
              <w:bottom w:val="single" w:sz="4" w:space="0" w:color="auto"/>
              <w:right w:val="single" w:sz="4" w:space="0" w:color="auto"/>
            </w:tcBorders>
            <w:shd w:val="clear" w:color="auto" w:fill="auto"/>
            <w:noWrap/>
            <w:hideMark/>
          </w:tcPr>
          <w:p w14:paraId="263A87EE"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300000</w:t>
            </w:r>
          </w:p>
        </w:tc>
      </w:tr>
      <w:tr w:rsidR="0071037E" w:rsidRPr="0071037E" w14:paraId="42BBFC32" w14:textId="77777777" w:rsidTr="0071037E">
        <w:trPr>
          <w:trHeight w:val="300"/>
        </w:trPr>
        <w:tc>
          <w:tcPr>
            <w:tcW w:w="4865" w:type="dxa"/>
            <w:tcBorders>
              <w:top w:val="nil"/>
              <w:left w:val="single" w:sz="4" w:space="0" w:color="auto"/>
              <w:bottom w:val="single" w:sz="4" w:space="0" w:color="auto"/>
              <w:right w:val="single" w:sz="4" w:space="0" w:color="auto"/>
            </w:tcBorders>
            <w:shd w:val="clear" w:color="auto" w:fill="auto"/>
            <w:noWrap/>
            <w:hideMark/>
          </w:tcPr>
          <w:p w14:paraId="1F0F6FC1" w14:textId="77777777" w:rsidR="0071037E" w:rsidRPr="0071037E" w:rsidRDefault="0071037E" w:rsidP="0071037E">
            <w:pPr>
              <w:spacing w:line="240" w:lineRule="auto"/>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Retained earnings</w:t>
            </w:r>
          </w:p>
        </w:tc>
        <w:tc>
          <w:tcPr>
            <w:tcW w:w="1875" w:type="dxa"/>
            <w:tcBorders>
              <w:top w:val="nil"/>
              <w:left w:val="nil"/>
              <w:bottom w:val="single" w:sz="4" w:space="0" w:color="auto"/>
              <w:right w:val="single" w:sz="4" w:space="0" w:color="auto"/>
            </w:tcBorders>
            <w:shd w:val="clear" w:color="auto" w:fill="auto"/>
            <w:noWrap/>
            <w:hideMark/>
          </w:tcPr>
          <w:p w14:paraId="2E3F0553" w14:textId="77777777" w:rsidR="0071037E" w:rsidRPr="0071037E" w:rsidRDefault="0071037E" w:rsidP="0071037E">
            <w:pPr>
              <w:spacing w:line="240" w:lineRule="auto"/>
              <w:jc w:val="right"/>
              <w:rPr>
                <w:rFonts w:ascii="Times New Roman" w:eastAsia="Times New Roman" w:hAnsi="Times New Roman" w:cs="Times New Roman"/>
                <w:sz w:val="23"/>
                <w:szCs w:val="23"/>
                <w:lang w:val="en-GB" w:eastAsia="en-GB"/>
              </w:rPr>
            </w:pPr>
            <w:r w:rsidRPr="0071037E">
              <w:rPr>
                <w:rFonts w:ascii="Times New Roman" w:eastAsia="Times New Roman" w:hAnsi="Times New Roman" w:cs="Times New Roman"/>
                <w:sz w:val="23"/>
                <w:szCs w:val="23"/>
                <w:lang w:val="en-GB" w:eastAsia="en-GB"/>
              </w:rPr>
              <w:t>253350</w:t>
            </w:r>
          </w:p>
        </w:tc>
      </w:tr>
      <w:tr w:rsidR="0071037E" w:rsidRPr="0071037E" w14:paraId="74C56F39" w14:textId="77777777" w:rsidTr="0071037E">
        <w:trPr>
          <w:trHeight w:val="300"/>
        </w:trPr>
        <w:tc>
          <w:tcPr>
            <w:tcW w:w="4865" w:type="dxa"/>
            <w:tcBorders>
              <w:top w:val="nil"/>
              <w:left w:val="single" w:sz="4" w:space="0" w:color="auto"/>
              <w:bottom w:val="single" w:sz="4" w:space="0" w:color="auto"/>
              <w:right w:val="single" w:sz="4" w:space="0" w:color="auto"/>
            </w:tcBorders>
            <w:shd w:val="clear" w:color="000000" w:fill="B4C6E7"/>
            <w:noWrap/>
            <w:hideMark/>
          </w:tcPr>
          <w:p w14:paraId="40C6E919" w14:textId="77777777" w:rsidR="0071037E" w:rsidRPr="0071037E" w:rsidRDefault="0071037E" w:rsidP="0071037E">
            <w:pPr>
              <w:spacing w:line="240" w:lineRule="auto"/>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Total equity</w:t>
            </w:r>
          </w:p>
        </w:tc>
        <w:tc>
          <w:tcPr>
            <w:tcW w:w="1875" w:type="dxa"/>
            <w:tcBorders>
              <w:top w:val="nil"/>
              <w:left w:val="nil"/>
              <w:bottom w:val="single" w:sz="4" w:space="0" w:color="auto"/>
              <w:right w:val="single" w:sz="4" w:space="0" w:color="auto"/>
            </w:tcBorders>
            <w:shd w:val="clear" w:color="000000" w:fill="B4C6E7"/>
            <w:noWrap/>
            <w:hideMark/>
          </w:tcPr>
          <w:p w14:paraId="29E9433E" w14:textId="77777777" w:rsidR="0071037E" w:rsidRPr="0071037E" w:rsidRDefault="0071037E" w:rsidP="0071037E">
            <w:pPr>
              <w:spacing w:line="240" w:lineRule="auto"/>
              <w:jc w:val="right"/>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953,350</w:t>
            </w:r>
          </w:p>
        </w:tc>
      </w:tr>
      <w:tr w:rsidR="0071037E" w:rsidRPr="0071037E" w14:paraId="59C58B91" w14:textId="77777777" w:rsidTr="0071037E">
        <w:trPr>
          <w:trHeight w:val="300"/>
        </w:trPr>
        <w:tc>
          <w:tcPr>
            <w:tcW w:w="4865" w:type="dxa"/>
            <w:tcBorders>
              <w:top w:val="nil"/>
              <w:left w:val="single" w:sz="4" w:space="0" w:color="auto"/>
              <w:bottom w:val="single" w:sz="4" w:space="0" w:color="auto"/>
              <w:right w:val="single" w:sz="4" w:space="0" w:color="auto"/>
            </w:tcBorders>
            <w:shd w:val="clear" w:color="000000" w:fill="B4C6E7"/>
            <w:noWrap/>
            <w:hideMark/>
          </w:tcPr>
          <w:p w14:paraId="5548C568" w14:textId="77777777" w:rsidR="0071037E" w:rsidRPr="0071037E" w:rsidRDefault="0071037E" w:rsidP="0071037E">
            <w:pPr>
              <w:spacing w:line="240" w:lineRule="auto"/>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Total equity and liability</w:t>
            </w:r>
          </w:p>
        </w:tc>
        <w:tc>
          <w:tcPr>
            <w:tcW w:w="1875" w:type="dxa"/>
            <w:tcBorders>
              <w:top w:val="nil"/>
              <w:left w:val="nil"/>
              <w:bottom w:val="single" w:sz="4" w:space="0" w:color="auto"/>
              <w:right w:val="single" w:sz="4" w:space="0" w:color="auto"/>
            </w:tcBorders>
            <w:shd w:val="clear" w:color="000000" w:fill="B4C6E7"/>
            <w:noWrap/>
            <w:hideMark/>
          </w:tcPr>
          <w:p w14:paraId="63CA0F9B" w14:textId="77777777" w:rsidR="0071037E" w:rsidRPr="0071037E" w:rsidRDefault="0071037E" w:rsidP="0071037E">
            <w:pPr>
              <w:spacing w:line="240" w:lineRule="auto"/>
              <w:jc w:val="right"/>
              <w:rPr>
                <w:rFonts w:ascii="Times New Roman" w:eastAsia="Times New Roman" w:hAnsi="Times New Roman" w:cs="Times New Roman"/>
                <w:b/>
                <w:bCs/>
                <w:sz w:val="23"/>
                <w:szCs w:val="23"/>
                <w:lang w:val="en-GB" w:eastAsia="en-GB"/>
              </w:rPr>
            </w:pPr>
            <w:r w:rsidRPr="0071037E">
              <w:rPr>
                <w:rFonts w:ascii="Times New Roman" w:eastAsia="Times New Roman" w:hAnsi="Times New Roman" w:cs="Times New Roman"/>
                <w:b/>
                <w:bCs/>
                <w:sz w:val="23"/>
                <w:szCs w:val="23"/>
                <w:lang w:val="en-GB" w:eastAsia="en-GB"/>
              </w:rPr>
              <w:t>1,210,685</w:t>
            </w:r>
          </w:p>
        </w:tc>
      </w:tr>
      <w:tr w:rsidR="0071037E" w:rsidRPr="0071037E" w14:paraId="57870B4E" w14:textId="77777777" w:rsidTr="0071037E">
        <w:trPr>
          <w:trHeight w:val="288"/>
        </w:trPr>
        <w:tc>
          <w:tcPr>
            <w:tcW w:w="4865" w:type="dxa"/>
            <w:tcBorders>
              <w:top w:val="nil"/>
              <w:left w:val="nil"/>
              <w:bottom w:val="nil"/>
              <w:right w:val="nil"/>
            </w:tcBorders>
            <w:shd w:val="clear" w:color="auto" w:fill="auto"/>
            <w:noWrap/>
            <w:vAlign w:val="bottom"/>
            <w:hideMark/>
          </w:tcPr>
          <w:p w14:paraId="0A8826DA" w14:textId="77777777" w:rsidR="0071037E" w:rsidRPr="0071037E" w:rsidRDefault="0071037E" w:rsidP="0071037E">
            <w:pPr>
              <w:spacing w:line="240" w:lineRule="auto"/>
              <w:jc w:val="right"/>
              <w:rPr>
                <w:rFonts w:ascii="Times New Roman" w:eastAsia="Times New Roman" w:hAnsi="Times New Roman" w:cs="Times New Roman"/>
                <w:b/>
                <w:bCs/>
                <w:sz w:val="23"/>
                <w:szCs w:val="23"/>
                <w:lang w:val="en-GB" w:eastAsia="en-GB"/>
              </w:rPr>
            </w:pPr>
          </w:p>
        </w:tc>
        <w:tc>
          <w:tcPr>
            <w:tcW w:w="1875" w:type="dxa"/>
            <w:tcBorders>
              <w:top w:val="nil"/>
              <w:left w:val="nil"/>
              <w:bottom w:val="nil"/>
              <w:right w:val="nil"/>
            </w:tcBorders>
            <w:shd w:val="clear" w:color="auto" w:fill="auto"/>
            <w:noWrap/>
            <w:vAlign w:val="bottom"/>
            <w:hideMark/>
          </w:tcPr>
          <w:p w14:paraId="24471F43" w14:textId="77777777" w:rsidR="0071037E" w:rsidRPr="0071037E" w:rsidRDefault="0071037E" w:rsidP="0071037E">
            <w:pPr>
              <w:spacing w:line="240" w:lineRule="auto"/>
              <w:rPr>
                <w:rFonts w:ascii="Times New Roman" w:eastAsia="Times New Roman" w:hAnsi="Times New Roman" w:cs="Times New Roman"/>
                <w:sz w:val="20"/>
                <w:szCs w:val="20"/>
                <w:lang w:val="en-GB" w:eastAsia="en-GB"/>
              </w:rPr>
            </w:pPr>
          </w:p>
        </w:tc>
      </w:tr>
    </w:tbl>
    <w:p w14:paraId="06EC12DA" w14:textId="77777777" w:rsidR="00CC09E8" w:rsidRDefault="00CC09E8" w:rsidP="00715E0E">
      <w:pPr>
        <w:spacing w:line="360" w:lineRule="auto"/>
        <w:jc w:val="both"/>
        <w:rPr>
          <w:rFonts w:ascii="Times New Roman" w:eastAsia="Times New Roman" w:hAnsi="Times New Roman" w:cs="Times New Roman"/>
          <w:color w:val="1155CC"/>
          <w:sz w:val="24"/>
          <w:szCs w:val="24"/>
          <w:u w:val="single"/>
        </w:rPr>
      </w:pPr>
    </w:p>
    <w:tbl>
      <w:tblPr>
        <w:tblW w:w="5260" w:type="dxa"/>
        <w:tblLook w:val="04A0" w:firstRow="1" w:lastRow="0" w:firstColumn="1" w:lastColumn="0" w:noHBand="0" w:noVBand="1"/>
      </w:tblPr>
      <w:tblGrid>
        <w:gridCol w:w="3814"/>
        <w:gridCol w:w="1446"/>
      </w:tblGrid>
      <w:tr w:rsidR="00051BA7" w:rsidRPr="00051BA7" w14:paraId="3A858E02" w14:textId="77777777" w:rsidTr="00051BA7">
        <w:trPr>
          <w:trHeight w:val="312"/>
        </w:trPr>
        <w:tc>
          <w:tcPr>
            <w:tcW w:w="5260"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6F7C677" w14:textId="77777777" w:rsidR="00051BA7" w:rsidRPr="00051BA7" w:rsidRDefault="00051BA7" w:rsidP="00051BA7">
            <w:pPr>
              <w:spacing w:line="240" w:lineRule="auto"/>
              <w:jc w:val="center"/>
              <w:rPr>
                <w:rFonts w:ascii="Times New Roman" w:eastAsia="Times New Roman" w:hAnsi="Times New Roman" w:cs="Times New Roman"/>
                <w:b/>
                <w:bCs/>
                <w:color w:val="000000"/>
                <w:sz w:val="24"/>
                <w:szCs w:val="24"/>
                <w:lang w:val="en-GB" w:eastAsia="en-GB"/>
              </w:rPr>
            </w:pPr>
            <w:proofErr w:type="spellStart"/>
            <w:r w:rsidRPr="00051BA7">
              <w:rPr>
                <w:rFonts w:ascii="Times New Roman" w:eastAsia="Times New Roman" w:hAnsi="Times New Roman" w:cs="Times New Roman"/>
                <w:b/>
                <w:bCs/>
                <w:color w:val="000000"/>
                <w:sz w:val="24"/>
                <w:szCs w:val="24"/>
                <w:lang w:val="en-GB" w:eastAsia="en-GB"/>
              </w:rPr>
              <w:t>Comuptation</w:t>
            </w:r>
            <w:proofErr w:type="spellEnd"/>
            <w:r w:rsidRPr="00051BA7">
              <w:rPr>
                <w:rFonts w:ascii="Times New Roman" w:eastAsia="Times New Roman" w:hAnsi="Times New Roman" w:cs="Times New Roman"/>
                <w:b/>
                <w:bCs/>
                <w:color w:val="000000"/>
                <w:sz w:val="24"/>
                <w:szCs w:val="24"/>
                <w:lang w:val="en-GB" w:eastAsia="en-GB"/>
              </w:rPr>
              <w:t xml:space="preserve"> of Income Statement of Wales Plc </w:t>
            </w:r>
          </w:p>
        </w:tc>
      </w:tr>
      <w:tr w:rsidR="00051BA7" w:rsidRPr="00051BA7" w14:paraId="146A6433" w14:textId="77777777" w:rsidTr="00051BA7">
        <w:trPr>
          <w:trHeight w:val="312"/>
        </w:trPr>
        <w:tc>
          <w:tcPr>
            <w:tcW w:w="3814" w:type="dxa"/>
            <w:tcBorders>
              <w:top w:val="nil"/>
              <w:left w:val="single" w:sz="4" w:space="0" w:color="auto"/>
              <w:bottom w:val="single" w:sz="4" w:space="0" w:color="auto"/>
              <w:right w:val="single" w:sz="4" w:space="0" w:color="auto"/>
            </w:tcBorders>
            <w:shd w:val="clear" w:color="000000" w:fill="B4C6E7"/>
            <w:noWrap/>
            <w:vAlign w:val="bottom"/>
            <w:hideMark/>
          </w:tcPr>
          <w:p w14:paraId="30A5C735" w14:textId="77777777" w:rsidR="00051BA7" w:rsidRPr="00051BA7" w:rsidRDefault="00051BA7" w:rsidP="00051BA7">
            <w:pPr>
              <w:spacing w:line="240" w:lineRule="auto"/>
              <w:jc w:val="center"/>
              <w:rPr>
                <w:rFonts w:ascii="Times New Roman" w:eastAsia="Times New Roman" w:hAnsi="Times New Roman" w:cs="Times New Roman"/>
                <w:b/>
                <w:bCs/>
                <w:color w:val="000000"/>
                <w:sz w:val="24"/>
                <w:szCs w:val="24"/>
                <w:lang w:val="en-GB" w:eastAsia="en-GB"/>
              </w:rPr>
            </w:pPr>
            <w:r w:rsidRPr="00051BA7">
              <w:rPr>
                <w:rFonts w:ascii="Times New Roman" w:eastAsia="Times New Roman" w:hAnsi="Times New Roman" w:cs="Times New Roman"/>
                <w:b/>
                <w:bCs/>
                <w:color w:val="000000"/>
                <w:sz w:val="24"/>
                <w:szCs w:val="24"/>
                <w:lang w:val="en-GB" w:eastAsia="en-GB"/>
              </w:rPr>
              <w:t xml:space="preserve">Particulars </w:t>
            </w:r>
          </w:p>
        </w:tc>
        <w:tc>
          <w:tcPr>
            <w:tcW w:w="1446" w:type="dxa"/>
            <w:tcBorders>
              <w:top w:val="nil"/>
              <w:left w:val="nil"/>
              <w:bottom w:val="single" w:sz="4" w:space="0" w:color="auto"/>
              <w:right w:val="single" w:sz="4" w:space="0" w:color="auto"/>
            </w:tcBorders>
            <w:shd w:val="clear" w:color="000000" w:fill="B4C6E7"/>
            <w:noWrap/>
            <w:vAlign w:val="bottom"/>
            <w:hideMark/>
          </w:tcPr>
          <w:p w14:paraId="62D805FB" w14:textId="77777777" w:rsidR="00051BA7" w:rsidRPr="00051BA7" w:rsidRDefault="00051BA7" w:rsidP="00051BA7">
            <w:pPr>
              <w:spacing w:line="240" w:lineRule="auto"/>
              <w:jc w:val="center"/>
              <w:rPr>
                <w:rFonts w:ascii="Times New Roman" w:eastAsia="Times New Roman" w:hAnsi="Times New Roman" w:cs="Times New Roman"/>
                <w:b/>
                <w:bCs/>
                <w:color w:val="000000"/>
                <w:sz w:val="24"/>
                <w:szCs w:val="24"/>
                <w:lang w:val="en-GB" w:eastAsia="en-GB"/>
              </w:rPr>
            </w:pPr>
            <w:r w:rsidRPr="00051BA7">
              <w:rPr>
                <w:rFonts w:ascii="Times New Roman" w:eastAsia="Times New Roman" w:hAnsi="Times New Roman" w:cs="Times New Roman"/>
                <w:b/>
                <w:bCs/>
                <w:color w:val="000000"/>
                <w:sz w:val="24"/>
                <w:szCs w:val="24"/>
                <w:lang w:val="en-GB" w:eastAsia="en-GB"/>
              </w:rPr>
              <w:t>Amount</w:t>
            </w:r>
          </w:p>
        </w:tc>
      </w:tr>
      <w:tr w:rsidR="00051BA7" w:rsidRPr="00051BA7" w14:paraId="418D1FF5" w14:textId="77777777" w:rsidTr="00051BA7">
        <w:trPr>
          <w:trHeight w:val="312"/>
        </w:trPr>
        <w:tc>
          <w:tcPr>
            <w:tcW w:w="3814" w:type="dxa"/>
            <w:tcBorders>
              <w:top w:val="nil"/>
              <w:left w:val="single" w:sz="4" w:space="0" w:color="auto"/>
              <w:bottom w:val="single" w:sz="4" w:space="0" w:color="auto"/>
              <w:right w:val="single" w:sz="4" w:space="0" w:color="auto"/>
            </w:tcBorders>
            <w:shd w:val="clear" w:color="auto" w:fill="auto"/>
            <w:noWrap/>
            <w:hideMark/>
          </w:tcPr>
          <w:p w14:paraId="5092AF39"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proofErr w:type="spellStart"/>
            <w:r w:rsidRPr="00051BA7">
              <w:rPr>
                <w:rFonts w:ascii="Times New Roman" w:eastAsia="Times New Roman" w:hAnsi="Times New Roman" w:cs="Times New Roman"/>
                <w:sz w:val="23"/>
                <w:szCs w:val="23"/>
                <w:lang w:val="en-GB" w:eastAsia="en-GB"/>
              </w:rPr>
              <w:t>XRevenue</w:t>
            </w:r>
            <w:proofErr w:type="spellEnd"/>
          </w:p>
        </w:tc>
        <w:tc>
          <w:tcPr>
            <w:tcW w:w="1446" w:type="dxa"/>
            <w:tcBorders>
              <w:top w:val="nil"/>
              <w:left w:val="nil"/>
              <w:bottom w:val="single" w:sz="4" w:space="0" w:color="auto"/>
              <w:right w:val="single" w:sz="4" w:space="0" w:color="auto"/>
            </w:tcBorders>
            <w:shd w:val="clear" w:color="auto" w:fill="auto"/>
            <w:noWrap/>
            <w:hideMark/>
          </w:tcPr>
          <w:p w14:paraId="26590E7A"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800,000</w:t>
            </w:r>
          </w:p>
        </w:tc>
      </w:tr>
      <w:tr w:rsidR="00051BA7" w:rsidRPr="00051BA7" w14:paraId="7E512AE7"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5E0FD856"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Cost of sales</w:t>
            </w:r>
          </w:p>
        </w:tc>
        <w:tc>
          <w:tcPr>
            <w:tcW w:w="1446" w:type="dxa"/>
            <w:tcBorders>
              <w:top w:val="nil"/>
              <w:left w:val="nil"/>
              <w:bottom w:val="single" w:sz="4" w:space="0" w:color="auto"/>
              <w:right w:val="single" w:sz="4" w:space="0" w:color="auto"/>
            </w:tcBorders>
            <w:shd w:val="clear" w:color="auto" w:fill="auto"/>
            <w:noWrap/>
            <w:hideMark/>
          </w:tcPr>
          <w:p w14:paraId="20EB4F62"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578,650</w:t>
            </w:r>
          </w:p>
        </w:tc>
      </w:tr>
      <w:tr w:rsidR="00051BA7" w:rsidRPr="00051BA7" w14:paraId="5E5D625C"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0AE7EAFD"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Gross profit</w:t>
            </w:r>
          </w:p>
        </w:tc>
        <w:tc>
          <w:tcPr>
            <w:tcW w:w="1446" w:type="dxa"/>
            <w:tcBorders>
              <w:top w:val="nil"/>
              <w:left w:val="nil"/>
              <w:bottom w:val="single" w:sz="4" w:space="0" w:color="auto"/>
              <w:right w:val="single" w:sz="4" w:space="0" w:color="auto"/>
            </w:tcBorders>
            <w:shd w:val="clear" w:color="auto" w:fill="auto"/>
            <w:noWrap/>
            <w:hideMark/>
          </w:tcPr>
          <w:p w14:paraId="7E2EA42E"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221350</w:t>
            </w:r>
          </w:p>
        </w:tc>
      </w:tr>
      <w:tr w:rsidR="00051BA7" w:rsidRPr="00051BA7" w14:paraId="5127EEEB"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3F9341C2"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Administrative expenses</w:t>
            </w:r>
          </w:p>
        </w:tc>
        <w:tc>
          <w:tcPr>
            <w:tcW w:w="1446" w:type="dxa"/>
            <w:tcBorders>
              <w:top w:val="nil"/>
              <w:left w:val="nil"/>
              <w:bottom w:val="single" w:sz="4" w:space="0" w:color="auto"/>
              <w:right w:val="single" w:sz="4" w:space="0" w:color="auto"/>
            </w:tcBorders>
            <w:shd w:val="clear" w:color="auto" w:fill="auto"/>
            <w:noWrap/>
            <w:hideMark/>
          </w:tcPr>
          <w:p w14:paraId="0F4E7D41"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30,000</w:t>
            </w:r>
          </w:p>
        </w:tc>
      </w:tr>
      <w:tr w:rsidR="00051BA7" w:rsidRPr="00051BA7" w14:paraId="782A8E6A"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04059214"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Interest paid</w:t>
            </w:r>
          </w:p>
        </w:tc>
        <w:tc>
          <w:tcPr>
            <w:tcW w:w="1446" w:type="dxa"/>
            <w:tcBorders>
              <w:top w:val="nil"/>
              <w:left w:val="nil"/>
              <w:bottom w:val="single" w:sz="4" w:space="0" w:color="auto"/>
              <w:right w:val="single" w:sz="4" w:space="0" w:color="auto"/>
            </w:tcBorders>
            <w:shd w:val="clear" w:color="auto" w:fill="auto"/>
            <w:noWrap/>
            <w:hideMark/>
          </w:tcPr>
          <w:p w14:paraId="64C1C189"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2,000</w:t>
            </w:r>
          </w:p>
        </w:tc>
      </w:tr>
      <w:tr w:rsidR="00051BA7" w:rsidRPr="00051BA7" w14:paraId="44688F4D"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13A67D0F"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Directors' remuneration</w:t>
            </w:r>
          </w:p>
        </w:tc>
        <w:tc>
          <w:tcPr>
            <w:tcW w:w="1446" w:type="dxa"/>
            <w:tcBorders>
              <w:top w:val="nil"/>
              <w:left w:val="nil"/>
              <w:bottom w:val="single" w:sz="4" w:space="0" w:color="auto"/>
              <w:right w:val="single" w:sz="4" w:space="0" w:color="auto"/>
            </w:tcBorders>
            <w:shd w:val="clear" w:color="auto" w:fill="auto"/>
            <w:noWrap/>
            <w:hideMark/>
          </w:tcPr>
          <w:p w14:paraId="7518685C"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5,000</w:t>
            </w:r>
          </w:p>
        </w:tc>
      </w:tr>
      <w:tr w:rsidR="00051BA7" w:rsidRPr="00051BA7" w14:paraId="7E9F5D96"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7A4E5CCD"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Distribution costs</w:t>
            </w:r>
          </w:p>
        </w:tc>
        <w:tc>
          <w:tcPr>
            <w:tcW w:w="1446" w:type="dxa"/>
            <w:tcBorders>
              <w:top w:val="nil"/>
              <w:left w:val="nil"/>
              <w:bottom w:val="single" w:sz="4" w:space="0" w:color="auto"/>
              <w:right w:val="single" w:sz="4" w:space="0" w:color="auto"/>
            </w:tcBorders>
            <w:shd w:val="clear" w:color="auto" w:fill="auto"/>
            <w:noWrap/>
            <w:hideMark/>
          </w:tcPr>
          <w:p w14:paraId="2B4B30E4"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28,000</w:t>
            </w:r>
          </w:p>
        </w:tc>
      </w:tr>
      <w:tr w:rsidR="00051BA7" w:rsidRPr="00051BA7" w14:paraId="17965C3B"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42D63DA0"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Operating profit</w:t>
            </w:r>
          </w:p>
        </w:tc>
        <w:tc>
          <w:tcPr>
            <w:tcW w:w="1446" w:type="dxa"/>
            <w:tcBorders>
              <w:top w:val="nil"/>
              <w:left w:val="nil"/>
              <w:bottom w:val="single" w:sz="4" w:space="0" w:color="auto"/>
              <w:right w:val="single" w:sz="4" w:space="0" w:color="auto"/>
            </w:tcBorders>
            <w:shd w:val="clear" w:color="auto" w:fill="auto"/>
            <w:noWrap/>
            <w:hideMark/>
          </w:tcPr>
          <w:p w14:paraId="3006FFF6"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132000</w:t>
            </w:r>
          </w:p>
        </w:tc>
      </w:tr>
      <w:tr w:rsidR="00051BA7" w:rsidRPr="00051BA7" w14:paraId="7151DC1B" w14:textId="77777777" w:rsidTr="00051BA7">
        <w:trPr>
          <w:trHeight w:val="312"/>
        </w:trPr>
        <w:tc>
          <w:tcPr>
            <w:tcW w:w="3814" w:type="dxa"/>
            <w:tcBorders>
              <w:top w:val="nil"/>
              <w:left w:val="single" w:sz="4" w:space="0" w:color="auto"/>
              <w:bottom w:val="single" w:sz="4" w:space="0" w:color="auto"/>
              <w:right w:val="single" w:sz="4" w:space="0" w:color="auto"/>
            </w:tcBorders>
            <w:shd w:val="clear" w:color="auto" w:fill="auto"/>
            <w:noWrap/>
            <w:hideMark/>
          </w:tcPr>
          <w:p w14:paraId="7E5D116E" w14:textId="77777777" w:rsidR="00051BA7" w:rsidRPr="00051BA7" w:rsidRDefault="00051BA7" w:rsidP="00051BA7">
            <w:pPr>
              <w:spacing w:line="240" w:lineRule="auto"/>
              <w:rPr>
                <w:rFonts w:ascii="Times New Roman" w:eastAsia="Times New Roman" w:hAnsi="Times New Roman" w:cs="Times New Roman"/>
                <w:b/>
                <w:bCs/>
                <w:sz w:val="23"/>
                <w:szCs w:val="23"/>
                <w:lang w:val="en-GB" w:eastAsia="en-GB"/>
              </w:rPr>
            </w:pPr>
            <w:r w:rsidRPr="00051BA7">
              <w:rPr>
                <w:rFonts w:ascii="Times New Roman" w:eastAsia="Times New Roman" w:hAnsi="Times New Roman" w:cs="Times New Roman"/>
                <w:b/>
                <w:bCs/>
                <w:sz w:val="23"/>
                <w:szCs w:val="23"/>
                <w:lang w:val="en-GB" w:eastAsia="en-GB"/>
              </w:rPr>
              <w:t>Profit before tax</w:t>
            </w:r>
          </w:p>
        </w:tc>
        <w:tc>
          <w:tcPr>
            <w:tcW w:w="1446" w:type="dxa"/>
            <w:tcBorders>
              <w:top w:val="nil"/>
              <w:left w:val="nil"/>
              <w:bottom w:val="single" w:sz="4" w:space="0" w:color="auto"/>
              <w:right w:val="single" w:sz="4" w:space="0" w:color="auto"/>
            </w:tcBorders>
            <w:shd w:val="clear" w:color="auto" w:fill="auto"/>
            <w:noWrap/>
            <w:hideMark/>
          </w:tcPr>
          <w:p w14:paraId="5372AC89" w14:textId="77777777" w:rsidR="00051BA7" w:rsidRPr="00051BA7" w:rsidRDefault="00051BA7" w:rsidP="00051BA7">
            <w:pPr>
              <w:spacing w:line="240" w:lineRule="auto"/>
              <w:jc w:val="right"/>
              <w:rPr>
                <w:rFonts w:ascii="Times New Roman" w:eastAsia="Times New Roman" w:hAnsi="Times New Roman" w:cs="Times New Roman"/>
                <w:b/>
                <w:bCs/>
                <w:sz w:val="23"/>
                <w:szCs w:val="23"/>
                <w:lang w:val="en-GB" w:eastAsia="en-GB"/>
              </w:rPr>
            </w:pPr>
            <w:r w:rsidRPr="00051BA7">
              <w:rPr>
                <w:rFonts w:ascii="Times New Roman" w:eastAsia="Times New Roman" w:hAnsi="Times New Roman" w:cs="Times New Roman"/>
                <w:b/>
                <w:bCs/>
                <w:sz w:val="23"/>
                <w:szCs w:val="23"/>
                <w:lang w:val="en-GB" w:eastAsia="en-GB"/>
              </w:rPr>
              <w:t>353350</w:t>
            </w:r>
          </w:p>
        </w:tc>
      </w:tr>
      <w:tr w:rsidR="00051BA7" w:rsidRPr="00051BA7" w14:paraId="378BEB69"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6C75FDEE" w14:textId="77777777" w:rsidR="00051BA7" w:rsidRPr="00051BA7" w:rsidRDefault="00051BA7" w:rsidP="00051BA7">
            <w:pPr>
              <w:spacing w:line="240" w:lineRule="auto"/>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Taxation</w:t>
            </w:r>
          </w:p>
        </w:tc>
        <w:tc>
          <w:tcPr>
            <w:tcW w:w="1446" w:type="dxa"/>
            <w:tcBorders>
              <w:top w:val="nil"/>
              <w:left w:val="nil"/>
              <w:bottom w:val="single" w:sz="4" w:space="0" w:color="auto"/>
              <w:right w:val="single" w:sz="4" w:space="0" w:color="auto"/>
            </w:tcBorders>
            <w:shd w:val="clear" w:color="auto" w:fill="auto"/>
            <w:noWrap/>
            <w:hideMark/>
          </w:tcPr>
          <w:p w14:paraId="059B72B3" w14:textId="77777777" w:rsidR="00051BA7" w:rsidRPr="00051BA7" w:rsidRDefault="00051BA7" w:rsidP="00051BA7">
            <w:pPr>
              <w:spacing w:line="240" w:lineRule="auto"/>
              <w:jc w:val="right"/>
              <w:rPr>
                <w:rFonts w:ascii="Times New Roman" w:eastAsia="Times New Roman" w:hAnsi="Times New Roman" w:cs="Times New Roman"/>
                <w:sz w:val="23"/>
                <w:szCs w:val="23"/>
                <w:lang w:val="en-GB" w:eastAsia="en-GB"/>
              </w:rPr>
            </w:pPr>
            <w:r w:rsidRPr="00051BA7">
              <w:rPr>
                <w:rFonts w:ascii="Times New Roman" w:eastAsia="Times New Roman" w:hAnsi="Times New Roman" w:cs="Times New Roman"/>
                <w:sz w:val="23"/>
                <w:szCs w:val="23"/>
                <w:lang w:val="en-GB" w:eastAsia="en-GB"/>
              </w:rPr>
              <w:t>100000</w:t>
            </w:r>
          </w:p>
        </w:tc>
      </w:tr>
      <w:tr w:rsidR="00051BA7" w:rsidRPr="00051BA7" w14:paraId="25DB6855" w14:textId="77777777" w:rsidTr="00051BA7">
        <w:trPr>
          <w:trHeight w:val="300"/>
        </w:trPr>
        <w:tc>
          <w:tcPr>
            <w:tcW w:w="3814" w:type="dxa"/>
            <w:tcBorders>
              <w:top w:val="nil"/>
              <w:left w:val="single" w:sz="4" w:space="0" w:color="auto"/>
              <w:bottom w:val="single" w:sz="4" w:space="0" w:color="auto"/>
              <w:right w:val="single" w:sz="4" w:space="0" w:color="auto"/>
            </w:tcBorders>
            <w:shd w:val="clear" w:color="auto" w:fill="auto"/>
            <w:noWrap/>
            <w:hideMark/>
          </w:tcPr>
          <w:p w14:paraId="0DD2DF55" w14:textId="77777777" w:rsidR="00051BA7" w:rsidRPr="00051BA7" w:rsidRDefault="00051BA7" w:rsidP="00051BA7">
            <w:pPr>
              <w:spacing w:line="240" w:lineRule="auto"/>
              <w:rPr>
                <w:rFonts w:ascii="Times New Roman" w:eastAsia="Times New Roman" w:hAnsi="Times New Roman" w:cs="Times New Roman"/>
                <w:b/>
                <w:bCs/>
                <w:sz w:val="23"/>
                <w:szCs w:val="23"/>
                <w:lang w:val="en-GB" w:eastAsia="en-GB"/>
              </w:rPr>
            </w:pPr>
            <w:r w:rsidRPr="00051BA7">
              <w:rPr>
                <w:rFonts w:ascii="Times New Roman" w:eastAsia="Times New Roman" w:hAnsi="Times New Roman" w:cs="Times New Roman"/>
                <w:b/>
                <w:bCs/>
                <w:sz w:val="23"/>
                <w:szCs w:val="23"/>
                <w:lang w:val="en-GB" w:eastAsia="en-GB"/>
              </w:rPr>
              <w:t>Profit for the period</w:t>
            </w:r>
          </w:p>
        </w:tc>
        <w:tc>
          <w:tcPr>
            <w:tcW w:w="1446" w:type="dxa"/>
            <w:tcBorders>
              <w:top w:val="nil"/>
              <w:left w:val="nil"/>
              <w:bottom w:val="single" w:sz="4" w:space="0" w:color="auto"/>
              <w:right w:val="single" w:sz="4" w:space="0" w:color="auto"/>
            </w:tcBorders>
            <w:shd w:val="clear" w:color="auto" w:fill="auto"/>
            <w:noWrap/>
            <w:hideMark/>
          </w:tcPr>
          <w:p w14:paraId="6DCE7E97" w14:textId="77777777" w:rsidR="00051BA7" w:rsidRPr="00051BA7" w:rsidRDefault="00051BA7" w:rsidP="00051BA7">
            <w:pPr>
              <w:spacing w:line="240" w:lineRule="auto"/>
              <w:jc w:val="right"/>
              <w:rPr>
                <w:rFonts w:ascii="Times New Roman" w:eastAsia="Times New Roman" w:hAnsi="Times New Roman" w:cs="Times New Roman"/>
                <w:b/>
                <w:bCs/>
                <w:sz w:val="23"/>
                <w:szCs w:val="23"/>
                <w:lang w:val="en-GB" w:eastAsia="en-GB"/>
              </w:rPr>
            </w:pPr>
            <w:r w:rsidRPr="00051BA7">
              <w:rPr>
                <w:rFonts w:ascii="Times New Roman" w:eastAsia="Times New Roman" w:hAnsi="Times New Roman" w:cs="Times New Roman"/>
                <w:b/>
                <w:bCs/>
                <w:sz w:val="23"/>
                <w:szCs w:val="23"/>
                <w:lang w:val="en-GB" w:eastAsia="en-GB"/>
              </w:rPr>
              <w:t>253350</w:t>
            </w:r>
          </w:p>
        </w:tc>
      </w:tr>
    </w:tbl>
    <w:p w14:paraId="2178B7DC" w14:textId="77777777" w:rsidR="0071037E" w:rsidRDefault="0071037E" w:rsidP="00715E0E">
      <w:pPr>
        <w:spacing w:line="360" w:lineRule="auto"/>
        <w:jc w:val="both"/>
        <w:rPr>
          <w:rFonts w:ascii="Times New Roman" w:eastAsia="Times New Roman" w:hAnsi="Times New Roman" w:cs="Times New Roman"/>
          <w:color w:val="1155CC"/>
          <w:sz w:val="24"/>
          <w:szCs w:val="24"/>
          <w:u w:val="single"/>
        </w:rPr>
      </w:pPr>
    </w:p>
    <w:p w14:paraId="5741C579"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p w14:paraId="1CFC662D" w14:textId="77777777" w:rsidR="00FE2EC1" w:rsidRDefault="00FE2EC1" w:rsidP="00715E0E">
      <w:pPr>
        <w:spacing w:line="360" w:lineRule="auto"/>
        <w:jc w:val="both"/>
        <w:rPr>
          <w:rFonts w:ascii="Times New Roman" w:eastAsia="Times New Roman" w:hAnsi="Times New Roman" w:cs="Times New Roman"/>
          <w:color w:val="1155CC"/>
          <w:sz w:val="24"/>
          <w:szCs w:val="24"/>
          <w:u w:val="single"/>
        </w:rPr>
      </w:pPr>
    </w:p>
    <w:tbl>
      <w:tblPr>
        <w:tblW w:w="6640" w:type="dxa"/>
        <w:tblLook w:val="04A0" w:firstRow="1" w:lastRow="0" w:firstColumn="1" w:lastColumn="0" w:noHBand="0" w:noVBand="1"/>
      </w:tblPr>
      <w:tblGrid>
        <w:gridCol w:w="5337"/>
        <w:gridCol w:w="716"/>
        <w:gridCol w:w="616"/>
      </w:tblGrid>
      <w:tr w:rsidR="00FE2EC1" w:rsidRPr="00FE2EC1" w14:paraId="522757E0"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82E4559" w14:textId="77777777" w:rsidR="00FE2EC1" w:rsidRPr="00FE2EC1" w:rsidRDefault="00FE2EC1" w:rsidP="00FE2EC1">
            <w:pPr>
              <w:spacing w:line="240" w:lineRule="auto"/>
              <w:jc w:val="center"/>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Computation of Ratio Analysis </w:t>
            </w:r>
          </w:p>
        </w:tc>
      </w:tr>
      <w:tr w:rsidR="00FE2EC1" w:rsidRPr="00FE2EC1" w14:paraId="3178206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4A62FF78"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Particulars</w:t>
            </w:r>
          </w:p>
        </w:tc>
        <w:tc>
          <w:tcPr>
            <w:tcW w:w="707" w:type="dxa"/>
            <w:tcBorders>
              <w:top w:val="nil"/>
              <w:left w:val="nil"/>
              <w:bottom w:val="single" w:sz="4" w:space="0" w:color="auto"/>
              <w:right w:val="single" w:sz="4" w:space="0" w:color="auto"/>
            </w:tcBorders>
            <w:shd w:val="clear" w:color="000000" w:fill="B4C6E7"/>
            <w:noWrap/>
            <w:vAlign w:val="bottom"/>
            <w:hideMark/>
          </w:tcPr>
          <w:p w14:paraId="52EF894A" w14:textId="77777777" w:rsidR="00FE2EC1" w:rsidRPr="00FE2EC1" w:rsidRDefault="00FE2EC1" w:rsidP="00FE2EC1">
            <w:pPr>
              <w:spacing w:line="240" w:lineRule="auto"/>
              <w:jc w:val="center"/>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2020</w:t>
            </w:r>
          </w:p>
        </w:tc>
        <w:tc>
          <w:tcPr>
            <w:tcW w:w="596" w:type="dxa"/>
            <w:tcBorders>
              <w:top w:val="nil"/>
              <w:left w:val="nil"/>
              <w:bottom w:val="single" w:sz="4" w:space="0" w:color="auto"/>
              <w:right w:val="single" w:sz="4" w:space="0" w:color="auto"/>
            </w:tcBorders>
            <w:shd w:val="clear" w:color="000000" w:fill="B4C6E7"/>
            <w:noWrap/>
            <w:vAlign w:val="bottom"/>
            <w:hideMark/>
          </w:tcPr>
          <w:p w14:paraId="4A72CEE6" w14:textId="77777777" w:rsidR="00FE2EC1" w:rsidRPr="00FE2EC1" w:rsidRDefault="00FE2EC1" w:rsidP="00FE2EC1">
            <w:pPr>
              <w:spacing w:line="240" w:lineRule="auto"/>
              <w:jc w:val="center"/>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2021</w:t>
            </w:r>
          </w:p>
        </w:tc>
      </w:tr>
      <w:tr w:rsidR="00FE2EC1" w:rsidRPr="00FE2EC1" w14:paraId="30079458"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880CB63"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ROCE</w:t>
            </w:r>
          </w:p>
        </w:tc>
      </w:tr>
      <w:tr w:rsidR="00FE2EC1" w:rsidRPr="00FE2EC1" w14:paraId="09F7DDD8"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DD2C5B8"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ROCE = Total Assets- Current </w:t>
            </w:r>
            <w:proofErr w:type="spellStart"/>
            <w:r w:rsidRPr="00FE2EC1">
              <w:rPr>
                <w:rFonts w:ascii="Times New Roman" w:eastAsia="Times New Roman" w:hAnsi="Times New Roman" w:cs="Times New Roman"/>
                <w:color w:val="000000"/>
                <w:sz w:val="20"/>
                <w:szCs w:val="20"/>
                <w:lang w:val="en-GB" w:eastAsia="en-GB"/>
              </w:rPr>
              <w:t>Liabilties</w:t>
            </w:r>
            <w:proofErr w:type="spellEnd"/>
            <w:r w:rsidRPr="00FE2EC1">
              <w:rPr>
                <w:rFonts w:ascii="Times New Roman" w:eastAsia="Times New Roman" w:hAnsi="Times New Roman" w:cs="Times New Roman"/>
                <w:color w:val="000000"/>
                <w:sz w:val="20"/>
                <w:szCs w:val="20"/>
                <w:lang w:val="en-GB" w:eastAsia="en-GB"/>
              </w:rPr>
              <w:t xml:space="preserve"> </w:t>
            </w:r>
          </w:p>
        </w:tc>
      </w:tr>
      <w:tr w:rsidR="00FE2EC1" w:rsidRPr="00FE2EC1" w14:paraId="7F3647BE"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64B37"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Total Assets </w:t>
            </w:r>
          </w:p>
        </w:tc>
        <w:tc>
          <w:tcPr>
            <w:tcW w:w="707" w:type="dxa"/>
            <w:tcBorders>
              <w:top w:val="nil"/>
              <w:left w:val="nil"/>
              <w:bottom w:val="single" w:sz="4" w:space="0" w:color="auto"/>
              <w:right w:val="single" w:sz="4" w:space="0" w:color="auto"/>
            </w:tcBorders>
            <w:shd w:val="clear" w:color="auto" w:fill="auto"/>
            <w:noWrap/>
            <w:vAlign w:val="bottom"/>
            <w:hideMark/>
          </w:tcPr>
          <w:p w14:paraId="5D8022B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10087</w:t>
            </w:r>
          </w:p>
        </w:tc>
        <w:tc>
          <w:tcPr>
            <w:tcW w:w="596" w:type="dxa"/>
            <w:tcBorders>
              <w:top w:val="nil"/>
              <w:left w:val="nil"/>
              <w:bottom w:val="single" w:sz="4" w:space="0" w:color="auto"/>
              <w:right w:val="single" w:sz="4" w:space="0" w:color="auto"/>
            </w:tcBorders>
            <w:shd w:val="clear" w:color="auto" w:fill="auto"/>
            <w:noWrap/>
            <w:vAlign w:val="bottom"/>
            <w:hideMark/>
          </w:tcPr>
          <w:p w14:paraId="17C1C1D8"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9736</w:t>
            </w:r>
          </w:p>
        </w:tc>
      </w:tr>
      <w:tr w:rsidR="00FE2EC1" w:rsidRPr="00FE2EC1" w14:paraId="4FF0E14C"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B40C7"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Current </w:t>
            </w:r>
            <w:proofErr w:type="spellStart"/>
            <w:r w:rsidRPr="00FE2EC1">
              <w:rPr>
                <w:rFonts w:ascii="Times New Roman" w:eastAsia="Times New Roman" w:hAnsi="Times New Roman" w:cs="Times New Roman"/>
                <w:i/>
                <w:iCs/>
                <w:color w:val="000000"/>
                <w:sz w:val="20"/>
                <w:szCs w:val="20"/>
                <w:lang w:val="en-GB" w:eastAsia="en-GB"/>
              </w:rPr>
              <w:t>Liabilties</w:t>
            </w:r>
            <w:proofErr w:type="spellEnd"/>
            <w:r w:rsidRPr="00FE2EC1">
              <w:rPr>
                <w:rFonts w:ascii="Times New Roman" w:eastAsia="Times New Roman" w:hAnsi="Times New Roman" w:cs="Times New Roman"/>
                <w:i/>
                <w:iCs/>
                <w:color w:val="000000"/>
                <w:sz w:val="20"/>
                <w:szCs w:val="20"/>
                <w:lang w:val="en-GB" w:eastAsia="en-GB"/>
              </w:rPr>
              <w:t xml:space="preserve"> </w:t>
            </w:r>
          </w:p>
        </w:tc>
        <w:tc>
          <w:tcPr>
            <w:tcW w:w="707" w:type="dxa"/>
            <w:tcBorders>
              <w:top w:val="nil"/>
              <w:left w:val="nil"/>
              <w:bottom w:val="single" w:sz="4" w:space="0" w:color="auto"/>
              <w:right w:val="single" w:sz="4" w:space="0" w:color="auto"/>
            </w:tcBorders>
            <w:shd w:val="clear" w:color="auto" w:fill="auto"/>
            <w:noWrap/>
            <w:vAlign w:val="bottom"/>
            <w:hideMark/>
          </w:tcPr>
          <w:p w14:paraId="0DA0FCC5"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2355</w:t>
            </w:r>
          </w:p>
        </w:tc>
        <w:tc>
          <w:tcPr>
            <w:tcW w:w="596" w:type="dxa"/>
            <w:tcBorders>
              <w:top w:val="nil"/>
              <w:left w:val="nil"/>
              <w:bottom w:val="single" w:sz="4" w:space="0" w:color="auto"/>
              <w:right w:val="single" w:sz="4" w:space="0" w:color="auto"/>
            </w:tcBorders>
            <w:shd w:val="clear" w:color="auto" w:fill="auto"/>
            <w:noWrap/>
            <w:vAlign w:val="bottom"/>
            <w:hideMark/>
          </w:tcPr>
          <w:p w14:paraId="740DC94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2303</w:t>
            </w:r>
          </w:p>
        </w:tc>
      </w:tr>
      <w:tr w:rsidR="00FE2EC1" w:rsidRPr="00FE2EC1" w14:paraId="455AAA0F"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FFF55A"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ROCE</w:t>
            </w:r>
          </w:p>
        </w:tc>
        <w:tc>
          <w:tcPr>
            <w:tcW w:w="707" w:type="dxa"/>
            <w:tcBorders>
              <w:top w:val="nil"/>
              <w:left w:val="nil"/>
              <w:bottom w:val="single" w:sz="4" w:space="0" w:color="auto"/>
              <w:right w:val="single" w:sz="4" w:space="0" w:color="auto"/>
            </w:tcBorders>
            <w:shd w:val="clear" w:color="auto" w:fill="auto"/>
            <w:noWrap/>
            <w:vAlign w:val="bottom"/>
            <w:hideMark/>
          </w:tcPr>
          <w:p w14:paraId="0474683F"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12%</w:t>
            </w:r>
          </w:p>
        </w:tc>
        <w:tc>
          <w:tcPr>
            <w:tcW w:w="596" w:type="dxa"/>
            <w:tcBorders>
              <w:top w:val="nil"/>
              <w:left w:val="nil"/>
              <w:bottom w:val="single" w:sz="4" w:space="0" w:color="auto"/>
              <w:right w:val="single" w:sz="4" w:space="0" w:color="auto"/>
            </w:tcBorders>
            <w:shd w:val="clear" w:color="auto" w:fill="auto"/>
            <w:noWrap/>
            <w:vAlign w:val="bottom"/>
            <w:hideMark/>
          </w:tcPr>
          <w:p w14:paraId="00CFF79B"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11%</w:t>
            </w:r>
          </w:p>
        </w:tc>
      </w:tr>
      <w:tr w:rsidR="00FE2EC1" w:rsidRPr="00FE2EC1" w14:paraId="67A49056"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3AD67F"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ROE</w:t>
            </w:r>
          </w:p>
        </w:tc>
        <w:tc>
          <w:tcPr>
            <w:tcW w:w="707" w:type="dxa"/>
            <w:tcBorders>
              <w:top w:val="nil"/>
              <w:left w:val="nil"/>
              <w:bottom w:val="single" w:sz="4" w:space="0" w:color="auto"/>
              <w:right w:val="single" w:sz="4" w:space="0" w:color="auto"/>
            </w:tcBorders>
            <w:shd w:val="clear" w:color="auto" w:fill="auto"/>
            <w:noWrap/>
            <w:vAlign w:val="bottom"/>
            <w:hideMark/>
          </w:tcPr>
          <w:p w14:paraId="66438B4B"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4843AF30"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3CEB9D08"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423385"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ROE = Net Income / Equity </w:t>
            </w:r>
          </w:p>
        </w:tc>
        <w:tc>
          <w:tcPr>
            <w:tcW w:w="707" w:type="dxa"/>
            <w:tcBorders>
              <w:top w:val="nil"/>
              <w:left w:val="nil"/>
              <w:bottom w:val="single" w:sz="4" w:space="0" w:color="auto"/>
              <w:right w:val="single" w:sz="4" w:space="0" w:color="auto"/>
            </w:tcBorders>
            <w:shd w:val="clear" w:color="auto" w:fill="auto"/>
            <w:noWrap/>
            <w:vAlign w:val="bottom"/>
            <w:hideMark/>
          </w:tcPr>
          <w:p w14:paraId="19BF4DF6"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5B1E8545"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6E4E40D4"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40423"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Net Income </w:t>
            </w:r>
          </w:p>
        </w:tc>
        <w:tc>
          <w:tcPr>
            <w:tcW w:w="707" w:type="dxa"/>
            <w:tcBorders>
              <w:top w:val="nil"/>
              <w:left w:val="nil"/>
              <w:bottom w:val="single" w:sz="4" w:space="0" w:color="auto"/>
              <w:right w:val="single" w:sz="4" w:space="0" w:color="auto"/>
            </w:tcBorders>
            <w:shd w:val="clear" w:color="auto" w:fill="auto"/>
            <w:noWrap/>
            <w:vAlign w:val="bottom"/>
            <w:hideMark/>
          </w:tcPr>
          <w:p w14:paraId="6D4F907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366</w:t>
            </w:r>
          </w:p>
        </w:tc>
        <w:tc>
          <w:tcPr>
            <w:tcW w:w="596" w:type="dxa"/>
            <w:tcBorders>
              <w:top w:val="nil"/>
              <w:left w:val="nil"/>
              <w:bottom w:val="single" w:sz="4" w:space="0" w:color="auto"/>
              <w:right w:val="single" w:sz="4" w:space="0" w:color="auto"/>
            </w:tcBorders>
            <w:shd w:val="clear" w:color="auto" w:fill="auto"/>
            <w:noWrap/>
            <w:vAlign w:val="bottom"/>
            <w:hideMark/>
          </w:tcPr>
          <w:p w14:paraId="20656E89"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431</w:t>
            </w:r>
          </w:p>
        </w:tc>
      </w:tr>
      <w:tr w:rsidR="00FE2EC1" w:rsidRPr="00FE2EC1" w14:paraId="1296ACAB"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9F4A9"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Equity </w:t>
            </w:r>
          </w:p>
        </w:tc>
        <w:tc>
          <w:tcPr>
            <w:tcW w:w="707" w:type="dxa"/>
            <w:tcBorders>
              <w:top w:val="nil"/>
              <w:left w:val="nil"/>
              <w:bottom w:val="single" w:sz="4" w:space="0" w:color="auto"/>
              <w:right w:val="single" w:sz="4" w:space="0" w:color="auto"/>
            </w:tcBorders>
            <w:shd w:val="clear" w:color="auto" w:fill="auto"/>
            <w:noWrap/>
            <w:vAlign w:val="bottom"/>
            <w:hideMark/>
          </w:tcPr>
          <w:p w14:paraId="3DCBC3B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2912</w:t>
            </w:r>
          </w:p>
        </w:tc>
        <w:tc>
          <w:tcPr>
            <w:tcW w:w="596" w:type="dxa"/>
            <w:tcBorders>
              <w:top w:val="nil"/>
              <w:left w:val="nil"/>
              <w:bottom w:val="single" w:sz="4" w:space="0" w:color="auto"/>
              <w:right w:val="single" w:sz="4" w:space="0" w:color="auto"/>
            </w:tcBorders>
            <w:shd w:val="clear" w:color="auto" w:fill="auto"/>
            <w:noWrap/>
            <w:vAlign w:val="bottom"/>
            <w:hideMark/>
          </w:tcPr>
          <w:p w14:paraId="4D2153B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3088</w:t>
            </w:r>
          </w:p>
        </w:tc>
      </w:tr>
      <w:tr w:rsidR="00FE2EC1" w:rsidRPr="00FE2EC1" w14:paraId="48501B4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6ACD46"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ROE</w:t>
            </w:r>
          </w:p>
        </w:tc>
        <w:tc>
          <w:tcPr>
            <w:tcW w:w="707" w:type="dxa"/>
            <w:tcBorders>
              <w:top w:val="nil"/>
              <w:left w:val="nil"/>
              <w:bottom w:val="single" w:sz="4" w:space="0" w:color="auto"/>
              <w:right w:val="single" w:sz="4" w:space="0" w:color="auto"/>
            </w:tcBorders>
            <w:shd w:val="clear" w:color="auto" w:fill="auto"/>
            <w:noWrap/>
            <w:vAlign w:val="bottom"/>
            <w:hideMark/>
          </w:tcPr>
          <w:p w14:paraId="5151D643"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13%</w:t>
            </w:r>
          </w:p>
        </w:tc>
        <w:tc>
          <w:tcPr>
            <w:tcW w:w="596" w:type="dxa"/>
            <w:tcBorders>
              <w:top w:val="nil"/>
              <w:left w:val="nil"/>
              <w:bottom w:val="single" w:sz="4" w:space="0" w:color="auto"/>
              <w:right w:val="single" w:sz="4" w:space="0" w:color="auto"/>
            </w:tcBorders>
            <w:shd w:val="clear" w:color="auto" w:fill="auto"/>
            <w:noWrap/>
            <w:vAlign w:val="bottom"/>
            <w:hideMark/>
          </w:tcPr>
          <w:p w14:paraId="4B95AE64"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14%</w:t>
            </w:r>
          </w:p>
        </w:tc>
      </w:tr>
      <w:tr w:rsidR="00FE2EC1" w:rsidRPr="00FE2EC1" w14:paraId="244E678D"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434452B"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proofErr w:type="spellStart"/>
            <w:r w:rsidRPr="00FE2EC1">
              <w:rPr>
                <w:rFonts w:ascii="Times New Roman" w:eastAsia="Times New Roman" w:hAnsi="Times New Roman" w:cs="Times New Roman"/>
                <w:b/>
                <w:bCs/>
                <w:i/>
                <w:iCs/>
                <w:color w:val="000000"/>
                <w:sz w:val="20"/>
                <w:szCs w:val="20"/>
                <w:u w:val="single"/>
                <w:lang w:val="en-GB" w:eastAsia="en-GB"/>
              </w:rPr>
              <w:t>Earning</w:t>
            </w:r>
            <w:proofErr w:type="spellEnd"/>
            <w:r w:rsidRPr="00FE2EC1">
              <w:rPr>
                <w:rFonts w:ascii="Times New Roman" w:eastAsia="Times New Roman" w:hAnsi="Times New Roman" w:cs="Times New Roman"/>
                <w:b/>
                <w:bCs/>
                <w:i/>
                <w:iCs/>
                <w:color w:val="000000"/>
                <w:sz w:val="20"/>
                <w:szCs w:val="20"/>
                <w:u w:val="single"/>
                <w:lang w:val="en-GB" w:eastAsia="en-GB"/>
              </w:rPr>
              <w:t xml:space="preserve"> Per Share </w:t>
            </w:r>
          </w:p>
        </w:tc>
      </w:tr>
      <w:tr w:rsidR="00FE2EC1" w:rsidRPr="00FE2EC1" w14:paraId="3C5D7B57" w14:textId="77777777" w:rsidTr="00FE2EC1">
        <w:trPr>
          <w:trHeight w:val="106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hideMark/>
          </w:tcPr>
          <w:p w14:paraId="6EE75965"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Formula of Earning Per Share = Net Income -</w:t>
            </w:r>
            <w:proofErr w:type="spellStart"/>
            <w:r w:rsidRPr="00FE2EC1">
              <w:rPr>
                <w:rFonts w:ascii="Times New Roman" w:eastAsia="Times New Roman" w:hAnsi="Times New Roman" w:cs="Times New Roman"/>
                <w:color w:val="000000"/>
                <w:sz w:val="20"/>
                <w:szCs w:val="20"/>
                <w:lang w:val="en-GB" w:eastAsia="en-GB"/>
              </w:rPr>
              <w:t>Preffered</w:t>
            </w:r>
            <w:proofErr w:type="spellEnd"/>
            <w:r w:rsidRPr="00FE2EC1">
              <w:rPr>
                <w:rFonts w:ascii="Times New Roman" w:eastAsia="Times New Roman" w:hAnsi="Times New Roman" w:cs="Times New Roman"/>
                <w:color w:val="000000"/>
                <w:sz w:val="20"/>
                <w:szCs w:val="20"/>
                <w:lang w:val="en-GB" w:eastAsia="en-GB"/>
              </w:rPr>
              <w:t xml:space="preserve"> </w:t>
            </w:r>
            <w:proofErr w:type="gramStart"/>
            <w:r w:rsidRPr="00FE2EC1">
              <w:rPr>
                <w:rFonts w:ascii="Times New Roman" w:eastAsia="Times New Roman" w:hAnsi="Times New Roman" w:cs="Times New Roman"/>
                <w:color w:val="000000"/>
                <w:sz w:val="20"/>
                <w:szCs w:val="20"/>
                <w:lang w:val="en-GB" w:eastAsia="en-GB"/>
              </w:rPr>
              <w:t>Dividend  /</w:t>
            </w:r>
            <w:proofErr w:type="gramEnd"/>
            <w:r w:rsidRPr="00FE2EC1">
              <w:rPr>
                <w:rFonts w:ascii="Times New Roman" w:eastAsia="Times New Roman" w:hAnsi="Times New Roman" w:cs="Times New Roman"/>
                <w:color w:val="000000"/>
                <w:sz w:val="20"/>
                <w:szCs w:val="20"/>
                <w:lang w:val="en-GB" w:eastAsia="en-GB"/>
              </w:rPr>
              <w:t xml:space="preserve"> Number of Common Shares Outstanding </w:t>
            </w:r>
          </w:p>
        </w:tc>
      </w:tr>
      <w:tr w:rsidR="00FE2EC1" w:rsidRPr="00FE2EC1" w14:paraId="1F3356E9"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5197FD"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Net Income </w:t>
            </w:r>
          </w:p>
        </w:tc>
        <w:tc>
          <w:tcPr>
            <w:tcW w:w="707" w:type="dxa"/>
            <w:tcBorders>
              <w:top w:val="nil"/>
              <w:left w:val="nil"/>
              <w:bottom w:val="single" w:sz="4" w:space="0" w:color="auto"/>
              <w:right w:val="single" w:sz="4" w:space="0" w:color="auto"/>
            </w:tcBorders>
            <w:shd w:val="clear" w:color="auto" w:fill="auto"/>
            <w:noWrap/>
            <w:vAlign w:val="bottom"/>
            <w:hideMark/>
          </w:tcPr>
          <w:p w14:paraId="7A40A78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366</w:t>
            </w:r>
          </w:p>
        </w:tc>
        <w:tc>
          <w:tcPr>
            <w:tcW w:w="596" w:type="dxa"/>
            <w:tcBorders>
              <w:top w:val="nil"/>
              <w:left w:val="nil"/>
              <w:bottom w:val="single" w:sz="4" w:space="0" w:color="auto"/>
              <w:right w:val="single" w:sz="4" w:space="0" w:color="auto"/>
            </w:tcBorders>
            <w:shd w:val="clear" w:color="auto" w:fill="auto"/>
            <w:noWrap/>
            <w:vAlign w:val="bottom"/>
            <w:hideMark/>
          </w:tcPr>
          <w:p w14:paraId="1D674E4B"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431</w:t>
            </w:r>
          </w:p>
        </w:tc>
      </w:tr>
      <w:tr w:rsidR="00FE2EC1" w:rsidRPr="00FE2EC1" w14:paraId="5DFB326F"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99DCF3"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proofErr w:type="spellStart"/>
            <w:r w:rsidRPr="00FE2EC1">
              <w:rPr>
                <w:rFonts w:ascii="Times New Roman" w:eastAsia="Times New Roman" w:hAnsi="Times New Roman" w:cs="Times New Roman"/>
                <w:i/>
                <w:iCs/>
                <w:color w:val="000000"/>
                <w:sz w:val="20"/>
                <w:szCs w:val="20"/>
                <w:lang w:val="en-GB" w:eastAsia="en-GB"/>
              </w:rPr>
              <w:t>Preffered</w:t>
            </w:r>
            <w:proofErr w:type="spellEnd"/>
            <w:r w:rsidRPr="00FE2EC1">
              <w:rPr>
                <w:rFonts w:ascii="Times New Roman" w:eastAsia="Times New Roman" w:hAnsi="Times New Roman" w:cs="Times New Roman"/>
                <w:i/>
                <w:iCs/>
                <w:color w:val="000000"/>
                <w:sz w:val="20"/>
                <w:szCs w:val="20"/>
                <w:lang w:val="en-GB" w:eastAsia="en-GB"/>
              </w:rPr>
              <w:t xml:space="preserve"> Dividend</w:t>
            </w:r>
          </w:p>
        </w:tc>
        <w:tc>
          <w:tcPr>
            <w:tcW w:w="707" w:type="dxa"/>
            <w:tcBorders>
              <w:top w:val="nil"/>
              <w:left w:val="nil"/>
              <w:bottom w:val="single" w:sz="4" w:space="0" w:color="auto"/>
              <w:right w:val="single" w:sz="4" w:space="0" w:color="auto"/>
            </w:tcBorders>
            <w:shd w:val="clear" w:color="auto" w:fill="auto"/>
            <w:noWrap/>
            <w:vAlign w:val="bottom"/>
            <w:hideMark/>
          </w:tcPr>
          <w:p w14:paraId="1CBE018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242</w:t>
            </w:r>
          </w:p>
        </w:tc>
        <w:tc>
          <w:tcPr>
            <w:tcW w:w="596" w:type="dxa"/>
            <w:tcBorders>
              <w:top w:val="nil"/>
              <w:left w:val="nil"/>
              <w:bottom w:val="single" w:sz="4" w:space="0" w:color="auto"/>
              <w:right w:val="single" w:sz="4" w:space="0" w:color="auto"/>
            </w:tcBorders>
            <w:shd w:val="clear" w:color="auto" w:fill="auto"/>
            <w:noWrap/>
            <w:vAlign w:val="bottom"/>
            <w:hideMark/>
          </w:tcPr>
          <w:p w14:paraId="404CD10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255</w:t>
            </w:r>
          </w:p>
        </w:tc>
      </w:tr>
      <w:tr w:rsidR="00FE2EC1" w:rsidRPr="00FE2EC1" w14:paraId="5CA93B1A"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CABE12"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Number of Common Shares Outstanding </w:t>
            </w:r>
          </w:p>
        </w:tc>
        <w:tc>
          <w:tcPr>
            <w:tcW w:w="707" w:type="dxa"/>
            <w:tcBorders>
              <w:top w:val="nil"/>
              <w:left w:val="nil"/>
              <w:bottom w:val="single" w:sz="4" w:space="0" w:color="auto"/>
              <w:right w:val="single" w:sz="4" w:space="0" w:color="auto"/>
            </w:tcBorders>
            <w:shd w:val="clear" w:color="auto" w:fill="auto"/>
            <w:noWrap/>
            <w:vAlign w:val="bottom"/>
            <w:hideMark/>
          </w:tcPr>
          <w:p w14:paraId="64EA61AC"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300</w:t>
            </w:r>
          </w:p>
        </w:tc>
        <w:tc>
          <w:tcPr>
            <w:tcW w:w="596" w:type="dxa"/>
            <w:tcBorders>
              <w:top w:val="nil"/>
              <w:left w:val="nil"/>
              <w:bottom w:val="single" w:sz="4" w:space="0" w:color="auto"/>
              <w:right w:val="single" w:sz="4" w:space="0" w:color="auto"/>
            </w:tcBorders>
            <w:shd w:val="clear" w:color="auto" w:fill="auto"/>
            <w:noWrap/>
            <w:vAlign w:val="bottom"/>
            <w:hideMark/>
          </w:tcPr>
          <w:p w14:paraId="0EB1F8FA"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300</w:t>
            </w:r>
          </w:p>
        </w:tc>
      </w:tr>
      <w:tr w:rsidR="00FE2EC1" w:rsidRPr="00FE2EC1" w14:paraId="735F3F51"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D3BB2"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proofErr w:type="spellStart"/>
            <w:r w:rsidRPr="00FE2EC1">
              <w:rPr>
                <w:rFonts w:ascii="Times New Roman" w:eastAsia="Times New Roman" w:hAnsi="Times New Roman" w:cs="Times New Roman"/>
                <w:b/>
                <w:bCs/>
                <w:color w:val="000000"/>
                <w:sz w:val="20"/>
                <w:szCs w:val="20"/>
                <w:lang w:val="en-GB" w:eastAsia="en-GB"/>
              </w:rPr>
              <w:t>Earning</w:t>
            </w:r>
            <w:proofErr w:type="spellEnd"/>
            <w:r w:rsidRPr="00FE2EC1">
              <w:rPr>
                <w:rFonts w:ascii="Times New Roman" w:eastAsia="Times New Roman" w:hAnsi="Times New Roman" w:cs="Times New Roman"/>
                <w:b/>
                <w:bCs/>
                <w:color w:val="000000"/>
                <w:sz w:val="20"/>
                <w:szCs w:val="20"/>
                <w:lang w:val="en-GB" w:eastAsia="en-GB"/>
              </w:rPr>
              <w:t xml:space="preserve"> Per Share </w:t>
            </w:r>
          </w:p>
        </w:tc>
        <w:tc>
          <w:tcPr>
            <w:tcW w:w="707" w:type="dxa"/>
            <w:tcBorders>
              <w:top w:val="nil"/>
              <w:left w:val="nil"/>
              <w:bottom w:val="single" w:sz="4" w:space="0" w:color="auto"/>
              <w:right w:val="single" w:sz="4" w:space="0" w:color="auto"/>
            </w:tcBorders>
            <w:shd w:val="clear" w:color="auto" w:fill="auto"/>
            <w:noWrap/>
            <w:vAlign w:val="bottom"/>
            <w:hideMark/>
          </w:tcPr>
          <w:p w14:paraId="24F8010B"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41%</w:t>
            </w:r>
          </w:p>
        </w:tc>
        <w:tc>
          <w:tcPr>
            <w:tcW w:w="596" w:type="dxa"/>
            <w:tcBorders>
              <w:top w:val="nil"/>
              <w:left w:val="nil"/>
              <w:bottom w:val="single" w:sz="4" w:space="0" w:color="auto"/>
              <w:right w:val="single" w:sz="4" w:space="0" w:color="auto"/>
            </w:tcBorders>
            <w:shd w:val="clear" w:color="auto" w:fill="auto"/>
            <w:noWrap/>
            <w:vAlign w:val="bottom"/>
            <w:hideMark/>
          </w:tcPr>
          <w:p w14:paraId="594CD39E"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59%</w:t>
            </w:r>
          </w:p>
        </w:tc>
      </w:tr>
      <w:tr w:rsidR="00FE2EC1" w:rsidRPr="00FE2EC1" w14:paraId="17EC32FE"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80D0E59"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Net Profit Margin </w:t>
            </w:r>
          </w:p>
        </w:tc>
      </w:tr>
      <w:tr w:rsidR="00FE2EC1" w:rsidRPr="00FE2EC1" w14:paraId="7E903D68" w14:textId="77777777" w:rsidTr="00FE2EC1">
        <w:trPr>
          <w:trHeight w:val="672"/>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vAlign w:val="bottom"/>
            <w:hideMark/>
          </w:tcPr>
          <w:p w14:paraId="5B6CF8C3"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Net Profit Margin = Revenue - Cost </w:t>
            </w:r>
            <w:proofErr w:type="gramStart"/>
            <w:r w:rsidRPr="00FE2EC1">
              <w:rPr>
                <w:rFonts w:ascii="Times New Roman" w:eastAsia="Times New Roman" w:hAnsi="Times New Roman" w:cs="Times New Roman"/>
                <w:color w:val="000000"/>
                <w:sz w:val="20"/>
                <w:szCs w:val="20"/>
                <w:lang w:val="en-GB" w:eastAsia="en-GB"/>
              </w:rPr>
              <w:t>/  Revenue</w:t>
            </w:r>
            <w:proofErr w:type="gramEnd"/>
            <w:r w:rsidRPr="00FE2EC1">
              <w:rPr>
                <w:rFonts w:ascii="Times New Roman" w:eastAsia="Times New Roman" w:hAnsi="Times New Roman" w:cs="Times New Roman"/>
                <w:color w:val="000000"/>
                <w:sz w:val="20"/>
                <w:szCs w:val="20"/>
                <w:lang w:val="en-GB" w:eastAsia="en-GB"/>
              </w:rPr>
              <w:t xml:space="preserve"> </w:t>
            </w:r>
          </w:p>
        </w:tc>
      </w:tr>
      <w:tr w:rsidR="00FE2EC1" w:rsidRPr="00FE2EC1" w14:paraId="6B085ADF"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90C68C"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Revenue </w:t>
            </w:r>
          </w:p>
        </w:tc>
        <w:tc>
          <w:tcPr>
            <w:tcW w:w="707" w:type="dxa"/>
            <w:tcBorders>
              <w:top w:val="nil"/>
              <w:left w:val="nil"/>
              <w:bottom w:val="single" w:sz="4" w:space="0" w:color="auto"/>
              <w:right w:val="single" w:sz="4" w:space="0" w:color="auto"/>
            </w:tcBorders>
            <w:shd w:val="clear" w:color="auto" w:fill="auto"/>
            <w:noWrap/>
            <w:vAlign w:val="bottom"/>
            <w:hideMark/>
          </w:tcPr>
          <w:p w14:paraId="131DEE29"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6441</w:t>
            </w:r>
          </w:p>
        </w:tc>
        <w:tc>
          <w:tcPr>
            <w:tcW w:w="596" w:type="dxa"/>
            <w:tcBorders>
              <w:top w:val="nil"/>
              <w:left w:val="nil"/>
              <w:bottom w:val="single" w:sz="4" w:space="0" w:color="auto"/>
              <w:right w:val="single" w:sz="4" w:space="0" w:color="auto"/>
            </w:tcBorders>
            <w:shd w:val="clear" w:color="auto" w:fill="auto"/>
            <w:noWrap/>
            <w:vAlign w:val="bottom"/>
            <w:hideMark/>
          </w:tcPr>
          <w:p w14:paraId="7E4653C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6738</w:t>
            </w:r>
          </w:p>
        </w:tc>
      </w:tr>
      <w:tr w:rsidR="00FE2EC1" w:rsidRPr="00FE2EC1" w14:paraId="1B342284"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9300BE"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Cost </w:t>
            </w:r>
          </w:p>
        </w:tc>
        <w:tc>
          <w:tcPr>
            <w:tcW w:w="707" w:type="dxa"/>
            <w:tcBorders>
              <w:top w:val="nil"/>
              <w:left w:val="nil"/>
              <w:bottom w:val="single" w:sz="4" w:space="0" w:color="auto"/>
              <w:right w:val="single" w:sz="4" w:space="0" w:color="auto"/>
            </w:tcBorders>
            <w:shd w:val="clear" w:color="auto" w:fill="auto"/>
            <w:noWrap/>
            <w:vAlign w:val="bottom"/>
            <w:hideMark/>
          </w:tcPr>
          <w:p w14:paraId="349049D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2646</w:t>
            </w:r>
          </w:p>
        </w:tc>
        <w:tc>
          <w:tcPr>
            <w:tcW w:w="596" w:type="dxa"/>
            <w:tcBorders>
              <w:top w:val="nil"/>
              <w:left w:val="nil"/>
              <w:bottom w:val="single" w:sz="4" w:space="0" w:color="auto"/>
              <w:right w:val="single" w:sz="4" w:space="0" w:color="auto"/>
            </w:tcBorders>
            <w:shd w:val="clear" w:color="auto" w:fill="auto"/>
            <w:noWrap/>
            <w:vAlign w:val="bottom"/>
            <w:hideMark/>
          </w:tcPr>
          <w:p w14:paraId="1E6EC97A"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2698</w:t>
            </w:r>
          </w:p>
        </w:tc>
      </w:tr>
      <w:tr w:rsidR="00FE2EC1" w:rsidRPr="00FE2EC1" w14:paraId="08559D4C"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1CE996"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Net Profit Margin </w:t>
            </w:r>
          </w:p>
        </w:tc>
        <w:tc>
          <w:tcPr>
            <w:tcW w:w="707" w:type="dxa"/>
            <w:tcBorders>
              <w:top w:val="nil"/>
              <w:left w:val="nil"/>
              <w:bottom w:val="single" w:sz="4" w:space="0" w:color="auto"/>
              <w:right w:val="single" w:sz="4" w:space="0" w:color="auto"/>
            </w:tcBorders>
            <w:shd w:val="clear" w:color="auto" w:fill="auto"/>
            <w:noWrap/>
            <w:vAlign w:val="bottom"/>
            <w:hideMark/>
          </w:tcPr>
          <w:p w14:paraId="0239EBD9"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0.59</w:t>
            </w:r>
          </w:p>
        </w:tc>
        <w:tc>
          <w:tcPr>
            <w:tcW w:w="596" w:type="dxa"/>
            <w:tcBorders>
              <w:top w:val="nil"/>
              <w:left w:val="nil"/>
              <w:bottom w:val="single" w:sz="4" w:space="0" w:color="auto"/>
              <w:right w:val="single" w:sz="4" w:space="0" w:color="auto"/>
            </w:tcBorders>
            <w:shd w:val="clear" w:color="auto" w:fill="auto"/>
            <w:noWrap/>
            <w:vAlign w:val="bottom"/>
            <w:hideMark/>
          </w:tcPr>
          <w:p w14:paraId="03199AD5"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0.60</w:t>
            </w:r>
          </w:p>
        </w:tc>
      </w:tr>
      <w:tr w:rsidR="00FE2EC1" w:rsidRPr="00FE2EC1" w14:paraId="4BD66DC8"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8034C2"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Asset Turnover Ratio </w:t>
            </w:r>
          </w:p>
        </w:tc>
        <w:tc>
          <w:tcPr>
            <w:tcW w:w="707" w:type="dxa"/>
            <w:tcBorders>
              <w:top w:val="nil"/>
              <w:left w:val="nil"/>
              <w:bottom w:val="single" w:sz="4" w:space="0" w:color="auto"/>
              <w:right w:val="single" w:sz="4" w:space="0" w:color="auto"/>
            </w:tcBorders>
            <w:shd w:val="clear" w:color="auto" w:fill="auto"/>
            <w:noWrap/>
            <w:vAlign w:val="bottom"/>
            <w:hideMark/>
          </w:tcPr>
          <w:p w14:paraId="6C74EBFB"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5C8DED53"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356B5713" w14:textId="77777777" w:rsidTr="00FE2EC1">
        <w:trPr>
          <w:trHeight w:val="684"/>
        </w:trPr>
        <w:tc>
          <w:tcPr>
            <w:tcW w:w="533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C3E6952"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Asset Turnover Ratio </w:t>
            </w:r>
            <w:proofErr w:type="gramStart"/>
            <w:r w:rsidRPr="00FE2EC1">
              <w:rPr>
                <w:rFonts w:ascii="Times New Roman" w:eastAsia="Times New Roman" w:hAnsi="Times New Roman" w:cs="Times New Roman"/>
                <w:color w:val="000000"/>
                <w:sz w:val="20"/>
                <w:szCs w:val="20"/>
                <w:lang w:val="en-GB" w:eastAsia="en-GB"/>
              </w:rPr>
              <w:t>=  Revenue</w:t>
            </w:r>
            <w:proofErr w:type="gramEnd"/>
            <w:r w:rsidRPr="00FE2EC1">
              <w:rPr>
                <w:rFonts w:ascii="Times New Roman" w:eastAsia="Times New Roman" w:hAnsi="Times New Roman" w:cs="Times New Roman"/>
                <w:color w:val="000000"/>
                <w:sz w:val="20"/>
                <w:szCs w:val="20"/>
                <w:lang w:val="en-GB" w:eastAsia="en-GB"/>
              </w:rPr>
              <w:t xml:space="preserve"> - Total Asset</w:t>
            </w:r>
          </w:p>
        </w:tc>
        <w:tc>
          <w:tcPr>
            <w:tcW w:w="707" w:type="dxa"/>
            <w:tcBorders>
              <w:top w:val="nil"/>
              <w:left w:val="nil"/>
              <w:bottom w:val="single" w:sz="4" w:space="0" w:color="auto"/>
              <w:right w:val="single" w:sz="4" w:space="0" w:color="auto"/>
            </w:tcBorders>
            <w:shd w:val="clear" w:color="auto" w:fill="auto"/>
            <w:noWrap/>
            <w:vAlign w:val="bottom"/>
            <w:hideMark/>
          </w:tcPr>
          <w:p w14:paraId="015B5C90"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28FAB7D6"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1DC5E7C6"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83A12"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Revenue </w:t>
            </w:r>
          </w:p>
        </w:tc>
        <w:tc>
          <w:tcPr>
            <w:tcW w:w="707" w:type="dxa"/>
            <w:tcBorders>
              <w:top w:val="nil"/>
              <w:left w:val="nil"/>
              <w:bottom w:val="single" w:sz="4" w:space="0" w:color="auto"/>
              <w:right w:val="single" w:sz="4" w:space="0" w:color="auto"/>
            </w:tcBorders>
            <w:shd w:val="clear" w:color="auto" w:fill="auto"/>
            <w:noWrap/>
            <w:vAlign w:val="bottom"/>
            <w:hideMark/>
          </w:tcPr>
          <w:p w14:paraId="5AD8B5A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6441</w:t>
            </w:r>
          </w:p>
        </w:tc>
        <w:tc>
          <w:tcPr>
            <w:tcW w:w="596" w:type="dxa"/>
            <w:tcBorders>
              <w:top w:val="nil"/>
              <w:left w:val="nil"/>
              <w:bottom w:val="single" w:sz="4" w:space="0" w:color="auto"/>
              <w:right w:val="single" w:sz="4" w:space="0" w:color="auto"/>
            </w:tcBorders>
            <w:shd w:val="clear" w:color="auto" w:fill="auto"/>
            <w:noWrap/>
            <w:vAlign w:val="bottom"/>
            <w:hideMark/>
          </w:tcPr>
          <w:p w14:paraId="46BEB8D7"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6738</w:t>
            </w:r>
          </w:p>
        </w:tc>
      </w:tr>
      <w:tr w:rsidR="00FE2EC1" w:rsidRPr="00FE2EC1" w14:paraId="37104591"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595E56"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Total Assets </w:t>
            </w:r>
          </w:p>
        </w:tc>
        <w:tc>
          <w:tcPr>
            <w:tcW w:w="707" w:type="dxa"/>
            <w:tcBorders>
              <w:top w:val="nil"/>
              <w:left w:val="nil"/>
              <w:bottom w:val="single" w:sz="4" w:space="0" w:color="auto"/>
              <w:right w:val="single" w:sz="4" w:space="0" w:color="auto"/>
            </w:tcBorders>
            <w:shd w:val="clear" w:color="auto" w:fill="auto"/>
            <w:noWrap/>
            <w:vAlign w:val="bottom"/>
            <w:hideMark/>
          </w:tcPr>
          <w:p w14:paraId="1B84E70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10087</w:t>
            </w:r>
          </w:p>
        </w:tc>
        <w:tc>
          <w:tcPr>
            <w:tcW w:w="596" w:type="dxa"/>
            <w:tcBorders>
              <w:top w:val="nil"/>
              <w:left w:val="nil"/>
              <w:bottom w:val="single" w:sz="4" w:space="0" w:color="auto"/>
              <w:right w:val="single" w:sz="4" w:space="0" w:color="auto"/>
            </w:tcBorders>
            <w:shd w:val="clear" w:color="auto" w:fill="auto"/>
            <w:noWrap/>
            <w:vAlign w:val="bottom"/>
            <w:hideMark/>
          </w:tcPr>
          <w:p w14:paraId="54A0C772"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9736</w:t>
            </w:r>
          </w:p>
        </w:tc>
      </w:tr>
      <w:tr w:rsidR="00FE2EC1" w:rsidRPr="00FE2EC1" w14:paraId="05830D7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49ADC3"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Asset Turnover Ratio </w:t>
            </w:r>
          </w:p>
        </w:tc>
        <w:tc>
          <w:tcPr>
            <w:tcW w:w="707" w:type="dxa"/>
            <w:tcBorders>
              <w:top w:val="nil"/>
              <w:left w:val="nil"/>
              <w:bottom w:val="single" w:sz="4" w:space="0" w:color="auto"/>
              <w:right w:val="single" w:sz="4" w:space="0" w:color="auto"/>
            </w:tcBorders>
            <w:shd w:val="clear" w:color="auto" w:fill="auto"/>
            <w:noWrap/>
            <w:vAlign w:val="bottom"/>
            <w:hideMark/>
          </w:tcPr>
          <w:p w14:paraId="539BBC66"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0.64</w:t>
            </w:r>
          </w:p>
        </w:tc>
        <w:tc>
          <w:tcPr>
            <w:tcW w:w="596" w:type="dxa"/>
            <w:tcBorders>
              <w:top w:val="nil"/>
              <w:left w:val="nil"/>
              <w:bottom w:val="single" w:sz="4" w:space="0" w:color="auto"/>
              <w:right w:val="single" w:sz="4" w:space="0" w:color="auto"/>
            </w:tcBorders>
            <w:shd w:val="clear" w:color="auto" w:fill="auto"/>
            <w:noWrap/>
            <w:vAlign w:val="bottom"/>
            <w:hideMark/>
          </w:tcPr>
          <w:p w14:paraId="1897757D"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0.69</w:t>
            </w:r>
          </w:p>
        </w:tc>
      </w:tr>
      <w:tr w:rsidR="00FE2EC1" w:rsidRPr="00FE2EC1" w14:paraId="64BFDFEA"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FA9160E"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Stock Holding Days </w:t>
            </w:r>
          </w:p>
        </w:tc>
      </w:tr>
      <w:tr w:rsidR="00FE2EC1" w:rsidRPr="00FE2EC1" w14:paraId="3ECACAC7" w14:textId="77777777" w:rsidTr="00FE2EC1">
        <w:trPr>
          <w:trHeight w:val="70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2FFE0321"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Stock Holding Days = Inventory / Cost of </w:t>
            </w:r>
            <w:proofErr w:type="spellStart"/>
            <w:r w:rsidRPr="00FE2EC1">
              <w:rPr>
                <w:rFonts w:ascii="Times New Roman" w:eastAsia="Times New Roman" w:hAnsi="Times New Roman" w:cs="Times New Roman"/>
                <w:color w:val="000000"/>
                <w:sz w:val="20"/>
                <w:szCs w:val="20"/>
                <w:lang w:val="en-GB" w:eastAsia="en-GB"/>
              </w:rPr>
              <w:t>Good</w:t>
            </w:r>
            <w:proofErr w:type="spellEnd"/>
            <w:r w:rsidRPr="00FE2EC1">
              <w:rPr>
                <w:rFonts w:ascii="Times New Roman" w:eastAsia="Times New Roman" w:hAnsi="Times New Roman" w:cs="Times New Roman"/>
                <w:color w:val="000000"/>
                <w:sz w:val="20"/>
                <w:szCs w:val="20"/>
                <w:lang w:val="en-GB" w:eastAsia="en-GB"/>
              </w:rPr>
              <w:t xml:space="preserve"> Sold x 365</w:t>
            </w:r>
          </w:p>
        </w:tc>
      </w:tr>
      <w:tr w:rsidR="00FE2EC1" w:rsidRPr="00FE2EC1" w14:paraId="5A0CBC54"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D1FA34"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Inventory </w:t>
            </w:r>
          </w:p>
        </w:tc>
        <w:tc>
          <w:tcPr>
            <w:tcW w:w="707" w:type="dxa"/>
            <w:tcBorders>
              <w:top w:val="nil"/>
              <w:left w:val="nil"/>
              <w:bottom w:val="single" w:sz="4" w:space="0" w:color="auto"/>
              <w:right w:val="single" w:sz="4" w:space="0" w:color="auto"/>
            </w:tcBorders>
            <w:shd w:val="clear" w:color="auto" w:fill="auto"/>
            <w:noWrap/>
            <w:vAlign w:val="bottom"/>
            <w:hideMark/>
          </w:tcPr>
          <w:p w14:paraId="0678626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659</w:t>
            </w:r>
          </w:p>
        </w:tc>
        <w:tc>
          <w:tcPr>
            <w:tcW w:w="596" w:type="dxa"/>
            <w:tcBorders>
              <w:top w:val="nil"/>
              <w:left w:val="nil"/>
              <w:bottom w:val="single" w:sz="4" w:space="0" w:color="auto"/>
              <w:right w:val="single" w:sz="4" w:space="0" w:color="auto"/>
            </w:tcBorders>
            <w:shd w:val="clear" w:color="auto" w:fill="auto"/>
            <w:noWrap/>
            <w:vAlign w:val="bottom"/>
            <w:hideMark/>
          </w:tcPr>
          <w:p w14:paraId="5364B8A7"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708</w:t>
            </w:r>
          </w:p>
        </w:tc>
      </w:tr>
      <w:tr w:rsidR="00FE2EC1" w:rsidRPr="00FE2EC1" w14:paraId="163E26A7"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1BE4E"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Cost of </w:t>
            </w:r>
            <w:proofErr w:type="spellStart"/>
            <w:r w:rsidRPr="00FE2EC1">
              <w:rPr>
                <w:rFonts w:ascii="Times New Roman" w:eastAsia="Times New Roman" w:hAnsi="Times New Roman" w:cs="Times New Roman"/>
                <w:i/>
                <w:iCs/>
                <w:color w:val="000000"/>
                <w:sz w:val="20"/>
                <w:szCs w:val="20"/>
                <w:lang w:val="en-GB" w:eastAsia="en-GB"/>
              </w:rPr>
              <w:t>Good</w:t>
            </w:r>
            <w:proofErr w:type="spellEnd"/>
            <w:r w:rsidRPr="00FE2EC1">
              <w:rPr>
                <w:rFonts w:ascii="Times New Roman" w:eastAsia="Times New Roman" w:hAnsi="Times New Roman" w:cs="Times New Roman"/>
                <w:i/>
                <w:iCs/>
                <w:color w:val="000000"/>
                <w:sz w:val="20"/>
                <w:szCs w:val="20"/>
                <w:lang w:val="en-GB" w:eastAsia="en-GB"/>
              </w:rPr>
              <w:t xml:space="preserve"> Sold </w:t>
            </w:r>
          </w:p>
        </w:tc>
        <w:tc>
          <w:tcPr>
            <w:tcW w:w="707" w:type="dxa"/>
            <w:tcBorders>
              <w:top w:val="nil"/>
              <w:left w:val="nil"/>
              <w:bottom w:val="single" w:sz="4" w:space="0" w:color="auto"/>
              <w:right w:val="single" w:sz="4" w:space="0" w:color="auto"/>
            </w:tcBorders>
            <w:shd w:val="clear" w:color="auto" w:fill="auto"/>
            <w:noWrap/>
            <w:vAlign w:val="bottom"/>
            <w:hideMark/>
          </w:tcPr>
          <w:p w14:paraId="190E7D5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3097</w:t>
            </w:r>
          </w:p>
        </w:tc>
        <w:tc>
          <w:tcPr>
            <w:tcW w:w="596" w:type="dxa"/>
            <w:tcBorders>
              <w:top w:val="nil"/>
              <w:left w:val="nil"/>
              <w:bottom w:val="single" w:sz="4" w:space="0" w:color="auto"/>
              <w:right w:val="single" w:sz="4" w:space="0" w:color="auto"/>
            </w:tcBorders>
            <w:shd w:val="clear" w:color="auto" w:fill="auto"/>
            <w:noWrap/>
            <w:vAlign w:val="bottom"/>
            <w:hideMark/>
          </w:tcPr>
          <w:p w14:paraId="5BEC607B"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3235</w:t>
            </w:r>
          </w:p>
        </w:tc>
      </w:tr>
      <w:tr w:rsidR="00FE2EC1" w:rsidRPr="00FE2EC1" w14:paraId="096C45E0"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5D9195"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Stock Holding Days </w:t>
            </w:r>
          </w:p>
        </w:tc>
        <w:tc>
          <w:tcPr>
            <w:tcW w:w="707" w:type="dxa"/>
            <w:tcBorders>
              <w:top w:val="nil"/>
              <w:left w:val="nil"/>
              <w:bottom w:val="single" w:sz="4" w:space="0" w:color="auto"/>
              <w:right w:val="single" w:sz="4" w:space="0" w:color="auto"/>
            </w:tcBorders>
            <w:shd w:val="clear" w:color="auto" w:fill="auto"/>
            <w:noWrap/>
            <w:vAlign w:val="bottom"/>
            <w:hideMark/>
          </w:tcPr>
          <w:p w14:paraId="45A6F4D1"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78</w:t>
            </w:r>
          </w:p>
        </w:tc>
        <w:tc>
          <w:tcPr>
            <w:tcW w:w="596" w:type="dxa"/>
            <w:tcBorders>
              <w:top w:val="nil"/>
              <w:left w:val="nil"/>
              <w:bottom w:val="single" w:sz="4" w:space="0" w:color="auto"/>
              <w:right w:val="single" w:sz="4" w:space="0" w:color="auto"/>
            </w:tcBorders>
            <w:shd w:val="clear" w:color="auto" w:fill="auto"/>
            <w:noWrap/>
            <w:vAlign w:val="bottom"/>
            <w:hideMark/>
          </w:tcPr>
          <w:p w14:paraId="310AE126"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80</w:t>
            </w:r>
          </w:p>
        </w:tc>
      </w:tr>
      <w:tr w:rsidR="00FE2EC1" w:rsidRPr="00FE2EC1" w14:paraId="29691979"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9C15867"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Debtors Collection Period </w:t>
            </w:r>
          </w:p>
        </w:tc>
      </w:tr>
      <w:tr w:rsidR="00FE2EC1" w:rsidRPr="00FE2EC1" w14:paraId="4CD6DFC0" w14:textId="77777777" w:rsidTr="00FE2EC1">
        <w:trPr>
          <w:trHeight w:val="732"/>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4002F752"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lastRenderedPageBreak/>
              <w:t xml:space="preserve">Formula of Debtors </w:t>
            </w:r>
            <w:proofErr w:type="gramStart"/>
            <w:r w:rsidRPr="00FE2EC1">
              <w:rPr>
                <w:rFonts w:ascii="Times New Roman" w:eastAsia="Times New Roman" w:hAnsi="Times New Roman" w:cs="Times New Roman"/>
                <w:color w:val="000000"/>
                <w:sz w:val="20"/>
                <w:szCs w:val="20"/>
                <w:lang w:val="en-GB" w:eastAsia="en-GB"/>
              </w:rPr>
              <w:t>Collection  Days</w:t>
            </w:r>
            <w:proofErr w:type="gramEnd"/>
            <w:r w:rsidRPr="00FE2EC1">
              <w:rPr>
                <w:rFonts w:ascii="Times New Roman" w:eastAsia="Times New Roman" w:hAnsi="Times New Roman" w:cs="Times New Roman"/>
                <w:color w:val="000000"/>
                <w:sz w:val="20"/>
                <w:szCs w:val="20"/>
                <w:lang w:val="en-GB" w:eastAsia="en-GB"/>
              </w:rPr>
              <w:t xml:space="preserve"> = Debtors/ Sales Turnover x 365</w:t>
            </w:r>
          </w:p>
        </w:tc>
      </w:tr>
      <w:tr w:rsidR="00FE2EC1" w:rsidRPr="00FE2EC1" w14:paraId="6F5F75A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52B638"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Debtors </w:t>
            </w:r>
          </w:p>
        </w:tc>
        <w:tc>
          <w:tcPr>
            <w:tcW w:w="707" w:type="dxa"/>
            <w:tcBorders>
              <w:top w:val="nil"/>
              <w:left w:val="nil"/>
              <w:bottom w:val="single" w:sz="4" w:space="0" w:color="auto"/>
              <w:right w:val="single" w:sz="4" w:space="0" w:color="auto"/>
            </w:tcBorders>
            <w:shd w:val="clear" w:color="auto" w:fill="auto"/>
            <w:noWrap/>
            <w:vAlign w:val="bottom"/>
            <w:hideMark/>
          </w:tcPr>
          <w:p w14:paraId="02256AA6"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1278</w:t>
            </w:r>
          </w:p>
        </w:tc>
        <w:tc>
          <w:tcPr>
            <w:tcW w:w="596" w:type="dxa"/>
            <w:tcBorders>
              <w:top w:val="nil"/>
              <w:left w:val="nil"/>
              <w:bottom w:val="single" w:sz="4" w:space="0" w:color="auto"/>
              <w:right w:val="single" w:sz="4" w:space="0" w:color="auto"/>
            </w:tcBorders>
            <w:shd w:val="clear" w:color="auto" w:fill="auto"/>
            <w:noWrap/>
            <w:vAlign w:val="bottom"/>
            <w:hideMark/>
          </w:tcPr>
          <w:p w14:paraId="70790FC9"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1249</w:t>
            </w:r>
          </w:p>
        </w:tc>
      </w:tr>
      <w:tr w:rsidR="00FE2EC1" w:rsidRPr="00FE2EC1" w14:paraId="4585FEF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324EBB"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Sales Turnover </w:t>
            </w:r>
          </w:p>
        </w:tc>
        <w:tc>
          <w:tcPr>
            <w:tcW w:w="707" w:type="dxa"/>
            <w:tcBorders>
              <w:top w:val="nil"/>
              <w:left w:val="nil"/>
              <w:bottom w:val="single" w:sz="4" w:space="0" w:color="auto"/>
              <w:right w:val="single" w:sz="4" w:space="0" w:color="auto"/>
            </w:tcBorders>
            <w:shd w:val="clear" w:color="auto" w:fill="auto"/>
            <w:noWrap/>
            <w:vAlign w:val="bottom"/>
            <w:hideMark/>
          </w:tcPr>
          <w:p w14:paraId="71033086"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6441</w:t>
            </w:r>
          </w:p>
        </w:tc>
        <w:tc>
          <w:tcPr>
            <w:tcW w:w="596" w:type="dxa"/>
            <w:tcBorders>
              <w:top w:val="nil"/>
              <w:left w:val="nil"/>
              <w:bottom w:val="single" w:sz="4" w:space="0" w:color="auto"/>
              <w:right w:val="single" w:sz="4" w:space="0" w:color="auto"/>
            </w:tcBorders>
            <w:shd w:val="clear" w:color="auto" w:fill="auto"/>
            <w:noWrap/>
            <w:vAlign w:val="bottom"/>
            <w:hideMark/>
          </w:tcPr>
          <w:p w14:paraId="226987A8"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6738</w:t>
            </w:r>
          </w:p>
        </w:tc>
      </w:tr>
      <w:tr w:rsidR="00FE2EC1" w:rsidRPr="00FE2EC1" w14:paraId="61059DC5"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40A46"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Debtors Collection Period </w:t>
            </w:r>
          </w:p>
        </w:tc>
        <w:tc>
          <w:tcPr>
            <w:tcW w:w="707" w:type="dxa"/>
            <w:tcBorders>
              <w:top w:val="nil"/>
              <w:left w:val="nil"/>
              <w:bottom w:val="single" w:sz="4" w:space="0" w:color="auto"/>
              <w:right w:val="single" w:sz="4" w:space="0" w:color="auto"/>
            </w:tcBorders>
            <w:shd w:val="clear" w:color="auto" w:fill="auto"/>
            <w:noWrap/>
            <w:vAlign w:val="bottom"/>
            <w:hideMark/>
          </w:tcPr>
          <w:p w14:paraId="0A5AFB85"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72</w:t>
            </w:r>
          </w:p>
        </w:tc>
        <w:tc>
          <w:tcPr>
            <w:tcW w:w="596" w:type="dxa"/>
            <w:tcBorders>
              <w:top w:val="nil"/>
              <w:left w:val="nil"/>
              <w:bottom w:val="single" w:sz="4" w:space="0" w:color="auto"/>
              <w:right w:val="single" w:sz="4" w:space="0" w:color="auto"/>
            </w:tcBorders>
            <w:shd w:val="clear" w:color="auto" w:fill="auto"/>
            <w:noWrap/>
            <w:vAlign w:val="bottom"/>
            <w:hideMark/>
          </w:tcPr>
          <w:p w14:paraId="5F6FD9DB"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68</w:t>
            </w:r>
          </w:p>
        </w:tc>
      </w:tr>
      <w:tr w:rsidR="00FE2EC1" w:rsidRPr="00FE2EC1" w14:paraId="38DDD01A"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F826808"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Current Ratio </w:t>
            </w:r>
          </w:p>
        </w:tc>
      </w:tr>
      <w:tr w:rsidR="00FE2EC1" w:rsidRPr="00FE2EC1" w14:paraId="0284F49F" w14:textId="77777777" w:rsidTr="00FE2EC1">
        <w:trPr>
          <w:trHeight w:val="672"/>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30853D14"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Current Ratio = Current Assets / Current Liabilities </w:t>
            </w:r>
          </w:p>
        </w:tc>
      </w:tr>
      <w:tr w:rsidR="00FE2EC1" w:rsidRPr="00FE2EC1" w14:paraId="65FEED9E"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A92EC2"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Current Assets </w:t>
            </w:r>
          </w:p>
        </w:tc>
        <w:tc>
          <w:tcPr>
            <w:tcW w:w="707" w:type="dxa"/>
            <w:tcBorders>
              <w:top w:val="nil"/>
              <w:left w:val="nil"/>
              <w:bottom w:val="single" w:sz="4" w:space="0" w:color="auto"/>
              <w:right w:val="single" w:sz="4" w:space="0" w:color="auto"/>
            </w:tcBorders>
            <w:shd w:val="clear" w:color="auto" w:fill="auto"/>
            <w:noWrap/>
            <w:vAlign w:val="bottom"/>
            <w:hideMark/>
          </w:tcPr>
          <w:p w14:paraId="1273AEC2"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2355</w:t>
            </w:r>
          </w:p>
        </w:tc>
        <w:tc>
          <w:tcPr>
            <w:tcW w:w="596" w:type="dxa"/>
            <w:tcBorders>
              <w:top w:val="nil"/>
              <w:left w:val="nil"/>
              <w:bottom w:val="single" w:sz="4" w:space="0" w:color="auto"/>
              <w:right w:val="single" w:sz="4" w:space="0" w:color="auto"/>
            </w:tcBorders>
            <w:shd w:val="clear" w:color="auto" w:fill="auto"/>
            <w:noWrap/>
            <w:vAlign w:val="bottom"/>
            <w:hideMark/>
          </w:tcPr>
          <w:p w14:paraId="7B0410A1"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2305</w:t>
            </w:r>
          </w:p>
        </w:tc>
      </w:tr>
      <w:tr w:rsidR="00FE2EC1" w:rsidRPr="00FE2EC1" w14:paraId="75C9E838"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EEAD6C"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Current </w:t>
            </w:r>
            <w:proofErr w:type="spellStart"/>
            <w:r w:rsidRPr="00FE2EC1">
              <w:rPr>
                <w:rFonts w:ascii="Times New Roman" w:eastAsia="Times New Roman" w:hAnsi="Times New Roman" w:cs="Times New Roman"/>
                <w:i/>
                <w:iCs/>
                <w:color w:val="000000"/>
                <w:sz w:val="20"/>
                <w:szCs w:val="20"/>
                <w:lang w:val="en-GB" w:eastAsia="en-GB"/>
              </w:rPr>
              <w:t>Liabilties</w:t>
            </w:r>
            <w:proofErr w:type="spellEnd"/>
            <w:r w:rsidRPr="00FE2EC1">
              <w:rPr>
                <w:rFonts w:ascii="Times New Roman" w:eastAsia="Times New Roman" w:hAnsi="Times New Roman" w:cs="Times New Roman"/>
                <w:i/>
                <w:iCs/>
                <w:color w:val="000000"/>
                <w:sz w:val="20"/>
                <w:szCs w:val="20"/>
                <w:lang w:val="en-GB" w:eastAsia="en-GB"/>
              </w:rPr>
              <w:t xml:space="preserve"> </w:t>
            </w:r>
          </w:p>
        </w:tc>
        <w:tc>
          <w:tcPr>
            <w:tcW w:w="707" w:type="dxa"/>
            <w:tcBorders>
              <w:top w:val="nil"/>
              <w:left w:val="nil"/>
              <w:bottom w:val="single" w:sz="4" w:space="0" w:color="auto"/>
              <w:right w:val="single" w:sz="4" w:space="0" w:color="auto"/>
            </w:tcBorders>
            <w:shd w:val="clear" w:color="auto" w:fill="auto"/>
            <w:noWrap/>
            <w:vAlign w:val="bottom"/>
            <w:hideMark/>
          </w:tcPr>
          <w:p w14:paraId="027FFF1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3046</w:t>
            </w:r>
          </w:p>
        </w:tc>
        <w:tc>
          <w:tcPr>
            <w:tcW w:w="596" w:type="dxa"/>
            <w:tcBorders>
              <w:top w:val="nil"/>
              <w:left w:val="nil"/>
              <w:bottom w:val="single" w:sz="4" w:space="0" w:color="auto"/>
              <w:right w:val="single" w:sz="4" w:space="0" w:color="auto"/>
            </w:tcBorders>
            <w:shd w:val="clear" w:color="auto" w:fill="auto"/>
            <w:noWrap/>
            <w:vAlign w:val="bottom"/>
            <w:hideMark/>
          </w:tcPr>
          <w:p w14:paraId="036932A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2511</w:t>
            </w:r>
          </w:p>
        </w:tc>
      </w:tr>
      <w:tr w:rsidR="00FE2EC1" w:rsidRPr="00FE2EC1" w14:paraId="62569DFC"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DEA737"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Debtors Collection Period </w:t>
            </w:r>
          </w:p>
        </w:tc>
        <w:tc>
          <w:tcPr>
            <w:tcW w:w="707" w:type="dxa"/>
            <w:tcBorders>
              <w:top w:val="nil"/>
              <w:left w:val="nil"/>
              <w:bottom w:val="single" w:sz="4" w:space="0" w:color="auto"/>
              <w:right w:val="single" w:sz="4" w:space="0" w:color="auto"/>
            </w:tcBorders>
            <w:shd w:val="clear" w:color="auto" w:fill="auto"/>
            <w:noWrap/>
            <w:vAlign w:val="bottom"/>
            <w:hideMark/>
          </w:tcPr>
          <w:p w14:paraId="41C1D5DA"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0.77</w:t>
            </w:r>
          </w:p>
        </w:tc>
        <w:tc>
          <w:tcPr>
            <w:tcW w:w="596" w:type="dxa"/>
            <w:tcBorders>
              <w:top w:val="nil"/>
              <w:left w:val="nil"/>
              <w:bottom w:val="single" w:sz="4" w:space="0" w:color="auto"/>
              <w:right w:val="single" w:sz="4" w:space="0" w:color="auto"/>
            </w:tcBorders>
            <w:shd w:val="clear" w:color="auto" w:fill="auto"/>
            <w:noWrap/>
            <w:vAlign w:val="bottom"/>
            <w:hideMark/>
          </w:tcPr>
          <w:p w14:paraId="4435E31D"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0.92</w:t>
            </w:r>
          </w:p>
        </w:tc>
      </w:tr>
      <w:tr w:rsidR="00FE2EC1" w:rsidRPr="00FE2EC1" w14:paraId="33BA55F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F7AD35"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Gearing Ratio </w:t>
            </w:r>
          </w:p>
        </w:tc>
        <w:tc>
          <w:tcPr>
            <w:tcW w:w="707" w:type="dxa"/>
            <w:tcBorders>
              <w:top w:val="nil"/>
              <w:left w:val="nil"/>
              <w:bottom w:val="single" w:sz="4" w:space="0" w:color="auto"/>
              <w:right w:val="single" w:sz="4" w:space="0" w:color="auto"/>
            </w:tcBorders>
            <w:shd w:val="clear" w:color="auto" w:fill="auto"/>
            <w:noWrap/>
            <w:vAlign w:val="bottom"/>
            <w:hideMark/>
          </w:tcPr>
          <w:p w14:paraId="4BBC89DE"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1B01EBA8"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70ABD887"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81891B"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Gearing Ratio = Debt +Debt / Equity </w:t>
            </w:r>
          </w:p>
        </w:tc>
        <w:tc>
          <w:tcPr>
            <w:tcW w:w="707" w:type="dxa"/>
            <w:tcBorders>
              <w:top w:val="nil"/>
              <w:left w:val="nil"/>
              <w:bottom w:val="single" w:sz="4" w:space="0" w:color="auto"/>
              <w:right w:val="single" w:sz="4" w:space="0" w:color="auto"/>
            </w:tcBorders>
            <w:shd w:val="clear" w:color="auto" w:fill="auto"/>
            <w:noWrap/>
            <w:vAlign w:val="bottom"/>
            <w:hideMark/>
          </w:tcPr>
          <w:p w14:paraId="1A757B25"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c>
          <w:tcPr>
            <w:tcW w:w="596" w:type="dxa"/>
            <w:tcBorders>
              <w:top w:val="nil"/>
              <w:left w:val="nil"/>
              <w:bottom w:val="single" w:sz="4" w:space="0" w:color="auto"/>
              <w:right w:val="single" w:sz="4" w:space="0" w:color="auto"/>
            </w:tcBorders>
            <w:shd w:val="clear" w:color="auto" w:fill="auto"/>
            <w:noWrap/>
            <w:vAlign w:val="bottom"/>
            <w:hideMark/>
          </w:tcPr>
          <w:p w14:paraId="280205F9"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w:t>
            </w:r>
          </w:p>
        </w:tc>
      </w:tr>
      <w:tr w:rsidR="00FE2EC1" w:rsidRPr="00FE2EC1" w14:paraId="575E8450"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9EA04B"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Debt</w:t>
            </w:r>
          </w:p>
        </w:tc>
        <w:tc>
          <w:tcPr>
            <w:tcW w:w="707" w:type="dxa"/>
            <w:tcBorders>
              <w:top w:val="nil"/>
              <w:left w:val="nil"/>
              <w:bottom w:val="single" w:sz="4" w:space="0" w:color="auto"/>
              <w:right w:val="single" w:sz="4" w:space="0" w:color="auto"/>
            </w:tcBorders>
            <w:shd w:val="clear" w:color="auto" w:fill="auto"/>
            <w:noWrap/>
            <w:vAlign w:val="bottom"/>
            <w:hideMark/>
          </w:tcPr>
          <w:p w14:paraId="5F780A6D"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7175</w:t>
            </w:r>
          </w:p>
        </w:tc>
        <w:tc>
          <w:tcPr>
            <w:tcW w:w="596" w:type="dxa"/>
            <w:tcBorders>
              <w:top w:val="nil"/>
              <w:left w:val="nil"/>
              <w:bottom w:val="single" w:sz="4" w:space="0" w:color="auto"/>
              <w:right w:val="single" w:sz="4" w:space="0" w:color="auto"/>
            </w:tcBorders>
            <w:shd w:val="clear" w:color="auto" w:fill="auto"/>
            <w:noWrap/>
            <w:vAlign w:val="bottom"/>
            <w:hideMark/>
          </w:tcPr>
          <w:p w14:paraId="1B34E5BF"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6648</w:t>
            </w:r>
          </w:p>
        </w:tc>
      </w:tr>
      <w:tr w:rsidR="00FE2EC1" w:rsidRPr="00FE2EC1" w14:paraId="4570ED7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06C62E"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Equity </w:t>
            </w:r>
          </w:p>
        </w:tc>
        <w:tc>
          <w:tcPr>
            <w:tcW w:w="707" w:type="dxa"/>
            <w:tcBorders>
              <w:top w:val="nil"/>
              <w:left w:val="nil"/>
              <w:bottom w:val="single" w:sz="4" w:space="0" w:color="auto"/>
              <w:right w:val="single" w:sz="4" w:space="0" w:color="auto"/>
            </w:tcBorders>
            <w:shd w:val="clear" w:color="auto" w:fill="auto"/>
            <w:noWrap/>
            <w:vAlign w:val="bottom"/>
            <w:hideMark/>
          </w:tcPr>
          <w:p w14:paraId="7EEDB9BC"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10087</w:t>
            </w:r>
          </w:p>
        </w:tc>
        <w:tc>
          <w:tcPr>
            <w:tcW w:w="596" w:type="dxa"/>
            <w:tcBorders>
              <w:top w:val="nil"/>
              <w:left w:val="nil"/>
              <w:bottom w:val="single" w:sz="4" w:space="0" w:color="auto"/>
              <w:right w:val="single" w:sz="4" w:space="0" w:color="auto"/>
            </w:tcBorders>
            <w:shd w:val="clear" w:color="auto" w:fill="auto"/>
            <w:noWrap/>
            <w:vAlign w:val="bottom"/>
            <w:hideMark/>
          </w:tcPr>
          <w:p w14:paraId="00FB5823"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9736</w:t>
            </w:r>
          </w:p>
        </w:tc>
      </w:tr>
      <w:tr w:rsidR="00FE2EC1" w:rsidRPr="00FE2EC1" w14:paraId="42178536"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53A5C9"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Debtors Collection Period </w:t>
            </w:r>
          </w:p>
        </w:tc>
        <w:tc>
          <w:tcPr>
            <w:tcW w:w="707" w:type="dxa"/>
            <w:tcBorders>
              <w:top w:val="nil"/>
              <w:left w:val="nil"/>
              <w:bottom w:val="single" w:sz="4" w:space="0" w:color="auto"/>
              <w:right w:val="single" w:sz="4" w:space="0" w:color="auto"/>
            </w:tcBorders>
            <w:shd w:val="clear" w:color="auto" w:fill="auto"/>
            <w:noWrap/>
            <w:vAlign w:val="bottom"/>
            <w:hideMark/>
          </w:tcPr>
          <w:p w14:paraId="5C0BD900"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1.42</w:t>
            </w:r>
          </w:p>
        </w:tc>
        <w:tc>
          <w:tcPr>
            <w:tcW w:w="596" w:type="dxa"/>
            <w:tcBorders>
              <w:top w:val="nil"/>
              <w:left w:val="nil"/>
              <w:bottom w:val="single" w:sz="4" w:space="0" w:color="auto"/>
              <w:right w:val="single" w:sz="4" w:space="0" w:color="auto"/>
            </w:tcBorders>
            <w:shd w:val="clear" w:color="auto" w:fill="auto"/>
            <w:noWrap/>
            <w:vAlign w:val="bottom"/>
            <w:hideMark/>
          </w:tcPr>
          <w:p w14:paraId="4D90ABB1"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1.37</w:t>
            </w:r>
          </w:p>
        </w:tc>
      </w:tr>
      <w:tr w:rsidR="00FE2EC1" w:rsidRPr="00FE2EC1" w14:paraId="07487549" w14:textId="77777777" w:rsidTr="00FE2EC1">
        <w:trPr>
          <w:trHeight w:val="288"/>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B5E2F47" w14:textId="77777777" w:rsidR="00FE2EC1" w:rsidRPr="00FE2EC1" w:rsidRDefault="00FE2EC1" w:rsidP="00FE2EC1">
            <w:pPr>
              <w:spacing w:line="240" w:lineRule="auto"/>
              <w:rPr>
                <w:rFonts w:ascii="Times New Roman" w:eastAsia="Times New Roman" w:hAnsi="Times New Roman" w:cs="Times New Roman"/>
                <w:b/>
                <w:bCs/>
                <w:i/>
                <w:iCs/>
                <w:color w:val="000000"/>
                <w:sz w:val="20"/>
                <w:szCs w:val="20"/>
                <w:u w:val="single"/>
                <w:lang w:val="en-GB" w:eastAsia="en-GB"/>
              </w:rPr>
            </w:pPr>
            <w:r w:rsidRPr="00FE2EC1">
              <w:rPr>
                <w:rFonts w:ascii="Times New Roman" w:eastAsia="Times New Roman" w:hAnsi="Times New Roman" w:cs="Times New Roman"/>
                <w:b/>
                <w:bCs/>
                <w:i/>
                <w:iCs/>
                <w:color w:val="000000"/>
                <w:sz w:val="20"/>
                <w:szCs w:val="20"/>
                <w:u w:val="single"/>
                <w:lang w:val="en-GB" w:eastAsia="en-GB"/>
              </w:rPr>
              <w:t xml:space="preserve">Interest Cover Ratio </w:t>
            </w:r>
          </w:p>
        </w:tc>
      </w:tr>
      <w:tr w:rsidR="00FE2EC1" w:rsidRPr="00FE2EC1" w14:paraId="790EBBF9" w14:textId="77777777" w:rsidTr="00FE2EC1">
        <w:trPr>
          <w:trHeight w:val="564"/>
        </w:trPr>
        <w:tc>
          <w:tcPr>
            <w:tcW w:w="6640" w:type="dxa"/>
            <w:gridSpan w:val="3"/>
            <w:tcBorders>
              <w:top w:val="single" w:sz="4" w:space="0" w:color="auto"/>
              <w:left w:val="single" w:sz="4" w:space="0" w:color="auto"/>
              <w:bottom w:val="single" w:sz="4" w:space="0" w:color="auto"/>
              <w:right w:val="single" w:sz="4" w:space="0" w:color="000000"/>
            </w:tcBorders>
            <w:shd w:val="clear" w:color="auto" w:fill="auto"/>
            <w:vAlign w:val="center"/>
            <w:hideMark/>
          </w:tcPr>
          <w:p w14:paraId="01C837BB" w14:textId="77777777" w:rsidR="00FE2EC1" w:rsidRPr="00FE2EC1" w:rsidRDefault="00FE2EC1" w:rsidP="00FE2EC1">
            <w:pPr>
              <w:spacing w:line="240" w:lineRule="auto"/>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 xml:space="preserve">Formula of Interest Cover Ratio = Current Assets - Current Liabilities / Inventories </w:t>
            </w:r>
          </w:p>
        </w:tc>
      </w:tr>
      <w:tr w:rsidR="00FE2EC1" w:rsidRPr="00FE2EC1" w14:paraId="5571CC1F"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4E44C2"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Current Assets </w:t>
            </w:r>
          </w:p>
        </w:tc>
        <w:tc>
          <w:tcPr>
            <w:tcW w:w="707" w:type="dxa"/>
            <w:tcBorders>
              <w:top w:val="nil"/>
              <w:left w:val="nil"/>
              <w:bottom w:val="single" w:sz="4" w:space="0" w:color="auto"/>
              <w:right w:val="single" w:sz="4" w:space="0" w:color="auto"/>
            </w:tcBorders>
            <w:shd w:val="clear" w:color="auto" w:fill="auto"/>
            <w:noWrap/>
            <w:vAlign w:val="bottom"/>
            <w:hideMark/>
          </w:tcPr>
          <w:p w14:paraId="66B09646"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2355</w:t>
            </w:r>
          </w:p>
        </w:tc>
        <w:tc>
          <w:tcPr>
            <w:tcW w:w="596" w:type="dxa"/>
            <w:tcBorders>
              <w:top w:val="nil"/>
              <w:left w:val="nil"/>
              <w:bottom w:val="single" w:sz="4" w:space="0" w:color="auto"/>
              <w:right w:val="single" w:sz="4" w:space="0" w:color="auto"/>
            </w:tcBorders>
            <w:shd w:val="clear" w:color="auto" w:fill="auto"/>
            <w:noWrap/>
            <w:vAlign w:val="bottom"/>
            <w:hideMark/>
          </w:tcPr>
          <w:p w14:paraId="1F81E66E"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2305</w:t>
            </w:r>
          </w:p>
        </w:tc>
      </w:tr>
      <w:tr w:rsidR="00FE2EC1" w:rsidRPr="00FE2EC1" w14:paraId="1E8CEB76"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B0AA04"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 xml:space="preserve">Current </w:t>
            </w:r>
            <w:proofErr w:type="spellStart"/>
            <w:r w:rsidRPr="00FE2EC1">
              <w:rPr>
                <w:rFonts w:ascii="Times New Roman" w:eastAsia="Times New Roman" w:hAnsi="Times New Roman" w:cs="Times New Roman"/>
                <w:i/>
                <w:iCs/>
                <w:color w:val="000000"/>
                <w:sz w:val="20"/>
                <w:szCs w:val="20"/>
                <w:lang w:val="en-GB" w:eastAsia="en-GB"/>
              </w:rPr>
              <w:t>Liabilties</w:t>
            </w:r>
            <w:proofErr w:type="spellEnd"/>
            <w:r w:rsidRPr="00FE2EC1">
              <w:rPr>
                <w:rFonts w:ascii="Times New Roman" w:eastAsia="Times New Roman" w:hAnsi="Times New Roman" w:cs="Times New Roman"/>
                <w:i/>
                <w:iCs/>
                <w:color w:val="000000"/>
                <w:sz w:val="20"/>
                <w:szCs w:val="20"/>
                <w:lang w:val="en-GB" w:eastAsia="en-GB"/>
              </w:rPr>
              <w:t xml:space="preserve"> </w:t>
            </w:r>
          </w:p>
        </w:tc>
        <w:tc>
          <w:tcPr>
            <w:tcW w:w="707" w:type="dxa"/>
            <w:tcBorders>
              <w:top w:val="nil"/>
              <w:left w:val="nil"/>
              <w:bottom w:val="single" w:sz="4" w:space="0" w:color="auto"/>
              <w:right w:val="single" w:sz="4" w:space="0" w:color="auto"/>
            </w:tcBorders>
            <w:shd w:val="clear" w:color="auto" w:fill="auto"/>
            <w:noWrap/>
            <w:vAlign w:val="bottom"/>
            <w:hideMark/>
          </w:tcPr>
          <w:p w14:paraId="59770C61"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3046</w:t>
            </w:r>
          </w:p>
        </w:tc>
        <w:tc>
          <w:tcPr>
            <w:tcW w:w="596" w:type="dxa"/>
            <w:tcBorders>
              <w:top w:val="nil"/>
              <w:left w:val="nil"/>
              <w:bottom w:val="single" w:sz="4" w:space="0" w:color="auto"/>
              <w:right w:val="single" w:sz="4" w:space="0" w:color="auto"/>
            </w:tcBorders>
            <w:shd w:val="clear" w:color="auto" w:fill="auto"/>
            <w:noWrap/>
            <w:vAlign w:val="bottom"/>
            <w:hideMark/>
          </w:tcPr>
          <w:p w14:paraId="4722D688"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2511</w:t>
            </w:r>
          </w:p>
        </w:tc>
      </w:tr>
      <w:tr w:rsidR="00FE2EC1" w:rsidRPr="00FE2EC1" w14:paraId="3579583D"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31CF5B" w14:textId="77777777" w:rsidR="00FE2EC1" w:rsidRPr="00FE2EC1" w:rsidRDefault="00FE2EC1" w:rsidP="00FE2EC1">
            <w:pPr>
              <w:spacing w:line="240" w:lineRule="auto"/>
              <w:rPr>
                <w:rFonts w:ascii="Times New Roman" w:eastAsia="Times New Roman" w:hAnsi="Times New Roman" w:cs="Times New Roman"/>
                <w:i/>
                <w:iCs/>
                <w:color w:val="000000"/>
                <w:sz w:val="20"/>
                <w:szCs w:val="20"/>
                <w:lang w:val="en-GB" w:eastAsia="en-GB"/>
              </w:rPr>
            </w:pPr>
            <w:r w:rsidRPr="00FE2EC1">
              <w:rPr>
                <w:rFonts w:ascii="Times New Roman" w:eastAsia="Times New Roman" w:hAnsi="Times New Roman" w:cs="Times New Roman"/>
                <w:i/>
                <w:iCs/>
                <w:color w:val="000000"/>
                <w:sz w:val="20"/>
                <w:szCs w:val="20"/>
                <w:lang w:val="en-GB" w:eastAsia="en-GB"/>
              </w:rPr>
              <w:t>Inventories</w:t>
            </w:r>
          </w:p>
        </w:tc>
        <w:tc>
          <w:tcPr>
            <w:tcW w:w="707" w:type="dxa"/>
            <w:tcBorders>
              <w:top w:val="nil"/>
              <w:left w:val="nil"/>
              <w:bottom w:val="single" w:sz="4" w:space="0" w:color="auto"/>
              <w:right w:val="single" w:sz="4" w:space="0" w:color="auto"/>
            </w:tcBorders>
            <w:shd w:val="clear" w:color="auto" w:fill="auto"/>
            <w:noWrap/>
            <w:vAlign w:val="bottom"/>
            <w:hideMark/>
          </w:tcPr>
          <w:p w14:paraId="54ECA675"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659</w:t>
            </w:r>
          </w:p>
        </w:tc>
        <w:tc>
          <w:tcPr>
            <w:tcW w:w="596" w:type="dxa"/>
            <w:tcBorders>
              <w:top w:val="nil"/>
              <w:left w:val="nil"/>
              <w:bottom w:val="single" w:sz="4" w:space="0" w:color="auto"/>
              <w:right w:val="single" w:sz="4" w:space="0" w:color="auto"/>
            </w:tcBorders>
            <w:shd w:val="clear" w:color="auto" w:fill="auto"/>
            <w:noWrap/>
            <w:vAlign w:val="bottom"/>
            <w:hideMark/>
          </w:tcPr>
          <w:p w14:paraId="15BAAC86" w14:textId="77777777" w:rsidR="00FE2EC1" w:rsidRPr="00FE2EC1" w:rsidRDefault="00FE2EC1" w:rsidP="00FE2EC1">
            <w:pPr>
              <w:spacing w:line="240" w:lineRule="auto"/>
              <w:jc w:val="right"/>
              <w:rPr>
                <w:rFonts w:ascii="Times New Roman" w:eastAsia="Times New Roman" w:hAnsi="Times New Roman" w:cs="Times New Roman"/>
                <w:color w:val="000000"/>
                <w:sz w:val="20"/>
                <w:szCs w:val="20"/>
                <w:lang w:val="en-GB" w:eastAsia="en-GB"/>
              </w:rPr>
            </w:pPr>
            <w:r w:rsidRPr="00FE2EC1">
              <w:rPr>
                <w:rFonts w:ascii="Times New Roman" w:eastAsia="Times New Roman" w:hAnsi="Times New Roman" w:cs="Times New Roman"/>
                <w:color w:val="000000"/>
                <w:sz w:val="20"/>
                <w:szCs w:val="20"/>
                <w:lang w:val="en-GB" w:eastAsia="en-GB"/>
              </w:rPr>
              <w:t>708</w:t>
            </w:r>
          </w:p>
        </w:tc>
      </w:tr>
      <w:tr w:rsidR="00FE2EC1" w:rsidRPr="00FE2EC1" w14:paraId="5C22823E" w14:textId="77777777" w:rsidTr="00FE2EC1">
        <w:trPr>
          <w:trHeight w:val="288"/>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3AE18C" w14:textId="77777777" w:rsidR="00FE2EC1" w:rsidRPr="00FE2EC1" w:rsidRDefault="00FE2EC1" w:rsidP="00FE2EC1">
            <w:pPr>
              <w:spacing w:line="240" w:lineRule="auto"/>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 xml:space="preserve">Interest Cover Ratio </w:t>
            </w:r>
          </w:p>
        </w:tc>
        <w:tc>
          <w:tcPr>
            <w:tcW w:w="707" w:type="dxa"/>
            <w:tcBorders>
              <w:top w:val="nil"/>
              <w:left w:val="nil"/>
              <w:bottom w:val="single" w:sz="4" w:space="0" w:color="auto"/>
              <w:right w:val="single" w:sz="4" w:space="0" w:color="auto"/>
            </w:tcBorders>
            <w:shd w:val="clear" w:color="auto" w:fill="auto"/>
            <w:noWrap/>
            <w:vAlign w:val="bottom"/>
            <w:hideMark/>
          </w:tcPr>
          <w:p w14:paraId="6CEB72FA"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-1.05</w:t>
            </w:r>
          </w:p>
        </w:tc>
        <w:tc>
          <w:tcPr>
            <w:tcW w:w="596" w:type="dxa"/>
            <w:tcBorders>
              <w:top w:val="nil"/>
              <w:left w:val="nil"/>
              <w:bottom w:val="single" w:sz="4" w:space="0" w:color="auto"/>
              <w:right w:val="single" w:sz="4" w:space="0" w:color="auto"/>
            </w:tcBorders>
            <w:shd w:val="clear" w:color="auto" w:fill="auto"/>
            <w:noWrap/>
            <w:vAlign w:val="bottom"/>
            <w:hideMark/>
          </w:tcPr>
          <w:p w14:paraId="1FA6C6BA" w14:textId="77777777" w:rsidR="00FE2EC1" w:rsidRPr="00FE2EC1" w:rsidRDefault="00FE2EC1" w:rsidP="00FE2EC1">
            <w:pPr>
              <w:spacing w:line="240" w:lineRule="auto"/>
              <w:jc w:val="right"/>
              <w:rPr>
                <w:rFonts w:ascii="Times New Roman" w:eastAsia="Times New Roman" w:hAnsi="Times New Roman" w:cs="Times New Roman"/>
                <w:b/>
                <w:bCs/>
                <w:color w:val="000000"/>
                <w:sz w:val="20"/>
                <w:szCs w:val="20"/>
                <w:lang w:val="en-GB" w:eastAsia="en-GB"/>
              </w:rPr>
            </w:pPr>
            <w:r w:rsidRPr="00FE2EC1">
              <w:rPr>
                <w:rFonts w:ascii="Times New Roman" w:eastAsia="Times New Roman" w:hAnsi="Times New Roman" w:cs="Times New Roman"/>
                <w:b/>
                <w:bCs/>
                <w:color w:val="000000"/>
                <w:sz w:val="20"/>
                <w:szCs w:val="20"/>
                <w:lang w:val="en-GB" w:eastAsia="en-GB"/>
              </w:rPr>
              <w:t>-0.29</w:t>
            </w:r>
          </w:p>
        </w:tc>
      </w:tr>
    </w:tbl>
    <w:p w14:paraId="0B9E63BC" w14:textId="77777777" w:rsidR="00FE2EC1" w:rsidRDefault="00FE2EC1" w:rsidP="00715E0E">
      <w:pPr>
        <w:spacing w:line="360" w:lineRule="auto"/>
        <w:jc w:val="both"/>
        <w:rPr>
          <w:rFonts w:ascii="Times New Roman" w:eastAsia="Times New Roman" w:hAnsi="Times New Roman" w:cs="Times New Roman"/>
          <w:sz w:val="24"/>
          <w:szCs w:val="24"/>
        </w:rPr>
      </w:pPr>
    </w:p>
    <w:p w14:paraId="1F213042" w14:textId="77777777" w:rsidR="00CC09E8" w:rsidRDefault="00CC09E8" w:rsidP="00715E0E">
      <w:pPr>
        <w:spacing w:line="360" w:lineRule="auto"/>
        <w:jc w:val="both"/>
        <w:rPr>
          <w:rFonts w:ascii="Times New Roman" w:eastAsia="Times New Roman" w:hAnsi="Times New Roman" w:cs="Times New Roman"/>
          <w:sz w:val="24"/>
          <w:szCs w:val="24"/>
        </w:rPr>
      </w:pPr>
    </w:p>
    <w:p w14:paraId="0FB44DE0" w14:textId="77777777" w:rsidR="00CC09E8" w:rsidRDefault="00CC09E8" w:rsidP="00715E0E">
      <w:pPr>
        <w:spacing w:line="360" w:lineRule="auto"/>
        <w:jc w:val="both"/>
        <w:rPr>
          <w:rFonts w:ascii="Times New Roman" w:eastAsia="Times New Roman" w:hAnsi="Times New Roman" w:cs="Times New Roman"/>
          <w:sz w:val="24"/>
          <w:szCs w:val="24"/>
        </w:rPr>
      </w:pPr>
    </w:p>
    <w:sectPr w:rsidR="00CC09E8" w:rsidSect="00737B23">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1BF68" w14:textId="77777777" w:rsidR="00ED3431" w:rsidRDefault="00ED3431">
      <w:pPr>
        <w:spacing w:line="240" w:lineRule="auto"/>
      </w:pPr>
      <w:r>
        <w:separator/>
      </w:r>
    </w:p>
  </w:endnote>
  <w:endnote w:type="continuationSeparator" w:id="0">
    <w:p w14:paraId="7C8182A0" w14:textId="77777777" w:rsidR="00ED3431" w:rsidRDefault="00ED34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818321"/>
      <w:docPartObj>
        <w:docPartGallery w:val="Page Numbers (Bottom of Page)"/>
        <w:docPartUnique/>
      </w:docPartObj>
    </w:sdtPr>
    <w:sdtEndPr>
      <w:rPr>
        <w:noProof/>
      </w:rPr>
    </w:sdtEndPr>
    <w:sdtContent>
      <w:p w14:paraId="4FEEC362" w14:textId="0F2AA901" w:rsidR="00737B23" w:rsidRDefault="00737B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89840B" w14:textId="77777777" w:rsidR="004F41A2" w:rsidRDefault="004F41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F0F66" w14:textId="77777777" w:rsidR="00ED3431" w:rsidRDefault="00ED3431">
      <w:pPr>
        <w:spacing w:line="240" w:lineRule="auto"/>
      </w:pPr>
      <w:r>
        <w:separator/>
      </w:r>
    </w:p>
  </w:footnote>
  <w:footnote w:type="continuationSeparator" w:id="0">
    <w:p w14:paraId="786EACA8" w14:textId="77777777" w:rsidR="00ED3431" w:rsidRDefault="00ED34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1A2"/>
    <w:rsid w:val="00051BA7"/>
    <w:rsid w:val="00117D28"/>
    <w:rsid w:val="003647F0"/>
    <w:rsid w:val="003C1B81"/>
    <w:rsid w:val="004F41A2"/>
    <w:rsid w:val="00511DAE"/>
    <w:rsid w:val="00575B24"/>
    <w:rsid w:val="00691658"/>
    <w:rsid w:val="00702117"/>
    <w:rsid w:val="0071037E"/>
    <w:rsid w:val="00715E0E"/>
    <w:rsid w:val="00737B23"/>
    <w:rsid w:val="00935AE3"/>
    <w:rsid w:val="00A13A5E"/>
    <w:rsid w:val="00A47AC7"/>
    <w:rsid w:val="00AD3AD3"/>
    <w:rsid w:val="00AE0B53"/>
    <w:rsid w:val="00CC09E8"/>
    <w:rsid w:val="00D23189"/>
    <w:rsid w:val="00D8649D"/>
    <w:rsid w:val="00E60845"/>
    <w:rsid w:val="00ED3431"/>
    <w:rsid w:val="00FE2E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16592"/>
  <w15:docId w15:val="{E9B922C7-599B-4CEC-8392-639AD2F24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37B23"/>
    <w:pPr>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37B23"/>
    <w:pPr>
      <w:tabs>
        <w:tab w:val="center" w:pos="4513"/>
        <w:tab w:val="right" w:pos="9026"/>
      </w:tabs>
      <w:spacing w:line="240" w:lineRule="auto"/>
    </w:pPr>
  </w:style>
  <w:style w:type="character" w:customStyle="1" w:styleId="HeaderChar">
    <w:name w:val="Header Char"/>
    <w:basedOn w:val="DefaultParagraphFont"/>
    <w:link w:val="Header"/>
    <w:uiPriority w:val="99"/>
    <w:rsid w:val="00737B23"/>
  </w:style>
  <w:style w:type="paragraph" w:styleId="Footer">
    <w:name w:val="footer"/>
    <w:basedOn w:val="Normal"/>
    <w:link w:val="FooterChar"/>
    <w:uiPriority w:val="99"/>
    <w:unhideWhenUsed/>
    <w:rsid w:val="00737B23"/>
    <w:pPr>
      <w:tabs>
        <w:tab w:val="center" w:pos="4513"/>
        <w:tab w:val="right" w:pos="9026"/>
      </w:tabs>
      <w:spacing w:line="240" w:lineRule="auto"/>
    </w:pPr>
  </w:style>
  <w:style w:type="character" w:customStyle="1" w:styleId="FooterChar">
    <w:name w:val="Footer Char"/>
    <w:basedOn w:val="DefaultParagraphFont"/>
    <w:link w:val="Footer"/>
    <w:uiPriority w:val="99"/>
    <w:rsid w:val="00737B23"/>
  </w:style>
  <w:style w:type="paragraph" w:styleId="TOCHeading">
    <w:name w:val="TOC Heading"/>
    <w:basedOn w:val="Heading1"/>
    <w:next w:val="Normal"/>
    <w:uiPriority w:val="39"/>
    <w:unhideWhenUsed/>
    <w:qFormat/>
    <w:rsid w:val="00D8649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649D"/>
    <w:pPr>
      <w:spacing w:after="100"/>
    </w:pPr>
  </w:style>
  <w:style w:type="character" w:styleId="Hyperlink">
    <w:name w:val="Hyperlink"/>
    <w:basedOn w:val="DefaultParagraphFont"/>
    <w:uiPriority w:val="99"/>
    <w:unhideWhenUsed/>
    <w:rsid w:val="00D864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211548">
      <w:bodyDiv w:val="1"/>
      <w:marLeft w:val="0"/>
      <w:marRight w:val="0"/>
      <w:marTop w:val="0"/>
      <w:marBottom w:val="0"/>
      <w:divBdr>
        <w:top w:val="none" w:sz="0" w:space="0" w:color="auto"/>
        <w:left w:val="none" w:sz="0" w:space="0" w:color="auto"/>
        <w:bottom w:val="none" w:sz="0" w:space="0" w:color="auto"/>
        <w:right w:val="none" w:sz="0" w:space="0" w:color="auto"/>
      </w:divBdr>
    </w:div>
    <w:div w:id="1152284528">
      <w:bodyDiv w:val="1"/>
      <w:marLeft w:val="0"/>
      <w:marRight w:val="0"/>
      <w:marTop w:val="0"/>
      <w:marBottom w:val="0"/>
      <w:divBdr>
        <w:top w:val="none" w:sz="0" w:space="0" w:color="auto"/>
        <w:left w:val="none" w:sz="0" w:space="0" w:color="auto"/>
        <w:bottom w:val="none" w:sz="0" w:space="0" w:color="auto"/>
        <w:right w:val="none" w:sz="0" w:space="0" w:color="auto"/>
      </w:divBdr>
    </w:div>
    <w:div w:id="1259410407">
      <w:bodyDiv w:val="1"/>
      <w:marLeft w:val="0"/>
      <w:marRight w:val="0"/>
      <w:marTop w:val="0"/>
      <w:marBottom w:val="0"/>
      <w:divBdr>
        <w:top w:val="none" w:sz="0" w:space="0" w:color="auto"/>
        <w:left w:val="none" w:sz="0" w:space="0" w:color="auto"/>
        <w:bottom w:val="none" w:sz="0" w:space="0" w:color="auto"/>
        <w:right w:val="none" w:sz="0" w:space="0" w:color="auto"/>
      </w:divBdr>
    </w:div>
    <w:div w:id="1267616877">
      <w:bodyDiv w:val="1"/>
      <w:marLeft w:val="0"/>
      <w:marRight w:val="0"/>
      <w:marTop w:val="0"/>
      <w:marBottom w:val="0"/>
      <w:divBdr>
        <w:top w:val="none" w:sz="0" w:space="0" w:color="auto"/>
        <w:left w:val="none" w:sz="0" w:space="0" w:color="auto"/>
        <w:bottom w:val="none" w:sz="0" w:space="0" w:color="auto"/>
        <w:right w:val="none" w:sz="0" w:space="0" w:color="auto"/>
      </w:divBdr>
      <w:divsChild>
        <w:div w:id="1977904463">
          <w:marLeft w:val="0"/>
          <w:marRight w:val="0"/>
          <w:marTop w:val="0"/>
          <w:marBottom w:val="0"/>
          <w:divBdr>
            <w:top w:val="none" w:sz="0" w:space="0" w:color="auto"/>
            <w:left w:val="none" w:sz="0" w:space="0" w:color="auto"/>
            <w:bottom w:val="none" w:sz="0" w:space="0" w:color="auto"/>
            <w:right w:val="none" w:sz="0" w:space="0" w:color="auto"/>
          </w:divBdr>
        </w:div>
        <w:div w:id="349987612">
          <w:marLeft w:val="0"/>
          <w:marRight w:val="0"/>
          <w:marTop w:val="0"/>
          <w:marBottom w:val="0"/>
          <w:divBdr>
            <w:top w:val="none" w:sz="0" w:space="0" w:color="auto"/>
            <w:left w:val="none" w:sz="0" w:space="0" w:color="auto"/>
            <w:bottom w:val="none" w:sz="0" w:space="0" w:color="auto"/>
            <w:right w:val="none" w:sz="0" w:space="0" w:color="auto"/>
          </w:divBdr>
        </w:div>
      </w:divsChild>
    </w:div>
    <w:div w:id="1566185361">
      <w:bodyDiv w:val="1"/>
      <w:marLeft w:val="0"/>
      <w:marRight w:val="0"/>
      <w:marTop w:val="0"/>
      <w:marBottom w:val="0"/>
      <w:divBdr>
        <w:top w:val="none" w:sz="0" w:space="0" w:color="auto"/>
        <w:left w:val="none" w:sz="0" w:space="0" w:color="auto"/>
        <w:bottom w:val="none" w:sz="0" w:space="0" w:color="auto"/>
        <w:right w:val="none" w:sz="0" w:space="0" w:color="auto"/>
      </w:divBdr>
    </w:div>
    <w:div w:id="1841389446">
      <w:bodyDiv w:val="1"/>
      <w:marLeft w:val="0"/>
      <w:marRight w:val="0"/>
      <w:marTop w:val="0"/>
      <w:marBottom w:val="0"/>
      <w:divBdr>
        <w:top w:val="none" w:sz="0" w:space="0" w:color="auto"/>
        <w:left w:val="none" w:sz="0" w:space="0" w:color="auto"/>
        <w:bottom w:val="none" w:sz="0" w:space="0" w:color="auto"/>
        <w:right w:val="none" w:sz="0" w:space="0" w:color="auto"/>
      </w:divBdr>
      <w:divsChild>
        <w:div w:id="1544904834">
          <w:marLeft w:val="0"/>
          <w:marRight w:val="0"/>
          <w:marTop w:val="0"/>
          <w:marBottom w:val="0"/>
          <w:divBdr>
            <w:top w:val="none" w:sz="0" w:space="0" w:color="auto"/>
            <w:left w:val="none" w:sz="0" w:space="0" w:color="auto"/>
            <w:bottom w:val="none" w:sz="0" w:space="0" w:color="auto"/>
            <w:right w:val="none" w:sz="0" w:space="0" w:color="auto"/>
          </w:divBdr>
        </w:div>
        <w:div w:id="24774011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download/article-file/1201292" TargetMode="External"/><Relationship Id="rId18" Type="http://schemas.openxmlformats.org/officeDocument/2006/relationships/hyperlink" Target="http://m.growingscience.com/ac/Vol6/ac_2020_48.pdf" TargetMode="External"/><Relationship Id="rId26" Type="http://schemas.openxmlformats.org/officeDocument/2006/relationships/hyperlink" Target="https://www.tandfonline.com/doi/pdf/10.1080/23322039.2020.1724241" TargetMode="External"/><Relationship Id="rId39" Type="http://schemas.openxmlformats.org/officeDocument/2006/relationships/theme" Target="theme/theme1.xml"/><Relationship Id="rId21" Type="http://schemas.openxmlformats.org/officeDocument/2006/relationships/hyperlink" Target="https://spssi.onlinelibrary.wiley.com/doi/pdfdirect/10.1111/sipr.12074" TargetMode="External"/><Relationship Id="rId34" Type="http://schemas.openxmlformats.org/officeDocument/2006/relationships/hyperlink" Target="http://ijmer.s3.amazonaws.com/pdf/volume8/volume8-issue12(4)-2019.pdf" TargetMode="External"/><Relationship Id="rId7" Type="http://schemas.openxmlformats.org/officeDocument/2006/relationships/image" Target="media/image1.png"/><Relationship Id="rId12" Type="http://schemas.openxmlformats.org/officeDocument/2006/relationships/hyperlink" Target="https://www.turcomat.org/index.php/turkbilmat/article/download/4733/3964" TargetMode="External"/><Relationship Id="rId17" Type="http://schemas.openxmlformats.org/officeDocument/2006/relationships/hyperlink" Target="https://www.researchgate.net/profile/Sukwon-Ji/publication/354014226_Building_life-span_prediction_for_life_cycle_assessment_and_life_cycle_cost_using_machine_learning_A_big_data_approach/links/620306f853fa314148297395/Building-life-span-prediction-for-life-cycle-assessment-and-life-cycle-cost-using-machine-learning-A-big-data-approach.pdf" TargetMode="External"/><Relationship Id="rId25" Type="http://schemas.openxmlformats.org/officeDocument/2006/relationships/hyperlink" Target="https://www.um.edu.mt/library/oar/bitstream/123456789/33582/1/Financial_Statements_of_a_Company_as_an_Information_Base_2018.pdf" TargetMode="External"/><Relationship Id="rId33" Type="http://schemas.openxmlformats.org/officeDocument/2006/relationships/hyperlink" Target="https://www.researchgate.net/profile/Subhankar-Das-2/publication/327836765_Impact_of_post-merger_and_acquisition_activities_on_the_financial_performance_of_banks_a_study_of_Indian_private_sector_and_public_sector_banks_Impacto_de_las_actividades_posteriores_a_la_fusion_y_adq/links/5ba897bda6fdccd3cb6e552e/Impact-of-post-merger-and-acquisition-activities-on-the-financial-performance-of-banks-a-study-of-Indian-private-sector-and-public-sector-banks-Impacto-de-las-actividades-posteriores-a-la-fusion-y-adq.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ber.org/system/files/working_papers/w26546/w26546.pdf" TargetMode="External"/><Relationship Id="rId20" Type="http://schemas.openxmlformats.org/officeDocument/2006/relationships/hyperlink" Target="https://www.researchgate.net/profile/Somnath-Lahiri-2/publication/339964200_Behind_the_internationalization_of_family_SME_s_A_strategy_tripod_synthesis/links/5e9cfc6ea6fdcca7892843ae/Behind-the-internationalization-of-family-SME-s-A-strategy-tripod-synthesis.pdf" TargetMode="External"/><Relationship Id="rId29" Type="http://schemas.openxmlformats.org/officeDocument/2006/relationships/hyperlink" Target="https://www.researchgate.net/profile/Richmond-Sam-Quarm-2/publication/347560897_The_Ramifications_of_the_Treasury_Single_Account_the_Ifmis_Platform_and_Government_Cash_Management_in_Developing_Economies_in_the_Wake_of_the_Covid-19_Pandemic_Ghana%27s_Empirical_Example/links/5fe1e36f92851c13feadc77e/The-Ramifications-of-the-Treasury-Single-Account-the-Ifmis-Platform-and-Government-Cash-Management-in-Developing-Economies-in-the-Wake-of-the-Covid-19-Pandemic-Ghanas-Empirical-Exampl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knowledge.worldbank.org/bitstream/handle/10986/38301/IDU05a51c12104406046980a312080d8940dda37.pdf?sequence=1" TargetMode="External"/><Relationship Id="rId24" Type="http://schemas.openxmlformats.org/officeDocument/2006/relationships/hyperlink" Target="https://ir-library.ku.ac.ke/bitstream/handle/123456789/19512/Accounts%20Receivable%20Management%20and%20Financial%20Performance%20of%20Embu%20Water%20and%20Sanitation%20Company%20Limited,%20Embu%20County,%20Kenya.pdf?sequence=1" TargetMode="External"/><Relationship Id="rId32" Type="http://schemas.openxmlformats.org/officeDocument/2006/relationships/hyperlink" Target="https://www.researchgate.net/profile/Mehdi-Tajpour-2/publication/336626582_Corporate_entrepreneurship_in_University_of_Tehran_does_human_resources_management_matter/links/5e0f9e8692851c8364b00af7/Corporate-entrepreneurship-in-University-of-Tehran-does-human-resources-management-matter.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dfs.semanticscholar.org/867e/27fefca8c6f8374d9799a9c6cf06cd68a8d1.pdf" TargetMode="External"/><Relationship Id="rId23" Type="http://schemas.openxmlformats.org/officeDocument/2006/relationships/hyperlink" Target="https://fardapaper.ir/mohavaha/uploads/2019/07/Fardapaper-Analysing-and-evaluating-integrated-reporting-Insights-from-applying-a-normative-benchmark.pdf" TargetMode="External"/><Relationship Id="rId28" Type="http://schemas.openxmlformats.org/officeDocument/2006/relationships/hyperlink" Target="https://www.atlantis-press.com/article/125940917.pdf" TargetMode="External"/><Relationship Id="rId36" Type="http://schemas.openxmlformats.org/officeDocument/2006/relationships/hyperlink" Target="https://ojs.ual.es/ojs/index.php/eea/article/download/2540/2939" TargetMode="External"/><Relationship Id="rId10" Type="http://schemas.openxmlformats.org/officeDocument/2006/relationships/hyperlink" Target="https://www.tandfonline.com/doi/pdf/10.1080/00014788.2021.1938963" TargetMode="External"/><Relationship Id="rId19" Type="http://schemas.openxmlformats.org/officeDocument/2006/relationships/hyperlink" Target="https://pdfs.semanticscholar.org/5400/0fcd811eb1a5259be85f9ce9d03d9c24a15c.pdf" TargetMode="External"/><Relationship Id="rId31" Type="http://schemas.openxmlformats.org/officeDocument/2006/relationships/hyperlink" Target="https://fardapaper.ir/mohavaha/uploads/2020/07/Fardapaper-The-effects-of-financial-reporting-and-disclosure-on-corporate-investment-A-review.pdf" TargetMode="External"/><Relationship Id="rId4" Type="http://schemas.openxmlformats.org/officeDocument/2006/relationships/webSettings" Target="webSettings.xml"/><Relationship Id="rId9" Type="http://schemas.openxmlformats.org/officeDocument/2006/relationships/hyperlink" Target="https://scholar.archive.org/work/v7h6yj5rkjfevmcnduh4fqou5u/access/wayback/http://irs-managementstudies.com/index.php/irs/article/download/66/50" TargetMode="External"/><Relationship Id="rId14" Type="http://schemas.openxmlformats.org/officeDocument/2006/relationships/hyperlink" Target="https://j.ideasspread.org/index.php/hssr/article/download/305/229" TargetMode="External"/><Relationship Id="rId22" Type="http://schemas.openxmlformats.org/officeDocument/2006/relationships/hyperlink" Target="http://eprints.lse.ac.uk/100539/1/401linsservaestamayofinaldc22219_acceptedbyauthors_openaccess.pdf" TargetMode="External"/><Relationship Id="rId27" Type="http://schemas.openxmlformats.org/officeDocument/2006/relationships/hyperlink" Target="https://eber.uek.krakow.pl/index.php/eber/article/view/664" TargetMode="External"/><Relationship Id="rId30" Type="http://schemas.openxmlformats.org/officeDocument/2006/relationships/hyperlink" Target="https://link.springer.com/article/10.1007/s11077-022-09480-4" TargetMode="External"/><Relationship Id="rId35" Type="http://schemas.openxmlformats.org/officeDocument/2006/relationships/hyperlink" Target="https://jau.vgtu.lt/index.php/JBEM/article/download/13888/10262" TargetMode="External"/><Relationship Id="rId8" Type="http://schemas.openxmlformats.org/officeDocument/2006/relationships/hyperlink" Target="https://5y1.org/download/068b9c2c893dce0f7eb17431c9503954.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F7217C-FEE0-4AE6-B4A1-C979F546A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6384</Words>
  <Characters>36390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Sandra Ghinescu</cp:lastModifiedBy>
  <cp:revision>8</cp:revision>
  <dcterms:created xsi:type="dcterms:W3CDTF">2023-01-04T20:09:00Z</dcterms:created>
  <dcterms:modified xsi:type="dcterms:W3CDTF">2023-01-04T20:19:00Z</dcterms:modified>
</cp:coreProperties>
</file>