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7DAE47" w14:textId="77777777" w:rsidR="00F029B4" w:rsidRDefault="00F029B4" w:rsidP="00593378">
      <w:pPr>
        <w:pStyle w:val="Title"/>
        <w:spacing w:line="360" w:lineRule="auto"/>
        <w:jc w:val="center"/>
      </w:pPr>
    </w:p>
    <w:p w14:paraId="590EEFF0" w14:textId="77777777" w:rsidR="00F029B4" w:rsidRDefault="00F029B4" w:rsidP="00593378">
      <w:pPr>
        <w:pStyle w:val="Title"/>
        <w:spacing w:line="360" w:lineRule="auto"/>
      </w:pPr>
    </w:p>
    <w:p w14:paraId="012FD8DF" w14:textId="089F0CFF" w:rsidR="00F029B4" w:rsidRDefault="00593378" w:rsidP="00593378">
      <w:pPr>
        <w:pStyle w:val="Title"/>
        <w:spacing w:line="360" w:lineRule="auto"/>
        <w:jc w:val="center"/>
      </w:pPr>
      <w:r>
        <w:rPr>
          <w:noProof/>
        </w:rPr>
        <w:drawing>
          <wp:inline distT="0" distB="0" distL="0" distR="0" wp14:anchorId="58C246C9" wp14:editId="3022770B">
            <wp:extent cx="1905000" cy="923925"/>
            <wp:effectExtent l="0" t="0" r="0" b="9525"/>
            <wp:docPr id="629877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877446" name=""/>
                    <pic:cNvPicPr/>
                  </pic:nvPicPr>
                  <pic:blipFill>
                    <a:blip r:embed="rId7"/>
                    <a:stretch>
                      <a:fillRect/>
                    </a:stretch>
                  </pic:blipFill>
                  <pic:spPr>
                    <a:xfrm>
                      <a:off x="0" y="0"/>
                      <a:ext cx="1905000" cy="923925"/>
                    </a:xfrm>
                    <a:prstGeom prst="rect">
                      <a:avLst/>
                    </a:prstGeom>
                  </pic:spPr>
                </pic:pic>
              </a:graphicData>
            </a:graphic>
          </wp:inline>
        </w:drawing>
      </w:r>
    </w:p>
    <w:p w14:paraId="3BFB4F7B" w14:textId="77777777" w:rsidR="00F029B4" w:rsidRDefault="00F029B4" w:rsidP="00593378">
      <w:pPr>
        <w:pStyle w:val="Title"/>
        <w:spacing w:line="360" w:lineRule="auto"/>
        <w:jc w:val="center"/>
      </w:pPr>
    </w:p>
    <w:p w14:paraId="2C7A6956" w14:textId="77777777" w:rsidR="00F029B4" w:rsidRDefault="00F029B4" w:rsidP="00593378">
      <w:pPr>
        <w:pStyle w:val="Title"/>
        <w:spacing w:line="360" w:lineRule="auto"/>
        <w:jc w:val="center"/>
      </w:pPr>
    </w:p>
    <w:p w14:paraId="64647BFA" w14:textId="77777777" w:rsidR="00F029B4" w:rsidRDefault="00F029B4" w:rsidP="00593378">
      <w:pPr>
        <w:pStyle w:val="Title"/>
        <w:spacing w:line="360" w:lineRule="auto"/>
        <w:jc w:val="center"/>
      </w:pPr>
    </w:p>
    <w:p w14:paraId="67473092" w14:textId="77777777" w:rsidR="00F029B4" w:rsidRDefault="00F029B4" w:rsidP="00593378">
      <w:pPr>
        <w:pStyle w:val="Title"/>
        <w:spacing w:line="360" w:lineRule="auto"/>
        <w:jc w:val="center"/>
      </w:pPr>
    </w:p>
    <w:p w14:paraId="192C0CD2" w14:textId="77777777" w:rsidR="00F029B4" w:rsidRDefault="00F029B4" w:rsidP="00593378">
      <w:pPr>
        <w:pStyle w:val="Title"/>
        <w:spacing w:line="360" w:lineRule="auto"/>
        <w:jc w:val="center"/>
      </w:pPr>
    </w:p>
    <w:p w14:paraId="032A7D91" w14:textId="311F4F25" w:rsidR="00F029B4" w:rsidRPr="00593378" w:rsidRDefault="00F029B4" w:rsidP="00593378">
      <w:pPr>
        <w:pStyle w:val="Title"/>
        <w:spacing w:line="360" w:lineRule="auto"/>
        <w:jc w:val="center"/>
        <w:rPr>
          <w:b/>
          <w:bCs w:val="0"/>
          <w:sz w:val="40"/>
          <w:szCs w:val="40"/>
        </w:rPr>
      </w:pPr>
      <w:r w:rsidRPr="00593378">
        <w:rPr>
          <w:b/>
          <w:bCs w:val="0"/>
          <w:sz w:val="40"/>
          <w:szCs w:val="40"/>
        </w:rPr>
        <w:t>Introducing the Modern Workplace</w:t>
      </w:r>
    </w:p>
    <w:p w14:paraId="5DC1333C" w14:textId="49F4879D" w:rsidR="00082124" w:rsidRPr="00593378" w:rsidRDefault="00F029B4" w:rsidP="00593378">
      <w:pPr>
        <w:pStyle w:val="Title"/>
        <w:spacing w:line="360" w:lineRule="auto"/>
        <w:jc w:val="center"/>
        <w:rPr>
          <w:b/>
          <w:bCs w:val="0"/>
          <w:sz w:val="40"/>
          <w:szCs w:val="40"/>
        </w:rPr>
      </w:pPr>
      <w:r w:rsidRPr="00593378">
        <w:rPr>
          <w:b/>
          <w:bCs w:val="0"/>
          <w:sz w:val="40"/>
          <w:szCs w:val="40"/>
        </w:rPr>
        <w:t>LCBB4003</w:t>
      </w:r>
    </w:p>
    <w:p w14:paraId="14E894C6" w14:textId="2606B59D" w:rsidR="00593378" w:rsidRPr="00593378" w:rsidRDefault="00593378" w:rsidP="00593378">
      <w:pPr>
        <w:jc w:val="center"/>
        <w:rPr>
          <w:sz w:val="36"/>
          <w:szCs w:val="32"/>
        </w:rPr>
      </w:pPr>
      <w:r w:rsidRPr="00593378">
        <w:rPr>
          <w:sz w:val="36"/>
          <w:szCs w:val="32"/>
        </w:rPr>
        <w:t>Essay</w:t>
      </w:r>
    </w:p>
    <w:p w14:paraId="2F54F91E" w14:textId="77777777" w:rsidR="00593378" w:rsidRPr="00593378" w:rsidRDefault="00593378" w:rsidP="00593378"/>
    <w:p w14:paraId="61F86205" w14:textId="2A49DF4E" w:rsidR="00F029B4" w:rsidRDefault="00F029B4" w:rsidP="00593378">
      <w:pPr>
        <w:jc w:val="left"/>
      </w:pPr>
      <w:r>
        <w:br w:type="page"/>
      </w:r>
    </w:p>
    <w:p w14:paraId="74889560" w14:textId="7D4E2E3B" w:rsidR="00F029B4" w:rsidRDefault="00F029B4" w:rsidP="00593378">
      <w:pPr>
        <w:pStyle w:val="Heading1"/>
      </w:pPr>
      <w:r>
        <w:lastRenderedPageBreak/>
        <w:t>Introduction</w:t>
      </w:r>
    </w:p>
    <w:p w14:paraId="3B507C07" w14:textId="633FDC64" w:rsidR="001718E5" w:rsidRDefault="001718E5" w:rsidP="00593378">
      <w:r w:rsidRPr="001718E5">
        <w:t xml:space="preserve">Achieving organizational goals is a multifaceted </w:t>
      </w:r>
      <w:r w:rsidR="00C52D3E">
        <w:t>endeavour</w:t>
      </w:r>
      <w:r w:rsidRPr="001718E5">
        <w:t xml:space="preserve"> that hinges on the alignment of three critical elements: organizational design, organizational culture, and personal drive. The interplay between these factors is the basis on which businesses like Tesco operate on their journey to being one of the most reputable enterprises in their field. Organizational structure sets the ground rules upon which are assignments of tasks, definitions of responsibilities, and structure of communication. In the meantime, organizational culture includes values, norms and </w:t>
      </w:r>
      <w:r w:rsidR="00C52D3E">
        <w:t>ways</w:t>
      </w:r>
      <w:r w:rsidRPr="001718E5">
        <w:t xml:space="preserve"> of behaving that direct the </w:t>
      </w:r>
      <w:r w:rsidR="00C52D3E">
        <w:t>decision-making</w:t>
      </w:r>
      <w:r w:rsidRPr="001718E5">
        <w:t xml:space="preserve"> and actions of the employees. Ultimately, individual motivation is that which goes behind employee engagement, identifies the best performance and </w:t>
      </w:r>
      <w:r w:rsidR="00C52D3E">
        <w:t>instils</w:t>
      </w:r>
      <w:r w:rsidRPr="001718E5">
        <w:t xml:space="preserve"> commitment towards organizational goals. Together, these elements fuel to </w:t>
      </w:r>
      <w:r w:rsidR="00C52D3E">
        <w:t>achievement</w:t>
      </w:r>
      <w:r w:rsidRPr="001718E5">
        <w:t xml:space="preserve"> </w:t>
      </w:r>
      <w:r w:rsidR="00C52D3E">
        <w:t xml:space="preserve">of </w:t>
      </w:r>
      <w:r w:rsidRPr="001718E5">
        <w:t>organizational success and sustainable growth over time</w:t>
      </w:r>
      <w:r w:rsidR="00102C5A">
        <w:t xml:space="preserve"> </w:t>
      </w:r>
      <w:r w:rsidR="00102C5A" w:rsidRPr="00102C5A">
        <w:t>(Palmer, 2014)</w:t>
      </w:r>
      <w:r w:rsidRPr="001718E5">
        <w:t>.</w:t>
      </w:r>
    </w:p>
    <w:p w14:paraId="4E417A9B" w14:textId="6BEDB5D3" w:rsidR="00F029B4" w:rsidRDefault="00F029B4" w:rsidP="00593378">
      <w:pPr>
        <w:pStyle w:val="Heading1"/>
      </w:pPr>
      <w:r>
        <w:t>O</w:t>
      </w:r>
      <w:r w:rsidRPr="00F029B4">
        <w:t>rganisational structure</w:t>
      </w:r>
    </w:p>
    <w:p w14:paraId="3E5D8D3C" w14:textId="00B20CD5" w:rsidR="00F029B4" w:rsidRDefault="00F029B4" w:rsidP="00593378">
      <w:r>
        <w:t xml:space="preserve">Tesco, a leading worldwide brand, developed a sophisticated organizational structure to confront the complexity of its </w:t>
      </w:r>
      <w:r w:rsidR="00C52D3E">
        <w:t>multi-country</w:t>
      </w:r>
      <w:r>
        <w:t xml:space="preserve"> operations. Enterprise-wide strategic leadership is the job of </w:t>
      </w:r>
      <w:r w:rsidR="00C52D3E">
        <w:t xml:space="preserve">the </w:t>
      </w:r>
      <w:r>
        <w:t xml:space="preserve">CEO. The main mission is to set the general strategic direction and to make sure that all levels of the organization </w:t>
      </w:r>
      <w:r w:rsidR="00C52D3E">
        <w:t>respond</w:t>
      </w:r>
      <w:r>
        <w:t xml:space="preserve"> in unison. The CEO works closely with several key executives who are in charge of basic functions including finance, operations, marketing, and human resources. The of course </w:t>
      </w:r>
      <w:r w:rsidR="00C52D3E">
        <w:t>calibre</w:t>
      </w:r>
      <w:r>
        <w:t xml:space="preserve"> of the top management team </w:t>
      </w:r>
      <w:r w:rsidR="00C52D3E">
        <w:t>works</w:t>
      </w:r>
      <w:r>
        <w:t xml:space="preserve"> in unison to direct Tesco towards its goals and keep up with the changing dynamics of the market.</w:t>
      </w:r>
    </w:p>
    <w:p w14:paraId="6EC3AE18" w14:textId="5B3F93AB" w:rsidR="00F029B4" w:rsidRDefault="00F029B4" w:rsidP="00593378">
      <w:r>
        <w:t xml:space="preserve">Under the executive management group, Tesco delivers a matrix organizational structure that blends functional and divisional reporting lines. It helps the organization to play an effective role in managing its diverse business segments, including grocery retail, e-commerce, financial services, and others. Each branch works almost as an entity unto itself, having its objectives, resources, and metrics of performance. Such a process of decentralization allows division managers to make quick decisions that are well-tailored to their specific markets, giving a boost to </w:t>
      </w:r>
      <w:r w:rsidR="00C52D3E">
        <w:t xml:space="preserve">the </w:t>
      </w:r>
      <w:r>
        <w:t xml:space="preserve">agility and flexibility of the business </w:t>
      </w:r>
      <w:r w:rsidR="00C52D3E">
        <w:t>in</w:t>
      </w:r>
      <w:r>
        <w:t xml:space="preserve"> </w:t>
      </w:r>
      <w:r w:rsidR="00C52D3E">
        <w:t xml:space="preserve">a </w:t>
      </w:r>
      <w:r>
        <w:t>changing retail environment</w:t>
      </w:r>
      <w:r w:rsidR="00102C5A">
        <w:t xml:space="preserve"> </w:t>
      </w:r>
      <w:r w:rsidR="00102C5A" w:rsidRPr="00102C5A">
        <w:t>(Millmore et al., 2017)</w:t>
      </w:r>
      <w:r>
        <w:t>.</w:t>
      </w:r>
    </w:p>
    <w:p w14:paraId="698E565C" w14:textId="55CDD707" w:rsidR="00F029B4" w:rsidRDefault="00F029B4" w:rsidP="00593378">
      <w:r>
        <w:t xml:space="preserve">The company further splits up the division into different departments or business units specializing in specific aspects of the retail supply chain. For example, in the </w:t>
      </w:r>
      <w:r w:rsidR="00C52D3E">
        <w:t>supermarket</w:t>
      </w:r>
      <w:r>
        <w:t xml:space="preserve"> segment, the department can be fresh fruits and vegetables, packaged goods, and non-food </w:t>
      </w:r>
      <w:r>
        <w:lastRenderedPageBreak/>
        <w:t>items, among others. The establishment of a decentralized structure helps to simplify operations and enhance specialization, thereby Tesco can offer a broad range of products quickly and with a high level of quality and customer service</w:t>
      </w:r>
      <w:r w:rsidR="00102C5A">
        <w:t xml:space="preserve"> </w:t>
      </w:r>
      <w:r w:rsidR="00102C5A" w:rsidRPr="00102C5A">
        <w:t>(Jones and George, 2018)</w:t>
      </w:r>
      <w:r>
        <w:t>.</w:t>
      </w:r>
    </w:p>
    <w:p w14:paraId="10B25376" w14:textId="341C7D68" w:rsidR="00F029B4" w:rsidRDefault="00F029B4" w:rsidP="00593378">
      <w:r>
        <w:t xml:space="preserve">Tesco besides merging the functional and divisional hierarchies into the organizational structure, </w:t>
      </w:r>
      <w:r w:rsidR="00C52D3E">
        <w:t>emphasizes</w:t>
      </w:r>
      <w:r>
        <w:t xml:space="preserve"> geographical management </w:t>
      </w:r>
      <w:r w:rsidR="00C52D3E">
        <w:t>to</w:t>
      </w:r>
      <w:r>
        <w:t xml:space="preserve"> efficiently manage its worldwide branches. The enterprise is present in numerous countries, for example</w:t>
      </w:r>
      <w:r w:rsidR="00C52D3E">
        <w:t>,</w:t>
      </w:r>
      <w:r>
        <w:t xml:space="preserve"> Europe, Asia, and beyond. Each market features some cultural, regulatory, and competition peculiarities. To deal with these complexities, Tesco has regional managers that control trade, strategy in a specific region and activities. This </w:t>
      </w:r>
      <w:r w:rsidR="00C52D3E">
        <w:t>localised</w:t>
      </w:r>
      <w:r>
        <w:t xml:space="preserve"> approach gives Tesco the flexibility to </w:t>
      </w:r>
      <w:r w:rsidR="00C52D3E">
        <w:t>customise</w:t>
      </w:r>
      <w:r>
        <w:t xml:space="preserve"> its product mix, marketing campaigns, and operational practices to fit the specific requirements and desires of different consumer groups within the wider demographic</w:t>
      </w:r>
      <w:r w:rsidR="00102C5A">
        <w:t xml:space="preserve"> </w:t>
      </w:r>
      <w:r w:rsidR="00102C5A" w:rsidRPr="00102C5A">
        <w:t>(Hamilton, Mitchell and Mangan, 2014)</w:t>
      </w:r>
      <w:r>
        <w:t>.</w:t>
      </w:r>
    </w:p>
    <w:p w14:paraId="24388A2B" w14:textId="0581B689" w:rsidR="00F029B4" w:rsidRDefault="00F029B4" w:rsidP="00593378">
      <w:r>
        <w:t>The first point of the organizational structure of Tesco is its "store level" employees who take a vital part in day-to-day customer satisfaction. Store managers implemented Tesco's management rules, ensuring that shelves are stocked, facilities are clean, and customer inquiries are responded to quickly. This hierarchical structure cascades downwards, with supervisors, department managers and everyone else just at the frontline working hand in hand to maintain Tesco's image as dependable and convenient.</w:t>
      </w:r>
    </w:p>
    <w:p w14:paraId="1094CB16" w14:textId="09038A72" w:rsidR="00F029B4" w:rsidRDefault="00F029B4" w:rsidP="00593378">
      <w:r>
        <w:t xml:space="preserve">To be able to meet its workforce needs and develop organizational effectiveness Tesco spend a lot of money </w:t>
      </w:r>
      <w:r w:rsidR="00C52D3E">
        <w:t>on</w:t>
      </w:r>
      <w:r>
        <w:t xml:space="preserve"> capability development and employee engagement arrangements. The company has designed intensive training programs to help its employees acquire the skills and competence necessary for </w:t>
      </w:r>
      <w:r w:rsidR="00C52D3E">
        <w:t>excelling</w:t>
      </w:r>
      <w:r>
        <w:t xml:space="preserve"> at their jobs, which creates an environment of continuous learning and personal development for the employees. Besides Tesco </w:t>
      </w:r>
      <w:r w:rsidR="00C52D3E">
        <w:t>focuses</w:t>
      </w:r>
      <w:r>
        <w:t xml:space="preserve"> on employee welfare through the provision of quality benefits packages, salary bonus </w:t>
      </w:r>
      <w:r w:rsidR="00C52D3E">
        <w:t>schemes</w:t>
      </w:r>
      <w:r>
        <w:t xml:space="preserve"> and other opportunities for advancement. Through the development of a workforce that is motivated and empowered, Tesco creates a basis for its operations that combines operational excellence and customer satisfaction delivering a strong competitive edge for itself</w:t>
      </w:r>
      <w:r w:rsidR="00102C5A">
        <w:t xml:space="preserve"> </w:t>
      </w:r>
      <w:r w:rsidR="00102C5A" w:rsidRPr="00102C5A">
        <w:t>(Garavan, Barnicle and O’Suilleabhain, 2019)</w:t>
      </w:r>
      <w:r>
        <w:t>.</w:t>
      </w:r>
    </w:p>
    <w:p w14:paraId="19655D16" w14:textId="3FF6D0A3" w:rsidR="00F029B4" w:rsidRDefault="00F029B4" w:rsidP="00593378">
      <w:r>
        <w:t xml:space="preserve">Mainly, Tesco's organizational structure shows its flexibility, innovativeness and the priority it gives to customers, which is extremely important in a fast-changing market. Tesco supports a framework that combines central and decentralized </w:t>
      </w:r>
      <w:r w:rsidR="00C52D3E">
        <w:t>decision-making</w:t>
      </w:r>
      <w:r>
        <w:t xml:space="preserve"> functions, enabling information </w:t>
      </w:r>
      <w:r w:rsidR="00C52D3E">
        <w:t xml:space="preserve">to </w:t>
      </w:r>
      <w:r>
        <w:t xml:space="preserve">respond swiftly to changes at all levels of the organization. With smart talent </w:t>
      </w:r>
      <w:r>
        <w:lastRenderedPageBreak/>
        <w:t xml:space="preserve">development and employee engagement investments Tesco brings </w:t>
      </w:r>
      <w:r w:rsidR="00C52D3E">
        <w:t>an excellent</w:t>
      </w:r>
      <w:r>
        <w:t xml:space="preserve"> culture and supports sustainable performance enhancements in </w:t>
      </w:r>
      <w:r w:rsidR="00C52D3E">
        <w:t>a</w:t>
      </w:r>
      <w:r>
        <w:t xml:space="preserve"> market that is in constant change.</w:t>
      </w:r>
    </w:p>
    <w:p w14:paraId="0CD71383" w14:textId="4247C5A2" w:rsidR="00F029B4" w:rsidRDefault="00F029B4" w:rsidP="00593378">
      <w:pPr>
        <w:pStyle w:val="Heading1"/>
      </w:pPr>
      <w:r>
        <w:t>O</w:t>
      </w:r>
      <w:r w:rsidRPr="00F029B4">
        <w:t>rganisational culture</w:t>
      </w:r>
    </w:p>
    <w:p w14:paraId="244794B5" w14:textId="5DB6F26A" w:rsidR="001718E5" w:rsidRDefault="001718E5" w:rsidP="00593378">
      <w:r>
        <w:t xml:space="preserve">Aside from being famous for global business in the retail industry, Tesco has the strongest and most diverse organizational culture </w:t>
      </w:r>
      <w:r w:rsidR="00C52D3E">
        <w:t>which</w:t>
      </w:r>
      <w:r>
        <w:t xml:space="preserve"> is the escape of their success. At the heart of Tesco's culture is a deep-rooted commitment to putting customers first, embodied in the company's mission statement: "Every little helps." This customer-driven message is a part of Tesco's DNA. It means that all its staff, from the head office to </w:t>
      </w:r>
      <w:r w:rsidR="00C52D3E">
        <w:t xml:space="preserve">the </w:t>
      </w:r>
      <w:r>
        <w:t>shop floor, strive for excellence in customer experience and value delivery to every shopper in different parts of the globe</w:t>
      </w:r>
      <w:r w:rsidR="00102C5A">
        <w:t xml:space="preserve"> </w:t>
      </w:r>
      <w:r w:rsidR="00102C5A" w:rsidRPr="00102C5A">
        <w:t>(Frank and Brickman, 2021)</w:t>
      </w:r>
      <w:r>
        <w:t>.</w:t>
      </w:r>
    </w:p>
    <w:p w14:paraId="36ABDCA8" w14:textId="63BDD707" w:rsidR="001718E5" w:rsidRDefault="001718E5" w:rsidP="00593378">
      <w:r>
        <w:t xml:space="preserve">At the heart of Tesco's organizational culture lies a people-centred approach, with teamwork and collaboration being the strong pillars. The organization understands that </w:t>
      </w:r>
      <w:r w:rsidR="00C52D3E">
        <w:t xml:space="preserve">the </w:t>
      </w:r>
      <w:r>
        <w:t xml:space="preserve">collective efforts of the multi-faceted workforce, which comprises individuals from different backgrounds, life experiences, as well as skill sets, are the secret to their success. Tesco builds a particular culture where people are empowered to work cross-subject, cross-function and cross-geographical, where they can use their competence and unique knowledge to come up with innovation and solve problems. This kind of togetherness can be seen in project teams forming </w:t>
      </w:r>
      <w:r w:rsidR="00C52D3E">
        <w:t>cross-functional</w:t>
      </w:r>
      <w:r>
        <w:t xml:space="preserve"> departments, knowledge base sharing forums, and open channels of communication that </w:t>
      </w:r>
      <w:r w:rsidR="00C52D3E">
        <w:t>promote</w:t>
      </w:r>
      <w:r>
        <w:t xml:space="preserve"> cooperation and alignment of the organization</w:t>
      </w:r>
      <w:r w:rsidR="00102C5A">
        <w:t xml:space="preserve"> </w:t>
      </w:r>
      <w:r w:rsidR="00102C5A" w:rsidRPr="00102C5A">
        <w:t>(Emmer, 2012)</w:t>
      </w:r>
      <w:r>
        <w:t>.</w:t>
      </w:r>
    </w:p>
    <w:p w14:paraId="01D20D30" w14:textId="003E4DD1" w:rsidR="001718E5" w:rsidRDefault="001718E5" w:rsidP="00593378">
      <w:r>
        <w:t xml:space="preserve">Tesco also carries </w:t>
      </w:r>
      <w:r w:rsidR="00C52D3E">
        <w:t>a</w:t>
      </w:r>
      <w:r>
        <w:t xml:space="preserve"> culture of accountability and empowerment to its employees by giving them autonomy and ownership over their work. There is also a company-wide commitment to giving people the independence to make decisions, and to allow people to act with agility and impunity, which will encourage them to do their best for their customers and the business. </w:t>
      </w:r>
      <w:r w:rsidR="00C52D3E">
        <w:t>This</w:t>
      </w:r>
      <w:r>
        <w:t xml:space="preserve"> empowerment-oriented culture is reinforced by the framework of decentralized decision-making structures, employee recognition programs and continuous feedback mechanisms that create milestones and accomplishments and </w:t>
      </w:r>
      <w:r w:rsidR="00C52D3E">
        <w:t>encourage</w:t>
      </w:r>
      <w:r>
        <w:t xml:space="preserve"> continuous growth.</w:t>
      </w:r>
    </w:p>
    <w:p w14:paraId="5675BA3B" w14:textId="65B54DCF" w:rsidR="001718E5" w:rsidRDefault="001718E5" w:rsidP="00593378">
      <w:r>
        <w:t>As a second point</w:t>
      </w:r>
      <w:r w:rsidR="00C52D3E">
        <w:t>,</w:t>
      </w:r>
      <w:r>
        <w:t xml:space="preserve"> Tesco considers DEI as the key </w:t>
      </w:r>
      <w:r w:rsidR="00C52D3E">
        <w:t>component</w:t>
      </w:r>
      <w:r>
        <w:t xml:space="preserve"> of the culture of an organization. As the organization believes in the essence of diversity that results in creativity, innovation, and resilience, it is striving to develop the kind of environment where all the employees are valued, respected and feel supported equally. Diversity and inclusion form part of </w:t>
      </w:r>
      <w:r w:rsidR="00C52D3E">
        <w:t>Tesco's</w:t>
      </w:r>
      <w:r>
        <w:t xml:space="preserve"> </w:t>
      </w:r>
      <w:r>
        <w:lastRenderedPageBreak/>
        <w:t xml:space="preserve">strategy through programs that incorporate initiatives such as recruitment processes which aim at increasing </w:t>
      </w:r>
      <w:r w:rsidR="00C52D3E">
        <w:t xml:space="preserve">the </w:t>
      </w:r>
      <w:r>
        <w:t>representation of underrepresented groups, employee resource groups which are for networking and support purposes and DEI training programs that promote awareness and understanding across the company</w:t>
      </w:r>
      <w:r w:rsidR="00102C5A">
        <w:t xml:space="preserve"> </w:t>
      </w:r>
      <w:r w:rsidR="00102C5A" w:rsidRPr="00102C5A">
        <w:t>(Coe and Lee, 2016)</w:t>
      </w:r>
      <w:r>
        <w:t>.</w:t>
      </w:r>
    </w:p>
    <w:p w14:paraId="02B783A9" w14:textId="178AAA82" w:rsidR="001718E5" w:rsidRDefault="001718E5" w:rsidP="00593378">
      <w:r>
        <w:t xml:space="preserve">A part of Tesco's organizational culture is sustainability and corporate responsibility </w:t>
      </w:r>
      <w:r w:rsidR="00C52D3E">
        <w:t>which</w:t>
      </w:r>
      <w:r>
        <w:t xml:space="preserve"> are valued and clearly show its goal to leave a positive impact on society as well as the environment. The business acknowledges that its procedures link up with the overall social and environmental order, and it uses sustainability principles in integrating them into its core operations and behaviours. Tesco takes sustainability with a holistic approach </w:t>
      </w:r>
      <w:r w:rsidR="00C52D3E">
        <w:t>through</w:t>
      </w:r>
      <w:r>
        <w:t xml:space="preserve"> its supply chain. This involves the responsible sourcing of products, minimization of waste, utilizing renewable energy and community engagement programs. Through the sustainability culture </w:t>
      </w:r>
      <w:r w:rsidR="00C52D3E">
        <w:t>built</w:t>
      </w:r>
      <w:r>
        <w:t xml:space="preserve"> in itself, Tesco materializes shared value among stakeholders which mitigates risks from the long- term and ensures environmental stewardship.</w:t>
      </w:r>
    </w:p>
    <w:p w14:paraId="642939C1" w14:textId="3D5CA0DA" w:rsidR="001718E5" w:rsidRDefault="001718E5" w:rsidP="00593378">
      <w:r>
        <w:t xml:space="preserve">Also, Tesco is changing the culture of continuous learning and development, as they are aware of the fact that the retail industry is always changing and requires employees to adapt and keep developing their skills to stay ahead. The company devotes significant funds </w:t>
      </w:r>
      <w:r w:rsidR="00C52D3E">
        <w:t>to</w:t>
      </w:r>
      <w:r>
        <w:t xml:space="preserve"> the development of training and development programs that can empower employees to acquire new skills, and knowledge, and be able to pursue career advancement</w:t>
      </w:r>
      <w:r w:rsidR="00102C5A">
        <w:t xml:space="preserve"> </w:t>
      </w:r>
      <w:r w:rsidR="00102C5A" w:rsidRPr="00102C5A">
        <w:t>(Cherry and Jacob, 2019)</w:t>
      </w:r>
      <w:r>
        <w:t xml:space="preserve">. </w:t>
      </w:r>
    </w:p>
    <w:p w14:paraId="6B958212" w14:textId="2C556866" w:rsidR="00F029B4" w:rsidRDefault="00F029B4" w:rsidP="00593378">
      <w:pPr>
        <w:pStyle w:val="Heading1"/>
      </w:pPr>
      <w:r>
        <w:t>I</w:t>
      </w:r>
      <w:r w:rsidRPr="00F029B4">
        <w:t xml:space="preserve">ndividual </w:t>
      </w:r>
      <w:r w:rsidR="00593378">
        <w:t>M</w:t>
      </w:r>
      <w:r w:rsidRPr="00F029B4">
        <w:t>otivation</w:t>
      </w:r>
    </w:p>
    <w:p w14:paraId="44B0ACF3" w14:textId="1DBBB17B" w:rsidR="001718E5" w:rsidRDefault="001718E5" w:rsidP="00593378">
      <w:r>
        <w:t xml:space="preserve">Every individual worker at Tesco shows an inherent interest in the organizational culture and human resource practices of the company by making it a point to excel in their set tasks and achieve their fullest potential. At the heart of Tesco's strategy for individual development is a thorough knowledge of the differentiated factors that influence, shape, and refresh the employee's engagement and effect. Motivated employees not only keep the company up and running but generate new ideas, ensure customer satisfaction, and contribute to </w:t>
      </w:r>
      <w:r w:rsidR="00C52D3E">
        <w:t xml:space="preserve">the </w:t>
      </w:r>
      <w:r>
        <w:t>long-term success of the business</w:t>
      </w:r>
      <w:r w:rsidR="00102C5A">
        <w:t xml:space="preserve"> </w:t>
      </w:r>
      <w:r w:rsidR="00102C5A" w:rsidRPr="00102C5A">
        <w:t>(Brewster, 2021)</w:t>
      </w:r>
      <w:r>
        <w:t>.</w:t>
      </w:r>
    </w:p>
    <w:p w14:paraId="50354DED" w14:textId="02521EE0" w:rsidR="001718E5" w:rsidRDefault="001718E5" w:rsidP="00593378">
      <w:r>
        <w:t xml:space="preserve">Another contributing force of motivation at Tesco is the way it incorporates recognition and reward. The firm acknowledges the fact that it is imperative to value the contribution and celebrate the successes of the employees even </w:t>
      </w:r>
      <w:r w:rsidR="00C52D3E">
        <w:t>using</w:t>
      </w:r>
      <w:r>
        <w:t xml:space="preserve"> formal </w:t>
      </w:r>
      <w:r w:rsidR="00C52D3E">
        <w:t>reward</w:t>
      </w:r>
      <w:r>
        <w:t xml:space="preserve"> programs, performance </w:t>
      </w:r>
      <w:r>
        <w:lastRenderedPageBreak/>
        <w:t xml:space="preserve">incentives, or simply words of thanks from the manager and peers. Tesco has reward mechanisms that are tailored to appeal to not only individual </w:t>
      </w:r>
      <w:r w:rsidR="00C52D3E">
        <w:t>efforts</w:t>
      </w:r>
      <w:r>
        <w:t xml:space="preserve"> but also team efforts. This creates a culture of pride and high performance and promotes accountability among employees</w:t>
      </w:r>
      <w:r w:rsidR="00102C5A">
        <w:t xml:space="preserve"> </w:t>
      </w:r>
      <w:r w:rsidR="00102C5A" w:rsidRPr="00102C5A">
        <w:t>(Smith and Sparks, 2021)</w:t>
      </w:r>
      <w:r>
        <w:t>.</w:t>
      </w:r>
    </w:p>
    <w:p w14:paraId="20E0E5AA" w14:textId="148B140D" w:rsidR="001718E5" w:rsidRDefault="001718E5" w:rsidP="00593378">
      <w:r>
        <w:t xml:space="preserve">Additionally, Tesco's leaders are committed to career development and advancement as one of their key motivators of employees. The company provides therefore a vast array of training and development facilities from on-the-job coaching and mentoring programs to formal learning courses and leadership development </w:t>
      </w:r>
      <w:r w:rsidR="00C52D3E">
        <w:t>modules</w:t>
      </w:r>
      <w:r>
        <w:t xml:space="preserve">. </w:t>
      </w:r>
      <w:r w:rsidR="00C52D3E">
        <w:t>Tesco</w:t>
      </w:r>
      <w:r>
        <w:t xml:space="preserve"> aims </w:t>
      </w:r>
      <w:r w:rsidR="00C52D3E">
        <w:t>to motivate</w:t>
      </w:r>
      <w:r>
        <w:t xml:space="preserve"> employees to be in charge of their professional lives. The organization provides resources (such as career assessment tools and coaching) that will help the employee </w:t>
      </w:r>
      <w:r w:rsidR="00C52D3E">
        <w:t>identify</w:t>
      </w:r>
      <w:r>
        <w:t xml:space="preserve"> their strengths, interests, and aspirations, and </w:t>
      </w:r>
      <w:r w:rsidR="00C52D3E">
        <w:t>seek</w:t>
      </w:r>
      <w:r>
        <w:t xml:space="preserve"> progression opportunities within the organization. Through the professional development and education of its </w:t>
      </w:r>
      <w:r w:rsidR="00C52D3E">
        <w:t>staff</w:t>
      </w:r>
      <w:r>
        <w:t xml:space="preserve">, Tesco not only gives them the necessary support to properly perform their jobs but also creates an environment where their employees are dedicated, ready to commit, and will stay for the </w:t>
      </w:r>
      <w:r w:rsidR="00C52D3E">
        <w:t>long term</w:t>
      </w:r>
      <w:r w:rsidR="00102C5A">
        <w:t xml:space="preserve"> </w:t>
      </w:r>
      <w:r w:rsidR="00102C5A" w:rsidRPr="00102C5A">
        <w:t>(Phillips and Moutinho, 2018)</w:t>
      </w:r>
      <w:r>
        <w:t>.</w:t>
      </w:r>
    </w:p>
    <w:p w14:paraId="4B0F6C2A" w14:textId="2AA7A485" w:rsidR="001718E5" w:rsidRDefault="001718E5" w:rsidP="00593378">
      <w:r>
        <w:t xml:space="preserve">Lastly, Tesco builds an environment that embraces a culture of empowerment and autonomy where employees are constantly motivated to take the lead, make a decision, and contribute their ideas which help to enhance processes, products and services. The firm believes in making ready the employees to be creative and to investigate and experience. Supporting </w:t>
      </w:r>
      <w:r w:rsidR="00C52D3E">
        <w:t xml:space="preserve">an </w:t>
      </w:r>
      <w:r>
        <w:t xml:space="preserve">environment where risks are encouraged and learning from failures rather than considering them setbacks </w:t>
      </w:r>
      <w:r w:rsidR="00C52D3E">
        <w:t>brings</w:t>
      </w:r>
      <w:r>
        <w:t xml:space="preserve"> </w:t>
      </w:r>
      <w:r w:rsidR="00C52D3E">
        <w:t>a</w:t>
      </w:r>
      <w:r>
        <w:t xml:space="preserve"> sense of accomplishment. Employees from all levels at Tesco </w:t>
      </w:r>
      <w:r w:rsidR="00C52D3E">
        <w:t>can</w:t>
      </w:r>
      <w:r>
        <w:t xml:space="preserve"> effectively influence </w:t>
      </w:r>
      <w:r w:rsidR="00C52D3E">
        <w:t>decision-making</w:t>
      </w:r>
      <w:r>
        <w:t xml:space="preserve"> and communicate through open channels, thus empowering all workers to voice their opinions and contribute their insight. Furthermore, having a sense of belonging and being proud of their work is developed across the workforce.</w:t>
      </w:r>
    </w:p>
    <w:p w14:paraId="14BF90A6" w14:textId="21EA831B" w:rsidR="001718E5" w:rsidRDefault="001718E5" w:rsidP="00593378">
      <w:r w:rsidRPr="001718E5">
        <w:t xml:space="preserve">The company also understands that healthy work-life bias and employee welfare are equally important aspects of inducing employee motivation. The company has a set of programs and benefits which support the physical, as well as, the mental and emotional well-being of their staff, from flexible working hours and childcare initiatives to wellness programs and employee assistance resources. Tesco realizes that employees are more efficient, motivated and engaged when they feel they are valued, supported, and cared for by the management and therefore, it </w:t>
      </w:r>
      <w:r w:rsidR="00C52D3E">
        <w:t>prioritizes</w:t>
      </w:r>
      <w:r w:rsidRPr="001718E5">
        <w:t xml:space="preserve"> creating a positive workplace that can accommodate everyone and encourage excellence</w:t>
      </w:r>
      <w:r w:rsidR="00102C5A">
        <w:t xml:space="preserve"> </w:t>
      </w:r>
      <w:r w:rsidR="00102C5A" w:rsidRPr="00102C5A">
        <w:t>(Taylor et al., 2021)</w:t>
      </w:r>
      <w:r w:rsidRPr="001718E5">
        <w:t>.</w:t>
      </w:r>
    </w:p>
    <w:p w14:paraId="49FE0CD3" w14:textId="5FAD8055" w:rsidR="001718E5" w:rsidRDefault="001718E5" w:rsidP="00593378">
      <w:r w:rsidRPr="001718E5">
        <w:lastRenderedPageBreak/>
        <w:t xml:space="preserve">Also, Tesco effectively uses technology and data analytics to personalize and customize employee experiences and satisfy employees with different preferences. The company applies modern HR technologies which are capable of monitoring and analyzing employees' productivity, discovering weaknesses applying due interventions and providing support in an individualized manner. </w:t>
      </w:r>
    </w:p>
    <w:p w14:paraId="19BB518C" w14:textId="6FFC9DF5" w:rsidR="00F029B4" w:rsidRDefault="00F029B4" w:rsidP="00593378">
      <w:pPr>
        <w:pStyle w:val="Heading1"/>
      </w:pPr>
      <w:r>
        <w:t>Conclusion</w:t>
      </w:r>
    </w:p>
    <w:p w14:paraId="4944B557" w14:textId="4B62FE08" w:rsidR="00F029B4" w:rsidRDefault="001718E5" w:rsidP="00593378">
      <w:r w:rsidRPr="001718E5">
        <w:t xml:space="preserve">Tesco's synergic organizational structure, culture, and approach to individual motivation constitute an all-encompassing environment that gives a solid foundation to the enterprise for being competitive in the volatile retail sector. Through management that </w:t>
      </w:r>
      <w:r w:rsidR="00C52D3E">
        <w:t>mirrors</w:t>
      </w:r>
      <w:r w:rsidRPr="001718E5">
        <w:t xml:space="preserve"> a culture of collaboration, empowerment and inclusivity, Tesco provides the perfect setup for a diverse workforce to prosper, generating innovation, customer satisfaction and sustainable growth. Tesco invests in training and development as well as </w:t>
      </w:r>
      <w:r w:rsidR="00C52D3E">
        <w:t xml:space="preserve">the </w:t>
      </w:r>
      <w:r w:rsidRPr="001718E5">
        <w:t xml:space="preserve">recognition and well-being of workers. This is how Tesco help build a passionate workforce of employees who are determined to provide excellent customer experience and serve as the engine that drives the </w:t>
      </w:r>
      <w:r w:rsidR="00C52D3E">
        <w:t>company's</w:t>
      </w:r>
      <w:r w:rsidRPr="001718E5">
        <w:t xml:space="preserve"> growth. As Tesco is making progress and developing strategies that help it stay competitive, its people-oriented approach will remain the source of its great durability and toughness</w:t>
      </w:r>
      <w:r w:rsidR="00102C5A">
        <w:t xml:space="preserve"> </w:t>
      </w:r>
      <w:r w:rsidR="00102C5A" w:rsidRPr="00102C5A">
        <w:t>(Van Niekerk, 2017)</w:t>
      </w:r>
      <w:r w:rsidRPr="001718E5">
        <w:t>.</w:t>
      </w:r>
    </w:p>
    <w:p w14:paraId="1F12782F" w14:textId="2299786B" w:rsidR="00C52D3E" w:rsidRDefault="00C52D3E" w:rsidP="00593378">
      <w:pPr>
        <w:jc w:val="left"/>
      </w:pPr>
      <w:r>
        <w:br w:type="page"/>
      </w:r>
    </w:p>
    <w:p w14:paraId="74AD7670" w14:textId="3215E2CA" w:rsidR="00C52D3E" w:rsidRDefault="00C52D3E" w:rsidP="00593378">
      <w:pPr>
        <w:pStyle w:val="Heading1"/>
      </w:pPr>
      <w:r>
        <w:lastRenderedPageBreak/>
        <w:t>References</w:t>
      </w:r>
    </w:p>
    <w:p w14:paraId="3205E988" w14:textId="607C03BA" w:rsidR="00102C5A" w:rsidRPr="00102C5A" w:rsidRDefault="00102C5A" w:rsidP="00593378">
      <w:r w:rsidRPr="00102C5A">
        <w:t xml:space="preserve">Brewster, C. (2021) </w:t>
      </w:r>
      <w:r w:rsidRPr="00102C5A">
        <w:rPr>
          <w:i/>
          <w:iCs/>
        </w:rPr>
        <w:t>Contemporary issues in human resource Management: Gaining a competitive advantage</w:t>
      </w:r>
      <w:r w:rsidRPr="00102C5A">
        <w:t xml:space="preserve">. </w:t>
      </w:r>
      <w:hyperlink r:id="rId8" w:history="1">
        <w:r w:rsidRPr="00102C5A">
          <w:rPr>
            <w:rStyle w:val="Hyperlink"/>
          </w:rPr>
          <w:t>http://ci.nii.ac.jp/ncid/BA58834551</w:t>
        </w:r>
      </w:hyperlink>
      <w:r w:rsidRPr="00102C5A">
        <w:t>.</w:t>
      </w:r>
      <w:r>
        <w:t xml:space="preserve"> </w:t>
      </w:r>
    </w:p>
    <w:p w14:paraId="27DCD7EE" w14:textId="3BB9E2BD" w:rsidR="00102C5A" w:rsidRPr="00102C5A" w:rsidRDefault="00102C5A" w:rsidP="00593378">
      <w:r w:rsidRPr="00102C5A">
        <w:t xml:space="preserve">Cherry, B. and Jacob, S. (2019) </w:t>
      </w:r>
      <w:r w:rsidRPr="00102C5A">
        <w:rPr>
          <w:i/>
          <w:iCs/>
        </w:rPr>
        <w:t>Contemporary Nursing: Issues, Trends &amp; management</w:t>
      </w:r>
      <w:r w:rsidRPr="00102C5A">
        <w:t xml:space="preserve">. </w:t>
      </w:r>
      <w:hyperlink r:id="rId9" w:history="1">
        <w:r w:rsidRPr="00102C5A">
          <w:rPr>
            <w:rStyle w:val="Hyperlink"/>
          </w:rPr>
          <w:t>http://ci.nii.ac.jp/ncid/BA70726580</w:t>
        </w:r>
      </w:hyperlink>
      <w:r w:rsidRPr="00102C5A">
        <w:t>.</w:t>
      </w:r>
      <w:r>
        <w:t xml:space="preserve"> </w:t>
      </w:r>
    </w:p>
    <w:p w14:paraId="5E5490EA" w14:textId="0B0ECACE" w:rsidR="00102C5A" w:rsidRPr="00102C5A" w:rsidRDefault="00102C5A" w:rsidP="00593378">
      <w:r w:rsidRPr="00102C5A">
        <w:t xml:space="preserve">Coe, N.M. and Lee, Y.S. (2016) 'The strategic localization of transnational retailers: the case of Samsung‐TesCo in South Korea,' </w:t>
      </w:r>
      <w:r w:rsidRPr="00102C5A">
        <w:rPr>
          <w:i/>
          <w:iCs/>
        </w:rPr>
        <w:t>Economic Geography</w:t>
      </w:r>
      <w:r w:rsidRPr="00102C5A">
        <w:t xml:space="preserve">, 82(1), pp. 61–88. </w:t>
      </w:r>
      <w:hyperlink r:id="rId10" w:history="1">
        <w:r w:rsidRPr="00102C5A">
          <w:rPr>
            <w:rStyle w:val="Hyperlink"/>
          </w:rPr>
          <w:t>https://doi.org/10.1111/j.1944-8287.2006.tb00288.x</w:t>
        </w:r>
      </w:hyperlink>
      <w:r w:rsidRPr="00102C5A">
        <w:t>.</w:t>
      </w:r>
      <w:r>
        <w:t xml:space="preserve"> </w:t>
      </w:r>
    </w:p>
    <w:p w14:paraId="6D483779" w14:textId="2EC0272B" w:rsidR="00102C5A" w:rsidRPr="00102C5A" w:rsidRDefault="00102C5A" w:rsidP="00593378">
      <w:r w:rsidRPr="00102C5A">
        <w:t xml:space="preserve">Emmer, E.T. (2012) </w:t>
      </w:r>
      <w:r w:rsidRPr="00102C5A">
        <w:rPr>
          <w:i/>
          <w:iCs/>
        </w:rPr>
        <w:t>Handbook of Classroom Management: Research, Practice, and Contemporary Issues</w:t>
      </w:r>
      <w:r w:rsidRPr="00102C5A">
        <w:t xml:space="preserve">. </w:t>
      </w:r>
      <w:hyperlink r:id="rId11" w:history="1">
        <w:r w:rsidRPr="00102C5A">
          <w:rPr>
            <w:rStyle w:val="Hyperlink"/>
          </w:rPr>
          <w:t>https://www.amazon.com/MyEducationLab-Pearson-eText-Standalone-Access/dp/0132909383</w:t>
        </w:r>
      </w:hyperlink>
      <w:r w:rsidRPr="00102C5A">
        <w:t>.</w:t>
      </w:r>
      <w:r>
        <w:t xml:space="preserve"> </w:t>
      </w:r>
    </w:p>
    <w:p w14:paraId="06850E54" w14:textId="5DC6FC68" w:rsidR="00102C5A" w:rsidRPr="00102C5A" w:rsidRDefault="00102C5A" w:rsidP="00593378">
      <w:r w:rsidRPr="00102C5A">
        <w:t xml:space="preserve">Frank, K.T. and Brickman, D. (2021) 'Contemporary management issues confronting fisheries science,' </w:t>
      </w:r>
      <w:r w:rsidRPr="00102C5A">
        <w:rPr>
          <w:i/>
          <w:iCs/>
        </w:rPr>
        <w:t>Journal of Sea Research</w:t>
      </w:r>
      <w:r w:rsidRPr="00102C5A">
        <w:t xml:space="preserve">, 45(3–4), pp. 173–187. </w:t>
      </w:r>
      <w:hyperlink r:id="rId12" w:history="1">
        <w:r w:rsidRPr="00102C5A">
          <w:rPr>
            <w:rStyle w:val="Hyperlink"/>
          </w:rPr>
          <w:t>https://doi.org/10.1016/s1385-1101(01)00056-9</w:t>
        </w:r>
      </w:hyperlink>
      <w:r w:rsidRPr="00102C5A">
        <w:t>.</w:t>
      </w:r>
      <w:r>
        <w:t xml:space="preserve"> </w:t>
      </w:r>
    </w:p>
    <w:p w14:paraId="39835940" w14:textId="6E8B396F" w:rsidR="00102C5A" w:rsidRPr="00102C5A" w:rsidRDefault="00102C5A" w:rsidP="00593378">
      <w:r w:rsidRPr="00102C5A">
        <w:t xml:space="preserve">Garavan, T.N., Barnicle, B. and O’Suilleabhain, F. (2019) 'Management development: contemporary trends, issues and strategies,' </w:t>
      </w:r>
      <w:r w:rsidRPr="00102C5A">
        <w:rPr>
          <w:i/>
          <w:iCs/>
        </w:rPr>
        <w:t>Journal of European Industrial Training</w:t>
      </w:r>
      <w:r w:rsidRPr="00102C5A">
        <w:t xml:space="preserve">, 23(4/5), pp. 191–207. </w:t>
      </w:r>
      <w:hyperlink r:id="rId13" w:history="1">
        <w:r w:rsidRPr="00102C5A">
          <w:rPr>
            <w:rStyle w:val="Hyperlink"/>
          </w:rPr>
          <w:t>https://doi.org/10.1108/03090599910272077</w:t>
        </w:r>
      </w:hyperlink>
      <w:r w:rsidRPr="00102C5A">
        <w:t>.</w:t>
      </w:r>
      <w:r>
        <w:t xml:space="preserve"> </w:t>
      </w:r>
    </w:p>
    <w:p w14:paraId="7F03B095" w14:textId="77777777" w:rsidR="00102C5A" w:rsidRPr="00102C5A" w:rsidRDefault="00102C5A" w:rsidP="00593378">
      <w:r w:rsidRPr="00102C5A">
        <w:t xml:space="preserve">Hamilton, L., Mitchell, L. and Mangan, A. (2014) </w:t>
      </w:r>
      <w:r w:rsidRPr="00102C5A">
        <w:rPr>
          <w:i/>
          <w:iCs/>
        </w:rPr>
        <w:t>Contemporary issues in management</w:t>
      </w:r>
      <w:r w:rsidRPr="00102C5A">
        <w:t>. Edward Elgar Publishing.</w:t>
      </w:r>
    </w:p>
    <w:p w14:paraId="4B9A3725" w14:textId="77777777" w:rsidR="00102C5A" w:rsidRPr="00102C5A" w:rsidRDefault="00102C5A" w:rsidP="00593378">
      <w:r w:rsidRPr="00102C5A">
        <w:t xml:space="preserve">Jones, G. and George, J. (2018) </w:t>
      </w:r>
      <w:r w:rsidRPr="00102C5A">
        <w:rPr>
          <w:i/>
          <w:iCs/>
        </w:rPr>
        <w:t>Contemporary management</w:t>
      </w:r>
      <w:r w:rsidRPr="00102C5A">
        <w:t>. McGraw-Hill/Irwin.</w:t>
      </w:r>
    </w:p>
    <w:p w14:paraId="76425962" w14:textId="6146A7BE" w:rsidR="00102C5A" w:rsidRPr="00102C5A" w:rsidRDefault="00102C5A" w:rsidP="00593378">
      <w:r w:rsidRPr="00102C5A">
        <w:t xml:space="preserve">Millmore, M. </w:t>
      </w:r>
      <w:r w:rsidRPr="00102C5A">
        <w:rPr>
          <w:i/>
          <w:iCs/>
        </w:rPr>
        <w:t>et al.</w:t>
      </w:r>
      <w:r w:rsidRPr="00102C5A">
        <w:t xml:space="preserve"> (2017) </w:t>
      </w:r>
      <w:r w:rsidRPr="00102C5A">
        <w:rPr>
          <w:i/>
          <w:iCs/>
        </w:rPr>
        <w:t>Strategic Human Resource Management: contemporary issues</w:t>
      </w:r>
      <w:r w:rsidRPr="00102C5A">
        <w:t xml:space="preserve">. </w:t>
      </w:r>
      <w:hyperlink r:id="rId14" w:history="1">
        <w:r w:rsidRPr="00102C5A">
          <w:rPr>
            <w:rStyle w:val="Hyperlink"/>
          </w:rPr>
          <w:t>https://epubs.surrey.ac.uk/815388/</w:t>
        </w:r>
      </w:hyperlink>
      <w:r w:rsidRPr="00102C5A">
        <w:t>.</w:t>
      </w:r>
      <w:r>
        <w:t xml:space="preserve"> </w:t>
      </w:r>
    </w:p>
    <w:p w14:paraId="6A6C07B9" w14:textId="71CBF012" w:rsidR="00102C5A" w:rsidRPr="00102C5A" w:rsidRDefault="00102C5A" w:rsidP="00593378">
      <w:r w:rsidRPr="00102C5A">
        <w:t xml:space="preserve">Palmer, M. (2014) 'International retail restructuring and divestment: The experience of Tesco,' </w:t>
      </w:r>
      <w:r w:rsidRPr="00102C5A">
        <w:rPr>
          <w:i/>
          <w:iCs/>
        </w:rPr>
        <w:t>Journal of Marketing Management</w:t>
      </w:r>
      <w:r w:rsidRPr="00102C5A">
        <w:t xml:space="preserve">, 20(9–10), pp. 1075–1105. </w:t>
      </w:r>
      <w:hyperlink r:id="rId15" w:history="1">
        <w:r w:rsidRPr="00102C5A">
          <w:rPr>
            <w:rStyle w:val="Hyperlink"/>
          </w:rPr>
          <w:t>https://doi.org/10.1362/0267257042405213</w:t>
        </w:r>
      </w:hyperlink>
      <w:r w:rsidRPr="00102C5A">
        <w:t>.</w:t>
      </w:r>
      <w:r>
        <w:t xml:space="preserve"> </w:t>
      </w:r>
    </w:p>
    <w:p w14:paraId="4D713F9D" w14:textId="77777777" w:rsidR="00102C5A" w:rsidRPr="00102C5A" w:rsidRDefault="00102C5A" w:rsidP="00593378">
      <w:r w:rsidRPr="00102C5A">
        <w:t xml:space="preserve">Phillips, P. and Moutinho, L. (2018) </w:t>
      </w:r>
      <w:r w:rsidRPr="00102C5A">
        <w:rPr>
          <w:i/>
          <w:iCs/>
        </w:rPr>
        <w:t>Contemporary issues in strategic management</w:t>
      </w:r>
      <w:r w:rsidRPr="00102C5A">
        <w:t>. Routledge.</w:t>
      </w:r>
    </w:p>
    <w:p w14:paraId="0CA24A19" w14:textId="77777777" w:rsidR="00102C5A" w:rsidRPr="00102C5A" w:rsidRDefault="00102C5A" w:rsidP="00593378">
      <w:r w:rsidRPr="00102C5A">
        <w:lastRenderedPageBreak/>
        <w:t xml:space="preserve">Rhoads, C.J. and Roth, W. (2021) </w:t>
      </w:r>
      <w:r w:rsidRPr="00102C5A">
        <w:rPr>
          <w:i/>
          <w:iCs/>
        </w:rPr>
        <w:t>Strategic decision making for successful planning: Solving Problems for Great Results</w:t>
      </w:r>
      <w:r w:rsidRPr="00102C5A">
        <w:t>.</w:t>
      </w:r>
    </w:p>
    <w:p w14:paraId="49014F50" w14:textId="3EEBCA36" w:rsidR="00102C5A" w:rsidRPr="00102C5A" w:rsidRDefault="00102C5A" w:rsidP="00593378">
      <w:r w:rsidRPr="00102C5A">
        <w:t xml:space="preserve">Smith, D.D. and Sparks, L. (2021) 'The transformation of physical distribution in retailing: the example of Tesco plc,' </w:t>
      </w:r>
      <w:r w:rsidRPr="00102C5A">
        <w:rPr>
          <w:i/>
          <w:iCs/>
        </w:rPr>
        <w:t>The International Review of Retail, Distribution and Consumer Research</w:t>
      </w:r>
      <w:r w:rsidRPr="00102C5A">
        <w:t xml:space="preserve">, 3(1), pp. 35–64. </w:t>
      </w:r>
      <w:hyperlink r:id="rId16" w:history="1">
        <w:r w:rsidRPr="00102C5A">
          <w:rPr>
            <w:rStyle w:val="Hyperlink"/>
          </w:rPr>
          <w:t>https://doi.org/10.1080/09593969300000003</w:t>
        </w:r>
      </w:hyperlink>
      <w:r w:rsidRPr="00102C5A">
        <w:t>.</w:t>
      </w:r>
      <w:r>
        <w:t xml:space="preserve"> </w:t>
      </w:r>
    </w:p>
    <w:p w14:paraId="524C8CAC" w14:textId="049D51F7" w:rsidR="00102C5A" w:rsidRPr="00102C5A" w:rsidRDefault="00102C5A" w:rsidP="00593378">
      <w:r w:rsidRPr="00102C5A">
        <w:t xml:space="preserve">Taylor, J. </w:t>
      </w:r>
      <w:r w:rsidRPr="00102C5A">
        <w:rPr>
          <w:i/>
          <w:iCs/>
        </w:rPr>
        <w:t>et al.</w:t>
      </w:r>
      <w:r w:rsidRPr="00102C5A">
        <w:t xml:space="preserve"> (2021) 'Contemporary management issues for Aboriginal Community Controlled Health Services,' </w:t>
      </w:r>
      <w:r w:rsidRPr="00102C5A">
        <w:rPr>
          <w:i/>
          <w:iCs/>
        </w:rPr>
        <w:t>Australian Health Review</w:t>
      </w:r>
      <w:r w:rsidRPr="00102C5A">
        <w:t xml:space="preserve">, 24(3), p. 125. </w:t>
      </w:r>
      <w:hyperlink r:id="rId17" w:history="1">
        <w:r w:rsidRPr="00102C5A">
          <w:rPr>
            <w:rStyle w:val="Hyperlink"/>
          </w:rPr>
          <w:t>https://doi.org/10.1071/ah010125</w:t>
        </w:r>
      </w:hyperlink>
      <w:r w:rsidRPr="00102C5A">
        <w:t>.</w:t>
      </w:r>
      <w:r>
        <w:t xml:space="preserve"> </w:t>
      </w:r>
    </w:p>
    <w:p w14:paraId="5DBD8FCE" w14:textId="515CB239" w:rsidR="00102C5A" w:rsidRPr="00102C5A" w:rsidRDefault="00102C5A" w:rsidP="00593378">
      <w:r w:rsidRPr="00102C5A">
        <w:t xml:space="preserve">Van Niekerk, M. (2017) 'Contemporary issues in events, festivals and destination management,' </w:t>
      </w:r>
      <w:r w:rsidRPr="00102C5A">
        <w:rPr>
          <w:i/>
          <w:iCs/>
        </w:rPr>
        <w:t>International Journal of Contemporary Hospitality Management</w:t>
      </w:r>
      <w:r w:rsidRPr="00102C5A">
        <w:t xml:space="preserve">, 29(3), pp. 842–847. </w:t>
      </w:r>
      <w:hyperlink r:id="rId18" w:history="1">
        <w:r w:rsidRPr="00102C5A">
          <w:rPr>
            <w:rStyle w:val="Hyperlink"/>
          </w:rPr>
          <w:t>https://doi.org/10.1108/ijchm-01-2017-0031</w:t>
        </w:r>
      </w:hyperlink>
      <w:r w:rsidRPr="00102C5A">
        <w:t>.</w:t>
      </w:r>
      <w:r>
        <w:t xml:space="preserve"> </w:t>
      </w:r>
    </w:p>
    <w:p w14:paraId="0CAA2D16" w14:textId="77777777" w:rsidR="00C52D3E" w:rsidRPr="00F029B4" w:rsidRDefault="00C52D3E" w:rsidP="00593378"/>
    <w:sectPr w:rsidR="00C52D3E" w:rsidRPr="00F029B4" w:rsidSect="002215A8">
      <w:headerReference w:type="default" r:id="rId1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F38E0F" w14:textId="77777777" w:rsidR="002215A8" w:rsidRDefault="002215A8" w:rsidP="00F029B4">
      <w:pPr>
        <w:spacing w:after="0" w:line="240" w:lineRule="auto"/>
      </w:pPr>
      <w:r>
        <w:separator/>
      </w:r>
    </w:p>
  </w:endnote>
  <w:endnote w:type="continuationSeparator" w:id="0">
    <w:p w14:paraId="34F04BDA" w14:textId="77777777" w:rsidR="002215A8" w:rsidRDefault="002215A8" w:rsidP="00F02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72038B" w14:textId="77777777" w:rsidR="002215A8" w:rsidRDefault="002215A8" w:rsidP="00F029B4">
      <w:pPr>
        <w:spacing w:after="0" w:line="240" w:lineRule="auto"/>
      </w:pPr>
      <w:r>
        <w:separator/>
      </w:r>
    </w:p>
  </w:footnote>
  <w:footnote w:type="continuationSeparator" w:id="0">
    <w:p w14:paraId="69CBE99B" w14:textId="77777777" w:rsidR="002215A8" w:rsidRDefault="002215A8" w:rsidP="00F029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2842186"/>
      <w:docPartObj>
        <w:docPartGallery w:val="Page Numbers (Top of Page)"/>
        <w:docPartUnique/>
      </w:docPartObj>
    </w:sdtPr>
    <w:sdtEndPr>
      <w:rPr>
        <w:noProof/>
      </w:rPr>
    </w:sdtEndPr>
    <w:sdtContent>
      <w:p w14:paraId="42B860EB" w14:textId="415263AB" w:rsidR="00F029B4" w:rsidRDefault="00F029B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982C030" w14:textId="77777777" w:rsidR="00F029B4" w:rsidRDefault="00F029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9B4"/>
    <w:rsid w:val="000639AE"/>
    <w:rsid w:val="00082124"/>
    <w:rsid w:val="00102C5A"/>
    <w:rsid w:val="001718E5"/>
    <w:rsid w:val="002215A8"/>
    <w:rsid w:val="00235332"/>
    <w:rsid w:val="002C1FF9"/>
    <w:rsid w:val="00353E9C"/>
    <w:rsid w:val="00381FC0"/>
    <w:rsid w:val="003918C6"/>
    <w:rsid w:val="003F78B2"/>
    <w:rsid w:val="00593378"/>
    <w:rsid w:val="005C3167"/>
    <w:rsid w:val="006D27BC"/>
    <w:rsid w:val="00781A39"/>
    <w:rsid w:val="0090640D"/>
    <w:rsid w:val="00AC27A0"/>
    <w:rsid w:val="00B23D4B"/>
    <w:rsid w:val="00C52D3E"/>
    <w:rsid w:val="00E30F49"/>
    <w:rsid w:val="00F02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E5C766"/>
  <w15:chartTrackingRefBased/>
  <w15:docId w15:val="{AED956ED-6996-4385-9052-ACD52B046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F49"/>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35332"/>
    <w:pPr>
      <w:keepNext/>
      <w:keepLines/>
      <w:spacing w:before="400"/>
      <w:outlineLvl w:val="0"/>
    </w:pPr>
    <w:rPr>
      <w:rFonts w:eastAsia="Arial"/>
      <w:b/>
      <w:sz w:val="32"/>
      <w:szCs w:val="40"/>
      <w:lang w:val="en"/>
    </w:rPr>
  </w:style>
  <w:style w:type="paragraph" w:styleId="Heading2">
    <w:name w:val="heading 2"/>
    <w:basedOn w:val="Normal"/>
    <w:next w:val="Normal"/>
    <w:link w:val="Heading2Char"/>
    <w:uiPriority w:val="9"/>
    <w:unhideWhenUsed/>
    <w:qFormat/>
    <w:rsid w:val="00781A39"/>
    <w:pPr>
      <w:keepNext/>
      <w:keepLines/>
      <w:spacing w:before="360" w:after="120" w:line="276" w:lineRule="auto"/>
      <w:jc w:val="left"/>
      <w:outlineLvl w:val="1"/>
    </w:pPr>
    <w:rPr>
      <w:rFonts w:eastAsia="Arial" w:cs="Arial"/>
      <w:b/>
      <w:sz w:val="28"/>
      <w:szCs w:val="32"/>
      <w:lang w:val="en" w:eastAsia="en-GB"/>
    </w:rPr>
  </w:style>
  <w:style w:type="paragraph" w:styleId="Heading3">
    <w:name w:val="heading 3"/>
    <w:basedOn w:val="Normal"/>
    <w:next w:val="Normal"/>
    <w:link w:val="Heading3Char"/>
    <w:autoRedefine/>
    <w:uiPriority w:val="9"/>
    <w:semiHidden/>
    <w:unhideWhenUsed/>
    <w:qFormat/>
    <w:rsid w:val="006D27BC"/>
    <w:pPr>
      <w:keepNext/>
      <w:keepLines/>
      <w:spacing w:before="40" w:after="0"/>
      <w:outlineLvl w:val="2"/>
    </w:pPr>
    <w:rPr>
      <w:rFonts w:eastAsiaTheme="majorEastAsia" w:cstheme="majorBidi"/>
      <w:b/>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332"/>
    <w:rPr>
      <w:rFonts w:ascii="Times New Roman" w:eastAsia="Arial" w:hAnsi="Times New Roman" w:cs="Arial"/>
      <w:b/>
      <w:sz w:val="32"/>
      <w:szCs w:val="40"/>
      <w:lang w:val="en"/>
    </w:rPr>
  </w:style>
  <w:style w:type="character" w:customStyle="1" w:styleId="Heading2Char">
    <w:name w:val="Heading 2 Char"/>
    <w:basedOn w:val="DefaultParagraphFont"/>
    <w:link w:val="Heading2"/>
    <w:uiPriority w:val="9"/>
    <w:rsid w:val="00781A39"/>
    <w:rPr>
      <w:rFonts w:ascii="Times New Roman" w:eastAsia="Arial" w:hAnsi="Times New Roman" w:cs="Arial"/>
      <w:b/>
      <w:sz w:val="28"/>
      <w:szCs w:val="32"/>
      <w:lang w:val="en" w:eastAsia="en-GB"/>
    </w:rPr>
  </w:style>
  <w:style w:type="character" w:customStyle="1" w:styleId="Heading3Char">
    <w:name w:val="Heading 3 Char"/>
    <w:basedOn w:val="DefaultParagraphFont"/>
    <w:link w:val="Heading3"/>
    <w:uiPriority w:val="9"/>
    <w:semiHidden/>
    <w:rsid w:val="006D27BC"/>
    <w:rPr>
      <w:rFonts w:ascii="Times New Roman" w:eastAsiaTheme="majorEastAsia" w:hAnsi="Times New Roman" w:cstheme="majorBidi"/>
      <w:b/>
      <w:color w:val="243F60" w:themeColor="accent1" w:themeShade="7F"/>
      <w:sz w:val="24"/>
      <w:szCs w:val="24"/>
    </w:rPr>
  </w:style>
  <w:style w:type="paragraph" w:styleId="Title">
    <w:name w:val="Title"/>
    <w:basedOn w:val="Normal"/>
    <w:next w:val="Normal"/>
    <w:link w:val="TitleChar"/>
    <w:autoRedefine/>
    <w:uiPriority w:val="10"/>
    <w:qFormat/>
    <w:rsid w:val="0090640D"/>
    <w:pPr>
      <w:spacing w:after="0" w:line="240" w:lineRule="auto"/>
      <w:contextualSpacing/>
    </w:pPr>
    <w:rPr>
      <w:rFonts w:eastAsiaTheme="majorEastAsia"/>
      <w:bCs/>
      <w:spacing w:val="-10"/>
      <w:kern w:val="28"/>
      <w:sz w:val="32"/>
      <w:szCs w:val="32"/>
    </w:rPr>
  </w:style>
  <w:style w:type="character" w:customStyle="1" w:styleId="TitleChar">
    <w:name w:val="Title Char"/>
    <w:basedOn w:val="DefaultParagraphFont"/>
    <w:link w:val="Title"/>
    <w:uiPriority w:val="10"/>
    <w:rsid w:val="0090640D"/>
    <w:rPr>
      <w:rFonts w:ascii="Times New Roman" w:eastAsiaTheme="majorEastAsia" w:hAnsi="Times New Roman" w:cs="Times New Roman"/>
      <w:bCs/>
      <w:spacing w:val="-10"/>
      <w:kern w:val="28"/>
      <w:sz w:val="32"/>
      <w:szCs w:val="32"/>
      <w:lang w:val="en-GB"/>
    </w:rPr>
  </w:style>
  <w:style w:type="paragraph" w:styleId="TOCHeading">
    <w:name w:val="TOC Heading"/>
    <w:basedOn w:val="Heading1"/>
    <w:next w:val="Normal"/>
    <w:uiPriority w:val="39"/>
    <w:unhideWhenUsed/>
    <w:qFormat/>
    <w:rsid w:val="00F029B4"/>
    <w:pPr>
      <w:spacing w:before="240" w:after="0" w:line="259" w:lineRule="auto"/>
      <w:jc w:val="left"/>
      <w:outlineLvl w:val="9"/>
    </w:pPr>
    <w:rPr>
      <w:rFonts w:asciiTheme="majorHAnsi" w:eastAsiaTheme="majorEastAsia" w:hAnsiTheme="majorHAnsi" w:cstheme="majorBidi"/>
      <w:b w:val="0"/>
      <w:color w:val="365F91" w:themeColor="accent1" w:themeShade="BF"/>
      <w:szCs w:val="32"/>
      <w:lang w:val="en-US"/>
    </w:rPr>
  </w:style>
  <w:style w:type="paragraph" w:styleId="Header">
    <w:name w:val="header"/>
    <w:basedOn w:val="Normal"/>
    <w:link w:val="HeaderChar"/>
    <w:uiPriority w:val="99"/>
    <w:unhideWhenUsed/>
    <w:rsid w:val="00F029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29B4"/>
    <w:rPr>
      <w:rFonts w:ascii="Times New Roman" w:hAnsi="Times New Roman"/>
      <w:sz w:val="24"/>
    </w:rPr>
  </w:style>
  <w:style w:type="paragraph" w:styleId="Footer">
    <w:name w:val="footer"/>
    <w:basedOn w:val="Normal"/>
    <w:link w:val="FooterChar"/>
    <w:uiPriority w:val="99"/>
    <w:unhideWhenUsed/>
    <w:rsid w:val="00F029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29B4"/>
    <w:rPr>
      <w:rFonts w:ascii="Times New Roman" w:hAnsi="Times New Roman"/>
      <w:sz w:val="24"/>
    </w:rPr>
  </w:style>
  <w:style w:type="character" w:styleId="Hyperlink">
    <w:name w:val="Hyperlink"/>
    <w:basedOn w:val="DefaultParagraphFont"/>
    <w:uiPriority w:val="99"/>
    <w:unhideWhenUsed/>
    <w:rsid w:val="00102C5A"/>
    <w:rPr>
      <w:color w:val="0000FF" w:themeColor="hyperlink"/>
      <w:u w:val="single"/>
    </w:rPr>
  </w:style>
  <w:style w:type="character" w:styleId="UnresolvedMention">
    <w:name w:val="Unresolved Mention"/>
    <w:basedOn w:val="DefaultParagraphFont"/>
    <w:uiPriority w:val="99"/>
    <w:semiHidden/>
    <w:unhideWhenUsed/>
    <w:rsid w:val="00102C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571926">
      <w:bodyDiv w:val="1"/>
      <w:marLeft w:val="0"/>
      <w:marRight w:val="0"/>
      <w:marTop w:val="0"/>
      <w:marBottom w:val="0"/>
      <w:divBdr>
        <w:top w:val="none" w:sz="0" w:space="0" w:color="auto"/>
        <w:left w:val="none" w:sz="0" w:space="0" w:color="auto"/>
        <w:bottom w:val="none" w:sz="0" w:space="0" w:color="auto"/>
        <w:right w:val="none" w:sz="0" w:space="0" w:color="auto"/>
      </w:divBdr>
      <w:divsChild>
        <w:div w:id="34088652">
          <w:marLeft w:val="0"/>
          <w:marRight w:val="0"/>
          <w:marTop w:val="0"/>
          <w:marBottom w:val="0"/>
          <w:divBdr>
            <w:top w:val="single" w:sz="6" w:space="0" w:color="auto"/>
            <w:left w:val="single" w:sz="6" w:space="0" w:color="auto"/>
            <w:bottom w:val="single" w:sz="6" w:space="0" w:color="auto"/>
            <w:right w:val="single" w:sz="6" w:space="0" w:color="auto"/>
          </w:divBdr>
        </w:div>
      </w:divsChild>
    </w:div>
    <w:div w:id="174735584">
      <w:bodyDiv w:val="1"/>
      <w:marLeft w:val="0"/>
      <w:marRight w:val="0"/>
      <w:marTop w:val="0"/>
      <w:marBottom w:val="0"/>
      <w:divBdr>
        <w:top w:val="none" w:sz="0" w:space="0" w:color="auto"/>
        <w:left w:val="none" w:sz="0" w:space="0" w:color="auto"/>
        <w:bottom w:val="none" w:sz="0" w:space="0" w:color="auto"/>
        <w:right w:val="none" w:sz="0" w:space="0" w:color="auto"/>
      </w:divBdr>
      <w:divsChild>
        <w:div w:id="841624364">
          <w:marLeft w:val="0"/>
          <w:marRight w:val="0"/>
          <w:marTop w:val="0"/>
          <w:marBottom w:val="0"/>
          <w:divBdr>
            <w:top w:val="single" w:sz="6" w:space="0" w:color="auto"/>
            <w:left w:val="single" w:sz="6" w:space="0" w:color="auto"/>
            <w:bottom w:val="single" w:sz="6" w:space="0" w:color="auto"/>
            <w:right w:val="single" w:sz="6" w:space="0" w:color="auto"/>
          </w:divBdr>
        </w:div>
      </w:divsChild>
    </w:div>
    <w:div w:id="462122002">
      <w:bodyDiv w:val="1"/>
      <w:marLeft w:val="0"/>
      <w:marRight w:val="0"/>
      <w:marTop w:val="0"/>
      <w:marBottom w:val="0"/>
      <w:divBdr>
        <w:top w:val="none" w:sz="0" w:space="0" w:color="auto"/>
        <w:left w:val="none" w:sz="0" w:space="0" w:color="auto"/>
        <w:bottom w:val="none" w:sz="0" w:space="0" w:color="auto"/>
        <w:right w:val="none" w:sz="0" w:space="0" w:color="auto"/>
      </w:divBdr>
      <w:divsChild>
        <w:div w:id="764885789">
          <w:marLeft w:val="0"/>
          <w:marRight w:val="0"/>
          <w:marTop w:val="0"/>
          <w:marBottom w:val="0"/>
          <w:divBdr>
            <w:top w:val="single" w:sz="6" w:space="0" w:color="auto"/>
            <w:left w:val="single" w:sz="6" w:space="0" w:color="auto"/>
            <w:bottom w:val="single" w:sz="6" w:space="0" w:color="auto"/>
            <w:right w:val="single" w:sz="6" w:space="0" w:color="auto"/>
          </w:divBdr>
        </w:div>
      </w:divsChild>
    </w:div>
    <w:div w:id="522784227">
      <w:bodyDiv w:val="1"/>
      <w:marLeft w:val="0"/>
      <w:marRight w:val="0"/>
      <w:marTop w:val="0"/>
      <w:marBottom w:val="0"/>
      <w:divBdr>
        <w:top w:val="none" w:sz="0" w:space="0" w:color="auto"/>
        <w:left w:val="none" w:sz="0" w:space="0" w:color="auto"/>
        <w:bottom w:val="none" w:sz="0" w:space="0" w:color="auto"/>
        <w:right w:val="none" w:sz="0" w:space="0" w:color="auto"/>
      </w:divBdr>
      <w:divsChild>
        <w:div w:id="1202859599">
          <w:marLeft w:val="0"/>
          <w:marRight w:val="0"/>
          <w:marTop w:val="0"/>
          <w:marBottom w:val="0"/>
          <w:divBdr>
            <w:top w:val="single" w:sz="6" w:space="0" w:color="auto"/>
            <w:left w:val="single" w:sz="6" w:space="0" w:color="auto"/>
            <w:bottom w:val="single" w:sz="6" w:space="0" w:color="auto"/>
            <w:right w:val="single" w:sz="6" w:space="0" w:color="auto"/>
          </w:divBdr>
        </w:div>
      </w:divsChild>
    </w:div>
    <w:div w:id="721174768">
      <w:bodyDiv w:val="1"/>
      <w:marLeft w:val="0"/>
      <w:marRight w:val="0"/>
      <w:marTop w:val="0"/>
      <w:marBottom w:val="0"/>
      <w:divBdr>
        <w:top w:val="none" w:sz="0" w:space="0" w:color="auto"/>
        <w:left w:val="none" w:sz="0" w:space="0" w:color="auto"/>
        <w:bottom w:val="none" w:sz="0" w:space="0" w:color="auto"/>
        <w:right w:val="none" w:sz="0" w:space="0" w:color="auto"/>
      </w:divBdr>
      <w:divsChild>
        <w:div w:id="1023895716">
          <w:marLeft w:val="0"/>
          <w:marRight w:val="0"/>
          <w:marTop w:val="0"/>
          <w:marBottom w:val="0"/>
          <w:divBdr>
            <w:top w:val="single" w:sz="6" w:space="0" w:color="auto"/>
            <w:left w:val="single" w:sz="6" w:space="0" w:color="auto"/>
            <w:bottom w:val="single" w:sz="6" w:space="0" w:color="auto"/>
            <w:right w:val="single" w:sz="6" w:space="0" w:color="auto"/>
          </w:divBdr>
        </w:div>
      </w:divsChild>
    </w:div>
    <w:div w:id="983003246">
      <w:bodyDiv w:val="1"/>
      <w:marLeft w:val="0"/>
      <w:marRight w:val="0"/>
      <w:marTop w:val="0"/>
      <w:marBottom w:val="0"/>
      <w:divBdr>
        <w:top w:val="none" w:sz="0" w:space="0" w:color="auto"/>
        <w:left w:val="none" w:sz="0" w:space="0" w:color="auto"/>
        <w:bottom w:val="none" w:sz="0" w:space="0" w:color="auto"/>
        <w:right w:val="none" w:sz="0" w:space="0" w:color="auto"/>
      </w:divBdr>
      <w:divsChild>
        <w:div w:id="1642224080">
          <w:marLeft w:val="0"/>
          <w:marRight w:val="0"/>
          <w:marTop w:val="0"/>
          <w:marBottom w:val="0"/>
          <w:divBdr>
            <w:top w:val="single" w:sz="6" w:space="0" w:color="auto"/>
            <w:left w:val="single" w:sz="6" w:space="0" w:color="auto"/>
            <w:bottom w:val="single" w:sz="6" w:space="0" w:color="auto"/>
            <w:right w:val="single" w:sz="6" w:space="0" w:color="auto"/>
          </w:divBdr>
        </w:div>
      </w:divsChild>
    </w:div>
    <w:div w:id="1176923175">
      <w:bodyDiv w:val="1"/>
      <w:marLeft w:val="0"/>
      <w:marRight w:val="0"/>
      <w:marTop w:val="0"/>
      <w:marBottom w:val="0"/>
      <w:divBdr>
        <w:top w:val="none" w:sz="0" w:space="0" w:color="auto"/>
        <w:left w:val="none" w:sz="0" w:space="0" w:color="auto"/>
        <w:bottom w:val="none" w:sz="0" w:space="0" w:color="auto"/>
        <w:right w:val="none" w:sz="0" w:space="0" w:color="auto"/>
      </w:divBdr>
      <w:divsChild>
        <w:div w:id="849639424">
          <w:marLeft w:val="-720"/>
          <w:marRight w:val="0"/>
          <w:marTop w:val="0"/>
          <w:marBottom w:val="0"/>
          <w:divBdr>
            <w:top w:val="none" w:sz="0" w:space="0" w:color="auto"/>
            <w:left w:val="none" w:sz="0" w:space="0" w:color="auto"/>
            <w:bottom w:val="none" w:sz="0" w:space="0" w:color="auto"/>
            <w:right w:val="none" w:sz="0" w:space="0" w:color="auto"/>
          </w:divBdr>
        </w:div>
      </w:divsChild>
    </w:div>
    <w:div w:id="1218858011">
      <w:bodyDiv w:val="1"/>
      <w:marLeft w:val="0"/>
      <w:marRight w:val="0"/>
      <w:marTop w:val="0"/>
      <w:marBottom w:val="0"/>
      <w:divBdr>
        <w:top w:val="none" w:sz="0" w:space="0" w:color="auto"/>
        <w:left w:val="none" w:sz="0" w:space="0" w:color="auto"/>
        <w:bottom w:val="none" w:sz="0" w:space="0" w:color="auto"/>
        <w:right w:val="none" w:sz="0" w:space="0" w:color="auto"/>
      </w:divBdr>
      <w:divsChild>
        <w:div w:id="1869834729">
          <w:marLeft w:val="-720"/>
          <w:marRight w:val="0"/>
          <w:marTop w:val="0"/>
          <w:marBottom w:val="0"/>
          <w:divBdr>
            <w:top w:val="none" w:sz="0" w:space="0" w:color="auto"/>
            <w:left w:val="none" w:sz="0" w:space="0" w:color="auto"/>
            <w:bottom w:val="none" w:sz="0" w:space="0" w:color="auto"/>
            <w:right w:val="none" w:sz="0" w:space="0" w:color="auto"/>
          </w:divBdr>
        </w:div>
      </w:divsChild>
    </w:div>
    <w:div w:id="1435242653">
      <w:bodyDiv w:val="1"/>
      <w:marLeft w:val="0"/>
      <w:marRight w:val="0"/>
      <w:marTop w:val="0"/>
      <w:marBottom w:val="0"/>
      <w:divBdr>
        <w:top w:val="none" w:sz="0" w:space="0" w:color="auto"/>
        <w:left w:val="none" w:sz="0" w:space="0" w:color="auto"/>
        <w:bottom w:val="none" w:sz="0" w:space="0" w:color="auto"/>
        <w:right w:val="none" w:sz="0" w:space="0" w:color="auto"/>
      </w:divBdr>
      <w:divsChild>
        <w:div w:id="806430690">
          <w:marLeft w:val="0"/>
          <w:marRight w:val="0"/>
          <w:marTop w:val="0"/>
          <w:marBottom w:val="0"/>
          <w:divBdr>
            <w:top w:val="single" w:sz="6" w:space="0" w:color="auto"/>
            <w:left w:val="single" w:sz="6" w:space="0" w:color="auto"/>
            <w:bottom w:val="single" w:sz="6" w:space="0" w:color="auto"/>
            <w:right w:val="single" w:sz="6" w:space="0" w:color="auto"/>
          </w:divBdr>
        </w:div>
      </w:divsChild>
    </w:div>
    <w:div w:id="1944148428">
      <w:bodyDiv w:val="1"/>
      <w:marLeft w:val="0"/>
      <w:marRight w:val="0"/>
      <w:marTop w:val="0"/>
      <w:marBottom w:val="0"/>
      <w:divBdr>
        <w:top w:val="none" w:sz="0" w:space="0" w:color="auto"/>
        <w:left w:val="none" w:sz="0" w:space="0" w:color="auto"/>
        <w:bottom w:val="none" w:sz="0" w:space="0" w:color="auto"/>
        <w:right w:val="none" w:sz="0" w:space="0" w:color="auto"/>
      </w:divBdr>
      <w:divsChild>
        <w:div w:id="1828662946">
          <w:marLeft w:val="0"/>
          <w:marRight w:val="0"/>
          <w:marTop w:val="0"/>
          <w:marBottom w:val="0"/>
          <w:divBdr>
            <w:top w:val="single" w:sz="6" w:space="0" w:color="auto"/>
            <w:left w:val="single" w:sz="6" w:space="0" w:color="auto"/>
            <w:bottom w:val="single" w:sz="6" w:space="0" w:color="auto"/>
            <w:right w:val="single" w:sz="6" w:space="0" w:color="auto"/>
          </w:divBdr>
        </w:div>
      </w:divsChild>
    </w:div>
    <w:div w:id="2039771789">
      <w:bodyDiv w:val="1"/>
      <w:marLeft w:val="0"/>
      <w:marRight w:val="0"/>
      <w:marTop w:val="0"/>
      <w:marBottom w:val="0"/>
      <w:divBdr>
        <w:top w:val="none" w:sz="0" w:space="0" w:color="auto"/>
        <w:left w:val="none" w:sz="0" w:space="0" w:color="auto"/>
        <w:bottom w:val="none" w:sz="0" w:space="0" w:color="auto"/>
        <w:right w:val="none" w:sz="0" w:space="0" w:color="auto"/>
      </w:divBdr>
      <w:divsChild>
        <w:div w:id="1450511547">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i.nii.ac.jp/ncid/BA58834551" TargetMode="External"/><Relationship Id="rId13" Type="http://schemas.openxmlformats.org/officeDocument/2006/relationships/hyperlink" Target="https://doi.org/10.1108/03090599910272077" TargetMode="External"/><Relationship Id="rId18" Type="http://schemas.openxmlformats.org/officeDocument/2006/relationships/hyperlink" Target="https://doi.org/10.1108/ijchm-01-2017-003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016/s1385-1101(01)00056-9" TargetMode="External"/><Relationship Id="rId17" Type="http://schemas.openxmlformats.org/officeDocument/2006/relationships/hyperlink" Target="https://doi.org/10.1071/ah010125" TargetMode="External"/><Relationship Id="rId2" Type="http://schemas.openxmlformats.org/officeDocument/2006/relationships/styles" Target="styles.xml"/><Relationship Id="rId16" Type="http://schemas.openxmlformats.org/officeDocument/2006/relationships/hyperlink" Target="https://doi.org/10.1080/0959396930000000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mazon.com/MyEducationLab-Pearson-eText-Standalone-Access/dp/0132909383" TargetMode="External"/><Relationship Id="rId5" Type="http://schemas.openxmlformats.org/officeDocument/2006/relationships/footnotes" Target="footnotes.xml"/><Relationship Id="rId15" Type="http://schemas.openxmlformats.org/officeDocument/2006/relationships/hyperlink" Target="https://doi.org/10.1362/0267257042405213" TargetMode="External"/><Relationship Id="rId10" Type="http://schemas.openxmlformats.org/officeDocument/2006/relationships/hyperlink" Target="https://doi.org/10.1111/j.1944-8287.2006.tb00288.x"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ci.nii.ac.jp/ncid/BA70726580" TargetMode="External"/><Relationship Id="rId14" Type="http://schemas.openxmlformats.org/officeDocument/2006/relationships/hyperlink" Target="https://epubs.surrey.ac.uk/8153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A1F2B-4C58-4458-9025-308CDF55E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2348</Words>
  <Characters>14550</Characters>
  <DocSecurity>0</DocSecurity>
  <Lines>221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2024-04-20T19:15:00Z</dcterms:created>
  <dcterms:modified xsi:type="dcterms:W3CDTF">2024-04-21T11:48:00Z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6e746d52-deee-4e89-9d98-35546ea0cd48</vt:lpwstr>
  </property>
</Properties>
</file>