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45EE7" w14:textId="3397CD98" w:rsidR="00A30964" w:rsidRPr="00846CE0" w:rsidRDefault="001E6B24" w:rsidP="00846CE0">
      <w:pPr>
        <w:jc w:val="center"/>
        <w:rPr>
          <w:b/>
          <w:bCs/>
        </w:rPr>
      </w:pPr>
      <w:r w:rsidRPr="001E6B24">
        <w:rPr>
          <w:b/>
          <w:bCs/>
        </w:rPr>
        <w:t>Assignment J Solution Sheet</w:t>
      </w:r>
    </w:p>
    <w:p w14:paraId="4692A3EA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44711636">
          <v:rect id="_x0000_i1025" style="width:0;height:1.5pt" o:hralign="center" o:hrstd="t" o:hr="t" fillcolor="#a0a0a0" stroked="f"/>
        </w:pict>
      </w:r>
    </w:p>
    <w:p w14:paraId="02A70F7E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Use of this sheet</w:t>
      </w:r>
    </w:p>
    <w:p w14:paraId="5E0A1330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This is an indicative staff solution. Credit equivalent scientifically defensible approaches, provided assumptions are stated and calculations are internally consistent.</w:t>
      </w:r>
    </w:p>
    <w:p w14:paraId="438EFE0B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Numerical agreement with dosimetry does not need to be exact. Order-of-magnitude correctness and well-defended reasoning are the key assessment criteria.</w:t>
      </w:r>
    </w:p>
    <w:p w14:paraId="5FB4C229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416DF9F2">
          <v:rect id="_x0000_i1026" style="width:0;height:1.5pt" o:hralign="center" o:hrstd="t" o:hr="t" fillcolor="#a0a0a0" stroked="f"/>
        </w:pict>
      </w:r>
    </w:p>
    <w:p w14:paraId="34899AC1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Key indicative numerical answers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1"/>
        <w:gridCol w:w="1885"/>
        <w:gridCol w:w="2815"/>
      </w:tblGrid>
      <w:tr w:rsidR="00846CE0" w:rsidRPr="00846CE0" w14:paraId="2AE175B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029B42" w14:textId="77777777" w:rsidR="00846CE0" w:rsidRPr="00846CE0" w:rsidRDefault="00846CE0" w:rsidP="00846CE0">
            <w:pPr>
              <w:rPr>
                <w:b/>
                <w:bCs/>
                <w:lang w:val="en-GB"/>
              </w:rPr>
            </w:pPr>
            <w:r w:rsidRPr="00846CE0">
              <w:rPr>
                <w:b/>
                <w:bCs/>
                <w:lang w:val="en-GB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650AEED8" w14:textId="77777777" w:rsidR="00846CE0" w:rsidRPr="00846CE0" w:rsidRDefault="00846CE0" w:rsidP="00846CE0">
            <w:pPr>
              <w:rPr>
                <w:b/>
                <w:bCs/>
                <w:lang w:val="en-GB"/>
              </w:rPr>
            </w:pPr>
            <w:r w:rsidRPr="00846CE0">
              <w:rPr>
                <w:b/>
                <w:bCs/>
                <w:lang w:val="en-GB"/>
              </w:rPr>
              <w:t>Indicative value</w:t>
            </w:r>
          </w:p>
        </w:tc>
        <w:tc>
          <w:tcPr>
            <w:tcW w:w="0" w:type="auto"/>
            <w:vAlign w:val="center"/>
            <w:hideMark/>
          </w:tcPr>
          <w:p w14:paraId="6F79B353" w14:textId="77777777" w:rsidR="00846CE0" w:rsidRPr="00846CE0" w:rsidRDefault="00846CE0" w:rsidP="00846CE0">
            <w:pPr>
              <w:rPr>
                <w:b/>
                <w:bCs/>
                <w:lang w:val="en-GB"/>
              </w:rPr>
            </w:pPr>
            <w:r w:rsidRPr="00846CE0">
              <w:rPr>
                <w:b/>
                <w:bCs/>
                <w:lang w:val="en-GB"/>
              </w:rPr>
              <w:t>Marker note</w:t>
            </w:r>
          </w:p>
        </w:tc>
      </w:tr>
      <w:tr w:rsidR="00846CE0" w:rsidRPr="00846CE0" w14:paraId="6BC62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D72A7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Source activity (19 Dec 2024)</w:t>
            </w:r>
          </w:p>
        </w:tc>
        <w:tc>
          <w:tcPr>
            <w:tcW w:w="0" w:type="auto"/>
            <w:vAlign w:val="center"/>
            <w:hideMark/>
          </w:tcPr>
          <w:p w14:paraId="4FD43899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≈ 5.0–5.3 TBq</w:t>
            </w:r>
          </w:p>
        </w:tc>
        <w:tc>
          <w:tcPr>
            <w:tcW w:w="0" w:type="auto"/>
            <w:vAlign w:val="center"/>
            <w:hideMark/>
          </w:tcPr>
          <w:p w14:paraId="1B8C2DCF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Accept reasonable rounding</w:t>
            </w:r>
          </w:p>
        </w:tc>
      </w:tr>
      <w:tr w:rsidR="00846CE0" w:rsidRPr="00846CE0" w14:paraId="4788F3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F5FAE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Dose rate at 1 m</w:t>
            </w:r>
          </w:p>
        </w:tc>
        <w:tc>
          <w:tcPr>
            <w:tcW w:w="0" w:type="auto"/>
            <w:vAlign w:val="center"/>
            <w:hideMark/>
          </w:tcPr>
          <w:p w14:paraId="47B65FB7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≈ 0.65–0.70 Sv h</w:t>
            </w:r>
            <w:r w:rsidRPr="00846CE0">
              <w:rPr>
                <w:rFonts w:ascii="Cambria Math" w:hAnsi="Cambria Math" w:cs="Cambria Math"/>
                <w:lang w:val="en-GB"/>
              </w:rPr>
              <w:t>⁻</w:t>
            </w:r>
            <w:r w:rsidRPr="00846CE0">
              <w:rPr>
                <w:rFonts w:cs="Arial"/>
                <w:lang w:val="en-GB"/>
              </w:rPr>
              <w:t>¹</w:t>
            </w:r>
          </w:p>
        </w:tc>
        <w:tc>
          <w:tcPr>
            <w:tcW w:w="0" w:type="auto"/>
            <w:vAlign w:val="center"/>
            <w:hideMark/>
          </w:tcPr>
          <w:p w14:paraId="3A82D097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Γ ≈ 0.13 mSv m² GBq</w:t>
            </w:r>
            <w:r w:rsidRPr="00846CE0">
              <w:rPr>
                <w:rFonts w:ascii="Cambria Math" w:hAnsi="Cambria Math" w:cs="Cambria Math"/>
                <w:lang w:val="en-GB"/>
              </w:rPr>
              <w:t>⁻</w:t>
            </w:r>
            <w:r w:rsidRPr="00846CE0">
              <w:rPr>
                <w:rFonts w:cs="Arial"/>
                <w:lang w:val="en-GB"/>
              </w:rPr>
              <w:t>¹</w:t>
            </w:r>
            <w:r w:rsidRPr="00846CE0">
              <w:rPr>
                <w:lang w:val="en-GB"/>
              </w:rPr>
              <w:t xml:space="preserve"> h</w:t>
            </w:r>
            <w:r w:rsidRPr="00846CE0">
              <w:rPr>
                <w:rFonts w:ascii="Cambria Math" w:hAnsi="Cambria Math" w:cs="Cambria Math"/>
                <w:lang w:val="en-GB"/>
              </w:rPr>
              <w:t>⁻</w:t>
            </w:r>
            <w:r w:rsidRPr="00846CE0">
              <w:rPr>
                <w:rFonts w:cs="Arial"/>
                <w:lang w:val="en-GB"/>
              </w:rPr>
              <w:t>¹</w:t>
            </w:r>
          </w:p>
        </w:tc>
      </w:tr>
      <w:tr w:rsidR="00846CE0" w:rsidRPr="00846CE0" w14:paraId="2AC6C7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247A6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Approach phase (0.7 m)</w:t>
            </w:r>
          </w:p>
        </w:tc>
        <w:tc>
          <w:tcPr>
            <w:tcW w:w="0" w:type="auto"/>
            <w:vAlign w:val="center"/>
            <w:hideMark/>
          </w:tcPr>
          <w:p w14:paraId="2E839DDF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≈ 0.40–0.60 Sv h</w:t>
            </w:r>
            <w:r w:rsidRPr="00846CE0">
              <w:rPr>
                <w:rFonts w:ascii="Cambria Math" w:hAnsi="Cambria Math" w:cs="Cambria Math"/>
                <w:lang w:val="en-GB"/>
              </w:rPr>
              <w:t>⁻</w:t>
            </w:r>
            <w:r w:rsidRPr="00846CE0">
              <w:rPr>
                <w:rFonts w:cs="Arial"/>
                <w:lang w:val="en-GB"/>
              </w:rPr>
              <w:t>¹</w:t>
            </w:r>
          </w:p>
        </w:tc>
        <w:tc>
          <w:tcPr>
            <w:tcW w:w="0" w:type="auto"/>
            <w:vAlign w:val="center"/>
            <w:hideMark/>
          </w:tcPr>
          <w:p w14:paraId="0A4C4384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30–45% of nominal</w:t>
            </w:r>
          </w:p>
        </w:tc>
      </w:tr>
      <w:tr w:rsidR="00846CE0" w:rsidRPr="00846CE0" w14:paraId="2C380E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88A21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Close phase (0.18 m)</w:t>
            </w:r>
          </w:p>
        </w:tc>
        <w:tc>
          <w:tcPr>
            <w:tcW w:w="0" w:type="auto"/>
            <w:vAlign w:val="center"/>
            <w:hideMark/>
          </w:tcPr>
          <w:p w14:paraId="4207D4E0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≈ 15–19 Sv h</w:t>
            </w:r>
            <w:r w:rsidRPr="00846CE0">
              <w:rPr>
                <w:rFonts w:ascii="Cambria Math" w:hAnsi="Cambria Math" w:cs="Cambria Math"/>
                <w:lang w:val="en-GB"/>
              </w:rPr>
              <w:t>⁻</w:t>
            </w:r>
            <w:r w:rsidRPr="00846CE0">
              <w:rPr>
                <w:rFonts w:cs="Arial"/>
                <w:lang w:val="en-GB"/>
              </w:rPr>
              <w:t>¹</w:t>
            </w:r>
          </w:p>
        </w:tc>
        <w:tc>
          <w:tcPr>
            <w:tcW w:w="0" w:type="auto"/>
            <w:vAlign w:val="center"/>
            <w:hideMark/>
          </w:tcPr>
          <w:p w14:paraId="417E7AC1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75–95% of nominal</w:t>
            </w:r>
          </w:p>
        </w:tc>
      </w:tr>
      <w:tr w:rsidR="00846CE0" w:rsidRPr="00846CE0" w14:paraId="75014E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2D37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Total effective dose</w:t>
            </w:r>
          </w:p>
        </w:tc>
        <w:tc>
          <w:tcPr>
            <w:tcW w:w="0" w:type="auto"/>
            <w:vAlign w:val="center"/>
            <w:hideMark/>
          </w:tcPr>
          <w:p w14:paraId="1EC59EE7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≈ 100–130 mSv</w:t>
            </w:r>
          </w:p>
        </w:tc>
        <w:tc>
          <w:tcPr>
            <w:tcW w:w="0" w:type="auto"/>
            <w:vAlign w:val="center"/>
            <w:hideMark/>
          </w:tcPr>
          <w:p w14:paraId="1E6DCA94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Accept ~80–160 mSv</w:t>
            </w:r>
          </w:p>
        </w:tc>
      </w:tr>
    </w:tbl>
    <w:p w14:paraId="4E24002F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331A9B12">
          <v:rect id="_x0000_i1027" style="width:0;height:1.5pt" o:hralign="center" o:hrstd="t" o:hr="t" fillcolor="#a0a0a0" stroked="f"/>
        </w:pict>
      </w:r>
    </w:p>
    <w:p w14:paraId="5627EC8E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1. Framing expected from a good report</w:t>
      </w:r>
    </w:p>
    <w:p w14:paraId="54AAE97D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strongest submissions will present a coherent reconstruction of the exposure scenario rather than a sequence of isolated calculations.</w:t>
      </w:r>
    </w:p>
    <w:p w14:paraId="3BCC3B73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Students should justify:</w:t>
      </w:r>
    </w:p>
    <w:p w14:paraId="251178DB" w14:textId="77777777" w:rsidR="00846CE0" w:rsidRPr="00846CE0" w:rsidRDefault="00846CE0" w:rsidP="00846CE0">
      <w:pPr>
        <w:numPr>
          <w:ilvl w:val="0"/>
          <w:numId w:val="10"/>
        </w:numPr>
        <w:rPr>
          <w:lang w:val="en-GB"/>
        </w:rPr>
      </w:pPr>
      <w:r w:rsidRPr="00846CE0">
        <w:rPr>
          <w:lang w:val="en-GB"/>
        </w:rPr>
        <w:t xml:space="preserve">decay correction of source activity </w:t>
      </w:r>
    </w:p>
    <w:p w14:paraId="2A562760" w14:textId="77777777" w:rsidR="00846CE0" w:rsidRPr="00846CE0" w:rsidRDefault="00846CE0" w:rsidP="00846CE0">
      <w:pPr>
        <w:numPr>
          <w:ilvl w:val="0"/>
          <w:numId w:val="10"/>
        </w:numPr>
        <w:rPr>
          <w:lang w:val="en-GB"/>
        </w:rPr>
      </w:pPr>
      <w:r w:rsidRPr="00846CE0">
        <w:rPr>
          <w:lang w:val="en-GB"/>
        </w:rPr>
        <w:t xml:space="preserve">use of a tabulated gamma constant </w:t>
      </w:r>
    </w:p>
    <w:p w14:paraId="46316218" w14:textId="77777777" w:rsidR="00846CE0" w:rsidRPr="00846CE0" w:rsidRDefault="00846CE0" w:rsidP="00846CE0">
      <w:pPr>
        <w:numPr>
          <w:ilvl w:val="0"/>
          <w:numId w:val="10"/>
        </w:numPr>
        <w:rPr>
          <w:lang w:val="en-GB"/>
        </w:rPr>
      </w:pPr>
      <w:r w:rsidRPr="00846CE0">
        <w:rPr>
          <w:lang w:val="en-GB"/>
        </w:rPr>
        <w:t xml:space="preserve">inverse-square behaviour </w:t>
      </w:r>
    </w:p>
    <w:p w14:paraId="6F8D12D9" w14:textId="77777777" w:rsidR="00846CE0" w:rsidRPr="00846CE0" w:rsidRDefault="00846CE0" w:rsidP="00846CE0">
      <w:pPr>
        <w:numPr>
          <w:ilvl w:val="0"/>
          <w:numId w:val="10"/>
        </w:numPr>
        <w:rPr>
          <w:lang w:val="en-GB"/>
        </w:rPr>
      </w:pPr>
      <w:r w:rsidRPr="00846CE0">
        <w:rPr>
          <w:lang w:val="en-GB"/>
        </w:rPr>
        <w:t xml:space="preserve">assumptions regarding shielding fractions and geometry </w:t>
      </w:r>
    </w:p>
    <w:p w14:paraId="121910C3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 xml:space="preserve">Recognition that the radiation field is </w:t>
      </w:r>
      <w:r w:rsidRPr="00846CE0">
        <w:rPr>
          <w:b/>
          <w:bCs/>
          <w:lang w:val="en-GB"/>
        </w:rPr>
        <w:t>highly non-uniform</w:t>
      </w:r>
      <w:r w:rsidRPr="00846CE0">
        <w:rPr>
          <w:lang w:val="en-GB"/>
        </w:rPr>
        <w:t>, particularly at very short distances, is essential.</w:t>
      </w:r>
    </w:p>
    <w:p w14:paraId="66A4BB1D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1EBBD96F">
          <v:rect id="_x0000_i1028" style="width:0;height:1.5pt" o:hralign="center" o:hrstd="t" o:hr="t" fillcolor="#a0a0a0" stroked="f"/>
        </w:pict>
      </w:r>
    </w:p>
    <w:p w14:paraId="58AB432A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lastRenderedPageBreak/>
        <w:t>2. Worked scientific solution</w:t>
      </w:r>
    </w:p>
    <w:p w14:paraId="3D3C9739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27912D46">
          <v:rect id="_x0000_i1029" style="width:0;height:1.5pt" o:hralign="center" o:hrstd="t" o:hr="t" fillcolor="#a0a0a0" stroked="f"/>
        </w:pict>
      </w:r>
    </w:p>
    <w:p w14:paraId="58822DF0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2.1 Decay-corrected activity</w:t>
      </w:r>
    </w:p>
    <w:p w14:paraId="15292DED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Given:</w:t>
      </w:r>
    </w:p>
    <w:p w14:paraId="67D3997D" w14:textId="77777777" w:rsidR="00846CE0" w:rsidRPr="00846CE0" w:rsidRDefault="00846CE0" w:rsidP="00846CE0">
      <w:pPr>
        <w:numPr>
          <w:ilvl w:val="0"/>
          <w:numId w:val="11"/>
        </w:numPr>
        <w:rPr>
          <w:lang w:val="en-GB"/>
        </w:rPr>
      </w:pPr>
      <w:r w:rsidRPr="00846CE0">
        <w:rPr>
          <w:lang w:val="en-GB"/>
        </w:rPr>
        <w:t xml:space="preserve">Initial activity = 18 TBq </w:t>
      </w:r>
    </w:p>
    <w:p w14:paraId="3BB439AF" w14:textId="77777777" w:rsidR="00846CE0" w:rsidRPr="00846CE0" w:rsidRDefault="00846CE0" w:rsidP="00846CE0">
      <w:pPr>
        <w:numPr>
          <w:ilvl w:val="0"/>
          <w:numId w:val="11"/>
        </w:numPr>
        <w:rPr>
          <w:lang w:val="en-GB"/>
        </w:rPr>
      </w:pPr>
      <w:r w:rsidRPr="00846CE0">
        <w:rPr>
          <w:lang w:val="en-GB"/>
        </w:rPr>
        <w:t xml:space="preserve">Elapsed time ≈ 135 days </w:t>
      </w:r>
    </w:p>
    <w:p w14:paraId="0C15D049" w14:textId="77777777" w:rsidR="00846CE0" w:rsidRPr="00846CE0" w:rsidRDefault="00846CE0" w:rsidP="00846CE0">
      <w:pPr>
        <w:numPr>
          <w:ilvl w:val="0"/>
          <w:numId w:val="11"/>
        </w:numPr>
        <w:rPr>
          <w:lang w:val="en-GB"/>
        </w:rPr>
      </w:pPr>
      <w:r w:rsidRPr="00846CE0">
        <w:rPr>
          <w:lang w:val="en-GB"/>
        </w:rPr>
        <w:t xml:space="preserve">Half-life (Ir-192) = 73.8 days </w:t>
      </w:r>
    </w:p>
    <w:p w14:paraId="3BE42E9A" w14:textId="297E9609" w:rsidR="00846CE0" w:rsidRPr="00846CE0" w:rsidRDefault="00846CE0" w:rsidP="00846CE0">
      <w:pPr>
        <w:rPr>
          <w:lang w:val="en-GB"/>
        </w:rPr>
      </w:pPr>
      <m:oMathPara>
        <m:oMath>
          <m:r>
            <w:rPr>
              <w:rFonts w:ascii="Cambria Math" w:hAnsi="Cambria Math"/>
              <w:lang w:val="en-GB"/>
            </w:rPr>
            <m:t>A=</m:t>
          </m:r>
          <m:sSub>
            <m:sSubPr>
              <m:ctrlPr>
                <w:rPr>
                  <w:rFonts w:ascii="Cambria Math" w:hAnsi="Cambria Math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lang w:val="en-GB"/>
                </w:rPr>
                <m:t>A</m:t>
              </m:r>
            </m:e>
            <m:sub>
              <m:r>
                <w:rPr>
                  <w:rFonts w:ascii="Cambria Math" w:hAnsi="Cambria Math"/>
                  <w:lang w:val="en-GB"/>
                </w:rPr>
                <m:t>0</m:t>
              </m:r>
            </m:sub>
          </m:sSub>
          <m:r>
            <w:rPr>
              <w:rFonts w:ascii="Cambria Math" w:hAnsi="Cambria Math"/>
              <w:lang w:val="en-GB"/>
            </w:rPr>
            <m:t>⋅</m:t>
          </m:r>
          <m:sSup>
            <m:sSupPr>
              <m:ctrlPr>
                <w:rPr>
                  <w:rFonts w:ascii="Cambria Math" w:hAnsi="Cambria Math"/>
                  <w:lang w:val="en-GB"/>
                </w:rPr>
              </m:ctrlPr>
            </m:sSupPr>
            <m:e>
              <m:r>
                <w:rPr>
                  <w:rFonts w:ascii="Cambria Math" w:hAnsi="Cambria Math"/>
                  <w:lang w:val="en-GB"/>
                </w:rPr>
                <m:t>2</m:t>
              </m:r>
            </m:e>
            <m:sup>
              <m:r>
                <w:rPr>
                  <w:rFonts w:ascii="Cambria Math" w:hAnsi="Cambria Math"/>
                  <w:lang w:val="en-GB"/>
                </w:rPr>
                <m:t>-t</m:t>
              </m:r>
              <m:r>
                <m:rPr>
                  <m:sty m:val="p"/>
                </m:rPr>
                <w:rPr>
                  <w:rFonts w:ascii="Cambria Math" w:hAnsi="Cambria Math"/>
                  <w:lang w:val="en-GB"/>
                </w:rPr>
                <m:t>/</m:t>
              </m:r>
              <m:sSub>
                <m:sSubPr>
                  <m:ctrlPr>
                    <w:rPr>
                      <w:rFonts w:ascii="Cambria Math" w:hAnsi="Cambria Math"/>
                      <w:lang w:val="en-GB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GB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GB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GB"/>
                    </w:rPr>
                    <m:t>/</m:t>
                  </m:r>
                  <m:r>
                    <w:rPr>
                      <w:rFonts w:ascii="Cambria Math" w:hAnsi="Cambria Math"/>
                      <w:lang w:val="en-GB"/>
                    </w:rPr>
                    <m:t>2</m:t>
                  </m:r>
                </m:sub>
              </m:sSub>
            </m:sup>
          </m:sSup>
          <m:r>
            <m:rPr>
              <m:sty m:val="p"/>
            </m:rPr>
            <w:rPr>
              <w:lang w:val="en-GB"/>
            </w:rPr>
            <w:br/>
          </m:r>
        </m:oMath>
        <m:oMath>
          <m:r>
            <w:rPr>
              <w:rFonts w:ascii="Cambria Math" w:hAnsi="Cambria Math"/>
              <w:lang w:val="en-GB"/>
            </w:rPr>
            <m:t>A≈18×</m:t>
          </m:r>
          <m:sSup>
            <m:sSupPr>
              <m:ctrlPr>
                <w:rPr>
                  <w:rFonts w:ascii="Cambria Math" w:hAnsi="Cambria Math"/>
                  <w:lang w:val="en-GB"/>
                </w:rPr>
              </m:ctrlPr>
            </m:sSupPr>
            <m:e>
              <m:r>
                <w:rPr>
                  <w:rFonts w:ascii="Cambria Math" w:hAnsi="Cambria Math"/>
                  <w:lang w:val="en-GB"/>
                </w:rPr>
                <m:t>2</m:t>
              </m:r>
            </m:e>
            <m:sup>
              <m:r>
                <w:rPr>
                  <w:rFonts w:ascii="Cambria Math" w:hAnsi="Cambria Math"/>
                  <w:lang w:val="en-GB"/>
                </w:rPr>
                <m:t>-135</m:t>
              </m:r>
              <m:r>
                <m:rPr>
                  <m:sty m:val="p"/>
                </m:rPr>
                <w:rPr>
                  <w:rFonts w:ascii="Cambria Math" w:hAnsi="Cambria Math"/>
                  <w:lang w:val="en-GB"/>
                </w:rPr>
                <m:t>/</m:t>
              </m:r>
              <m:r>
                <w:rPr>
                  <w:rFonts w:ascii="Cambria Math" w:hAnsi="Cambria Math"/>
                  <w:lang w:val="en-GB"/>
                </w:rPr>
                <m:t>73.8</m:t>
              </m:r>
            </m:sup>
          </m:sSup>
          <m:r>
            <w:rPr>
              <w:rFonts w:ascii="Cambria Math" w:hAnsi="Cambria Math"/>
              <w:lang w:val="en-GB"/>
            </w:rPr>
            <m:t>≈5.1</m:t>
          </m:r>
          <m:r>
            <m:rPr>
              <m:nor/>
            </m:rPr>
            <w:rPr>
              <w:lang w:val="en-GB"/>
            </w:rPr>
            <m:t xml:space="preserve"> TBq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3BDC989F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 xml:space="preserve">Accept values in the range </w:t>
      </w:r>
      <w:r w:rsidRPr="00846CE0">
        <w:rPr>
          <w:b/>
          <w:bCs/>
          <w:lang w:val="en-GB"/>
        </w:rPr>
        <w:t>5.0–5.3 TBq</w:t>
      </w:r>
      <w:r w:rsidRPr="00846CE0">
        <w:rPr>
          <w:lang w:val="en-GB"/>
        </w:rPr>
        <w:t>.</w:t>
      </w:r>
    </w:p>
    <w:p w14:paraId="18D7DAF7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0782A7E1">
          <v:rect id="_x0000_i1030" style="width:0;height:1.5pt" o:hralign="center" o:hrstd="t" o:hr="t" fillcolor="#a0a0a0" stroked="f"/>
        </w:pict>
      </w:r>
    </w:p>
    <w:p w14:paraId="2BF7E8FC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2.2 Unshielded dose rate at 1 m</w:t>
      </w:r>
    </w:p>
    <w:p w14:paraId="60B1C850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Using:</w:t>
      </w:r>
    </w:p>
    <w:p w14:paraId="1F5E8AD1" w14:textId="518EDFC6" w:rsidR="00846CE0" w:rsidRPr="00846CE0" w:rsidRDefault="00000000" w:rsidP="00846CE0">
      <w:pPr>
        <w:rPr>
          <w:lang w:val="en-GB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lang w:val="en-GB"/>
                </w:rPr>
              </m:ctrlPr>
            </m:accPr>
            <m:e>
              <m:r>
                <w:rPr>
                  <w:rFonts w:ascii="Cambria Math" w:hAnsi="Cambria Math"/>
                  <w:lang w:val="en-GB"/>
                </w:rPr>
                <m:t>D</m:t>
              </m:r>
            </m:e>
          </m:acc>
          <m:r>
            <w:rPr>
              <w:rFonts w:ascii="Cambria Math" w:hAnsi="Cambria Math"/>
              <w:lang w:val="en-GB"/>
            </w:rPr>
            <m:t>=</m:t>
          </m:r>
          <m:r>
            <m:rPr>
              <m:sty m:val="p"/>
            </m:rPr>
            <w:rPr>
              <w:rFonts w:ascii="Cambria Math" w:hAnsi="Cambria Math"/>
              <w:lang w:val="en-GB"/>
            </w:rPr>
            <m:t>Γ</m:t>
          </m:r>
          <m:f>
            <m:fPr>
              <m:ctrlPr>
                <w:rPr>
                  <w:rFonts w:ascii="Cambria Math" w:hAnsi="Cambria Math"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A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GB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GB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09004108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Convert activity:</w:t>
      </w:r>
    </w:p>
    <w:p w14:paraId="69CB7FDC" w14:textId="49545EE2" w:rsidR="00846CE0" w:rsidRPr="00846CE0" w:rsidRDefault="00846CE0" w:rsidP="00846CE0">
      <w:pPr>
        <w:rPr>
          <w:lang w:val="en-GB"/>
        </w:rPr>
      </w:pPr>
      <m:oMathPara>
        <m:oMath>
          <m:r>
            <w:rPr>
              <w:rFonts w:ascii="Cambria Math" w:hAnsi="Cambria Math"/>
              <w:lang w:val="en-GB"/>
            </w:rPr>
            <m:t>5.1</m:t>
          </m:r>
          <m:r>
            <m:rPr>
              <m:nor/>
            </m:rPr>
            <w:rPr>
              <w:lang w:val="en-GB"/>
            </w:rPr>
            <m:t xml:space="preserve"> TBq</m:t>
          </m:r>
          <m:r>
            <w:rPr>
              <w:rFonts w:ascii="Cambria Math" w:hAnsi="Cambria Math"/>
              <w:lang w:val="en-GB"/>
            </w:rPr>
            <m:t>=5100</m:t>
          </m:r>
          <m:r>
            <m:rPr>
              <m:nor/>
            </m:rPr>
            <w:rPr>
              <w:lang w:val="en-GB"/>
            </w:rPr>
            <m:t xml:space="preserve"> GBq</m:t>
          </m:r>
          <m:r>
            <m:rPr>
              <m:sty m:val="p"/>
            </m:rPr>
            <w:rPr>
              <w:lang w:val="en-GB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lang w:val="en-GB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lang w:val="en-GB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GB"/>
                    </w:rPr>
                    <m:t>D</m:t>
                  </m:r>
                </m:e>
              </m:acc>
            </m:e>
            <m:sub>
              <m:r>
                <w:rPr>
                  <w:rFonts w:ascii="Cambria Math" w:hAnsi="Cambria Math"/>
                  <w:lang w:val="en-GB"/>
                </w:rPr>
                <m:t>1m</m:t>
              </m:r>
            </m:sub>
          </m:sSub>
          <m:r>
            <w:rPr>
              <w:rFonts w:ascii="Cambria Math" w:hAnsi="Cambria Math"/>
              <w:lang w:val="en-GB"/>
            </w:rPr>
            <m:t>=0.13×5100≈663</m:t>
          </m:r>
          <m:r>
            <m:rPr>
              <m:nor/>
            </m:rPr>
            <w:rPr>
              <w:lang w:val="en-GB"/>
            </w:rPr>
            <m:t xml:space="preserve"> mSv/h</m:t>
          </m:r>
          <m:r>
            <w:rPr>
              <w:rFonts w:ascii="Cambria Math" w:hAnsi="Cambria Math"/>
              <w:lang w:val="en-GB"/>
            </w:rPr>
            <m:t>≈0.66</m:t>
          </m:r>
          <m:r>
            <m:rPr>
              <m:nor/>
            </m:rPr>
            <w:rPr>
              <w:lang w:val="en-GB"/>
            </w:rPr>
            <m:t xml:space="preserve"> 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3EF4FE5A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 good answer may note that this assumes a point source and does not account for shielding or geometry.</w:t>
      </w:r>
    </w:p>
    <w:p w14:paraId="57CE9DF5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3A6F2739">
          <v:rect id="_x0000_i1031" style="width:0;height:1.5pt" o:hralign="center" o:hrstd="t" o:hr="t" fillcolor="#a0a0a0" stroked="f"/>
        </w:pict>
      </w:r>
    </w:p>
    <w:p w14:paraId="2C8EA2FC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2.3 Dose rate at 8 m (contextual check)</w:t>
      </w:r>
    </w:p>
    <w:p w14:paraId="770F755C" w14:textId="431A38DC" w:rsidR="00846CE0" w:rsidRPr="00846CE0" w:rsidRDefault="00000000" w:rsidP="00846CE0">
      <w:pPr>
        <w:rPr>
          <w:lang w:val="en-GB"/>
        </w:rPr>
      </w:pPr>
      <m:oMathPara>
        <m:oMath>
          <m:sSub>
            <m:sSubPr>
              <m:ctrlPr>
                <w:rPr>
                  <w:rFonts w:ascii="Cambria Math" w:hAnsi="Cambria Math"/>
                  <w:lang w:val="en-GB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lang w:val="en-GB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GB"/>
                    </w:rPr>
                    <m:t>D</m:t>
                  </m:r>
                </m:e>
              </m:acc>
            </m:e>
            <m:sub>
              <m:r>
                <w:rPr>
                  <w:rFonts w:ascii="Cambria Math" w:hAnsi="Cambria Math"/>
                  <w:lang w:val="en-GB"/>
                </w:rPr>
                <m:t>8m</m:t>
              </m:r>
            </m:sub>
          </m:sSub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0.66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GB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lang w:val="en-GB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0.66</m:t>
              </m:r>
            </m:num>
            <m:den>
              <m:r>
                <w:rPr>
                  <w:rFonts w:ascii="Cambria Math" w:hAnsi="Cambria Math"/>
                  <w:lang w:val="en-GB"/>
                </w:rPr>
                <m:t>64</m:t>
              </m:r>
            </m:den>
          </m:f>
          <m:r>
            <w:rPr>
              <w:rFonts w:ascii="Cambria Math" w:hAnsi="Cambria Math"/>
              <w:lang w:val="en-GB"/>
            </w:rPr>
            <m:t>≈0.010</m:t>
          </m:r>
          <m:r>
            <m:rPr>
              <m:nor/>
            </m:rPr>
            <w:rPr>
              <w:lang w:val="en-GB"/>
            </w:rPr>
            <m:t xml:space="preserve"> Sv/h</m:t>
          </m:r>
          <m:r>
            <w:rPr>
              <w:rFonts w:ascii="Cambria Math" w:hAnsi="Cambria Math"/>
              <w:lang w:val="en-GB"/>
            </w:rPr>
            <m:t>=10</m:t>
          </m:r>
          <m:r>
            <m:rPr>
              <m:nor/>
            </m:rPr>
            <w:rPr>
              <w:lang w:val="en-GB"/>
            </w:rPr>
            <m:t xml:space="preserve"> mSv/h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27164621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reported measurement of &gt;1 mSv/h should be interpreted as a lower-bound field indication, not a precise measurement. Differences may arise from:</w:t>
      </w:r>
    </w:p>
    <w:p w14:paraId="1C8D35A2" w14:textId="77777777" w:rsidR="00846CE0" w:rsidRPr="00846CE0" w:rsidRDefault="00846CE0" w:rsidP="00846CE0">
      <w:pPr>
        <w:numPr>
          <w:ilvl w:val="0"/>
          <w:numId w:val="12"/>
        </w:numPr>
        <w:rPr>
          <w:lang w:val="en-GB"/>
        </w:rPr>
      </w:pPr>
      <w:r w:rsidRPr="00846CE0">
        <w:rPr>
          <w:lang w:val="en-GB"/>
        </w:rPr>
        <w:t xml:space="preserve">shielding and obstruction </w:t>
      </w:r>
    </w:p>
    <w:p w14:paraId="704F52ED" w14:textId="77777777" w:rsidR="00846CE0" w:rsidRPr="00846CE0" w:rsidRDefault="00846CE0" w:rsidP="00846CE0">
      <w:pPr>
        <w:numPr>
          <w:ilvl w:val="0"/>
          <w:numId w:val="12"/>
        </w:numPr>
        <w:rPr>
          <w:lang w:val="en-GB"/>
        </w:rPr>
      </w:pPr>
      <w:r w:rsidRPr="00846CE0">
        <w:rPr>
          <w:lang w:val="en-GB"/>
        </w:rPr>
        <w:lastRenderedPageBreak/>
        <w:t xml:space="preserve">measurement location </w:t>
      </w:r>
    </w:p>
    <w:p w14:paraId="2E2D4E74" w14:textId="77777777" w:rsidR="00846CE0" w:rsidRPr="00846CE0" w:rsidRDefault="00846CE0" w:rsidP="00846CE0">
      <w:pPr>
        <w:numPr>
          <w:ilvl w:val="0"/>
          <w:numId w:val="12"/>
        </w:numPr>
        <w:rPr>
          <w:lang w:val="en-GB"/>
        </w:rPr>
      </w:pPr>
      <w:r w:rsidRPr="00846CE0">
        <w:rPr>
          <w:lang w:val="en-GB"/>
        </w:rPr>
        <w:t xml:space="preserve">instrument limitations </w:t>
      </w:r>
    </w:p>
    <w:p w14:paraId="1B277177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This value is not inconsistent with the calculation.</w:t>
      </w:r>
    </w:p>
    <w:p w14:paraId="533893FB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5540904B">
          <v:rect id="_x0000_i1032" style="width:0;height:1.5pt" o:hralign="center" o:hrstd="t" o:hr="t" fillcolor="#a0a0a0" stroked="f"/>
        </w:pict>
      </w:r>
    </w:p>
    <w:p w14:paraId="3C91F567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2.4 Approach phase</w:t>
      </w:r>
    </w:p>
    <w:p w14:paraId="46803580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Distance ≈ 0.7 m</w:t>
      </w:r>
    </w:p>
    <w:p w14:paraId="3F915B79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Nominal unshielded field:</w:t>
      </w:r>
    </w:p>
    <w:p w14:paraId="466F00FB" w14:textId="77989D1B" w:rsidR="00846CE0" w:rsidRPr="00846CE0" w:rsidRDefault="00000000" w:rsidP="00846CE0">
      <w:pPr>
        <w:rPr>
          <w:lang w:val="en-GB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lang w:val="en-GB"/>
                </w:rPr>
              </m:ctrlPr>
            </m:accPr>
            <m:e>
              <m:r>
                <w:rPr>
                  <w:rFonts w:ascii="Cambria Math" w:hAnsi="Cambria Math"/>
                  <w:lang w:val="en-GB"/>
                </w:rPr>
                <m:t>D</m:t>
              </m:r>
            </m:e>
          </m:acc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0.66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GB"/>
                    </w:rPr>
                    <m:t>0.7</m:t>
                  </m:r>
                </m:e>
                <m:sup>
                  <m:r>
                    <w:rPr>
                      <w:rFonts w:ascii="Cambria Math" w:hAnsi="Cambria Math"/>
                      <w:lang w:val="en-GB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lang w:val="en-GB"/>
            </w:rPr>
            <m:t>≈1.35</m:t>
          </m:r>
          <m:r>
            <m:rPr>
              <m:nor/>
            </m:rPr>
            <w:rPr>
              <w:lang w:val="en-GB"/>
            </w:rPr>
            <m:t xml:space="preserve"> 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2B8576B9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Apply attenuation (30–45%):</w:t>
      </w:r>
    </w:p>
    <w:p w14:paraId="3A28735F" w14:textId="4CF148C9" w:rsidR="00846CE0" w:rsidRPr="00846CE0" w:rsidRDefault="00000000" w:rsidP="00846CE0">
      <w:pPr>
        <w:rPr>
          <w:lang w:val="en-GB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lang w:val="en-GB"/>
                </w:rPr>
              </m:ctrlPr>
            </m:accPr>
            <m:e>
              <m:r>
                <w:rPr>
                  <w:rFonts w:ascii="Cambria Math" w:hAnsi="Cambria Math"/>
                  <w:lang w:val="en-GB"/>
                </w:rPr>
                <m:t>D</m:t>
              </m:r>
            </m:e>
          </m:acc>
          <m:r>
            <w:rPr>
              <w:rFonts w:ascii="Cambria Math" w:hAnsi="Cambria Math"/>
              <w:lang w:val="en-GB"/>
            </w:rPr>
            <m:t>≈0.40</m:t>
          </m:r>
          <m:r>
            <m:rPr>
              <m:nor/>
            </m:rPr>
            <w:rPr>
              <w:lang w:val="en-GB"/>
            </w:rPr>
            <m:t>–</m:t>
          </m:r>
          <m:r>
            <w:rPr>
              <w:rFonts w:ascii="Cambria Math" w:hAnsi="Cambria Math"/>
              <w:lang w:val="en-GB"/>
            </w:rPr>
            <m:t>0.61</m:t>
          </m:r>
          <m:r>
            <m:rPr>
              <m:nor/>
            </m:rPr>
            <w:rPr>
              <w:lang w:val="en-GB"/>
            </w:rPr>
            <m:t xml:space="preserve"> 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3CDEC706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Estimated dose (representative exposure):</w:t>
      </w:r>
    </w:p>
    <w:p w14:paraId="4985FDE8" w14:textId="603B590F" w:rsidR="00846CE0" w:rsidRPr="00846CE0" w:rsidRDefault="00846CE0" w:rsidP="00846CE0">
      <w:pPr>
        <w:rPr>
          <w:lang w:val="en-GB"/>
        </w:rPr>
      </w:pPr>
      <m:oMathPara>
        <m:oMath>
          <m:r>
            <m:rPr>
              <m:nor/>
            </m:rPr>
            <w:rPr>
              <w:lang w:val="en-GB"/>
            </w:rPr>
            <m:t>Dose</m:t>
          </m:r>
          <m:r>
            <w:rPr>
              <w:rFonts w:ascii="Cambria Math" w:hAnsi="Cambria Math"/>
              <w:lang w:val="en-GB"/>
            </w:rPr>
            <m:t>≈6</m:t>
          </m:r>
          <m:r>
            <m:rPr>
              <m:nor/>
            </m:rPr>
            <w:rPr>
              <w:lang w:val="en-GB"/>
            </w:rPr>
            <m:t>–</m:t>
          </m:r>
          <m:r>
            <w:rPr>
              <w:rFonts w:ascii="Cambria Math" w:hAnsi="Cambria Math"/>
              <w:lang w:val="en-GB"/>
            </w:rPr>
            <m:t>14</m:t>
          </m:r>
          <m:r>
            <m:rPr>
              <m:nor/>
            </m:rPr>
            <w:rPr>
              <w:lang w:val="en-GB"/>
            </w:rPr>
            <m:t xml:space="preserve"> mSv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346A871F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28EC7E3D">
          <v:rect id="_x0000_i1033" style="width:0;height:1.5pt" o:hralign="center" o:hrstd="t" o:hr="t" fillcolor="#a0a0a0" stroked="f"/>
        </w:pict>
      </w:r>
    </w:p>
    <w:p w14:paraId="75CE81EE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2.5 Close inspection phase</w:t>
      </w:r>
    </w:p>
    <w:p w14:paraId="0E5B8738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Distance ≈ 0.18 m</w:t>
      </w:r>
    </w:p>
    <w:p w14:paraId="685F1747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Nominal field:</w:t>
      </w:r>
    </w:p>
    <w:p w14:paraId="230CF7E1" w14:textId="4EA49A4E" w:rsidR="00846CE0" w:rsidRPr="00846CE0" w:rsidRDefault="00000000" w:rsidP="00846CE0">
      <w:pPr>
        <w:rPr>
          <w:lang w:val="en-GB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lang w:val="en-GB"/>
                </w:rPr>
              </m:ctrlPr>
            </m:accPr>
            <m:e>
              <m:r>
                <w:rPr>
                  <w:rFonts w:ascii="Cambria Math" w:hAnsi="Cambria Math"/>
                  <w:lang w:val="en-GB"/>
                </w:rPr>
                <m:t>D</m:t>
              </m:r>
            </m:e>
          </m:acc>
          <m:r>
            <w:rPr>
              <w:rFonts w:ascii="Cambria Math" w:hAnsi="Cambria Math"/>
              <w:lang w:val="en-GB"/>
            </w:rPr>
            <m:t>=</m:t>
          </m:r>
          <m:f>
            <m:fPr>
              <m:ctrlPr>
                <w:rPr>
                  <w:rFonts w:ascii="Cambria Math" w:hAnsi="Cambria Math"/>
                  <w:lang w:val="en-GB"/>
                </w:rPr>
              </m:ctrlPr>
            </m:fPr>
            <m:num>
              <m:r>
                <w:rPr>
                  <w:rFonts w:ascii="Cambria Math" w:hAnsi="Cambria Math"/>
                  <w:lang w:val="en-GB"/>
                </w:rPr>
                <m:t>0.66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GB"/>
                    </w:rPr>
                    <m:t>(</m:t>
                  </m:r>
                  <m:r>
                    <w:rPr>
                      <w:rFonts w:ascii="Cambria Math" w:hAnsi="Cambria Math"/>
                      <w:lang w:val="en-GB"/>
                    </w:rPr>
                    <m:t>0.18</m:t>
                  </m:r>
                  <m:r>
                    <w:rPr>
                      <w:rFonts w:ascii="Cambria Math" w:hAnsi="Cambria Math"/>
                      <w:lang w:val="en-GB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GB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lang w:val="en-GB"/>
            </w:rPr>
            <m:t>≈20</m:t>
          </m:r>
          <m:r>
            <m:rPr>
              <m:nor/>
            </m:rPr>
            <w:rPr>
              <w:lang w:val="en-GB"/>
            </w:rPr>
            <m:t xml:space="preserve"> 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438E3A98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Apply attenuation (75–95%):</w:t>
      </w:r>
    </w:p>
    <w:p w14:paraId="426ABA7A" w14:textId="3B6902A6" w:rsidR="00846CE0" w:rsidRPr="00846CE0" w:rsidRDefault="00000000" w:rsidP="00846CE0">
      <w:pPr>
        <w:rPr>
          <w:lang w:val="en-GB"/>
        </w:rPr>
      </w:pPr>
      <m:oMathPara>
        <m:oMath>
          <m:acc>
            <m:accPr>
              <m:chr m:val="̇"/>
              <m:ctrlPr>
                <w:rPr>
                  <w:rFonts w:ascii="Cambria Math" w:hAnsi="Cambria Math"/>
                  <w:lang w:val="en-GB"/>
                </w:rPr>
              </m:ctrlPr>
            </m:accPr>
            <m:e>
              <m:r>
                <w:rPr>
                  <w:rFonts w:ascii="Cambria Math" w:hAnsi="Cambria Math"/>
                  <w:lang w:val="en-GB"/>
                </w:rPr>
                <m:t>D</m:t>
              </m:r>
            </m:e>
          </m:acc>
          <m:r>
            <w:rPr>
              <w:rFonts w:ascii="Cambria Math" w:hAnsi="Cambria Math"/>
              <w:lang w:val="en-GB"/>
            </w:rPr>
            <m:t>≈15</m:t>
          </m:r>
          <m:r>
            <m:rPr>
              <m:nor/>
            </m:rPr>
            <w:rPr>
              <w:lang w:val="en-GB"/>
            </w:rPr>
            <m:t>–</m:t>
          </m:r>
          <m:r>
            <w:rPr>
              <w:rFonts w:ascii="Cambria Math" w:hAnsi="Cambria Math"/>
              <w:lang w:val="en-GB"/>
            </w:rPr>
            <m:t>19</m:t>
          </m:r>
          <m:r>
            <m:rPr>
              <m:nor/>
            </m:rPr>
            <w:rPr>
              <w:lang w:val="en-GB"/>
            </w:rPr>
            <m:t xml:space="preserve"> Sv/h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1380AB52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Estimated dose:</w:t>
      </w:r>
    </w:p>
    <w:p w14:paraId="4A3929D4" w14:textId="4ACDF482" w:rsidR="00846CE0" w:rsidRPr="00846CE0" w:rsidRDefault="00846CE0" w:rsidP="00846CE0">
      <w:pPr>
        <w:rPr>
          <w:lang w:val="en-GB"/>
        </w:rPr>
      </w:pPr>
      <m:oMathPara>
        <m:oMath>
          <m:r>
            <m:rPr>
              <m:nor/>
            </m:rPr>
            <w:rPr>
              <w:lang w:val="en-GB"/>
            </w:rPr>
            <m:t>Dose</m:t>
          </m:r>
          <m:r>
            <w:rPr>
              <w:rFonts w:ascii="Cambria Math" w:hAnsi="Cambria Math"/>
              <w:lang w:val="en-GB"/>
            </w:rPr>
            <m:t>≈75</m:t>
          </m:r>
          <m:r>
            <m:rPr>
              <m:nor/>
            </m:rPr>
            <w:rPr>
              <w:lang w:val="en-GB"/>
            </w:rPr>
            <m:t>–</m:t>
          </m:r>
          <m:r>
            <w:rPr>
              <w:rFonts w:ascii="Cambria Math" w:hAnsi="Cambria Math"/>
              <w:lang w:val="en-GB"/>
            </w:rPr>
            <m:t>150</m:t>
          </m:r>
          <m:r>
            <m:rPr>
              <m:nor/>
            </m:rPr>
            <w:rPr>
              <w:lang w:val="en-GB"/>
            </w:rPr>
            <m:t xml:space="preserve"> mSv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0E0676F8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 strong answer will recognise that at such short distances:</w:t>
      </w:r>
    </w:p>
    <w:p w14:paraId="290ED07A" w14:textId="77777777" w:rsidR="00846CE0" w:rsidRPr="00846CE0" w:rsidRDefault="00846CE0" w:rsidP="00846CE0">
      <w:pPr>
        <w:numPr>
          <w:ilvl w:val="0"/>
          <w:numId w:val="13"/>
        </w:numPr>
        <w:rPr>
          <w:lang w:val="en-GB"/>
        </w:rPr>
      </w:pPr>
      <w:r w:rsidRPr="00846CE0">
        <w:rPr>
          <w:lang w:val="en-GB"/>
        </w:rPr>
        <w:lastRenderedPageBreak/>
        <w:t xml:space="preserve">the point-source approximation becomes less reliable </w:t>
      </w:r>
    </w:p>
    <w:p w14:paraId="38609DA1" w14:textId="77777777" w:rsidR="00846CE0" w:rsidRPr="00846CE0" w:rsidRDefault="00846CE0" w:rsidP="00846CE0">
      <w:pPr>
        <w:numPr>
          <w:ilvl w:val="0"/>
          <w:numId w:val="13"/>
        </w:numPr>
        <w:rPr>
          <w:lang w:val="en-GB"/>
        </w:rPr>
      </w:pPr>
      <w:r w:rsidRPr="00846CE0">
        <w:rPr>
          <w:lang w:val="en-GB"/>
        </w:rPr>
        <w:t xml:space="preserve">small positional changes significantly affect dose </w:t>
      </w:r>
    </w:p>
    <w:p w14:paraId="6D8C0400" w14:textId="77777777" w:rsidR="00846CE0" w:rsidRPr="00846CE0" w:rsidRDefault="00846CE0" w:rsidP="00846CE0">
      <w:pPr>
        <w:numPr>
          <w:ilvl w:val="0"/>
          <w:numId w:val="13"/>
        </w:numPr>
        <w:rPr>
          <w:lang w:val="en-GB"/>
        </w:rPr>
      </w:pPr>
      <w:r w:rsidRPr="00846CE0">
        <w:rPr>
          <w:lang w:val="en-GB"/>
        </w:rPr>
        <w:t xml:space="preserve">exposure is highly localised and non-uniform </w:t>
      </w:r>
    </w:p>
    <w:p w14:paraId="2F825E06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13B3C0B5">
          <v:rect id="_x0000_i1034" style="width:0;height:1.5pt" o:hralign="center" o:hrstd="t" o:hr="t" fillcolor="#a0a0a0" stroked="f"/>
        </w:pict>
      </w:r>
    </w:p>
    <w:p w14:paraId="375DE6EB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2.6 Total effective dose</w:t>
      </w:r>
    </w:p>
    <w:p w14:paraId="28709DF0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Combining phases:</w:t>
      </w:r>
    </w:p>
    <w:p w14:paraId="0367CE7E" w14:textId="223703C1" w:rsidR="00846CE0" w:rsidRPr="00846CE0" w:rsidRDefault="00846CE0" w:rsidP="00846CE0">
      <w:pPr>
        <w:rPr>
          <w:lang w:val="en-GB"/>
        </w:rPr>
      </w:pPr>
      <m:oMathPara>
        <m:oMath>
          <m:r>
            <m:rPr>
              <m:nor/>
            </m:rPr>
            <w:rPr>
              <w:lang w:val="en-GB"/>
            </w:rPr>
            <m:t>Total dose</m:t>
          </m:r>
          <m:r>
            <w:rPr>
              <w:rFonts w:ascii="Cambria Math" w:hAnsi="Cambria Math"/>
              <w:lang w:val="en-GB"/>
            </w:rPr>
            <m:t>≈100</m:t>
          </m:r>
          <m:r>
            <m:rPr>
              <m:nor/>
            </m:rPr>
            <w:rPr>
              <w:lang w:val="en-GB"/>
            </w:rPr>
            <m:t>–</m:t>
          </m:r>
          <m:r>
            <w:rPr>
              <w:rFonts w:ascii="Cambria Math" w:hAnsi="Cambria Math"/>
              <w:lang w:val="en-GB"/>
            </w:rPr>
            <m:t>130</m:t>
          </m:r>
          <m:r>
            <m:rPr>
              <m:nor/>
            </m:rPr>
            <w:rPr>
              <w:lang w:val="en-GB"/>
            </w:rPr>
            <m:t xml:space="preserve"> mSv</m:t>
          </m:r>
          <m:r>
            <m:rPr>
              <m:sty m:val="p"/>
            </m:rPr>
            <w:rPr>
              <w:lang w:val="en-GB"/>
            </w:rPr>
            <w:br/>
          </m:r>
        </m:oMath>
      </m:oMathPara>
    </w:p>
    <w:p w14:paraId="40696422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 xml:space="preserve">Accept a broader range of </w:t>
      </w:r>
      <w:r w:rsidRPr="00846CE0">
        <w:rPr>
          <w:b/>
          <w:bCs/>
          <w:lang w:val="en-GB"/>
        </w:rPr>
        <w:t>~</w:t>
      </w:r>
      <w:r w:rsidRPr="00846CE0">
        <w:rPr>
          <w:lang w:val="en-GB"/>
        </w:rPr>
        <w:t>80–160 mSv if well justified.</w:t>
      </w:r>
    </w:p>
    <w:p w14:paraId="26333436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71F48B5C">
          <v:rect id="_x0000_i1035" style="width:0;height:1.5pt" o:hralign="center" o:hrstd="t" o:hr="t" fillcolor="#a0a0a0" stroked="f"/>
        </w:pict>
      </w:r>
    </w:p>
    <w:p w14:paraId="1566B684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3. Comparison with dosimetry</w:t>
      </w:r>
    </w:p>
    <w:p w14:paraId="20749097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Reported value:</w:t>
      </w:r>
    </w:p>
    <w:p w14:paraId="32DBB1E5" w14:textId="77777777" w:rsidR="00846CE0" w:rsidRPr="00846CE0" w:rsidRDefault="00846CE0" w:rsidP="00846CE0">
      <w:pPr>
        <w:numPr>
          <w:ilvl w:val="0"/>
          <w:numId w:val="14"/>
        </w:numPr>
        <w:rPr>
          <w:lang w:val="en-GB"/>
        </w:rPr>
      </w:pPr>
      <w:r w:rsidRPr="00846CE0">
        <w:rPr>
          <w:lang w:val="en-GB"/>
        </w:rPr>
        <w:t xml:space="preserve">TLD ≈ 138 mSv </w:t>
      </w:r>
    </w:p>
    <w:p w14:paraId="31446B25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calculated dose is consistent with the measured value, particularly considering:</w:t>
      </w:r>
    </w:p>
    <w:p w14:paraId="28CF32D3" w14:textId="77777777" w:rsidR="00846CE0" w:rsidRPr="00846CE0" w:rsidRDefault="00846CE0" w:rsidP="00846CE0">
      <w:pPr>
        <w:numPr>
          <w:ilvl w:val="0"/>
          <w:numId w:val="15"/>
        </w:numPr>
        <w:rPr>
          <w:lang w:val="en-GB"/>
        </w:rPr>
      </w:pPr>
      <w:r w:rsidRPr="00846CE0">
        <w:rPr>
          <w:lang w:val="en-GB"/>
        </w:rPr>
        <w:t xml:space="preserve">non-uniform radiation field </w:t>
      </w:r>
    </w:p>
    <w:p w14:paraId="2FDD8DF6" w14:textId="77777777" w:rsidR="00846CE0" w:rsidRPr="00846CE0" w:rsidRDefault="00846CE0" w:rsidP="00846CE0">
      <w:pPr>
        <w:numPr>
          <w:ilvl w:val="0"/>
          <w:numId w:val="15"/>
        </w:numPr>
        <w:rPr>
          <w:lang w:val="en-GB"/>
        </w:rPr>
      </w:pPr>
      <w:r w:rsidRPr="00846CE0">
        <w:rPr>
          <w:lang w:val="en-GB"/>
        </w:rPr>
        <w:t xml:space="preserve">very steep spatial dose gradients at short range </w:t>
      </w:r>
    </w:p>
    <w:p w14:paraId="619BF0E1" w14:textId="77777777" w:rsidR="00846CE0" w:rsidRPr="00846CE0" w:rsidRDefault="00846CE0" w:rsidP="00846CE0">
      <w:pPr>
        <w:numPr>
          <w:ilvl w:val="0"/>
          <w:numId w:val="15"/>
        </w:numPr>
        <w:rPr>
          <w:lang w:val="en-GB"/>
        </w:rPr>
      </w:pPr>
      <w:r w:rsidRPr="00846CE0">
        <w:rPr>
          <w:lang w:val="en-GB"/>
        </w:rPr>
        <w:t xml:space="preserve">body orientation during exposure </w:t>
      </w:r>
    </w:p>
    <w:p w14:paraId="3674D1C3" w14:textId="77777777" w:rsidR="00846CE0" w:rsidRPr="00846CE0" w:rsidRDefault="00846CE0" w:rsidP="00846CE0">
      <w:pPr>
        <w:numPr>
          <w:ilvl w:val="0"/>
          <w:numId w:val="15"/>
        </w:numPr>
        <w:rPr>
          <w:lang w:val="en-GB"/>
        </w:rPr>
      </w:pPr>
      <w:r w:rsidRPr="00846CE0">
        <w:rPr>
          <w:lang w:val="en-GB"/>
        </w:rPr>
        <w:t xml:space="preserve">differences between localised and whole-body dose </w:t>
      </w:r>
    </w:p>
    <w:p w14:paraId="3AA00081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Agreement at this level is strong evidence of a valid reconstruction.</w:t>
      </w:r>
    </w:p>
    <w:p w14:paraId="27402676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4D933DAF">
          <v:rect id="_x0000_i1036" style="width:0;height:1.5pt" o:hralign="center" o:hrstd="t" o:hr="t" fillcolor="#a0a0a0" stroked="f"/>
        </w:pict>
      </w:r>
    </w:p>
    <w:p w14:paraId="63104F49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4. Health implications</w:t>
      </w:r>
    </w:p>
    <w:p w14:paraId="03BE9C3C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At doses of order 100 mSv:</w:t>
      </w:r>
    </w:p>
    <w:p w14:paraId="427C4ED0" w14:textId="77777777" w:rsidR="00846CE0" w:rsidRPr="00846CE0" w:rsidRDefault="00846CE0" w:rsidP="00846CE0">
      <w:pPr>
        <w:numPr>
          <w:ilvl w:val="0"/>
          <w:numId w:val="16"/>
        </w:numPr>
        <w:rPr>
          <w:lang w:val="en-GB"/>
        </w:rPr>
      </w:pPr>
      <w:r w:rsidRPr="00846CE0">
        <w:rPr>
          <w:lang w:val="en-GB"/>
        </w:rPr>
        <w:t xml:space="preserve">deterministic whole-body effects are unlikely </w:t>
      </w:r>
    </w:p>
    <w:p w14:paraId="35E85110" w14:textId="77777777" w:rsidR="00846CE0" w:rsidRPr="00846CE0" w:rsidRDefault="00846CE0" w:rsidP="00846CE0">
      <w:pPr>
        <w:numPr>
          <w:ilvl w:val="0"/>
          <w:numId w:val="16"/>
        </w:numPr>
        <w:rPr>
          <w:lang w:val="en-GB"/>
        </w:rPr>
      </w:pPr>
      <w:r w:rsidRPr="00846CE0">
        <w:rPr>
          <w:lang w:val="en-GB"/>
        </w:rPr>
        <w:t xml:space="preserve">the primary consequence is increased stochastic risk </w:t>
      </w:r>
    </w:p>
    <w:p w14:paraId="2C7AA1F0" w14:textId="77777777" w:rsidR="00846CE0" w:rsidRPr="00846CE0" w:rsidRDefault="00846CE0" w:rsidP="00846CE0">
      <w:pPr>
        <w:numPr>
          <w:ilvl w:val="0"/>
          <w:numId w:val="16"/>
        </w:numPr>
        <w:rPr>
          <w:lang w:val="en-GB"/>
        </w:rPr>
      </w:pPr>
      <w:r w:rsidRPr="00846CE0">
        <w:rPr>
          <w:lang w:val="en-GB"/>
        </w:rPr>
        <w:t xml:space="preserve">this represents a serious occupational overexposure </w:t>
      </w:r>
    </w:p>
    <w:p w14:paraId="77A346D5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If localised exposure occurred (e.g. hands), higher tissue doses may be possible and should be acknowledged.</w:t>
      </w:r>
    </w:p>
    <w:p w14:paraId="4DE140A1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lastRenderedPageBreak/>
        <w:t>Students should avoid overstating acute radiation syndrome.</w:t>
      </w:r>
    </w:p>
    <w:p w14:paraId="55794604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24B246C1">
          <v:rect id="_x0000_i1037" style="width:0;height:1.5pt" o:hralign="center" o:hrstd="t" o:hr="t" fillcolor="#a0a0a0" stroked="f"/>
        </w:pict>
      </w:r>
    </w:p>
    <w:p w14:paraId="287FE604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5. IRR17 compliance</w:t>
      </w:r>
    </w:p>
    <w:p w14:paraId="4DA7E3C5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Likely issues include:</w:t>
      </w:r>
    </w:p>
    <w:p w14:paraId="3CD9DEDF" w14:textId="77777777" w:rsidR="00846CE0" w:rsidRPr="00846CE0" w:rsidRDefault="00846CE0" w:rsidP="00846CE0">
      <w:pPr>
        <w:numPr>
          <w:ilvl w:val="0"/>
          <w:numId w:val="17"/>
        </w:numPr>
        <w:rPr>
          <w:lang w:val="en-GB"/>
        </w:rPr>
      </w:pPr>
      <w:r w:rsidRPr="00846CE0">
        <w:rPr>
          <w:lang w:val="en-GB"/>
        </w:rPr>
        <w:t xml:space="preserve">failure to adequately restrict exposure under abnormal conditions </w:t>
      </w:r>
    </w:p>
    <w:p w14:paraId="0D47F6D8" w14:textId="77777777" w:rsidR="00846CE0" w:rsidRPr="00846CE0" w:rsidRDefault="00846CE0" w:rsidP="00846CE0">
      <w:pPr>
        <w:numPr>
          <w:ilvl w:val="0"/>
          <w:numId w:val="17"/>
        </w:numPr>
        <w:rPr>
          <w:lang w:val="en-GB"/>
        </w:rPr>
      </w:pPr>
      <w:r w:rsidRPr="00846CE0">
        <w:rPr>
          <w:lang w:val="en-GB"/>
        </w:rPr>
        <w:t xml:space="preserve">inadequate verification of source position </w:t>
      </w:r>
    </w:p>
    <w:p w14:paraId="1CD56A2D" w14:textId="77777777" w:rsidR="00846CE0" w:rsidRPr="00846CE0" w:rsidRDefault="00846CE0" w:rsidP="00846CE0">
      <w:pPr>
        <w:numPr>
          <w:ilvl w:val="0"/>
          <w:numId w:val="17"/>
        </w:numPr>
        <w:rPr>
          <w:lang w:val="en-GB"/>
        </w:rPr>
      </w:pPr>
      <w:r w:rsidRPr="00846CE0">
        <w:rPr>
          <w:lang w:val="en-GB"/>
        </w:rPr>
        <w:t xml:space="preserve">failure to identify abnormal radiation fields before close approach </w:t>
      </w:r>
    </w:p>
    <w:p w14:paraId="4257128B" w14:textId="77777777" w:rsidR="00846CE0" w:rsidRPr="00846CE0" w:rsidRDefault="00846CE0" w:rsidP="00846CE0">
      <w:pPr>
        <w:numPr>
          <w:ilvl w:val="0"/>
          <w:numId w:val="17"/>
        </w:numPr>
        <w:rPr>
          <w:lang w:val="en-GB"/>
        </w:rPr>
      </w:pPr>
      <w:r w:rsidRPr="00846CE0">
        <w:rPr>
          <w:lang w:val="en-GB"/>
        </w:rPr>
        <w:t xml:space="preserve">insufficient use of radiation monitoring equipment </w:t>
      </w:r>
    </w:p>
    <w:p w14:paraId="216F424E" w14:textId="77777777" w:rsidR="00846CE0" w:rsidRPr="00846CE0" w:rsidRDefault="00846CE0" w:rsidP="00846CE0">
      <w:pPr>
        <w:numPr>
          <w:ilvl w:val="0"/>
          <w:numId w:val="17"/>
        </w:numPr>
        <w:rPr>
          <w:lang w:val="en-GB"/>
        </w:rPr>
      </w:pPr>
      <w:r w:rsidRPr="00846CE0">
        <w:rPr>
          <w:lang w:val="en-GB"/>
        </w:rPr>
        <w:t xml:space="preserve">deficiencies in training, supervision, or procedural compliance </w:t>
      </w:r>
    </w:p>
    <w:p w14:paraId="444F5BB7" w14:textId="77777777" w:rsidR="00846CE0" w:rsidRDefault="00846CE0" w:rsidP="00846CE0">
      <w:pPr>
        <w:rPr>
          <w:lang w:val="en-GB"/>
        </w:rPr>
      </w:pPr>
      <w:r w:rsidRPr="00846CE0">
        <w:rPr>
          <w:lang w:val="en-GB"/>
        </w:rPr>
        <w:t>Better answers will apply the regulations directly to the incident rather than listing them.</w:t>
      </w:r>
    </w:p>
    <w:p w14:paraId="560A2BF6" w14:textId="21101C54" w:rsidR="009D795F" w:rsidRPr="00846CE0" w:rsidRDefault="009D795F" w:rsidP="00846CE0">
      <w:pPr>
        <w:rPr>
          <w:lang w:val="en-GB"/>
        </w:rPr>
      </w:pPr>
      <w:r>
        <w:rPr>
          <w:lang w:val="en-GB"/>
        </w:rPr>
        <w:t>Dose greatly exceeds dos</w:t>
      </w:r>
      <w:r w:rsidR="00150AAC">
        <w:rPr>
          <w:lang w:val="en-GB"/>
        </w:rPr>
        <w:t>e limits and so Regulation 26 applies.</w:t>
      </w:r>
    </w:p>
    <w:p w14:paraId="337E49DB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66512E55">
          <v:rect id="_x0000_i1038" style="width:0;height:1.5pt" o:hralign="center" o:hrstd="t" o:hr="t" fillcolor="#a0a0a0" stroked="f"/>
        </w:pict>
      </w:r>
    </w:p>
    <w:p w14:paraId="0EE43040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6. ONR SAP evaluation (indicative)</w:t>
      </w:r>
    </w:p>
    <w:p w14:paraId="631BCAFC" w14:textId="77777777" w:rsidR="00846CE0" w:rsidRPr="00846CE0" w:rsidRDefault="00846CE0" w:rsidP="00846CE0">
      <w:pPr>
        <w:rPr>
          <w:lang w:val="en-GB"/>
        </w:rPr>
      </w:pPr>
      <w:r w:rsidRPr="00846CE0">
        <w:rPr>
          <w:b/>
          <w:bCs/>
          <w:lang w:val="en-GB"/>
        </w:rPr>
        <w:t>EKP.5 Defence in Depth</w:t>
      </w:r>
    </w:p>
    <w:p w14:paraId="3C47072E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Multiple layers failed:</w:t>
      </w:r>
    </w:p>
    <w:p w14:paraId="0BEB3D31" w14:textId="77777777" w:rsidR="00846CE0" w:rsidRPr="00846CE0" w:rsidRDefault="00846CE0" w:rsidP="00846CE0">
      <w:pPr>
        <w:numPr>
          <w:ilvl w:val="0"/>
          <w:numId w:val="18"/>
        </w:numPr>
        <w:rPr>
          <w:lang w:val="en-GB"/>
        </w:rPr>
      </w:pPr>
      <w:r w:rsidRPr="00846CE0">
        <w:rPr>
          <w:lang w:val="en-GB"/>
        </w:rPr>
        <w:t xml:space="preserve">mechanical failure or incomplete source return </w:t>
      </w:r>
    </w:p>
    <w:p w14:paraId="5A972D3B" w14:textId="77777777" w:rsidR="00846CE0" w:rsidRPr="00846CE0" w:rsidRDefault="00846CE0" w:rsidP="00846CE0">
      <w:pPr>
        <w:numPr>
          <w:ilvl w:val="0"/>
          <w:numId w:val="18"/>
        </w:numPr>
        <w:rPr>
          <w:lang w:val="en-GB"/>
        </w:rPr>
      </w:pPr>
      <w:r w:rsidRPr="00846CE0">
        <w:rPr>
          <w:lang w:val="en-GB"/>
        </w:rPr>
        <w:t xml:space="preserve">failure to detect abnormal radiation field </w:t>
      </w:r>
    </w:p>
    <w:p w14:paraId="74AF259E" w14:textId="77777777" w:rsidR="00846CE0" w:rsidRPr="00846CE0" w:rsidRDefault="00846CE0" w:rsidP="00846CE0">
      <w:pPr>
        <w:numPr>
          <w:ilvl w:val="0"/>
          <w:numId w:val="18"/>
        </w:numPr>
        <w:rPr>
          <w:lang w:val="en-GB"/>
        </w:rPr>
      </w:pPr>
      <w:r w:rsidRPr="00846CE0">
        <w:rPr>
          <w:lang w:val="en-GB"/>
        </w:rPr>
        <w:t xml:space="preserve">unsafe close approach without verification </w:t>
      </w:r>
    </w:p>
    <w:p w14:paraId="7E4321E5" w14:textId="77777777" w:rsidR="00846CE0" w:rsidRPr="00846CE0" w:rsidRDefault="00846CE0" w:rsidP="00846CE0">
      <w:pPr>
        <w:numPr>
          <w:ilvl w:val="0"/>
          <w:numId w:val="18"/>
        </w:numPr>
        <w:rPr>
          <w:lang w:val="en-GB"/>
        </w:rPr>
      </w:pPr>
      <w:r w:rsidRPr="00846CE0">
        <w:rPr>
          <w:lang w:val="en-GB"/>
        </w:rPr>
        <w:t xml:space="preserve">absence or misuse of dosimetry </w:t>
      </w:r>
    </w:p>
    <w:p w14:paraId="70784600" w14:textId="77777777" w:rsidR="00846CE0" w:rsidRPr="00846CE0" w:rsidRDefault="00846CE0" w:rsidP="00846CE0">
      <w:pPr>
        <w:rPr>
          <w:lang w:val="en-GB"/>
        </w:rPr>
      </w:pPr>
      <w:r w:rsidRPr="00846CE0">
        <w:rPr>
          <w:b/>
          <w:bCs/>
          <w:lang w:val="en-GB"/>
        </w:rPr>
        <w:t>Engineering safety / source control</w:t>
      </w:r>
    </w:p>
    <w:p w14:paraId="512258EC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Source position should be unambiguous and verifiable.</w:t>
      </w:r>
    </w:p>
    <w:p w14:paraId="2DBA375E" w14:textId="77777777" w:rsidR="00846CE0" w:rsidRPr="00846CE0" w:rsidRDefault="00846CE0" w:rsidP="00846CE0">
      <w:pPr>
        <w:rPr>
          <w:lang w:val="en-GB"/>
        </w:rPr>
      </w:pPr>
      <w:r w:rsidRPr="00846CE0">
        <w:rPr>
          <w:b/>
          <w:bCs/>
          <w:lang w:val="en-GB"/>
        </w:rPr>
        <w:t>Human factors / procedures</w:t>
      </w:r>
    </w:p>
    <w:p w14:paraId="5BEADE9F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incident reflects reliance on assumption rather than radiological confirmation.</w:t>
      </w:r>
    </w:p>
    <w:p w14:paraId="5C6B72EB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536B5303">
          <v:rect id="_x0000_i1039" style="width:0;height:1.5pt" o:hralign="center" o:hrstd="t" o:hr="t" fillcolor="#a0a0a0" stroked="f"/>
        </w:pict>
      </w:r>
    </w:p>
    <w:p w14:paraId="21249690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7. ALARP improvements</w:t>
      </w:r>
    </w:p>
    <w:p w14:paraId="13B0C917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Credit proportionate and justified improvements, such as:</w:t>
      </w:r>
    </w:p>
    <w:p w14:paraId="001F225E" w14:textId="77777777" w:rsidR="00846CE0" w:rsidRPr="00846CE0" w:rsidRDefault="00846CE0" w:rsidP="00846CE0">
      <w:pPr>
        <w:numPr>
          <w:ilvl w:val="0"/>
          <w:numId w:val="19"/>
        </w:numPr>
        <w:rPr>
          <w:lang w:val="en-GB"/>
        </w:rPr>
      </w:pPr>
      <w:r w:rsidRPr="00846CE0">
        <w:rPr>
          <w:lang w:val="en-GB"/>
        </w:rPr>
        <w:lastRenderedPageBreak/>
        <w:t xml:space="preserve">improved source-return verification procedures </w:t>
      </w:r>
    </w:p>
    <w:p w14:paraId="45762DAA" w14:textId="77777777" w:rsidR="00846CE0" w:rsidRPr="00846CE0" w:rsidRDefault="00846CE0" w:rsidP="00846CE0">
      <w:pPr>
        <w:numPr>
          <w:ilvl w:val="0"/>
          <w:numId w:val="19"/>
        </w:numPr>
        <w:rPr>
          <w:lang w:val="en-GB"/>
        </w:rPr>
      </w:pPr>
      <w:r w:rsidRPr="00846CE0">
        <w:rPr>
          <w:lang w:val="en-GB"/>
        </w:rPr>
        <w:t xml:space="preserve">mandatory radiological survey before approach </w:t>
      </w:r>
    </w:p>
    <w:p w14:paraId="61C2B178" w14:textId="77777777" w:rsidR="00846CE0" w:rsidRPr="00846CE0" w:rsidRDefault="00846CE0" w:rsidP="00846CE0">
      <w:pPr>
        <w:numPr>
          <w:ilvl w:val="0"/>
          <w:numId w:val="19"/>
        </w:numPr>
        <w:rPr>
          <w:lang w:val="en-GB"/>
        </w:rPr>
      </w:pPr>
      <w:r w:rsidRPr="00846CE0">
        <w:rPr>
          <w:lang w:val="en-GB"/>
        </w:rPr>
        <w:t xml:space="preserve">enhanced maintenance and inspection of drive systems </w:t>
      </w:r>
    </w:p>
    <w:p w14:paraId="051F213D" w14:textId="77777777" w:rsidR="00846CE0" w:rsidRPr="00846CE0" w:rsidRDefault="00846CE0" w:rsidP="00846CE0">
      <w:pPr>
        <w:numPr>
          <w:ilvl w:val="0"/>
          <w:numId w:val="19"/>
        </w:numPr>
        <w:rPr>
          <w:lang w:val="en-GB"/>
        </w:rPr>
      </w:pPr>
      <w:r w:rsidRPr="00846CE0">
        <w:rPr>
          <w:lang w:val="en-GB"/>
        </w:rPr>
        <w:t xml:space="preserve">improved training in abnormal condition recognition </w:t>
      </w:r>
    </w:p>
    <w:p w14:paraId="164AD011" w14:textId="77777777" w:rsidR="00846CE0" w:rsidRPr="00846CE0" w:rsidRDefault="00846CE0" w:rsidP="00846CE0">
      <w:pPr>
        <w:numPr>
          <w:ilvl w:val="0"/>
          <w:numId w:val="19"/>
        </w:numPr>
        <w:rPr>
          <w:lang w:val="en-GB"/>
        </w:rPr>
      </w:pPr>
      <w:r w:rsidRPr="00846CE0">
        <w:rPr>
          <w:lang w:val="en-GB"/>
        </w:rPr>
        <w:t xml:space="preserve">improved use and availability of personal dosimetry </w:t>
      </w:r>
    </w:p>
    <w:p w14:paraId="4F1CEAC6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Improvements should clearly reduce risk with reasonable effort.</w:t>
      </w:r>
    </w:p>
    <w:p w14:paraId="23679C87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575C75A7">
          <v:rect id="_x0000_i1040" style="width:0;height:1.5pt" o:hralign="center" o:hrstd="t" o:hr="t" fillcolor="#a0a0a0" stroked="f"/>
        </w:pict>
      </w:r>
    </w:p>
    <w:p w14:paraId="58EC9E6A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8. Marker guidance on common errors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2"/>
        <w:gridCol w:w="3744"/>
      </w:tblGrid>
      <w:tr w:rsidR="00846CE0" w:rsidRPr="00846CE0" w14:paraId="2EA372B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862B44" w14:textId="77777777" w:rsidR="00846CE0" w:rsidRPr="00846CE0" w:rsidRDefault="00846CE0" w:rsidP="00846CE0">
            <w:pPr>
              <w:rPr>
                <w:b/>
                <w:bCs/>
                <w:lang w:val="en-GB"/>
              </w:rPr>
            </w:pPr>
            <w:r w:rsidRPr="00846CE0">
              <w:rPr>
                <w:b/>
                <w:bCs/>
                <w:lang w:val="en-GB"/>
              </w:rPr>
              <w:t>Issue</w:t>
            </w:r>
          </w:p>
        </w:tc>
        <w:tc>
          <w:tcPr>
            <w:tcW w:w="0" w:type="auto"/>
            <w:vAlign w:val="center"/>
            <w:hideMark/>
          </w:tcPr>
          <w:p w14:paraId="1E36929E" w14:textId="77777777" w:rsidR="00846CE0" w:rsidRPr="00846CE0" w:rsidRDefault="00846CE0" w:rsidP="00846CE0">
            <w:pPr>
              <w:rPr>
                <w:b/>
                <w:bCs/>
                <w:lang w:val="en-GB"/>
              </w:rPr>
            </w:pPr>
            <w:r w:rsidRPr="00846CE0">
              <w:rPr>
                <w:b/>
                <w:bCs/>
                <w:lang w:val="en-GB"/>
              </w:rPr>
              <w:t>Treatment</w:t>
            </w:r>
          </w:p>
        </w:tc>
      </w:tr>
      <w:tr w:rsidR="00846CE0" w:rsidRPr="00846CE0" w14:paraId="5BCA3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5B778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Failure to convert TBq → GBq</w:t>
            </w:r>
          </w:p>
        </w:tc>
        <w:tc>
          <w:tcPr>
            <w:tcW w:w="0" w:type="auto"/>
            <w:vAlign w:val="center"/>
            <w:hideMark/>
          </w:tcPr>
          <w:p w14:paraId="720C4544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Penalise units, not method</w:t>
            </w:r>
          </w:p>
        </w:tc>
      </w:tr>
      <w:tr w:rsidR="00846CE0" w:rsidRPr="00846CE0" w14:paraId="70C7B2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70564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Incorrect inverse-square use</w:t>
            </w:r>
          </w:p>
        </w:tc>
        <w:tc>
          <w:tcPr>
            <w:tcW w:w="0" w:type="auto"/>
            <w:vAlign w:val="center"/>
            <w:hideMark/>
          </w:tcPr>
          <w:p w14:paraId="4356B76D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Penalise accuracy but credit structure</w:t>
            </w:r>
          </w:p>
        </w:tc>
      </w:tr>
      <w:tr w:rsidR="00846CE0" w:rsidRPr="00846CE0" w14:paraId="189164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D4EE9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Ignoring shielding factors</w:t>
            </w:r>
          </w:p>
        </w:tc>
        <w:tc>
          <w:tcPr>
            <w:tcW w:w="0" w:type="auto"/>
            <w:vAlign w:val="center"/>
            <w:hideMark/>
          </w:tcPr>
          <w:p w14:paraId="71991396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Lose interpretation marks</w:t>
            </w:r>
          </w:p>
        </w:tc>
      </w:tr>
      <w:tr w:rsidR="00846CE0" w:rsidRPr="00846CE0" w14:paraId="203A3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DD672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Overstating health effects</w:t>
            </w:r>
          </w:p>
        </w:tc>
        <w:tc>
          <w:tcPr>
            <w:tcW w:w="0" w:type="auto"/>
            <w:vAlign w:val="center"/>
            <w:hideMark/>
          </w:tcPr>
          <w:p w14:paraId="1FA88D1C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Correct firmly</w:t>
            </w:r>
          </w:p>
        </w:tc>
      </w:tr>
      <w:tr w:rsidR="00846CE0" w:rsidRPr="00846CE0" w14:paraId="1BD5FE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D1ED0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Treating calculation as exact</w:t>
            </w:r>
          </w:p>
        </w:tc>
        <w:tc>
          <w:tcPr>
            <w:tcW w:w="0" w:type="auto"/>
            <w:vAlign w:val="center"/>
            <w:hideMark/>
          </w:tcPr>
          <w:p w14:paraId="0D83FEE3" w14:textId="77777777" w:rsidR="00846CE0" w:rsidRPr="00846CE0" w:rsidRDefault="00846CE0" w:rsidP="00846CE0">
            <w:pPr>
              <w:rPr>
                <w:lang w:val="en-GB"/>
              </w:rPr>
            </w:pPr>
            <w:r w:rsidRPr="00846CE0">
              <w:rPr>
                <w:lang w:val="en-GB"/>
              </w:rPr>
              <w:t>Reward recognition of uncertainty</w:t>
            </w:r>
          </w:p>
        </w:tc>
      </w:tr>
    </w:tbl>
    <w:p w14:paraId="7B92D72F" w14:textId="77777777" w:rsidR="00846CE0" w:rsidRPr="00846CE0" w:rsidRDefault="00000000" w:rsidP="00846CE0">
      <w:pPr>
        <w:rPr>
          <w:lang w:val="en-GB"/>
        </w:rPr>
      </w:pPr>
      <w:r>
        <w:rPr>
          <w:lang w:val="en-GB"/>
        </w:rPr>
        <w:pict w14:anchorId="111A6029">
          <v:rect id="_x0000_i1041" style="width:0;height:1.5pt" o:hralign="center" o:hrstd="t" o:hr="t" fillcolor="#a0a0a0" stroked="f"/>
        </w:pict>
      </w:r>
    </w:p>
    <w:p w14:paraId="4B562B39" w14:textId="77777777" w:rsidR="00846CE0" w:rsidRPr="00846CE0" w:rsidRDefault="00846CE0" w:rsidP="00846CE0">
      <w:pPr>
        <w:rPr>
          <w:b/>
          <w:bCs/>
          <w:lang w:val="en-GB"/>
        </w:rPr>
      </w:pPr>
      <w:r w:rsidRPr="00846CE0">
        <w:rPr>
          <w:b/>
          <w:bCs/>
          <w:lang w:val="en-GB"/>
        </w:rPr>
        <w:t>9. Indicative concluding judgement</w:t>
      </w:r>
    </w:p>
    <w:p w14:paraId="43C4FB01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 xml:space="preserve">A strong conclusion would identify the incident as arising from </w:t>
      </w:r>
      <w:r w:rsidRPr="00846CE0">
        <w:rPr>
          <w:b/>
          <w:bCs/>
          <w:lang w:val="en-GB"/>
        </w:rPr>
        <w:t>failure to correctly identify the true source position and radiation field</w:t>
      </w:r>
      <w:r w:rsidRPr="00846CE0">
        <w:rPr>
          <w:lang w:val="en-GB"/>
        </w:rPr>
        <w:t>, leading to a close-range exposure in a highly non-uniform field.</w:t>
      </w:r>
    </w:p>
    <w:p w14:paraId="76DE3245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resulting dose is significant and clearly above normal occupational limits, though not expected to cause deterministic whole-body injury.</w:t>
      </w:r>
    </w:p>
    <w:p w14:paraId="453B8A43" w14:textId="77777777" w:rsidR="00846CE0" w:rsidRPr="00846CE0" w:rsidRDefault="00846CE0" w:rsidP="00846CE0">
      <w:pPr>
        <w:rPr>
          <w:lang w:val="en-GB"/>
        </w:rPr>
      </w:pPr>
      <w:r w:rsidRPr="00846CE0">
        <w:rPr>
          <w:lang w:val="en-GB"/>
        </w:rPr>
        <w:t>The event represents a failure of engineering controls, procedural discipline, and radiological verification, and highlights the importance of robust defence in depth in industrial radiography operations.</w:t>
      </w:r>
    </w:p>
    <w:p w14:paraId="4BD92FA7" w14:textId="6F02407E" w:rsidR="00A30964" w:rsidRDefault="00A30964" w:rsidP="00846CE0"/>
    <w:sectPr w:rsidR="00A30964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207CC" w14:textId="77777777" w:rsidR="00D810A2" w:rsidRDefault="00D810A2" w:rsidP="001E6B24">
      <w:pPr>
        <w:spacing w:after="0" w:line="240" w:lineRule="auto"/>
      </w:pPr>
      <w:r>
        <w:separator/>
      </w:r>
    </w:p>
  </w:endnote>
  <w:endnote w:type="continuationSeparator" w:id="0">
    <w:p w14:paraId="49320F37" w14:textId="77777777" w:rsidR="00D810A2" w:rsidRDefault="00D810A2" w:rsidP="001E6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C27C4" w14:textId="77777777" w:rsidR="00D810A2" w:rsidRDefault="00D810A2" w:rsidP="001E6B24">
      <w:pPr>
        <w:spacing w:after="0" w:line="240" w:lineRule="auto"/>
      </w:pPr>
      <w:r>
        <w:separator/>
      </w:r>
    </w:p>
  </w:footnote>
  <w:footnote w:type="continuationSeparator" w:id="0">
    <w:p w14:paraId="225DB5E3" w14:textId="77777777" w:rsidR="00D810A2" w:rsidRDefault="00D810A2" w:rsidP="001E6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2081B" w14:textId="2B28F40D" w:rsidR="001E6B24" w:rsidRPr="001E6B24" w:rsidRDefault="001E6B24" w:rsidP="001E6B24">
    <w:pPr>
      <w:pStyle w:val="Header"/>
      <w:jc w:val="center"/>
      <w:rPr>
        <w:lang w:val="en-GB"/>
      </w:rPr>
    </w:pPr>
    <w:r>
      <w:rPr>
        <w:lang w:val="en-GB"/>
      </w:rPr>
      <w:t>OFFICIAL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8D7935"/>
    <w:multiLevelType w:val="multilevel"/>
    <w:tmpl w:val="8124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3B336A"/>
    <w:multiLevelType w:val="multilevel"/>
    <w:tmpl w:val="3DCE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C004A8"/>
    <w:multiLevelType w:val="multilevel"/>
    <w:tmpl w:val="938E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A96560"/>
    <w:multiLevelType w:val="multilevel"/>
    <w:tmpl w:val="C6DE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4D4123"/>
    <w:multiLevelType w:val="multilevel"/>
    <w:tmpl w:val="4FD8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56357"/>
    <w:multiLevelType w:val="multilevel"/>
    <w:tmpl w:val="8418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F7548C"/>
    <w:multiLevelType w:val="multilevel"/>
    <w:tmpl w:val="A176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0742B0"/>
    <w:multiLevelType w:val="multilevel"/>
    <w:tmpl w:val="4F40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F609E7"/>
    <w:multiLevelType w:val="multilevel"/>
    <w:tmpl w:val="4A586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F91907"/>
    <w:multiLevelType w:val="multilevel"/>
    <w:tmpl w:val="C65A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3147514">
    <w:abstractNumId w:val="8"/>
  </w:num>
  <w:num w:numId="2" w16cid:durableId="1646199125">
    <w:abstractNumId w:val="6"/>
  </w:num>
  <w:num w:numId="3" w16cid:durableId="1015232985">
    <w:abstractNumId w:val="5"/>
  </w:num>
  <w:num w:numId="4" w16cid:durableId="428745969">
    <w:abstractNumId w:val="4"/>
  </w:num>
  <w:num w:numId="5" w16cid:durableId="2085302069">
    <w:abstractNumId w:val="7"/>
  </w:num>
  <w:num w:numId="6" w16cid:durableId="613831857">
    <w:abstractNumId w:val="3"/>
  </w:num>
  <w:num w:numId="7" w16cid:durableId="1692221171">
    <w:abstractNumId w:val="2"/>
  </w:num>
  <w:num w:numId="8" w16cid:durableId="1172640372">
    <w:abstractNumId w:val="1"/>
  </w:num>
  <w:num w:numId="9" w16cid:durableId="706761998">
    <w:abstractNumId w:val="0"/>
  </w:num>
  <w:num w:numId="10" w16cid:durableId="454908906">
    <w:abstractNumId w:val="13"/>
  </w:num>
  <w:num w:numId="11" w16cid:durableId="702943887">
    <w:abstractNumId w:val="17"/>
  </w:num>
  <w:num w:numId="12" w16cid:durableId="1627196461">
    <w:abstractNumId w:val="9"/>
  </w:num>
  <w:num w:numId="13" w16cid:durableId="1654524895">
    <w:abstractNumId w:val="14"/>
  </w:num>
  <w:num w:numId="14" w16cid:durableId="1210534236">
    <w:abstractNumId w:val="16"/>
  </w:num>
  <w:num w:numId="15" w16cid:durableId="732697070">
    <w:abstractNumId w:val="11"/>
  </w:num>
  <w:num w:numId="16" w16cid:durableId="1156534076">
    <w:abstractNumId w:val="10"/>
  </w:num>
  <w:num w:numId="17" w16cid:durableId="565991054">
    <w:abstractNumId w:val="18"/>
  </w:num>
  <w:num w:numId="18" w16cid:durableId="1878731999">
    <w:abstractNumId w:val="15"/>
  </w:num>
  <w:num w:numId="19" w16cid:durableId="1827851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0AAC"/>
    <w:rsid w:val="001E6B24"/>
    <w:rsid w:val="0029639D"/>
    <w:rsid w:val="00326F90"/>
    <w:rsid w:val="003F61EE"/>
    <w:rsid w:val="004D0357"/>
    <w:rsid w:val="00717B59"/>
    <w:rsid w:val="00846CE0"/>
    <w:rsid w:val="009A003E"/>
    <w:rsid w:val="009D795F"/>
    <w:rsid w:val="00A30964"/>
    <w:rsid w:val="00AA1D8D"/>
    <w:rsid w:val="00B21A9C"/>
    <w:rsid w:val="00B47730"/>
    <w:rsid w:val="00CB0664"/>
    <w:rsid w:val="00D810A2"/>
    <w:rsid w:val="00DD2578"/>
    <w:rsid w:val="00E40D4B"/>
    <w:rsid w:val="00F440DD"/>
    <w:rsid w:val="00FC693F"/>
    <w:rsid w:val="00FE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37995D"/>
  <w14:defaultImageDpi w14:val="300"/>
  <w15:docId w15:val="{F2C76631-E3C0-4334-807B-E678C3E9A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818</Words>
  <Characters>5021</Characters>
  <Application>Microsoft Office Word</Application>
  <DocSecurity>0</DocSecurity>
  <Lines>185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Holloway, Ian Dr (NAVY PEOPLE-NUC PHYS MGR)</cp:lastModifiedBy>
  <cp:revision>6</cp:revision>
  <dcterms:created xsi:type="dcterms:W3CDTF">2026-03-24T14:49:00Z</dcterms:created>
  <dcterms:modified xsi:type="dcterms:W3CDTF">2026-03-27T13:15:00Z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2026-03-20T11:01:34Z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30c6c0aa-2c52-4514-9954-588bb47c5e15</vt:lpwstr>
  </property>
  <property fmtid="{D5CDD505-2E9C-101B-9397-08002B2CF9AE}" pid="8" name="MSIP_Label_d8a60473-494b-4586-a1bb-b0e663054676_ContentBits">
    <vt:lpwstr>0</vt:lpwstr>
  </property>
  <property fmtid="{D5CDD505-2E9C-101B-9397-08002B2CF9AE}" pid="9" name="MSIP_Label_d8a60473-494b-4586-a1bb-b0e663054676_Tag">
    <vt:lpwstr>10, 0, 1, 1</vt:lpwstr>
  </property>
</Properties>
</file>