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F3502" w14:textId="77777777" w:rsidR="00493DFE" w:rsidRDefault="00493DFE" w:rsidP="00AE59E0">
      <w:pPr>
        <w:rPr>
          <w:b/>
          <w:bCs/>
          <w:lang w:val="en-GB"/>
        </w:rPr>
      </w:pPr>
    </w:p>
    <w:p w14:paraId="2EDE10EA" w14:textId="77777777" w:rsidR="008C33DE" w:rsidRDefault="008C33DE" w:rsidP="00AE59E0">
      <w:pPr>
        <w:rPr>
          <w:b/>
          <w:bCs/>
          <w:lang w:val="en-GB"/>
        </w:rPr>
      </w:pPr>
    </w:p>
    <w:p w14:paraId="45EC2EF8" w14:textId="77777777" w:rsidR="008C33DE" w:rsidRDefault="008C33DE" w:rsidP="00AE59E0">
      <w:pPr>
        <w:rPr>
          <w:b/>
          <w:bCs/>
          <w:lang w:val="en-GB"/>
        </w:rPr>
      </w:pPr>
    </w:p>
    <w:p w14:paraId="0144BFB4" w14:textId="77777777" w:rsidR="008C33DE" w:rsidRDefault="008C33DE" w:rsidP="00AE59E0">
      <w:pPr>
        <w:rPr>
          <w:b/>
          <w:bCs/>
          <w:lang w:val="en-GB"/>
        </w:rPr>
      </w:pPr>
    </w:p>
    <w:p w14:paraId="392A4561" w14:textId="0C431555" w:rsidR="00493DFE" w:rsidRPr="00CC56B5" w:rsidRDefault="00261269" w:rsidP="00CC56B5">
      <w:pPr>
        <w:jc w:val="center"/>
        <w:rPr>
          <w:b/>
          <w:bCs/>
          <w:sz w:val="40"/>
          <w:szCs w:val="40"/>
          <w:lang w:val="en-GB"/>
        </w:rPr>
      </w:pPr>
      <w:r w:rsidRPr="00261269">
        <w:rPr>
          <w:b/>
          <w:bCs/>
          <w:sz w:val="40"/>
          <w:szCs w:val="40"/>
        </w:rPr>
        <w:t>BA Business Management</w:t>
      </w:r>
    </w:p>
    <w:p w14:paraId="7BB6EE3F" w14:textId="77777777" w:rsidR="00CC56B5" w:rsidRPr="00CC56B5" w:rsidRDefault="00CC56B5" w:rsidP="00CC56B5">
      <w:pPr>
        <w:jc w:val="center"/>
        <w:rPr>
          <w:b/>
          <w:bCs/>
          <w:sz w:val="32"/>
          <w:szCs w:val="32"/>
          <w:lang w:val="en-GB"/>
        </w:rPr>
      </w:pPr>
      <w:r w:rsidRPr="00CC56B5">
        <w:rPr>
          <w:b/>
          <w:bCs/>
          <w:sz w:val="32"/>
          <w:szCs w:val="32"/>
        </w:rPr>
        <w:t>Introducing the Modern Workplace</w:t>
      </w:r>
    </w:p>
    <w:p w14:paraId="13C8181E" w14:textId="4FE116FD" w:rsidR="00493DFE" w:rsidRPr="008C33DE" w:rsidRDefault="008C33DE" w:rsidP="00261269">
      <w:pPr>
        <w:jc w:val="center"/>
        <w:rPr>
          <w:b/>
          <w:bCs/>
          <w:sz w:val="28"/>
          <w:szCs w:val="28"/>
          <w:lang w:val="en-GB"/>
        </w:rPr>
      </w:pPr>
      <w:r w:rsidRPr="008C33DE">
        <w:rPr>
          <w:b/>
          <w:bCs/>
          <w:sz w:val="28"/>
          <w:szCs w:val="28"/>
        </w:rPr>
        <w:t>LCBB4003</w:t>
      </w:r>
    </w:p>
    <w:p w14:paraId="28C9E8D7" w14:textId="77777777" w:rsidR="00493DFE" w:rsidRDefault="00493DFE" w:rsidP="00AE59E0">
      <w:pPr>
        <w:rPr>
          <w:b/>
          <w:bCs/>
          <w:lang w:val="en-GB"/>
        </w:rPr>
      </w:pPr>
    </w:p>
    <w:p w14:paraId="579B04F8" w14:textId="77777777" w:rsidR="00493DFE" w:rsidRDefault="00493DFE" w:rsidP="00AE59E0">
      <w:pPr>
        <w:rPr>
          <w:b/>
          <w:bCs/>
          <w:lang w:val="en-GB"/>
        </w:rPr>
      </w:pPr>
    </w:p>
    <w:p w14:paraId="290D2082" w14:textId="77777777" w:rsidR="008C33DE" w:rsidRDefault="008C33DE" w:rsidP="00AE59E0">
      <w:pPr>
        <w:rPr>
          <w:b/>
          <w:bCs/>
          <w:lang w:val="en-GB"/>
        </w:rPr>
      </w:pPr>
    </w:p>
    <w:p w14:paraId="0E93DC44" w14:textId="77777777" w:rsidR="008C33DE" w:rsidRDefault="008C33DE" w:rsidP="00AE59E0">
      <w:pPr>
        <w:rPr>
          <w:b/>
          <w:bCs/>
          <w:lang w:val="en-GB"/>
        </w:rPr>
      </w:pPr>
    </w:p>
    <w:p w14:paraId="16DA50BB" w14:textId="77777777" w:rsidR="008C33DE" w:rsidRDefault="008C33DE" w:rsidP="00AE59E0">
      <w:pPr>
        <w:rPr>
          <w:b/>
          <w:bCs/>
          <w:lang w:val="en-GB"/>
        </w:rPr>
      </w:pPr>
    </w:p>
    <w:p w14:paraId="562F2C47" w14:textId="77777777" w:rsidR="008C33DE" w:rsidRPr="007038C6" w:rsidRDefault="008C33DE" w:rsidP="00AE59E0">
      <w:pPr>
        <w:rPr>
          <w:b/>
          <w:bCs/>
          <w:sz w:val="28"/>
          <w:szCs w:val="28"/>
          <w:lang w:val="en-GB"/>
        </w:rPr>
      </w:pPr>
    </w:p>
    <w:p w14:paraId="4526A762" w14:textId="77777777" w:rsidR="007038C6" w:rsidRPr="007038C6" w:rsidRDefault="007038C6" w:rsidP="007038C6">
      <w:pPr>
        <w:rPr>
          <w:b/>
          <w:bCs/>
          <w:sz w:val="28"/>
          <w:szCs w:val="28"/>
        </w:rPr>
      </w:pPr>
      <w:r w:rsidRPr="007038C6">
        <w:rPr>
          <w:b/>
          <w:bCs/>
          <w:sz w:val="28"/>
          <w:szCs w:val="28"/>
        </w:rPr>
        <w:t>Catalin Neatu-2232822</w:t>
      </w:r>
    </w:p>
    <w:p w14:paraId="419E8F13" w14:textId="77777777" w:rsidR="008C33DE" w:rsidRDefault="008C33DE" w:rsidP="00AE59E0">
      <w:pPr>
        <w:rPr>
          <w:b/>
          <w:bCs/>
          <w:lang w:val="en-GB"/>
        </w:rPr>
      </w:pPr>
    </w:p>
    <w:p w14:paraId="0BF26956" w14:textId="77777777" w:rsidR="008C33DE" w:rsidRDefault="008C33DE" w:rsidP="00AE59E0">
      <w:pPr>
        <w:rPr>
          <w:b/>
          <w:bCs/>
          <w:lang w:val="en-GB"/>
        </w:rPr>
      </w:pPr>
    </w:p>
    <w:p w14:paraId="6E0A651A" w14:textId="77777777" w:rsidR="008C33DE" w:rsidRDefault="008C33DE" w:rsidP="00AE59E0">
      <w:pPr>
        <w:rPr>
          <w:b/>
          <w:bCs/>
          <w:lang w:val="en-GB"/>
        </w:rPr>
      </w:pPr>
    </w:p>
    <w:p w14:paraId="5DB6CA6F" w14:textId="77777777" w:rsidR="008C33DE" w:rsidRDefault="008C33DE" w:rsidP="00AE59E0">
      <w:pPr>
        <w:rPr>
          <w:b/>
          <w:bCs/>
          <w:lang w:val="en-GB"/>
        </w:rPr>
      </w:pPr>
    </w:p>
    <w:p w14:paraId="13535D5F" w14:textId="77777777" w:rsidR="008C33DE" w:rsidRDefault="008C33DE" w:rsidP="00AE59E0">
      <w:pPr>
        <w:rPr>
          <w:b/>
          <w:bCs/>
          <w:lang w:val="en-GB"/>
        </w:rPr>
      </w:pPr>
    </w:p>
    <w:p w14:paraId="10B1DB25" w14:textId="77777777" w:rsidR="008C33DE" w:rsidRDefault="008C33DE" w:rsidP="00AE59E0">
      <w:pPr>
        <w:rPr>
          <w:b/>
          <w:bCs/>
          <w:lang w:val="en-GB"/>
        </w:rPr>
      </w:pPr>
    </w:p>
    <w:p w14:paraId="7389C53B" w14:textId="77777777" w:rsidR="008C33DE" w:rsidRDefault="008C33DE" w:rsidP="00AE59E0">
      <w:pPr>
        <w:rPr>
          <w:b/>
          <w:bCs/>
          <w:lang w:val="en-GB"/>
        </w:rPr>
      </w:pPr>
    </w:p>
    <w:p w14:paraId="14F1391A" w14:textId="77777777" w:rsidR="008C33DE" w:rsidRDefault="008C33DE" w:rsidP="00AE59E0">
      <w:pPr>
        <w:rPr>
          <w:b/>
          <w:bCs/>
          <w:lang w:val="en-GB"/>
        </w:rPr>
      </w:pPr>
    </w:p>
    <w:p w14:paraId="76B8031A" w14:textId="77777777" w:rsidR="008C33DE" w:rsidRDefault="008C33DE" w:rsidP="00AE59E0">
      <w:pPr>
        <w:rPr>
          <w:b/>
          <w:bCs/>
          <w:lang w:val="en-GB"/>
        </w:rPr>
      </w:pPr>
    </w:p>
    <w:p w14:paraId="3D93F9AC" w14:textId="77777777" w:rsidR="008C33DE" w:rsidRDefault="008C33DE" w:rsidP="00AE59E0">
      <w:pPr>
        <w:rPr>
          <w:b/>
          <w:bCs/>
          <w:lang w:val="en-GB"/>
        </w:rPr>
      </w:pPr>
    </w:p>
    <w:p w14:paraId="143AF370" w14:textId="77777777" w:rsidR="008C33DE" w:rsidRDefault="008C33DE" w:rsidP="00AE59E0">
      <w:pPr>
        <w:rPr>
          <w:b/>
          <w:bCs/>
          <w:lang w:val="en-GB"/>
        </w:rPr>
      </w:pPr>
    </w:p>
    <w:p w14:paraId="0B11A63A" w14:textId="77777777" w:rsidR="008C33DE" w:rsidRDefault="008C33DE" w:rsidP="00AE59E0">
      <w:pPr>
        <w:rPr>
          <w:b/>
          <w:bCs/>
          <w:lang w:val="en-GB"/>
        </w:rPr>
      </w:pPr>
    </w:p>
    <w:p w14:paraId="5DC018B7" w14:textId="77777777" w:rsidR="00AE59E0" w:rsidRDefault="00AE59E0" w:rsidP="00AE59E0">
      <w:pPr>
        <w:rPr>
          <w:b/>
          <w:bCs/>
          <w:lang w:val="en-GB"/>
        </w:rPr>
      </w:pPr>
    </w:p>
    <w:sdt>
      <w:sdtPr>
        <w:rPr>
          <w:rFonts w:asciiTheme="minorHAnsi" w:eastAsiaTheme="minorHAnsi" w:hAnsiTheme="minorHAnsi" w:cstheme="minorBidi"/>
          <w:color w:val="auto"/>
          <w:kern w:val="2"/>
          <w:sz w:val="22"/>
          <w:szCs w:val="22"/>
        </w:rPr>
        <w:id w:val="-705251751"/>
        <w:docPartObj>
          <w:docPartGallery w:val="Table of Contents"/>
          <w:docPartUnique/>
        </w:docPartObj>
      </w:sdtPr>
      <w:sdtEndPr>
        <w:rPr>
          <w:b/>
          <w:bCs/>
          <w:noProof/>
        </w:rPr>
      </w:sdtEndPr>
      <w:sdtContent>
        <w:p w14:paraId="322D014C" w14:textId="56B6A2E0" w:rsidR="00B12277" w:rsidRPr="00493DFE" w:rsidRDefault="00B12277">
          <w:pPr>
            <w:pStyle w:val="TOCHeading"/>
            <w:rPr>
              <w:sz w:val="40"/>
              <w:szCs w:val="40"/>
            </w:rPr>
          </w:pPr>
          <w:r w:rsidRPr="00493DFE">
            <w:rPr>
              <w:sz w:val="40"/>
              <w:szCs w:val="40"/>
            </w:rPr>
            <w:t>Contents</w:t>
          </w:r>
        </w:p>
        <w:p w14:paraId="7406397C" w14:textId="5FFBEC9A" w:rsidR="00493DFE" w:rsidRPr="00493DFE" w:rsidRDefault="00B12277">
          <w:pPr>
            <w:pStyle w:val="TOC1"/>
            <w:tabs>
              <w:tab w:val="right" w:leader="dot" w:pos="9350"/>
            </w:tabs>
            <w:rPr>
              <w:rFonts w:eastAsiaTheme="minorEastAsia"/>
              <w:noProof/>
              <w:sz w:val="32"/>
              <w:szCs w:val="32"/>
              <w:lang w:val="en-GB" w:eastAsia="en-GB"/>
            </w:rPr>
          </w:pPr>
          <w:r w:rsidRPr="00493DFE">
            <w:rPr>
              <w:sz w:val="32"/>
              <w:szCs w:val="32"/>
            </w:rPr>
            <w:fldChar w:fldCharType="begin"/>
          </w:r>
          <w:r w:rsidRPr="00493DFE">
            <w:rPr>
              <w:sz w:val="32"/>
              <w:szCs w:val="32"/>
            </w:rPr>
            <w:instrText xml:space="preserve"> TOC \o "1-3" \h \z \u </w:instrText>
          </w:r>
          <w:r w:rsidRPr="00493DFE">
            <w:rPr>
              <w:sz w:val="32"/>
              <w:szCs w:val="32"/>
            </w:rPr>
            <w:fldChar w:fldCharType="separate"/>
          </w:r>
          <w:hyperlink w:anchor="_Toc150594629" w:history="1">
            <w:r w:rsidR="00493DFE" w:rsidRPr="00493DFE">
              <w:rPr>
                <w:rStyle w:val="Hyperlink"/>
                <w:noProof/>
                <w:sz w:val="32"/>
                <w:szCs w:val="32"/>
                <w:lang w:val="en-GB"/>
              </w:rPr>
              <w:t>Abstract</w:t>
            </w:r>
            <w:r w:rsidR="00493DFE" w:rsidRPr="00493DFE">
              <w:rPr>
                <w:noProof/>
                <w:webHidden/>
                <w:sz w:val="32"/>
                <w:szCs w:val="32"/>
              </w:rPr>
              <w:tab/>
            </w:r>
            <w:r w:rsidR="00493DFE" w:rsidRPr="00493DFE">
              <w:rPr>
                <w:noProof/>
                <w:webHidden/>
                <w:sz w:val="32"/>
                <w:szCs w:val="32"/>
              </w:rPr>
              <w:fldChar w:fldCharType="begin"/>
            </w:r>
            <w:r w:rsidR="00493DFE" w:rsidRPr="00493DFE">
              <w:rPr>
                <w:noProof/>
                <w:webHidden/>
                <w:sz w:val="32"/>
                <w:szCs w:val="32"/>
              </w:rPr>
              <w:instrText xml:space="preserve"> PAGEREF _Toc150594629 \h </w:instrText>
            </w:r>
            <w:r w:rsidR="00493DFE" w:rsidRPr="00493DFE">
              <w:rPr>
                <w:noProof/>
                <w:webHidden/>
                <w:sz w:val="32"/>
                <w:szCs w:val="32"/>
              </w:rPr>
            </w:r>
            <w:r w:rsidR="00493DFE" w:rsidRPr="00493DFE">
              <w:rPr>
                <w:noProof/>
                <w:webHidden/>
                <w:sz w:val="32"/>
                <w:szCs w:val="32"/>
              </w:rPr>
              <w:fldChar w:fldCharType="separate"/>
            </w:r>
            <w:r w:rsidR="00493DFE" w:rsidRPr="00493DFE">
              <w:rPr>
                <w:noProof/>
                <w:webHidden/>
                <w:sz w:val="32"/>
                <w:szCs w:val="32"/>
              </w:rPr>
              <w:t>1</w:t>
            </w:r>
            <w:r w:rsidR="00493DFE" w:rsidRPr="00493DFE">
              <w:rPr>
                <w:noProof/>
                <w:webHidden/>
                <w:sz w:val="32"/>
                <w:szCs w:val="32"/>
              </w:rPr>
              <w:fldChar w:fldCharType="end"/>
            </w:r>
          </w:hyperlink>
        </w:p>
        <w:p w14:paraId="2DD8417C" w14:textId="4162B62E" w:rsidR="00493DFE" w:rsidRPr="00493DFE" w:rsidRDefault="00230920">
          <w:pPr>
            <w:pStyle w:val="TOC1"/>
            <w:tabs>
              <w:tab w:val="right" w:leader="dot" w:pos="9350"/>
            </w:tabs>
            <w:rPr>
              <w:rFonts w:eastAsiaTheme="minorEastAsia"/>
              <w:noProof/>
              <w:sz w:val="32"/>
              <w:szCs w:val="32"/>
              <w:lang w:val="en-GB" w:eastAsia="en-GB"/>
            </w:rPr>
          </w:pPr>
          <w:hyperlink w:anchor="_Toc150594630" w:history="1">
            <w:r w:rsidR="00493DFE" w:rsidRPr="00493DFE">
              <w:rPr>
                <w:rStyle w:val="Hyperlink"/>
                <w:noProof/>
                <w:sz w:val="32"/>
                <w:szCs w:val="32"/>
                <w:lang w:val="en-GB"/>
              </w:rPr>
              <w:t>Introduction</w:t>
            </w:r>
            <w:r w:rsidR="00493DFE" w:rsidRPr="00493DFE">
              <w:rPr>
                <w:noProof/>
                <w:webHidden/>
                <w:sz w:val="32"/>
                <w:szCs w:val="32"/>
              </w:rPr>
              <w:tab/>
            </w:r>
            <w:r w:rsidR="00493DFE" w:rsidRPr="00493DFE">
              <w:rPr>
                <w:noProof/>
                <w:webHidden/>
                <w:sz w:val="32"/>
                <w:szCs w:val="32"/>
              </w:rPr>
              <w:fldChar w:fldCharType="begin"/>
            </w:r>
            <w:r w:rsidR="00493DFE" w:rsidRPr="00493DFE">
              <w:rPr>
                <w:noProof/>
                <w:webHidden/>
                <w:sz w:val="32"/>
                <w:szCs w:val="32"/>
              </w:rPr>
              <w:instrText xml:space="preserve"> PAGEREF _Toc150594630 \h </w:instrText>
            </w:r>
            <w:r w:rsidR="00493DFE" w:rsidRPr="00493DFE">
              <w:rPr>
                <w:noProof/>
                <w:webHidden/>
                <w:sz w:val="32"/>
                <w:szCs w:val="32"/>
              </w:rPr>
            </w:r>
            <w:r w:rsidR="00493DFE" w:rsidRPr="00493DFE">
              <w:rPr>
                <w:noProof/>
                <w:webHidden/>
                <w:sz w:val="32"/>
                <w:szCs w:val="32"/>
              </w:rPr>
              <w:fldChar w:fldCharType="separate"/>
            </w:r>
            <w:r w:rsidR="00493DFE" w:rsidRPr="00493DFE">
              <w:rPr>
                <w:noProof/>
                <w:webHidden/>
                <w:sz w:val="32"/>
                <w:szCs w:val="32"/>
              </w:rPr>
              <w:t>2</w:t>
            </w:r>
            <w:r w:rsidR="00493DFE" w:rsidRPr="00493DFE">
              <w:rPr>
                <w:noProof/>
                <w:webHidden/>
                <w:sz w:val="32"/>
                <w:szCs w:val="32"/>
              </w:rPr>
              <w:fldChar w:fldCharType="end"/>
            </w:r>
          </w:hyperlink>
        </w:p>
        <w:p w14:paraId="5C54FA34" w14:textId="678836F6" w:rsidR="00493DFE" w:rsidRPr="00493DFE" w:rsidRDefault="00230920">
          <w:pPr>
            <w:pStyle w:val="TOC2"/>
            <w:tabs>
              <w:tab w:val="right" w:leader="dot" w:pos="9350"/>
            </w:tabs>
            <w:rPr>
              <w:rFonts w:eastAsiaTheme="minorEastAsia"/>
              <w:noProof/>
              <w:sz w:val="32"/>
              <w:szCs w:val="32"/>
              <w:lang w:val="en-GB" w:eastAsia="en-GB"/>
            </w:rPr>
          </w:pPr>
          <w:hyperlink w:anchor="_Toc150594631" w:history="1">
            <w:r w:rsidR="00493DFE" w:rsidRPr="00493DFE">
              <w:rPr>
                <w:rStyle w:val="Hyperlink"/>
                <w:noProof/>
                <w:sz w:val="32"/>
                <w:szCs w:val="32"/>
                <w:lang w:val="en-GB"/>
              </w:rPr>
              <w:t>Organizational Structure and Performance</w:t>
            </w:r>
            <w:r w:rsidR="00493DFE" w:rsidRPr="00493DFE">
              <w:rPr>
                <w:noProof/>
                <w:webHidden/>
                <w:sz w:val="32"/>
                <w:szCs w:val="32"/>
              </w:rPr>
              <w:tab/>
            </w:r>
            <w:r w:rsidR="00493DFE" w:rsidRPr="00493DFE">
              <w:rPr>
                <w:noProof/>
                <w:webHidden/>
                <w:sz w:val="32"/>
                <w:szCs w:val="32"/>
              </w:rPr>
              <w:fldChar w:fldCharType="begin"/>
            </w:r>
            <w:r w:rsidR="00493DFE" w:rsidRPr="00493DFE">
              <w:rPr>
                <w:noProof/>
                <w:webHidden/>
                <w:sz w:val="32"/>
                <w:szCs w:val="32"/>
              </w:rPr>
              <w:instrText xml:space="preserve"> PAGEREF _Toc150594631 \h </w:instrText>
            </w:r>
            <w:r w:rsidR="00493DFE" w:rsidRPr="00493DFE">
              <w:rPr>
                <w:noProof/>
                <w:webHidden/>
                <w:sz w:val="32"/>
                <w:szCs w:val="32"/>
              </w:rPr>
            </w:r>
            <w:r w:rsidR="00493DFE" w:rsidRPr="00493DFE">
              <w:rPr>
                <w:noProof/>
                <w:webHidden/>
                <w:sz w:val="32"/>
                <w:szCs w:val="32"/>
              </w:rPr>
              <w:fldChar w:fldCharType="separate"/>
            </w:r>
            <w:r w:rsidR="00493DFE" w:rsidRPr="00493DFE">
              <w:rPr>
                <w:noProof/>
                <w:webHidden/>
                <w:sz w:val="32"/>
                <w:szCs w:val="32"/>
              </w:rPr>
              <w:t>2</w:t>
            </w:r>
            <w:r w:rsidR="00493DFE" w:rsidRPr="00493DFE">
              <w:rPr>
                <w:noProof/>
                <w:webHidden/>
                <w:sz w:val="32"/>
                <w:szCs w:val="32"/>
              </w:rPr>
              <w:fldChar w:fldCharType="end"/>
            </w:r>
          </w:hyperlink>
        </w:p>
        <w:p w14:paraId="430F73A8" w14:textId="0584ABE5" w:rsidR="00493DFE" w:rsidRPr="00493DFE" w:rsidRDefault="00230920">
          <w:pPr>
            <w:pStyle w:val="TOC2"/>
            <w:tabs>
              <w:tab w:val="right" w:leader="dot" w:pos="9350"/>
            </w:tabs>
            <w:rPr>
              <w:rFonts w:eastAsiaTheme="minorEastAsia"/>
              <w:noProof/>
              <w:sz w:val="32"/>
              <w:szCs w:val="32"/>
              <w:lang w:val="en-GB" w:eastAsia="en-GB"/>
            </w:rPr>
          </w:pPr>
          <w:hyperlink w:anchor="_Toc150594632" w:history="1">
            <w:r w:rsidR="00493DFE" w:rsidRPr="00493DFE">
              <w:rPr>
                <w:rStyle w:val="Hyperlink"/>
                <w:noProof/>
                <w:sz w:val="32"/>
                <w:szCs w:val="32"/>
                <w:lang w:val="en-GB"/>
              </w:rPr>
              <w:t>Organizational Culture and Performance</w:t>
            </w:r>
            <w:r w:rsidR="00493DFE" w:rsidRPr="00493DFE">
              <w:rPr>
                <w:noProof/>
                <w:webHidden/>
                <w:sz w:val="32"/>
                <w:szCs w:val="32"/>
              </w:rPr>
              <w:tab/>
            </w:r>
            <w:r w:rsidR="00493DFE" w:rsidRPr="00493DFE">
              <w:rPr>
                <w:noProof/>
                <w:webHidden/>
                <w:sz w:val="32"/>
                <w:szCs w:val="32"/>
              </w:rPr>
              <w:fldChar w:fldCharType="begin"/>
            </w:r>
            <w:r w:rsidR="00493DFE" w:rsidRPr="00493DFE">
              <w:rPr>
                <w:noProof/>
                <w:webHidden/>
                <w:sz w:val="32"/>
                <w:szCs w:val="32"/>
              </w:rPr>
              <w:instrText xml:space="preserve"> PAGEREF _Toc150594632 \h </w:instrText>
            </w:r>
            <w:r w:rsidR="00493DFE" w:rsidRPr="00493DFE">
              <w:rPr>
                <w:noProof/>
                <w:webHidden/>
                <w:sz w:val="32"/>
                <w:szCs w:val="32"/>
              </w:rPr>
            </w:r>
            <w:r w:rsidR="00493DFE" w:rsidRPr="00493DFE">
              <w:rPr>
                <w:noProof/>
                <w:webHidden/>
                <w:sz w:val="32"/>
                <w:szCs w:val="32"/>
              </w:rPr>
              <w:fldChar w:fldCharType="separate"/>
            </w:r>
            <w:r w:rsidR="00493DFE" w:rsidRPr="00493DFE">
              <w:rPr>
                <w:noProof/>
                <w:webHidden/>
                <w:sz w:val="32"/>
                <w:szCs w:val="32"/>
              </w:rPr>
              <w:t>3</w:t>
            </w:r>
            <w:r w:rsidR="00493DFE" w:rsidRPr="00493DFE">
              <w:rPr>
                <w:noProof/>
                <w:webHidden/>
                <w:sz w:val="32"/>
                <w:szCs w:val="32"/>
              </w:rPr>
              <w:fldChar w:fldCharType="end"/>
            </w:r>
          </w:hyperlink>
        </w:p>
        <w:p w14:paraId="42D4DAE8" w14:textId="08206848" w:rsidR="00493DFE" w:rsidRPr="00493DFE" w:rsidRDefault="00230920">
          <w:pPr>
            <w:pStyle w:val="TOC2"/>
            <w:tabs>
              <w:tab w:val="right" w:leader="dot" w:pos="9350"/>
            </w:tabs>
            <w:rPr>
              <w:rFonts w:eastAsiaTheme="minorEastAsia"/>
              <w:noProof/>
              <w:sz w:val="32"/>
              <w:szCs w:val="32"/>
              <w:lang w:val="en-GB" w:eastAsia="en-GB"/>
            </w:rPr>
          </w:pPr>
          <w:hyperlink w:anchor="_Toc150594633" w:history="1">
            <w:r w:rsidR="00493DFE" w:rsidRPr="00493DFE">
              <w:rPr>
                <w:rStyle w:val="Hyperlink"/>
                <w:noProof/>
                <w:sz w:val="32"/>
                <w:szCs w:val="32"/>
                <w:lang w:val="en-GB"/>
              </w:rPr>
              <w:t>Employee Motivation Strategies</w:t>
            </w:r>
            <w:r w:rsidR="00493DFE" w:rsidRPr="00493DFE">
              <w:rPr>
                <w:noProof/>
                <w:webHidden/>
                <w:sz w:val="32"/>
                <w:szCs w:val="32"/>
              </w:rPr>
              <w:tab/>
            </w:r>
            <w:r w:rsidR="00493DFE" w:rsidRPr="00493DFE">
              <w:rPr>
                <w:noProof/>
                <w:webHidden/>
                <w:sz w:val="32"/>
                <w:szCs w:val="32"/>
              </w:rPr>
              <w:fldChar w:fldCharType="begin"/>
            </w:r>
            <w:r w:rsidR="00493DFE" w:rsidRPr="00493DFE">
              <w:rPr>
                <w:noProof/>
                <w:webHidden/>
                <w:sz w:val="32"/>
                <w:szCs w:val="32"/>
              </w:rPr>
              <w:instrText xml:space="preserve"> PAGEREF _Toc150594633 \h </w:instrText>
            </w:r>
            <w:r w:rsidR="00493DFE" w:rsidRPr="00493DFE">
              <w:rPr>
                <w:noProof/>
                <w:webHidden/>
                <w:sz w:val="32"/>
                <w:szCs w:val="32"/>
              </w:rPr>
            </w:r>
            <w:r w:rsidR="00493DFE" w:rsidRPr="00493DFE">
              <w:rPr>
                <w:noProof/>
                <w:webHidden/>
                <w:sz w:val="32"/>
                <w:szCs w:val="32"/>
              </w:rPr>
              <w:fldChar w:fldCharType="separate"/>
            </w:r>
            <w:r w:rsidR="00493DFE" w:rsidRPr="00493DFE">
              <w:rPr>
                <w:noProof/>
                <w:webHidden/>
                <w:sz w:val="32"/>
                <w:szCs w:val="32"/>
              </w:rPr>
              <w:t>3</w:t>
            </w:r>
            <w:r w:rsidR="00493DFE" w:rsidRPr="00493DFE">
              <w:rPr>
                <w:noProof/>
                <w:webHidden/>
                <w:sz w:val="32"/>
                <w:szCs w:val="32"/>
              </w:rPr>
              <w:fldChar w:fldCharType="end"/>
            </w:r>
          </w:hyperlink>
        </w:p>
        <w:p w14:paraId="7ADEDF2D" w14:textId="0AE5F02E" w:rsidR="00493DFE" w:rsidRPr="00493DFE" w:rsidRDefault="00230920">
          <w:pPr>
            <w:pStyle w:val="TOC2"/>
            <w:tabs>
              <w:tab w:val="right" w:leader="dot" w:pos="9350"/>
            </w:tabs>
            <w:rPr>
              <w:rFonts w:eastAsiaTheme="minorEastAsia"/>
              <w:noProof/>
              <w:sz w:val="32"/>
              <w:szCs w:val="32"/>
              <w:lang w:val="en-GB" w:eastAsia="en-GB"/>
            </w:rPr>
          </w:pPr>
          <w:hyperlink w:anchor="_Toc150594634" w:history="1">
            <w:r w:rsidR="00493DFE" w:rsidRPr="00493DFE">
              <w:rPr>
                <w:rStyle w:val="Hyperlink"/>
                <w:noProof/>
                <w:sz w:val="32"/>
                <w:szCs w:val="32"/>
                <w:lang w:val="en-GB"/>
              </w:rPr>
              <w:t>Linking Structure, Culture, and Motivation to Performance</w:t>
            </w:r>
            <w:r w:rsidR="00493DFE" w:rsidRPr="00493DFE">
              <w:rPr>
                <w:noProof/>
                <w:webHidden/>
                <w:sz w:val="32"/>
                <w:szCs w:val="32"/>
              </w:rPr>
              <w:tab/>
            </w:r>
            <w:r w:rsidR="00493DFE" w:rsidRPr="00493DFE">
              <w:rPr>
                <w:noProof/>
                <w:webHidden/>
                <w:sz w:val="32"/>
                <w:szCs w:val="32"/>
              </w:rPr>
              <w:fldChar w:fldCharType="begin"/>
            </w:r>
            <w:r w:rsidR="00493DFE" w:rsidRPr="00493DFE">
              <w:rPr>
                <w:noProof/>
                <w:webHidden/>
                <w:sz w:val="32"/>
                <w:szCs w:val="32"/>
              </w:rPr>
              <w:instrText xml:space="preserve"> PAGEREF _Toc150594634 \h </w:instrText>
            </w:r>
            <w:r w:rsidR="00493DFE" w:rsidRPr="00493DFE">
              <w:rPr>
                <w:noProof/>
                <w:webHidden/>
                <w:sz w:val="32"/>
                <w:szCs w:val="32"/>
              </w:rPr>
            </w:r>
            <w:r w:rsidR="00493DFE" w:rsidRPr="00493DFE">
              <w:rPr>
                <w:noProof/>
                <w:webHidden/>
                <w:sz w:val="32"/>
                <w:szCs w:val="32"/>
              </w:rPr>
              <w:fldChar w:fldCharType="separate"/>
            </w:r>
            <w:r w:rsidR="00493DFE" w:rsidRPr="00493DFE">
              <w:rPr>
                <w:noProof/>
                <w:webHidden/>
                <w:sz w:val="32"/>
                <w:szCs w:val="32"/>
              </w:rPr>
              <w:t>4</w:t>
            </w:r>
            <w:r w:rsidR="00493DFE" w:rsidRPr="00493DFE">
              <w:rPr>
                <w:noProof/>
                <w:webHidden/>
                <w:sz w:val="32"/>
                <w:szCs w:val="32"/>
              </w:rPr>
              <w:fldChar w:fldCharType="end"/>
            </w:r>
          </w:hyperlink>
        </w:p>
        <w:p w14:paraId="5324CCF0" w14:textId="7E2D670F" w:rsidR="00493DFE" w:rsidRPr="00493DFE" w:rsidRDefault="00230920">
          <w:pPr>
            <w:pStyle w:val="TOC2"/>
            <w:tabs>
              <w:tab w:val="right" w:leader="dot" w:pos="9350"/>
            </w:tabs>
            <w:rPr>
              <w:rFonts w:eastAsiaTheme="minorEastAsia"/>
              <w:noProof/>
              <w:sz w:val="32"/>
              <w:szCs w:val="32"/>
              <w:lang w:val="en-GB" w:eastAsia="en-GB"/>
            </w:rPr>
          </w:pPr>
          <w:hyperlink w:anchor="_Toc150594635" w:history="1">
            <w:r w:rsidR="00493DFE" w:rsidRPr="00493DFE">
              <w:rPr>
                <w:rStyle w:val="Hyperlink"/>
                <w:noProof/>
                <w:sz w:val="32"/>
                <w:szCs w:val="32"/>
                <w:lang w:val="en-GB"/>
              </w:rPr>
              <w:t>Case Studies and Examples</w:t>
            </w:r>
            <w:r w:rsidR="00493DFE" w:rsidRPr="00493DFE">
              <w:rPr>
                <w:noProof/>
                <w:webHidden/>
                <w:sz w:val="32"/>
                <w:szCs w:val="32"/>
              </w:rPr>
              <w:tab/>
            </w:r>
            <w:r w:rsidR="00493DFE" w:rsidRPr="00493DFE">
              <w:rPr>
                <w:noProof/>
                <w:webHidden/>
                <w:sz w:val="32"/>
                <w:szCs w:val="32"/>
              </w:rPr>
              <w:fldChar w:fldCharType="begin"/>
            </w:r>
            <w:r w:rsidR="00493DFE" w:rsidRPr="00493DFE">
              <w:rPr>
                <w:noProof/>
                <w:webHidden/>
                <w:sz w:val="32"/>
                <w:szCs w:val="32"/>
              </w:rPr>
              <w:instrText xml:space="preserve"> PAGEREF _Toc150594635 \h </w:instrText>
            </w:r>
            <w:r w:rsidR="00493DFE" w:rsidRPr="00493DFE">
              <w:rPr>
                <w:noProof/>
                <w:webHidden/>
                <w:sz w:val="32"/>
                <w:szCs w:val="32"/>
              </w:rPr>
            </w:r>
            <w:r w:rsidR="00493DFE" w:rsidRPr="00493DFE">
              <w:rPr>
                <w:noProof/>
                <w:webHidden/>
                <w:sz w:val="32"/>
                <w:szCs w:val="32"/>
              </w:rPr>
              <w:fldChar w:fldCharType="separate"/>
            </w:r>
            <w:r w:rsidR="00493DFE" w:rsidRPr="00493DFE">
              <w:rPr>
                <w:noProof/>
                <w:webHidden/>
                <w:sz w:val="32"/>
                <w:szCs w:val="32"/>
              </w:rPr>
              <w:t>4</w:t>
            </w:r>
            <w:r w:rsidR="00493DFE" w:rsidRPr="00493DFE">
              <w:rPr>
                <w:noProof/>
                <w:webHidden/>
                <w:sz w:val="32"/>
                <w:szCs w:val="32"/>
              </w:rPr>
              <w:fldChar w:fldCharType="end"/>
            </w:r>
          </w:hyperlink>
        </w:p>
        <w:p w14:paraId="45D6FC50" w14:textId="131FE674" w:rsidR="00493DFE" w:rsidRPr="00493DFE" w:rsidRDefault="00230920">
          <w:pPr>
            <w:pStyle w:val="TOC2"/>
            <w:tabs>
              <w:tab w:val="right" w:leader="dot" w:pos="9350"/>
            </w:tabs>
            <w:rPr>
              <w:rFonts w:eastAsiaTheme="minorEastAsia"/>
              <w:noProof/>
              <w:sz w:val="32"/>
              <w:szCs w:val="32"/>
              <w:lang w:val="en-GB" w:eastAsia="en-GB"/>
            </w:rPr>
          </w:pPr>
          <w:hyperlink w:anchor="_Toc150594636" w:history="1">
            <w:r w:rsidR="00493DFE" w:rsidRPr="00493DFE">
              <w:rPr>
                <w:rStyle w:val="Hyperlink"/>
                <w:noProof/>
                <w:sz w:val="32"/>
                <w:szCs w:val="32"/>
                <w:lang w:val="en-GB"/>
              </w:rPr>
              <w:t>Best Practices and Recommendations</w:t>
            </w:r>
            <w:r w:rsidR="00493DFE" w:rsidRPr="00493DFE">
              <w:rPr>
                <w:noProof/>
                <w:webHidden/>
                <w:sz w:val="32"/>
                <w:szCs w:val="32"/>
              </w:rPr>
              <w:tab/>
            </w:r>
            <w:r w:rsidR="00493DFE" w:rsidRPr="00493DFE">
              <w:rPr>
                <w:noProof/>
                <w:webHidden/>
                <w:sz w:val="32"/>
                <w:szCs w:val="32"/>
              </w:rPr>
              <w:fldChar w:fldCharType="begin"/>
            </w:r>
            <w:r w:rsidR="00493DFE" w:rsidRPr="00493DFE">
              <w:rPr>
                <w:noProof/>
                <w:webHidden/>
                <w:sz w:val="32"/>
                <w:szCs w:val="32"/>
              </w:rPr>
              <w:instrText xml:space="preserve"> PAGEREF _Toc150594636 \h </w:instrText>
            </w:r>
            <w:r w:rsidR="00493DFE" w:rsidRPr="00493DFE">
              <w:rPr>
                <w:noProof/>
                <w:webHidden/>
                <w:sz w:val="32"/>
                <w:szCs w:val="32"/>
              </w:rPr>
            </w:r>
            <w:r w:rsidR="00493DFE" w:rsidRPr="00493DFE">
              <w:rPr>
                <w:noProof/>
                <w:webHidden/>
                <w:sz w:val="32"/>
                <w:szCs w:val="32"/>
              </w:rPr>
              <w:fldChar w:fldCharType="separate"/>
            </w:r>
            <w:r w:rsidR="00493DFE" w:rsidRPr="00493DFE">
              <w:rPr>
                <w:noProof/>
                <w:webHidden/>
                <w:sz w:val="32"/>
                <w:szCs w:val="32"/>
              </w:rPr>
              <w:t>5</w:t>
            </w:r>
            <w:r w:rsidR="00493DFE" w:rsidRPr="00493DFE">
              <w:rPr>
                <w:noProof/>
                <w:webHidden/>
                <w:sz w:val="32"/>
                <w:szCs w:val="32"/>
              </w:rPr>
              <w:fldChar w:fldCharType="end"/>
            </w:r>
          </w:hyperlink>
        </w:p>
        <w:p w14:paraId="639A5CD5" w14:textId="6AD8E424" w:rsidR="00493DFE" w:rsidRPr="00493DFE" w:rsidRDefault="00230920">
          <w:pPr>
            <w:pStyle w:val="TOC1"/>
            <w:tabs>
              <w:tab w:val="right" w:leader="dot" w:pos="9350"/>
            </w:tabs>
            <w:rPr>
              <w:rFonts w:eastAsiaTheme="minorEastAsia"/>
              <w:noProof/>
              <w:sz w:val="32"/>
              <w:szCs w:val="32"/>
              <w:lang w:val="en-GB" w:eastAsia="en-GB"/>
            </w:rPr>
          </w:pPr>
          <w:hyperlink w:anchor="_Toc150594637" w:history="1">
            <w:r w:rsidR="00493DFE" w:rsidRPr="00493DFE">
              <w:rPr>
                <w:rStyle w:val="Hyperlink"/>
                <w:noProof/>
                <w:sz w:val="32"/>
                <w:szCs w:val="32"/>
                <w:lang w:val="en-GB"/>
              </w:rPr>
              <w:t>Conclusion</w:t>
            </w:r>
            <w:r w:rsidR="00493DFE" w:rsidRPr="00493DFE">
              <w:rPr>
                <w:noProof/>
                <w:webHidden/>
                <w:sz w:val="32"/>
                <w:szCs w:val="32"/>
              </w:rPr>
              <w:tab/>
            </w:r>
            <w:r w:rsidR="00493DFE" w:rsidRPr="00493DFE">
              <w:rPr>
                <w:noProof/>
                <w:webHidden/>
                <w:sz w:val="32"/>
                <w:szCs w:val="32"/>
              </w:rPr>
              <w:fldChar w:fldCharType="begin"/>
            </w:r>
            <w:r w:rsidR="00493DFE" w:rsidRPr="00493DFE">
              <w:rPr>
                <w:noProof/>
                <w:webHidden/>
                <w:sz w:val="32"/>
                <w:szCs w:val="32"/>
              </w:rPr>
              <w:instrText xml:space="preserve"> PAGEREF _Toc150594637 \h </w:instrText>
            </w:r>
            <w:r w:rsidR="00493DFE" w:rsidRPr="00493DFE">
              <w:rPr>
                <w:noProof/>
                <w:webHidden/>
                <w:sz w:val="32"/>
                <w:szCs w:val="32"/>
              </w:rPr>
            </w:r>
            <w:r w:rsidR="00493DFE" w:rsidRPr="00493DFE">
              <w:rPr>
                <w:noProof/>
                <w:webHidden/>
                <w:sz w:val="32"/>
                <w:szCs w:val="32"/>
              </w:rPr>
              <w:fldChar w:fldCharType="separate"/>
            </w:r>
            <w:r w:rsidR="00493DFE" w:rsidRPr="00493DFE">
              <w:rPr>
                <w:noProof/>
                <w:webHidden/>
                <w:sz w:val="32"/>
                <w:szCs w:val="32"/>
              </w:rPr>
              <w:t>6</w:t>
            </w:r>
            <w:r w:rsidR="00493DFE" w:rsidRPr="00493DFE">
              <w:rPr>
                <w:noProof/>
                <w:webHidden/>
                <w:sz w:val="32"/>
                <w:szCs w:val="32"/>
              </w:rPr>
              <w:fldChar w:fldCharType="end"/>
            </w:r>
          </w:hyperlink>
        </w:p>
        <w:p w14:paraId="33E83411" w14:textId="628F3C2E" w:rsidR="00493DFE" w:rsidRPr="00493DFE" w:rsidRDefault="00230920">
          <w:pPr>
            <w:pStyle w:val="TOC1"/>
            <w:tabs>
              <w:tab w:val="right" w:leader="dot" w:pos="9350"/>
            </w:tabs>
            <w:rPr>
              <w:rFonts w:eastAsiaTheme="minorEastAsia"/>
              <w:noProof/>
              <w:sz w:val="32"/>
              <w:szCs w:val="32"/>
              <w:lang w:val="en-GB" w:eastAsia="en-GB"/>
            </w:rPr>
          </w:pPr>
          <w:hyperlink w:anchor="_Toc150594638" w:history="1">
            <w:r w:rsidR="00493DFE" w:rsidRPr="00493DFE">
              <w:rPr>
                <w:rStyle w:val="Hyperlink"/>
                <w:noProof/>
                <w:sz w:val="32"/>
                <w:szCs w:val="32"/>
                <w:lang w:val="en-GB"/>
              </w:rPr>
              <w:t>References</w:t>
            </w:r>
            <w:r w:rsidR="00493DFE" w:rsidRPr="00493DFE">
              <w:rPr>
                <w:noProof/>
                <w:webHidden/>
                <w:sz w:val="32"/>
                <w:szCs w:val="32"/>
              </w:rPr>
              <w:tab/>
            </w:r>
            <w:r w:rsidR="00493DFE" w:rsidRPr="00493DFE">
              <w:rPr>
                <w:noProof/>
                <w:webHidden/>
                <w:sz w:val="32"/>
                <w:szCs w:val="32"/>
              </w:rPr>
              <w:fldChar w:fldCharType="begin"/>
            </w:r>
            <w:r w:rsidR="00493DFE" w:rsidRPr="00493DFE">
              <w:rPr>
                <w:noProof/>
                <w:webHidden/>
                <w:sz w:val="32"/>
                <w:szCs w:val="32"/>
              </w:rPr>
              <w:instrText xml:space="preserve"> PAGEREF _Toc150594638 \h </w:instrText>
            </w:r>
            <w:r w:rsidR="00493DFE" w:rsidRPr="00493DFE">
              <w:rPr>
                <w:noProof/>
                <w:webHidden/>
                <w:sz w:val="32"/>
                <w:szCs w:val="32"/>
              </w:rPr>
            </w:r>
            <w:r w:rsidR="00493DFE" w:rsidRPr="00493DFE">
              <w:rPr>
                <w:noProof/>
                <w:webHidden/>
                <w:sz w:val="32"/>
                <w:szCs w:val="32"/>
              </w:rPr>
              <w:fldChar w:fldCharType="separate"/>
            </w:r>
            <w:r w:rsidR="00493DFE" w:rsidRPr="00493DFE">
              <w:rPr>
                <w:noProof/>
                <w:webHidden/>
                <w:sz w:val="32"/>
                <w:szCs w:val="32"/>
              </w:rPr>
              <w:t>7</w:t>
            </w:r>
            <w:r w:rsidR="00493DFE" w:rsidRPr="00493DFE">
              <w:rPr>
                <w:noProof/>
                <w:webHidden/>
                <w:sz w:val="32"/>
                <w:szCs w:val="32"/>
              </w:rPr>
              <w:fldChar w:fldCharType="end"/>
            </w:r>
          </w:hyperlink>
        </w:p>
        <w:p w14:paraId="03979163" w14:textId="6E223E19" w:rsidR="00B12277" w:rsidRDefault="00B12277">
          <w:r w:rsidRPr="00493DFE">
            <w:rPr>
              <w:b/>
              <w:bCs/>
              <w:noProof/>
              <w:sz w:val="32"/>
              <w:szCs w:val="32"/>
            </w:rPr>
            <w:fldChar w:fldCharType="end"/>
          </w:r>
        </w:p>
      </w:sdtContent>
    </w:sdt>
    <w:p w14:paraId="4A0AF18E" w14:textId="77777777" w:rsidR="00AE59E0" w:rsidRDefault="00AE59E0" w:rsidP="00AE59E0">
      <w:pPr>
        <w:rPr>
          <w:b/>
          <w:bCs/>
          <w:lang w:val="en-GB"/>
        </w:rPr>
      </w:pPr>
    </w:p>
    <w:p w14:paraId="0BA2CC25" w14:textId="77777777" w:rsidR="00AE59E0" w:rsidRDefault="00AE59E0" w:rsidP="00AE59E0">
      <w:pPr>
        <w:rPr>
          <w:b/>
          <w:bCs/>
          <w:lang w:val="en-GB"/>
        </w:rPr>
      </w:pPr>
    </w:p>
    <w:p w14:paraId="2F69C46A" w14:textId="77777777" w:rsidR="00AE59E0" w:rsidRDefault="00AE59E0" w:rsidP="00AE59E0">
      <w:pPr>
        <w:rPr>
          <w:b/>
          <w:bCs/>
          <w:lang w:val="en-GB"/>
        </w:rPr>
      </w:pPr>
    </w:p>
    <w:p w14:paraId="3F8B4D8C" w14:textId="77777777" w:rsidR="00AE59E0" w:rsidRDefault="00AE59E0" w:rsidP="00AE59E0">
      <w:pPr>
        <w:rPr>
          <w:b/>
          <w:bCs/>
          <w:lang w:val="en-GB"/>
        </w:rPr>
      </w:pPr>
    </w:p>
    <w:p w14:paraId="2808C165" w14:textId="77777777" w:rsidR="00AE59E0" w:rsidRDefault="00AE59E0" w:rsidP="00AE59E0">
      <w:pPr>
        <w:rPr>
          <w:b/>
          <w:bCs/>
          <w:lang w:val="en-GB"/>
        </w:rPr>
      </w:pPr>
    </w:p>
    <w:p w14:paraId="72570205" w14:textId="5E2AB904" w:rsidR="00AE59E0" w:rsidRDefault="00AE59E0" w:rsidP="00AE59E0">
      <w:pPr>
        <w:pStyle w:val="Heading1"/>
        <w:rPr>
          <w:lang w:val="en-GB"/>
        </w:rPr>
      </w:pPr>
      <w:bookmarkStart w:id="0" w:name="_Toc150594629"/>
      <w:r w:rsidRPr="00AE59E0">
        <w:rPr>
          <w:lang w:val="en-GB"/>
        </w:rPr>
        <w:t>Abstract</w:t>
      </w:r>
      <w:bookmarkEnd w:id="0"/>
    </w:p>
    <w:p w14:paraId="2A57929A" w14:textId="0F9AC261" w:rsidR="00493DFE" w:rsidRPr="00493DFE" w:rsidRDefault="00493DFE" w:rsidP="00493DFE">
      <w:pPr>
        <w:rPr>
          <w:lang w:val="en-GB"/>
        </w:rPr>
      </w:pPr>
      <w:r w:rsidRPr="00493DFE">
        <w:rPr>
          <w:lang w:val="en-GB"/>
        </w:rPr>
        <w:t xml:space="preserve">The statement provided serves as a concise yet comprehensive introduction to the core themes and objectives of this report, which endeavours to dissect the multifaceted dynamics that define Barclays, a prominent financial institution in the United Kingdom. By examining the intricate interplay between its organizational structure, culture, and employee motivation, we aim to unravel the underlying mechanisms that underpin Barclays' operational framework and its impact on the institution's performance and competitive positioning. First and foremost, Barclays' organizational structure stands as </w:t>
      </w:r>
      <w:r w:rsidRPr="00493DFE">
        <w:rPr>
          <w:lang w:val="en-GB"/>
        </w:rPr>
        <w:lastRenderedPageBreak/>
        <w:t>a critical pillar in its operational framework. This structure is akin to the architectural blueprint that shapes the institution's day-to-day operations. It encompasses the hierarchical arrangement, the distribution of business units, and the decision-making protocols that govern its strategic endeavours. This structural framework is not a mere formality but a dynamic configuration that allows Barclays to optimize resource allocation, streamline coordination, and adapt swiftly to the ever-evolving financial landscape. The intricate web of business units and functions within this structure forms the foundation for efficient operations and strategic responsiveness, essential attributes in a sector as dynamic as finance. The institutional culture at Barclays is equally pivotal, characterized by its unwavering commitment to ethics, integrity, and customer-centricity. These core values are not passive ideals but active principles that guide every facet of the institution. The organizational culture sets the behavioural norms and expectations for employees, shaping their interactions with one another and with clients. In an industry where trust and credibility are paramount, Barclays' adherence to ethical conduct serves as a beacon, instilling confidence among clients and fortifying its reputation. The alignment between this culture and the institution's overarching goals and objectives underscores its significance in maintaining customer trust, a cornerstone of performance in the financial sector.</w:t>
      </w:r>
    </w:p>
    <w:p w14:paraId="58A054EE" w14:textId="77777777" w:rsidR="00493DFE" w:rsidRPr="00493DFE" w:rsidRDefault="00493DFE" w:rsidP="00493DFE">
      <w:pPr>
        <w:rPr>
          <w:lang w:val="en-GB"/>
        </w:rPr>
      </w:pPr>
    </w:p>
    <w:p w14:paraId="7726884A" w14:textId="32CC1042" w:rsidR="00AE59E0" w:rsidRPr="002E45B0" w:rsidRDefault="00AE59E0" w:rsidP="00B42965">
      <w:pPr>
        <w:pStyle w:val="Heading1"/>
        <w:rPr>
          <w:lang w:val="en-GB"/>
        </w:rPr>
      </w:pPr>
      <w:bookmarkStart w:id="1" w:name="_Toc150594630"/>
      <w:r w:rsidRPr="002E45B0">
        <w:rPr>
          <w:lang w:val="en-GB"/>
        </w:rPr>
        <w:t>Introduction</w:t>
      </w:r>
      <w:bookmarkEnd w:id="1"/>
    </w:p>
    <w:p w14:paraId="7F3B1C26" w14:textId="12FB7C09" w:rsidR="00FD6896" w:rsidRPr="00FD6896" w:rsidRDefault="00FD6896" w:rsidP="00FD6896">
      <w:pPr>
        <w:spacing w:line="360" w:lineRule="auto"/>
        <w:rPr>
          <w:sz w:val="24"/>
          <w:szCs w:val="24"/>
          <w:lang w:val="en-GB"/>
        </w:rPr>
      </w:pPr>
      <w:r w:rsidRPr="00FD6896">
        <w:rPr>
          <w:sz w:val="24"/>
          <w:szCs w:val="24"/>
          <w:lang w:val="en-GB"/>
        </w:rPr>
        <w:t>Barclays, positioned as a leading financial institution in the United Kingdom, navigates the financial sector within a landscape characterized by intense competition and stringent regulatory oversight. The confluence of these factors underscores the critical importance of organizational structure, culture, and employee motivation in shaping the institution's performance and ensuring its continued success. As asserted by Hitt et al. (2020), these elements are not mere facets of Barclays' operations; they are, in fact, integral determinants of its quest for excellence.</w:t>
      </w:r>
    </w:p>
    <w:p w14:paraId="7F63CD68" w14:textId="19B3DCD0" w:rsidR="00FD6896" w:rsidRPr="00FD6896" w:rsidRDefault="00FD6896" w:rsidP="00FD6896">
      <w:pPr>
        <w:spacing w:line="360" w:lineRule="auto"/>
        <w:rPr>
          <w:sz w:val="24"/>
          <w:szCs w:val="24"/>
          <w:lang w:val="en-GB"/>
        </w:rPr>
      </w:pPr>
      <w:r w:rsidRPr="00FD6896">
        <w:rPr>
          <w:sz w:val="24"/>
          <w:szCs w:val="24"/>
          <w:lang w:val="en-GB"/>
        </w:rPr>
        <w:t>Barclays' organizational structure serves as the backbone upon which its operations are built. It encompasses the hierarchical framework, the delineation of business units, and the protocols that govern decision-making processes. This intricate structure is designed not only to streamline operations but also to optimize resource allocation and enhance efficiency. It is through this structure that Barclays positions itself to respond swiftly to market dynamics, regulatory changes, and customer demands.</w:t>
      </w:r>
    </w:p>
    <w:p w14:paraId="7C08F626" w14:textId="068E9B88" w:rsidR="00AE59E0" w:rsidRPr="002E45B0" w:rsidRDefault="00AE59E0" w:rsidP="00B42965">
      <w:pPr>
        <w:pStyle w:val="Heading2"/>
        <w:rPr>
          <w:sz w:val="32"/>
          <w:szCs w:val="32"/>
          <w:lang w:val="en-GB"/>
        </w:rPr>
      </w:pPr>
      <w:bookmarkStart w:id="2" w:name="_Toc150594631"/>
      <w:r w:rsidRPr="002E45B0">
        <w:rPr>
          <w:sz w:val="32"/>
          <w:szCs w:val="32"/>
          <w:lang w:val="en-GB"/>
        </w:rPr>
        <w:t>Organizational Structure and Performance</w:t>
      </w:r>
      <w:bookmarkEnd w:id="2"/>
    </w:p>
    <w:p w14:paraId="04DDB7B6" w14:textId="77777777" w:rsidR="00104C82" w:rsidRPr="00104C82" w:rsidRDefault="00104C82" w:rsidP="00104C82">
      <w:pPr>
        <w:rPr>
          <w:lang w:val="en-GB"/>
        </w:rPr>
      </w:pPr>
    </w:p>
    <w:p w14:paraId="421750F3" w14:textId="160FC8C9" w:rsidR="00104C82" w:rsidRPr="00104C82" w:rsidRDefault="00104C82" w:rsidP="00104C82">
      <w:pPr>
        <w:spacing w:line="360" w:lineRule="auto"/>
        <w:rPr>
          <w:sz w:val="24"/>
          <w:szCs w:val="24"/>
          <w:lang w:val="en-GB"/>
        </w:rPr>
      </w:pPr>
      <w:r w:rsidRPr="00104C82">
        <w:rPr>
          <w:sz w:val="24"/>
          <w:szCs w:val="24"/>
          <w:lang w:val="en-GB"/>
        </w:rPr>
        <w:lastRenderedPageBreak/>
        <w:t>Barclays, a stalwart in the financial industry, boasts an organizational structure that reflects its complexity and adaptability in a fast-paced and dynamic environment. As noted by Johnson et al. (2014), this intricate structure resembles a matrix, comprised of numerous business units and functions, each playing a specific role in the bank's overarching operations.</w:t>
      </w:r>
    </w:p>
    <w:p w14:paraId="66F600EE" w14:textId="138956D1" w:rsidR="00104C82" w:rsidRPr="00104C82" w:rsidRDefault="00104C82" w:rsidP="00104C82">
      <w:pPr>
        <w:spacing w:line="360" w:lineRule="auto"/>
        <w:rPr>
          <w:sz w:val="24"/>
          <w:szCs w:val="24"/>
          <w:lang w:val="en-GB"/>
        </w:rPr>
      </w:pPr>
      <w:r w:rsidRPr="00104C82">
        <w:rPr>
          <w:sz w:val="24"/>
          <w:szCs w:val="24"/>
          <w:lang w:val="en-GB"/>
        </w:rPr>
        <w:t>This multi-tiered hierarchy is not merely a formality but a fundamental aspect that underpins Barclays' performance. It serves as the architectural blueprint that facilitates efficient coordination and resource allocation across the organization. By segmenting its operations into distinct business units, Barclays can tailor its strategies and resources to suit the unique demands and challenges of each sector. This adaptability is crucial in an industry where rapid response to market shifts and regulatory changes is imperative.</w:t>
      </w:r>
    </w:p>
    <w:p w14:paraId="4FEF5F22" w14:textId="0E2F603B" w:rsidR="00081789" w:rsidRPr="002E45B0" w:rsidRDefault="00AE59E0" w:rsidP="00081789">
      <w:pPr>
        <w:pStyle w:val="Heading2"/>
        <w:rPr>
          <w:sz w:val="32"/>
          <w:szCs w:val="32"/>
          <w:lang w:val="en-GB"/>
        </w:rPr>
      </w:pPr>
      <w:bookmarkStart w:id="3" w:name="_Toc150594632"/>
      <w:r w:rsidRPr="002E45B0">
        <w:rPr>
          <w:sz w:val="32"/>
          <w:szCs w:val="32"/>
          <w:lang w:val="en-GB"/>
        </w:rPr>
        <w:t>Organizational Culture and Performance</w:t>
      </w:r>
      <w:bookmarkEnd w:id="3"/>
    </w:p>
    <w:p w14:paraId="289C1AD8" w14:textId="6BF1CAE2" w:rsidR="00081789" w:rsidRPr="00081789" w:rsidRDefault="00081789" w:rsidP="00081789">
      <w:pPr>
        <w:spacing w:line="360" w:lineRule="auto"/>
        <w:rPr>
          <w:sz w:val="24"/>
          <w:szCs w:val="24"/>
          <w:lang w:val="en-GB"/>
        </w:rPr>
      </w:pPr>
      <w:r w:rsidRPr="00081789">
        <w:rPr>
          <w:sz w:val="24"/>
          <w:szCs w:val="24"/>
          <w:lang w:val="en-GB"/>
        </w:rPr>
        <w:t xml:space="preserve">Barclays' organizational culture stands as a cornerstone of its identity and operational ethos. As highlighted by </w:t>
      </w:r>
      <w:proofErr w:type="spellStart"/>
      <w:r w:rsidRPr="00081789">
        <w:rPr>
          <w:sz w:val="24"/>
          <w:szCs w:val="24"/>
          <w:lang w:val="en-GB"/>
        </w:rPr>
        <w:t>Goffee</w:t>
      </w:r>
      <w:proofErr w:type="spellEnd"/>
      <w:r w:rsidRPr="00081789">
        <w:rPr>
          <w:sz w:val="24"/>
          <w:szCs w:val="24"/>
          <w:lang w:val="en-GB"/>
        </w:rPr>
        <w:t xml:space="preserve"> and Jones (1996), this culture is distinguished by its unwavering emphasis on ethics, integrity, and a profound commitment to customer-centricity. These core values serve as guiding principles that permeate every facet of the institution, shaping employee behaviour, and fostering interactions with clients.</w:t>
      </w:r>
    </w:p>
    <w:p w14:paraId="5931205F" w14:textId="2DE93608" w:rsidR="00081789" w:rsidRPr="00081789" w:rsidRDefault="00081789" w:rsidP="00081789">
      <w:pPr>
        <w:spacing w:line="360" w:lineRule="auto"/>
        <w:rPr>
          <w:sz w:val="24"/>
          <w:szCs w:val="24"/>
          <w:lang w:val="en-GB"/>
        </w:rPr>
      </w:pPr>
      <w:r w:rsidRPr="00081789">
        <w:rPr>
          <w:sz w:val="24"/>
          <w:szCs w:val="24"/>
          <w:lang w:val="en-GB"/>
        </w:rPr>
        <w:t>Ethical behaviour is an indispensable facet of Barclays' culture, especially in the financial sector, where trust and credibility are paramount. In an industry where reputation can be fragile, Barclays' steadfast dedication to ethical conduct is not just a matter of compliance but a strategic imperative. This commitment is manifest in its stringent adherence to regulatory standards, transparency in financial dealings, and ethical decision-making processes.</w:t>
      </w:r>
    </w:p>
    <w:p w14:paraId="0464490A" w14:textId="77777777" w:rsidR="00081789" w:rsidRDefault="00081789" w:rsidP="00AE59E0">
      <w:pPr>
        <w:pStyle w:val="Heading2"/>
        <w:rPr>
          <w:lang w:val="en-GB"/>
        </w:rPr>
      </w:pPr>
    </w:p>
    <w:p w14:paraId="43BD0733" w14:textId="2A7277A2" w:rsidR="00AE59E0" w:rsidRPr="002E45B0" w:rsidRDefault="00AE59E0" w:rsidP="00AE59E0">
      <w:pPr>
        <w:pStyle w:val="Heading2"/>
        <w:rPr>
          <w:sz w:val="32"/>
          <w:szCs w:val="32"/>
          <w:lang w:val="en-GB"/>
        </w:rPr>
      </w:pPr>
      <w:bookmarkStart w:id="4" w:name="_Toc150594633"/>
      <w:r w:rsidRPr="002E45B0">
        <w:rPr>
          <w:sz w:val="32"/>
          <w:szCs w:val="32"/>
          <w:lang w:val="en-GB"/>
        </w:rPr>
        <w:t>Employee Motivation Strategies</w:t>
      </w:r>
      <w:bookmarkEnd w:id="4"/>
    </w:p>
    <w:p w14:paraId="1C5ACEE2" w14:textId="77777777" w:rsidR="00B42965" w:rsidRPr="00B42965" w:rsidRDefault="00B42965" w:rsidP="00B42965">
      <w:pPr>
        <w:spacing w:line="360" w:lineRule="auto"/>
        <w:rPr>
          <w:sz w:val="24"/>
          <w:szCs w:val="24"/>
          <w:lang w:val="en-GB"/>
        </w:rPr>
      </w:pPr>
      <w:r w:rsidRPr="00B42965">
        <w:rPr>
          <w:sz w:val="24"/>
          <w:szCs w:val="24"/>
          <w:lang w:val="en-GB"/>
        </w:rPr>
        <w:t xml:space="preserve">Opportunities for career advancement are another integral aspect of Barclays' motivation strategy. The institution is committed to nurturing talent from within its ranks, providing employees with a clear path for growth and development. This approach not only </w:t>
      </w:r>
      <w:proofErr w:type="spellStart"/>
      <w:r w:rsidRPr="00B42965">
        <w:rPr>
          <w:sz w:val="24"/>
          <w:szCs w:val="24"/>
          <w:lang w:val="en-GB"/>
        </w:rPr>
        <w:t>instills</w:t>
      </w:r>
      <w:proofErr w:type="spellEnd"/>
      <w:r w:rsidRPr="00B42965">
        <w:rPr>
          <w:sz w:val="24"/>
          <w:szCs w:val="24"/>
          <w:lang w:val="en-GB"/>
        </w:rPr>
        <w:t xml:space="preserve"> a sense of purpose and progression but also ensures that employees are equipped with the skills and knowledge required to excel in their roles. As a result, employees are more likely to be </w:t>
      </w:r>
      <w:r w:rsidRPr="00B42965">
        <w:rPr>
          <w:sz w:val="24"/>
          <w:szCs w:val="24"/>
          <w:lang w:val="en-GB"/>
        </w:rPr>
        <w:lastRenderedPageBreak/>
        <w:t>engaged and motivated to invest in their careers, ultimately benefiting both the individual and the organization.</w:t>
      </w:r>
    </w:p>
    <w:p w14:paraId="62BF7942" w14:textId="77777777" w:rsidR="00B42965" w:rsidRPr="00B42965" w:rsidRDefault="00B42965" w:rsidP="00B42965">
      <w:pPr>
        <w:spacing w:line="360" w:lineRule="auto"/>
        <w:rPr>
          <w:sz w:val="24"/>
          <w:szCs w:val="24"/>
          <w:lang w:val="en-GB"/>
        </w:rPr>
      </w:pPr>
      <w:r w:rsidRPr="00B42965">
        <w:rPr>
          <w:sz w:val="24"/>
          <w:szCs w:val="24"/>
          <w:lang w:val="en-GB"/>
        </w:rPr>
        <w:t xml:space="preserve">Barclays also prioritizes creating a supportive work environment that fosters motivation. A workplace characterized by open communication, collaboration, and a strong sense of belonging encourages employees to bring their best selves to work. This positive work culture enhances job satisfaction, promotes teamwork, and empowers employees to take ownership of their </w:t>
      </w:r>
      <w:proofErr w:type="gramStart"/>
      <w:r w:rsidRPr="00B42965">
        <w:rPr>
          <w:sz w:val="24"/>
          <w:szCs w:val="24"/>
          <w:lang w:val="en-GB"/>
        </w:rPr>
        <w:t>role</w:t>
      </w:r>
      <w:proofErr w:type="gramEnd"/>
    </w:p>
    <w:p w14:paraId="37598D2F" w14:textId="77777777" w:rsidR="00B42965" w:rsidRPr="00B42965" w:rsidRDefault="00B42965" w:rsidP="00B42965">
      <w:pPr>
        <w:rPr>
          <w:lang w:val="en-GB"/>
        </w:rPr>
      </w:pPr>
    </w:p>
    <w:p w14:paraId="72A26F25" w14:textId="711F4000" w:rsidR="00AE59E0" w:rsidRDefault="00AE59E0" w:rsidP="00AE59E0">
      <w:pPr>
        <w:pStyle w:val="Heading2"/>
        <w:rPr>
          <w:lang w:val="en-GB"/>
        </w:rPr>
      </w:pPr>
      <w:r w:rsidRPr="00AE59E0">
        <w:rPr>
          <w:lang w:val="en-GB"/>
        </w:rPr>
        <w:t xml:space="preserve"> </w:t>
      </w:r>
      <w:bookmarkStart w:id="5" w:name="_Toc150594634"/>
      <w:r w:rsidRPr="002E45B0">
        <w:rPr>
          <w:sz w:val="32"/>
          <w:szCs w:val="32"/>
          <w:lang w:val="en-GB"/>
        </w:rPr>
        <w:t>Linking Structure, Culture, and Motivation to Performance</w:t>
      </w:r>
      <w:bookmarkEnd w:id="5"/>
    </w:p>
    <w:p w14:paraId="012E6732" w14:textId="7F0E060D" w:rsidR="002B11D5" w:rsidRPr="002B11D5" w:rsidRDefault="002B11D5" w:rsidP="002B11D5">
      <w:pPr>
        <w:spacing w:line="360" w:lineRule="auto"/>
        <w:rPr>
          <w:sz w:val="24"/>
          <w:szCs w:val="24"/>
          <w:lang w:val="en-GB"/>
        </w:rPr>
      </w:pPr>
      <w:r w:rsidRPr="002B11D5">
        <w:rPr>
          <w:sz w:val="24"/>
          <w:szCs w:val="24"/>
          <w:lang w:val="en-GB"/>
        </w:rPr>
        <w:t>The intricate interplay between organizational structure, culture, and employee motivation stands as a dynamic force driving Barclays' exceptional performance and competitive advantage. The matrix organizational structure, as conceptualized by Galbraith (1971), is pivotal in this synergy. This structure encourages collaboration and innovation by design, aligning seamlessly with Barclays' overarching culture of innovation, as noted by Christensen (1997).</w:t>
      </w:r>
    </w:p>
    <w:p w14:paraId="7B79F762" w14:textId="0833C42C" w:rsidR="002B11D5" w:rsidRPr="002B11D5" w:rsidRDefault="002B11D5" w:rsidP="002B11D5">
      <w:pPr>
        <w:spacing w:line="360" w:lineRule="auto"/>
        <w:rPr>
          <w:sz w:val="24"/>
          <w:szCs w:val="24"/>
          <w:lang w:val="en-GB"/>
        </w:rPr>
      </w:pPr>
      <w:r w:rsidRPr="002B11D5">
        <w:rPr>
          <w:sz w:val="24"/>
          <w:szCs w:val="24"/>
          <w:lang w:val="en-GB"/>
        </w:rPr>
        <w:t>Barclays' matrix structure is characterized by its multifaceted business units and functions, fostering cross-functional collaboration and idea sharing. This design encourages employees to transcend traditional departmental boundaries, promoting the free flow of information and ideas. It is within this collaborative environment that innovation thrives. Teams from diverse backgrounds collaborate to solve complex challenges, leveraging their collective knowledge and creativity. This not only enhances problem-solving but also cultivates an environment where innovative ideas can flourish.</w:t>
      </w:r>
    </w:p>
    <w:p w14:paraId="3152C4B3" w14:textId="11146350" w:rsidR="002B11D5" w:rsidRPr="002B11D5" w:rsidRDefault="002B11D5" w:rsidP="002B11D5">
      <w:pPr>
        <w:spacing w:line="360" w:lineRule="auto"/>
        <w:rPr>
          <w:sz w:val="24"/>
          <w:szCs w:val="24"/>
          <w:lang w:val="en-GB"/>
        </w:rPr>
      </w:pPr>
      <w:r w:rsidRPr="002B11D5">
        <w:rPr>
          <w:sz w:val="24"/>
          <w:szCs w:val="24"/>
          <w:lang w:val="en-GB"/>
        </w:rPr>
        <w:t>The institution's culture of innovation, as advocated by Christensen (1997), further complements the matrix structure. It places innovation at the forefront of Barclays' identity, encouraging employees to explore new ideas and pioneer groundbreaking solutions. In such an environment, employees are not only motivated but also empowered to challenge the status quo, driving a culture of continuous improvement and adaptability.</w:t>
      </w:r>
    </w:p>
    <w:p w14:paraId="1CD0CA76" w14:textId="01F39823" w:rsidR="00123E34" w:rsidRPr="00123E34" w:rsidRDefault="00AE59E0" w:rsidP="00123E34">
      <w:pPr>
        <w:pStyle w:val="Heading2"/>
        <w:rPr>
          <w:sz w:val="32"/>
          <w:szCs w:val="32"/>
          <w:lang w:val="en-GB"/>
        </w:rPr>
      </w:pPr>
      <w:bookmarkStart w:id="6" w:name="_Toc150594635"/>
      <w:r w:rsidRPr="002E45B0">
        <w:rPr>
          <w:sz w:val="32"/>
          <w:szCs w:val="32"/>
          <w:lang w:val="en-GB"/>
        </w:rPr>
        <w:lastRenderedPageBreak/>
        <w:t>Case Studies and Examples</w:t>
      </w:r>
      <w:bookmarkEnd w:id="6"/>
    </w:p>
    <w:p w14:paraId="10F3C4F2" w14:textId="77777777" w:rsidR="00123E34" w:rsidRPr="00123E34" w:rsidRDefault="00123E34" w:rsidP="00123E34">
      <w:pPr>
        <w:spacing w:line="360" w:lineRule="auto"/>
        <w:rPr>
          <w:sz w:val="24"/>
          <w:szCs w:val="24"/>
          <w:lang w:val="en-GB"/>
        </w:rPr>
      </w:pPr>
      <w:r w:rsidRPr="00123E34">
        <w:rPr>
          <w:sz w:val="24"/>
          <w:szCs w:val="24"/>
          <w:lang w:val="en-GB"/>
        </w:rPr>
        <w:t>Barclays' organizational dynamics have been exemplified in real-world scenarios, showcasing the profound impact of its structure and culture on performance. These case studies offer valuable insights into the institution's resilience and strategic foresight.</w:t>
      </w:r>
    </w:p>
    <w:p w14:paraId="72D7349A" w14:textId="77777777" w:rsidR="00123E34" w:rsidRPr="00123E34" w:rsidRDefault="00123E34" w:rsidP="00123E34">
      <w:pPr>
        <w:spacing w:line="360" w:lineRule="auto"/>
        <w:rPr>
          <w:sz w:val="24"/>
          <w:szCs w:val="24"/>
          <w:lang w:val="en-GB"/>
        </w:rPr>
      </w:pPr>
      <w:r w:rsidRPr="00123E34">
        <w:rPr>
          <w:sz w:val="24"/>
          <w:szCs w:val="24"/>
          <w:lang w:val="en-GB"/>
        </w:rPr>
        <w:t>During the tumultuous 2008 financial crisis, Barclays' strong ethical culture emerged as a key asset. As highlighted by DePamphilis (2016), the financial sector faced unprecedented challenges, and many institutions were marred by reputational damage. However, Barclays' unwavering commitment to ethics and integrity helped it navigate this crisis with minimal reputational harm. The institution's ethical culture guided its decision-making, ensuring that it operated responsibly and transparently during a time of great uncertainty. This not only preserved customer trust but also positioned Barclays as a beacon of stability and reliability amidst the storm.</w:t>
      </w:r>
    </w:p>
    <w:p w14:paraId="4509FD18" w14:textId="77777777" w:rsidR="00123E34" w:rsidRPr="00123E34" w:rsidRDefault="00123E34" w:rsidP="00123E34">
      <w:pPr>
        <w:spacing w:line="360" w:lineRule="auto"/>
        <w:rPr>
          <w:sz w:val="24"/>
          <w:szCs w:val="24"/>
          <w:lang w:val="en-GB"/>
        </w:rPr>
      </w:pPr>
      <w:r w:rsidRPr="00123E34">
        <w:rPr>
          <w:sz w:val="24"/>
          <w:szCs w:val="24"/>
          <w:lang w:val="en-GB"/>
        </w:rPr>
        <w:t>Furthermore, Barclays' investment in employee development programs has yielded tangible benefits, as observed by Heskett et al. (2008). By prioritizing the growth and development of its workforce, Barclays has created a motivated and skilled workforce. Employees who feel supported and empowered are more likely to provide exceptional service to customers. This focus on employee development has translated into higher customer satisfaction scores, reinforcing the institution's commitment to delivering excellence in customer service.</w:t>
      </w:r>
    </w:p>
    <w:p w14:paraId="399E3F0B" w14:textId="77777777" w:rsidR="00123E34" w:rsidRPr="00123E34" w:rsidRDefault="00123E34" w:rsidP="00123E34">
      <w:pPr>
        <w:rPr>
          <w:lang w:val="en-GB"/>
        </w:rPr>
      </w:pPr>
    </w:p>
    <w:p w14:paraId="4D9AB282" w14:textId="2EDCD99A" w:rsidR="0036474A" w:rsidRPr="0036474A" w:rsidRDefault="00AE59E0" w:rsidP="0036474A">
      <w:pPr>
        <w:pStyle w:val="Heading2"/>
        <w:rPr>
          <w:sz w:val="32"/>
          <w:szCs w:val="32"/>
          <w:lang w:val="en-GB"/>
        </w:rPr>
      </w:pPr>
      <w:bookmarkStart w:id="7" w:name="_Toc150594636"/>
      <w:r w:rsidRPr="0036474A">
        <w:rPr>
          <w:sz w:val="32"/>
          <w:szCs w:val="32"/>
          <w:lang w:val="en-GB"/>
        </w:rPr>
        <w:t>Best Practices and Recommendations</w:t>
      </w:r>
      <w:bookmarkEnd w:id="7"/>
    </w:p>
    <w:p w14:paraId="42BF10C0" w14:textId="77777777" w:rsidR="0036474A" w:rsidRPr="0036474A" w:rsidRDefault="0036474A" w:rsidP="0036474A">
      <w:pPr>
        <w:spacing w:line="360" w:lineRule="auto"/>
        <w:rPr>
          <w:sz w:val="24"/>
          <w:szCs w:val="24"/>
          <w:lang w:val="en-GB"/>
        </w:rPr>
      </w:pPr>
      <w:r w:rsidRPr="0036474A">
        <w:rPr>
          <w:sz w:val="24"/>
          <w:szCs w:val="24"/>
          <w:lang w:val="en-GB"/>
        </w:rPr>
        <w:t xml:space="preserve">Optimizing performance in the highly competitive financial industry is an ongoing </w:t>
      </w:r>
      <w:proofErr w:type="spellStart"/>
      <w:r w:rsidRPr="0036474A">
        <w:rPr>
          <w:sz w:val="24"/>
          <w:szCs w:val="24"/>
          <w:lang w:val="en-GB"/>
        </w:rPr>
        <w:t>endeavor</w:t>
      </w:r>
      <w:proofErr w:type="spellEnd"/>
      <w:r w:rsidRPr="0036474A">
        <w:rPr>
          <w:sz w:val="24"/>
          <w:szCs w:val="24"/>
          <w:lang w:val="en-GB"/>
        </w:rPr>
        <w:t>, and Barclays can indeed further enhance its standing by strategically investing in its organizational culture and expanding its motivation strategies.</w:t>
      </w:r>
    </w:p>
    <w:p w14:paraId="36F26254" w14:textId="77777777" w:rsidR="0036474A" w:rsidRPr="0036474A" w:rsidRDefault="0036474A" w:rsidP="0036474A">
      <w:pPr>
        <w:spacing w:line="360" w:lineRule="auto"/>
        <w:rPr>
          <w:sz w:val="24"/>
          <w:szCs w:val="24"/>
          <w:lang w:val="en-GB"/>
        </w:rPr>
      </w:pPr>
      <w:r w:rsidRPr="0036474A">
        <w:rPr>
          <w:sz w:val="24"/>
          <w:szCs w:val="24"/>
          <w:lang w:val="en-GB"/>
        </w:rPr>
        <w:t xml:space="preserve">First and foremost, nurturing and reinforcing the institution's ethical culture should remain a top priority. As advocated by Bass and Riggio (2006), ethical conduct forms the bedrock of trust, not only with customers but also among employees. Continuously emphasizing and upholding </w:t>
      </w:r>
      <w:r w:rsidRPr="0036474A">
        <w:rPr>
          <w:sz w:val="24"/>
          <w:szCs w:val="24"/>
          <w:lang w:val="en-GB"/>
        </w:rPr>
        <w:lastRenderedPageBreak/>
        <w:t>ethical standards within the organization will ensure that Barclays maintains its reputation for integrity and transparency, which are invaluable assets in the financial sector.</w:t>
      </w:r>
    </w:p>
    <w:p w14:paraId="0BB2FC6C" w14:textId="77777777" w:rsidR="0036474A" w:rsidRPr="0036474A" w:rsidRDefault="0036474A" w:rsidP="0036474A">
      <w:pPr>
        <w:spacing w:line="360" w:lineRule="auto"/>
        <w:rPr>
          <w:sz w:val="24"/>
          <w:szCs w:val="24"/>
          <w:lang w:val="en-GB"/>
        </w:rPr>
      </w:pPr>
      <w:r w:rsidRPr="0036474A">
        <w:rPr>
          <w:sz w:val="24"/>
          <w:szCs w:val="24"/>
          <w:lang w:val="en-GB"/>
        </w:rPr>
        <w:t>Furthermore, innovation should continue to be a focal point in Barclays' culture. The financial industry is constantly evolving, and innovation is essential for staying ahead of the curve. Encouraging employees to think creatively, explore new ideas, and challenge existing processes can lead to breakthroughs that drive competitiveness and growth. Barclays should foster an environment where innovation is not just encouraged but celebrated, with mechanisms in place to support and implement innovative concepts.</w:t>
      </w:r>
    </w:p>
    <w:p w14:paraId="25DBBC7D" w14:textId="77777777" w:rsidR="0036474A" w:rsidRPr="0036474A" w:rsidRDefault="0036474A" w:rsidP="0036474A">
      <w:pPr>
        <w:rPr>
          <w:lang w:val="en-GB"/>
        </w:rPr>
      </w:pPr>
    </w:p>
    <w:p w14:paraId="457A76CD" w14:textId="4A5A0670" w:rsidR="00AE59E0" w:rsidRDefault="00AE59E0" w:rsidP="00B12277">
      <w:pPr>
        <w:pStyle w:val="Heading1"/>
        <w:rPr>
          <w:lang w:val="en-GB"/>
        </w:rPr>
      </w:pPr>
      <w:bookmarkStart w:id="8" w:name="_Toc150594637"/>
      <w:r w:rsidRPr="00AE59E0">
        <w:rPr>
          <w:lang w:val="en-GB"/>
        </w:rPr>
        <w:t>Conclusion</w:t>
      </w:r>
      <w:bookmarkEnd w:id="8"/>
    </w:p>
    <w:p w14:paraId="0C71261F" w14:textId="45DC2858" w:rsidR="00D9450C" w:rsidRPr="00D9450C" w:rsidRDefault="00D9450C" w:rsidP="00D9450C">
      <w:pPr>
        <w:spacing w:line="360" w:lineRule="auto"/>
        <w:rPr>
          <w:sz w:val="24"/>
          <w:szCs w:val="24"/>
          <w:lang w:val="en-GB"/>
        </w:rPr>
      </w:pPr>
      <w:r w:rsidRPr="00D9450C">
        <w:rPr>
          <w:sz w:val="24"/>
          <w:szCs w:val="24"/>
          <w:lang w:val="en-GB"/>
        </w:rPr>
        <w:t>In conclusion, the symbiotic relationship between Barclays' organizational structure, culture, and employee motivation serves as the driving force behind its exceptional performance in the complex and competitive financial landscape. The seamless alignment of these factors has been instrumental in positioning Barclays as a leader in the industry. Barclays' organizational structure, characterized by its complex matrix, facilitates collaboration and innovation across business units. This structural design promotes agility and adaptability, allowing the institution to respond swiftly to market changes and regulatory challenges. It has proven to be a strategic asset, enabling Barclays to navigate complexities effectively.</w:t>
      </w:r>
    </w:p>
    <w:p w14:paraId="2DC0D76F" w14:textId="54DDDA61" w:rsidR="00D9450C" w:rsidRPr="00D9450C" w:rsidRDefault="00D9450C" w:rsidP="00D9450C">
      <w:pPr>
        <w:spacing w:line="360" w:lineRule="auto"/>
        <w:rPr>
          <w:sz w:val="24"/>
          <w:szCs w:val="24"/>
          <w:lang w:val="en-GB"/>
        </w:rPr>
      </w:pPr>
      <w:r w:rsidRPr="00D9450C">
        <w:rPr>
          <w:sz w:val="24"/>
          <w:szCs w:val="24"/>
          <w:lang w:val="en-GB"/>
        </w:rPr>
        <w:t>The institution's culture, deeply rooted in ethics and customer-centricity, forms the moral compass that guides employee behaviour and interactions with clients. This culture of integrity has not only shielded Barclays during times of crisis but has also fostered customer trust and loyalty, underpinning its reputation and performance. Crucially, employee motivation strategies have propelled Barclays to excel. A motivated workforce, fuelled by competitive compensation, opportunities for growth, and a supportive work environment, is the driving force behind the institution's customer-centric approach. This motivated workforce consistently delivers exceptional service, elevating customer satisfaction and loyalty.</w:t>
      </w:r>
    </w:p>
    <w:p w14:paraId="074F8F36" w14:textId="0AAD03BA" w:rsidR="00D9450C" w:rsidRPr="00D9450C" w:rsidRDefault="00D9450C" w:rsidP="00D9450C">
      <w:pPr>
        <w:spacing w:line="360" w:lineRule="auto"/>
        <w:rPr>
          <w:sz w:val="24"/>
          <w:szCs w:val="24"/>
          <w:lang w:val="en-GB"/>
        </w:rPr>
      </w:pPr>
      <w:r w:rsidRPr="00D9450C">
        <w:rPr>
          <w:sz w:val="24"/>
          <w:szCs w:val="24"/>
          <w:lang w:val="en-GB"/>
        </w:rPr>
        <w:lastRenderedPageBreak/>
        <w:t>Looking ahead, Barclays can further elevate its performance by leveraging its strong ethical culture and enhancing motivation strategies. As the financial landscape continues to evolve, Barclays must remain committed to its ethical principles and foster an environment of innovation. Expanding motivation strategies to include recognition and rewards will reinforce employee engagement and drive continued excellence. In the competitive financial sector, Barclays' ability to maintain the harmony between its organizational structure, culture, and employee motivation is a testament to its enduring success. By building upon these strengths and remaining agile in its approach, Barclays is well-positioned to continue its journey of excellence in the ever-changing financial landscape.</w:t>
      </w:r>
    </w:p>
    <w:p w14:paraId="6053DE14" w14:textId="77777777" w:rsidR="00D9450C" w:rsidRPr="00D9450C" w:rsidRDefault="00D9450C" w:rsidP="00D9450C">
      <w:pPr>
        <w:rPr>
          <w:lang w:val="en-GB"/>
        </w:rPr>
      </w:pPr>
    </w:p>
    <w:p w14:paraId="724D99B0" w14:textId="507BCDDE" w:rsidR="00AE59E0" w:rsidRPr="00AE59E0" w:rsidRDefault="00AE59E0" w:rsidP="00B12277">
      <w:pPr>
        <w:pStyle w:val="Heading1"/>
        <w:rPr>
          <w:lang w:val="en-GB"/>
        </w:rPr>
      </w:pPr>
      <w:bookmarkStart w:id="9" w:name="_Toc150594638"/>
      <w:r w:rsidRPr="00AE59E0">
        <w:rPr>
          <w:lang w:val="en-GB"/>
        </w:rPr>
        <w:t>References</w:t>
      </w:r>
      <w:bookmarkEnd w:id="9"/>
    </w:p>
    <w:p w14:paraId="260DED6D" w14:textId="77777777" w:rsidR="00AE59E0" w:rsidRPr="00AE59E0" w:rsidRDefault="00AE59E0" w:rsidP="00AE59E0">
      <w:pPr>
        <w:rPr>
          <w:lang w:val="en-GB"/>
        </w:rPr>
      </w:pPr>
      <w:r w:rsidRPr="00AE59E0">
        <w:rPr>
          <w:lang w:val="en-GB"/>
        </w:rPr>
        <w:t>Bass, B. M., &amp; Riggio, R. E. (2006). Transformational leadership (2nd ed.). Psychology Press.</w:t>
      </w:r>
    </w:p>
    <w:p w14:paraId="7F5A2511" w14:textId="77777777" w:rsidR="00AE59E0" w:rsidRPr="00AE59E0" w:rsidRDefault="00AE59E0" w:rsidP="00AE59E0">
      <w:pPr>
        <w:rPr>
          <w:lang w:val="en-GB"/>
        </w:rPr>
      </w:pPr>
      <w:r w:rsidRPr="00AE59E0">
        <w:rPr>
          <w:lang w:val="en-GB"/>
        </w:rPr>
        <w:t>Cameron, K. S., &amp; Quinn, R. E. (2006). Diagnosing and changing organizational culture. John Wiley &amp; Sons.</w:t>
      </w:r>
    </w:p>
    <w:p w14:paraId="404CFF67" w14:textId="77777777" w:rsidR="00AE59E0" w:rsidRPr="00AE59E0" w:rsidRDefault="00AE59E0" w:rsidP="00AE59E0">
      <w:pPr>
        <w:rPr>
          <w:lang w:val="en-GB"/>
        </w:rPr>
      </w:pPr>
      <w:r w:rsidRPr="00AE59E0">
        <w:rPr>
          <w:lang w:val="en-GB"/>
        </w:rPr>
        <w:t>Chandler, A. D. (1962). Strategy and structure: Chapters in the history of the industrial enterprise. MIT Press.</w:t>
      </w:r>
    </w:p>
    <w:p w14:paraId="64EEE091" w14:textId="77777777" w:rsidR="00AE59E0" w:rsidRPr="00AE59E0" w:rsidRDefault="00AE59E0" w:rsidP="00AE59E0">
      <w:pPr>
        <w:rPr>
          <w:lang w:val="en-GB"/>
        </w:rPr>
      </w:pPr>
      <w:r w:rsidRPr="00AE59E0">
        <w:rPr>
          <w:lang w:val="en-GB"/>
        </w:rPr>
        <w:t>Christensen, C. M. (1997). The innovator's dilemma: When new technologies cause great firms to fail. Harvard Business Review Press.</w:t>
      </w:r>
    </w:p>
    <w:p w14:paraId="3B2A05D3" w14:textId="77777777" w:rsidR="00AE59E0" w:rsidRPr="00AE59E0" w:rsidRDefault="00AE59E0" w:rsidP="00AE59E0">
      <w:pPr>
        <w:rPr>
          <w:lang w:val="en-GB"/>
        </w:rPr>
      </w:pPr>
      <w:r w:rsidRPr="00AE59E0">
        <w:rPr>
          <w:lang w:val="en-GB"/>
        </w:rPr>
        <w:t>Deci, E. L., Koestner, R., &amp; Ryan, R. M. (2001). Extrinsic rewards and intrinsic motivation in education: Reconsidered once again. Review of Educational Research, 71(1), 1-27.</w:t>
      </w:r>
    </w:p>
    <w:p w14:paraId="562E3FC0" w14:textId="77777777" w:rsidR="00AE59E0" w:rsidRPr="00AE59E0" w:rsidRDefault="00AE59E0" w:rsidP="00AE59E0">
      <w:pPr>
        <w:rPr>
          <w:lang w:val="en-GB"/>
        </w:rPr>
      </w:pPr>
      <w:r w:rsidRPr="00AE59E0">
        <w:rPr>
          <w:lang w:val="en-GB"/>
        </w:rPr>
        <w:t>DePamphilis, D. (2016). Mergers, acquisitions, and other restructuring activities. Academic Press.</w:t>
      </w:r>
    </w:p>
    <w:p w14:paraId="47508942" w14:textId="77777777" w:rsidR="00AE59E0" w:rsidRPr="00AE59E0" w:rsidRDefault="00AE59E0" w:rsidP="00AE59E0">
      <w:pPr>
        <w:rPr>
          <w:lang w:val="en-GB"/>
        </w:rPr>
      </w:pPr>
      <w:proofErr w:type="spellStart"/>
      <w:r w:rsidRPr="00AE59E0">
        <w:rPr>
          <w:lang w:val="en-GB"/>
        </w:rPr>
        <w:t>Gagné</w:t>
      </w:r>
      <w:proofErr w:type="spellEnd"/>
      <w:r w:rsidRPr="00AE59E0">
        <w:rPr>
          <w:lang w:val="en-GB"/>
        </w:rPr>
        <w:t xml:space="preserve">, M., &amp; Deci, E. L. (2005). Self‐determination theory and work motivation. Journal of Organizational </w:t>
      </w:r>
      <w:proofErr w:type="spellStart"/>
      <w:r w:rsidRPr="00AE59E0">
        <w:rPr>
          <w:lang w:val="en-GB"/>
        </w:rPr>
        <w:t>behavior</w:t>
      </w:r>
      <w:proofErr w:type="spellEnd"/>
      <w:r w:rsidRPr="00AE59E0">
        <w:rPr>
          <w:lang w:val="en-GB"/>
        </w:rPr>
        <w:t>, 26(4), 331-362.</w:t>
      </w:r>
    </w:p>
    <w:p w14:paraId="77AE8104" w14:textId="77777777" w:rsidR="00AE59E0" w:rsidRPr="00AE59E0" w:rsidRDefault="00AE59E0" w:rsidP="00AE59E0">
      <w:pPr>
        <w:rPr>
          <w:lang w:val="en-GB"/>
        </w:rPr>
      </w:pPr>
      <w:r w:rsidRPr="00AE59E0">
        <w:rPr>
          <w:lang w:val="en-GB"/>
        </w:rPr>
        <w:t>Galbraith, J. R. (1971). Matrix organization designs: How to combine functional and project forms. Business Horizons, 14(1), 29-40.</w:t>
      </w:r>
    </w:p>
    <w:p w14:paraId="7C9860B3" w14:textId="77777777" w:rsidR="00AE59E0" w:rsidRPr="00AE59E0" w:rsidRDefault="00AE59E0" w:rsidP="00AE59E0">
      <w:pPr>
        <w:rPr>
          <w:lang w:val="en-GB"/>
        </w:rPr>
      </w:pPr>
      <w:proofErr w:type="spellStart"/>
      <w:r w:rsidRPr="00AE59E0">
        <w:rPr>
          <w:lang w:val="en-GB"/>
        </w:rPr>
        <w:t>Goffee</w:t>
      </w:r>
      <w:proofErr w:type="spellEnd"/>
      <w:r w:rsidRPr="00AE59E0">
        <w:rPr>
          <w:lang w:val="en-GB"/>
        </w:rPr>
        <w:t xml:space="preserve">, R., &amp; Jones, G. (1996). What holds the modern company </w:t>
      </w:r>
      <w:proofErr w:type="gramStart"/>
      <w:r w:rsidRPr="00AE59E0">
        <w:rPr>
          <w:lang w:val="en-GB"/>
        </w:rPr>
        <w:t>together?.</w:t>
      </w:r>
      <w:proofErr w:type="gramEnd"/>
      <w:r w:rsidRPr="00AE59E0">
        <w:rPr>
          <w:lang w:val="en-GB"/>
        </w:rPr>
        <w:t xml:space="preserve"> Harvard Business Review, 74(6), 133-148.</w:t>
      </w:r>
    </w:p>
    <w:p w14:paraId="7CC2A2BE" w14:textId="77777777" w:rsidR="00AE59E0" w:rsidRPr="00AE59E0" w:rsidRDefault="00AE59E0" w:rsidP="00AE59E0">
      <w:pPr>
        <w:rPr>
          <w:lang w:val="en-GB"/>
        </w:rPr>
      </w:pPr>
      <w:r w:rsidRPr="00AE59E0">
        <w:rPr>
          <w:lang w:val="en-GB"/>
        </w:rPr>
        <w:t>Heskett, J. L., Sasser, W. E., &amp; Schlesinger, L. A. (2008). The value profit chain: Treat employees like customers and customers like employees. Harvard Business Press.</w:t>
      </w:r>
    </w:p>
    <w:p w14:paraId="51EA4CA2" w14:textId="77777777" w:rsidR="00AE59E0" w:rsidRPr="00AE59E0" w:rsidRDefault="00AE59E0" w:rsidP="00AE59E0">
      <w:pPr>
        <w:rPr>
          <w:lang w:val="en-GB"/>
        </w:rPr>
      </w:pPr>
      <w:r w:rsidRPr="00AE59E0">
        <w:rPr>
          <w:lang w:val="en-GB"/>
        </w:rPr>
        <w:lastRenderedPageBreak/>
        <w:t xml:space="preserve">Hitt, M. A., Ireland, R. D., &amp; </w:t>
      </w:r>
      <w:proofErr w:type="spellStart"/>
      <w:r w:rsidRPr="00AE59E0">
        <w:rPr>
          <w:lang w:val="en-GB"/>
        </w:rPr>
        <w:t>Hoskisson</w:t>
      </w:r>
      <w:proofErr w:type="spellEnd"/>
      <w:r w:rsidRPr="00AE59E0">
        <w:rPr>
          <w:lang w:val="en-GB"/>
        </w:rPr>
        <w:t>, R. E. (2020). Strategic management: concepts and cases: competitiveness and globalization. Cengage Learning.</w:t>
      </w:r>
    </w:p>
    <w:p w14:paraId="248AB533" w14:textId="77777777" w:rsidR="00AE59E0" w:rsidRPr="00AE59E0" w:rsidRDefault="00AE59E0" w:rsidP="00AE59E0">
      <w:pPr>
        <w:rPr>
          <w:lang w:val="en-GB"/>
        </w:rPr>
      </w:pPr>
      <w:r w:rsidRPr="00AE59E0">
        <w:rPr>
          <w:lang w:val="en-GB"/>
        </w:rPr>
        <w:t xml:space="preserve">Johnson, G., Whittington, R., Scholes, K., Angwin, D., &amp; </w:t>
      </w:r>
      <w:proofErr w:type="spellStart"/>
      <w:r w:rsidRPr="00AE59E0">
        <w:rPr>
          <w:lang w:val="en-GB"/>
        </w:rPr>
        <w:t>Regnér</w:t>
      </w:r>
      <w:proofErr w:type="spellEnd"/>
      <w:r w:rsidRPr="00AE59E0">
        <w:rPr>
          <w:lang w:val="en-GB"/>
        </w:rPr>
        <w:t>, P. (2014). Exploring strategy. Pearson.</w:t>
      </w:r>
    </w:p>
    <w:p w14:paraId="785630E7" w14:textId="77777777" w:rsidR="00AE59E0" w:rsidRPr="00AE59E0" w:rsidRDefault="00AE59E0" w:rsidP="00AE59E0">
      <w:pPr>
        <w:rPr>
          <w:lang w:val="en-GB"/>
        </w:rPr>
      </w:pPr>
      <w:proofErr w:type="spellStart"/>
      <w:r w:rsidRPr="00AE59E0">
        <w:rPr>
          <w:lang w:val="en-GB"/>
        </w:rPr>
        <w:t>Menguc</w:t>
      </w:r>
      <w:proofErr w:type="spellEnd"/>
      <w:r w:rsidRPr="00AE59E0">
        <w:rPr>
          <w:lang w:val="en-GB"/>
        </w:rPr>
        <w:t>, B., Auh, S., &amp; Ozanne, L. K. (2006). The interactive effect of internal and external factors on a proactive environmental strategy and its influence on a firm's performance. Journal of Business Ethics, 67(3), 253-263.</w:t>
      </w:r>
    </w:p>
    <w:p w14:paraId="1D9F03C8" w14:textId="77777777" w:rsidR="00AE59E0" w:rsidRPr="00AE59E0" w:rsidRDefault="00AE59E0" w:rsidP="00AE59E0">
      <w:pPr>
        <w:rPr>
          <w:lang w:val="en-GB"/>
        </w:rPr>
      </w:pPr>
      <w:r w:rsidRPr="00AE59E0">
        <w:rPr>
          <w:lang w:val="en-GB"/>
        </w:rPr>
        <w:t>Sengupta, R. (2021). Relevance of Investment Banking in Today’s Economy. Sage Publications.</w:t>
      </w:r>
    </w:p>
    <w:p w14:paraId="4723D6CF" w14:textId="77777777" w:rsidR="00810DD9" w:rsidRDefault="00810DD9"/>
    <w:sectPr w:rsidR="00810D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974BCC"/>
    <w:multiLevelType w:val="hybridMultilevel"/>
    <w:tmpl w:val="A6AEC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2081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60D"/>
    <w:rsid w:val="000657D5"/>
    <w:rsid w:val="00081789"/>
    <w:rsid w:val="00104C82"/>
    <w:rsid w:val="00123E34"/>
    <w:rsid w:val="00230920"/>
    <w:rsid w:val="00261269"/>
    <w:rsid w:val="002B11D5"/>
    <w:rsid w:val="002E45B0"/>
    <w:rsid w:val="0036474A"/>
    <w:rsid w:val="00493DFE"/>
    <w:rsid w:val="004C67E3"/>
    <w:rsid w:val="007038C6"/>
    <w:rsid w:val="00810DD9"/>
    <w:rsid w:val="008C33DE"/>
    <w:rsid w:val="00AE59E0"/>
    <w:rsid w:val="00B12277"/>
    <w:rsid w:val="00B42965"/>
    <w:rsid w:val="00CC56B5"/>
    <w:rsid w:val="00D9450C"/>
    <w:rsid w:val="00DE1445"/>
    <w:rsid w:val="00F4760D"/>
    <w:rsid w:val="00FD68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2EB5C"/>
  <w15:chartTrackingRefBased/>
  <w15:docId w15:val="{548F3A26-A075-4C95-A387-F72DB5975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59E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E59E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9E0"/>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AE59E0"/>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B12277"/>
    <w:pPr>
      <w:spacing w:line="259" w:lineRule="auto"/>
      <w:outlineLvl w:val="9"/>
    </w:pPr>
    <w:rPr>
      <w:kern w:val="0"/>
    </w:rPr>
  </w:style>
  <w:style w:type="paragraph" w:styleId="TOC1">
    <w:name w:val="toc 1"/>
    <w:basedOn w:val="Normal"/>
    <w:next w:val="Normal"/>
    <w:autoRedefine/>
    <w:uiPriority w:val="39"/>
    <w:unhideWhenUsed/>
    <w:rsid w:val="00B12277"/>
    <w:pPr>
      <w:spacing w:after="100"/>
    </w:pPr>
  </w:style>
  <w:style w:type="paragraph" w:styleId="TOC2">
    <w:name w:val="toc 2"/>
    <w:basedOn w:val="Normal"/>
    <w:next w:val="Normal"/>
    <w:autoRedefine/>
    <w:uiPriority w:val="39"/>
    <w:unhideWhenUsed/>
    <w:rsid w:val="00B12277"/>
    <w:pPr>
      <w:spacing w:after="100"/>
      <w:ind w:left="220"/>
    </w:pPr>
  </w:style>
  <w:style w:type="character" w:styleId="Hyperlink">
    <w:name w:val="Hyperlink"/>
    <w:basedOn w:val="DefaultParagraphFont"/>
    <w:uiPriority w:val="99"/>
    <w:unhideWhenUsed/>
    <w:rsid w:val="00B12277"/>
    <w:rPr>
      <w:color w:val="0000FF" w:themeColor="hyperlink"/>
      <w:u w:val="single"/>
    </w:rPr>
  </w:style>
  <w:style w:type="paragraph" w:styleId="ListParagraph">
    <w:name w:val="List Paragraph"/>
    <w:basedOn w:val="Normal"/>
    <w:uiPriority w:val="34"/>
    <w:qFormat/>
    <w:rsid w:val="00104C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91444">
      <w:bodyDiv w:val="1"/>
      <w:marLeft w:val="0"/>
      <w:marRight w:val="0"/>
      <w:marTop w:val="0"/>
      <w:marBottom w:val="0"/>
      <w:divBdr>
        <w:top w:val="none" w:sz="0" w:space="0" w:color="auto"/>
        <w:left w:val="none" w:sz="0" w:space="0" w:color="auto"/>
        <w:bottom w:val="none" w:sz="0" w:space="0" w:color="auto"/>
        <w:right w:val="none" w:sz="0" w:space="0" w:color="auto"/>
      </w:divBdr>
    </w:div>
    <w:div w:id="1323922588">
      <w:bodyDiv w:val="1"/>
      <w:marLeft w:val="0"/>
      <w:marRight w:val="0"/>
      <w:marTop w:val="0"/>
      <w:marBottom w:val="0"/>
      <w:divBdr>
        <w:top w:val="none" w:sz="0" w:space="0" w:color="auto"/>
        <w:left w:val="none" w:sz="0" w:space="0" w:color="auto"/>
        <w:bottom w:val="none" w:sz="0" w:space="0" w:color="auto"/>
        <w:right w:val="none" w:sz="0" w:space="0" w:color="auto"/>
      </w:divBdr>
      <w:divsChild>
        <w:div w:id="1031951639">
          <w:marLeft w:val="0"/>
          <w:marRight w:val="0"/>
          <w:marTop w:val="0"/>
          <w:marBottom w:val="0"/>
          <w:divBdr>
            <w:top w:val="single" w:sz="2" w:space="0" w:color="D9D9E3"/>
            <w:left w:val="single" w:sz="2" w:space="0" w:color="D9D9E3"/>
            <w:bottom w:val="single" w:sz="2" w:space="0" w:color="D9D9E3"/>
            <w:right w:val="single" w:sz="2" w:space="0" w:color="D9D9E3"/>
          </w:divBdr>
        </w:div>
        <w:div w:id="1469274550">
          <w:marLeft w:val="0"/>
          <w:marRight w:val="0"/>
          <w:marTop w:val="0"/>
          <w:marBottom w:val="0"/>
          <w:divBdr>
            <w:top w:val="single" w:sz="2" w:space="0" w:color="D9D9E3"/>
            <w:left w:val="single" w:sz="2" w:space="0" w:color="D9D9E3"/>
            <w:bottom w:val="single" w:sz="2" w:space="0" w:color="D9D9E3"/>
            <w:right w:val="single" w:sz="2" w:space="0" w:color="D9D9E3"/>
          </w:divBdr>
          <w:divsChild>
            <w:div w:id="1123965197">
              <w:marLeft w:val="0"/>
              <w:marRight w:val="0"/>
              <w:marTop w:val="0"/>
              <w:marBottom w:val="0"/>
              <w:divBdr>
                <w:top w:val="single" w:sz="2" w:space="0" w:color="D9D9E3"/>
                <w:left w:val="single" w:sz="2" w:space="0" w:color="D9D9E3"/>
                <w:bottom w:val="single" w:sz="2" w:space="0" w:color="D9D9E3"/>
                <w:right w:val="single" w:sz="2" w:space="0" w:color="D9D9E3"/>
              </w:divBdr>
              <w:divsChild>
                <w:div w:id="1519345722">
                  <w:marLeft w:val="0"/>
                  <w:marRight w:val="0"/>
                  <w:marTop w:val="0"/>
                  <w:marBottom w:val="0"/>
                  <w:divBdr>
                    <w:top w:val="single" w:sz="2" w:space="0" w:color="D9D9E3"/>
                    <w:left w:val="single" w:sz="2" w:space="0" w:color="D9D9E3"/>
                    <w:bottom w:val="single" w:sz="2" w:space="0" w:color="D9D9E3"/>
                    <w:right w:val="single" w:sz="2" w:space="0" w:color="D9D9E3"/>
                  </w:divBdr>
                  <w:divsChild>
                    <w:div w:id="23025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63701636">
      <w:bodyDiv w:val="1"/>
      <w:marLeft w:val="0"/>
      <w:marRight w:val="0"/>
      <w:marTop w:val="0"/>
      <w:marBottom w:val="0"/>
      <w:divBdr>
        <w:top w:val="none" w:sz="0" w:space="0" w:color="auto"/>
        <w:left w:val="none" w:sz="0" w:space="0" w:color="auto"/>
        <w:bottom w:val="none" w:sz="0" w:space="0" w:color="auto"/>
        <w:right w:val="none" w:sz="0" w:space="0" w:color="auto"/>
      </w:divBdr>
    </w:div>
    <w:div w:id="1492872961">
      <w:bodyDiv w:val="1"/>
      <w:marLeft w:val="0"/>
      <w:marRight w:val="0"/>
      <w:marTop w:val="0"/>
      <w:marBottom w:val="0"/>
      <w:divBdr>
        <w:top w:val="none" w:sz="0" w:space="0" w:color="auto"/>
        <w:left w:val="none" w:sz="0" w:space="0" w:color="auto"/>
        <w:bottom w:val="none" w:sz="0" w:space="0" w:color="auto"/>
        <w:right w:val="none" w:sz="0" w:space="0" w:color="auto"/>
      </w:divBdr>
    </w:div>
    <w:div w:id="1647587014">
      <w:bodyDiv w:val="1"/>
      <w:marLeft w:val="0"/>
      <w:marRight w:val="0"/>
      <w:marTop w:val="0"/>
      <w:marBottom w:val="0"/>
      <w:divBdr>
        <w:top w:val="none" w:sz="0" w:space="0" w:color="auto"/>
        <w:left w:val="none" w:sz="0" w:space="0" w:color="auto"/>
        <w:bottom w:val="none" w:sz="0" w:space="0" w:color="auto"/>
        <w:right w:val="none" w:sz="0" w:space="0" w:color="auto"/>
      </w:divBdr>
    </w:div>
    <w:div w:id="1812596394">
      <w:bodyDiv w:val="1"/>
      <w:marLeft w:val="0"/>
      <w:marRight w:val="0"/>
      <w:marTop w:val="0"/>
      <w:marBottom w:val="0"/>
      <w:divBdr>
        <w:top w:val="none" w:sz="0" w:space="0" w:color="auto"/>
        <w:left w:val="none" w:sz="0" w:space="0" w:color="auto"/>
        <w:bottom w:val="none" w:sz="0" w:space="0" w:color="auto"/>
        <w:right w:val="none" w:sz="0" w:space="0" w:color="auto"/>
      </w:divBdr>
      <w:divsChild>
        <w:div w:id="2036928337">
          <w:marLeft w:val="0"/>
          <w:marRight w:val="0"/>
          <w:marTop w:val="0"/>
          <w:marBottom w:val="0"/>
          <w:divBdr>
            <w:top w:val="single" w:sz="2" w:space="0" w:color="D9D9E3"/>
            <w:left w:val="single" w:sz="2" w:space="0" w:color="D9D9E3"/>
            <w:bottom w:val="single" w:sz="2" w:space="0" w:color="D9D9E3"/>
            <w:right w:val="single" w:sz="2" w:space="0" w:color="D9D9E3"/>
          </w:divBdr>
        </w:div>
        <w:div w:id="552040729">
          <w:marLeft w:val="0"/>
          <w:marRight w:val="0"/>
          <w:marTop w:val="0"/>
          <w:marBottom w:val="0"/>
          <w:divBdr>
            <w:top w:val="single" w:sz="2" w:space="0" w:color="D9D9E3"/>
            <w:left w:val="single" w:sz="2" w:space="0" w:color="D9D9E3"/>
            <w:bottom w:val="single" w:sz="2" w:space="0" w:color="D9D9E3"/>
            <w:right w:val="single" w:sz="2" w:space="0" w:color="D9D9E3"/>
          </w:divBdr>
          <w:divsChild>
            <w:div w:id="75901442">
              <w:marLeft w:val="0"/>
              <w:marRight w:val="0"/>
              <w:marTop w:val="0"/>
              <w:marBottom w:val="0"/>
              <w:divBdr>
                <w:top w:val="single" w:sz="2" w:space="0" w:color="D9D9E3"/>
                <w:left w:val="single" w:sz="2" w:space="0" w:color="D9D9E3"/>
                <w:bottom w:val="single" w:sz="2" w:space="0" w:color="D9D9E3"/>
                <w:right w:val="single" w:sz="2" w:space="0" w:color="D9D9E3"/>
              </w:divBdr>
              <w:divsChild>
                <w:div w:id="698973880">
                  <w:marLeft w:val="0"/>
                  <w:marRight w:val="0"/>
                  <w:marTop w:val="0"/>
                  <w:marBottom w:val="0"/>
                  <w:divBdr>
                    <w:top w:val="single" w:sz="2" w:space="0" w:color="D9D9E3"/>
                    <w:left w:val="single" w:sz="2" w:space="0" w:color="D9D9E3"/>
                    <w:bottom w:val="single" w:sz="2" w:space="0" w:color="D9D9E3"/>
                    <w:right w:val="single" w:sz="2" w:space="0" w:color="D9D9E3"/>
                  </w:divBdr>
                  <w:divsChild>
                    <w:div w:id="7358555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0646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F94C2-ED44-4C6E-ADA0-F0266CDC9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2314</Words>
  <Characters>13195</Characters>
  <Application>Microsoft Office Word</Application>
  <DocSecurity>0</DocSecurity>
  <Lines>109</Lines>
  <Paragraphs>30</Paragraphs>
  <ScaleCrop>false</ScaleCrop>
  <Company>Grizli777</Company>
  <LinksUpToDate>false</LinksUpToDate>
  <CharactersWithSpaces>15479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2</cp:revision>
  <dcterms:created xsi:type="dcterms:W3CDTF">2023-11-11T11:34:00Z</dcterms:created>
  <dcterms:modified xsi:type="dcterms:W3CDTF">2023-11-11T11:34:00Z</dcterms:modified>
</cp:coreProperties>
</file>