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7E458" w14:textId="77777777" w:rsidR="000668DC" w:rsidRDefault="000668DC" w:rsidP="000668DC">
      <w:pPr>
        <w:pBdr>
          <w:bottom w:val="single" w:sz="4" w:space="0" w:color="auto"/>
        </w:pBdr>
        <w:jc w:val="center"/>
        <w:rPr>
          <w:rFonts w:ascii="Arial" w:eastAsia="Times New Roman" w:hAnsi="Arial" w:cs="Arial"/>
          <w:bCs/>
          <w:sz w:val="24"/>
          <w:szCs w:val="24"/>
        </w:rPr>
      </w:pPr>
      <w:r>
        <w:rPr>
          <w:noProof/>
        </w:rPr>
        <w:fldChar w:fldCharType="begin"/>
      </w:r>
      <w:r>
        <w:rPr>
          <w:noProof/>
        </w:rPr>
        <w:instrText xml:space="preserve"> INCLUDEPICTURE  "/Users/shajinqi/Library/Containers/com.kingsoft.wpsoffice.mac/Data/tmp/wps-shajinqi/ksohtml/wps1.png" \* MERGEFORMATINET </w:instrText>
      </w:r>
      <w:r>
        <w:rPr>
          <w:noProof/>
        </w:rPr>
        <w:fldChar w:fldCharType="separate"/>
      </w:r>
      <w:r>
        <w:rPr>
          <w:noProof/>
        </w:rPr>
        <w:drawing>
          <wp:inline distT="0" distB="0" distL="0" distR="0" wp14:anchorId="22EFF7B6" wp14:editId="6AFED5DC">
            <wp:extent cx="2512060" cy="1145540"/>
            <wp:effectExtent l="0" t="0" r="2540" b="0"/>
            <wp:docPr id="2090855351"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10;&#10;AI 生成的内容可能不正确。"/>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12060" cy="1145540"/>
                    </a:xfrm>
                    <a:prstGeom prst="rect">
                      <a:avLst/>
                    </a:prstGeom>
                    <a:noFill/>
                    <a:ln>
                      <a:noFill/>
                    </a:ln>
                  </pic:spPr>
                </pic:pic>
              </a:graphicData>
            </a:graphic>
          </wp:inline>
        </w:drawing>
      </w:r>
      <w:r>
        <w:rPr>
          <w:noProof/>
        </w:rPr>
        <w:fldChar w:fldCharType="end"/>
      </w:r>
    </w:p>
    <w:p w14:paraId="43D30EA3" w14:textId="4C2DF57A" w:rsidR="00284CE3" w:rsidRDefault="000668DC" w:rsidP="005B7B01">
      <w:pPr>
        <w:spacing w:line="360" w:lineRule="auto"/>
        <w:jc w:val="center"/>
        <w:rPr>
          <w:rFonts w:ascii="Arial" w:hAnsi="Arial" w:cs="Arial" w:hint="eastAsia"/>
          <w:sz w:val="24"/>
          <w:szCs w:val="24"/>
        </w:rPr>
      </w:pPr>
      <w:r w:rsidRPr="00D8065E">
        <w:rPr>
          <w:rFonts w:ascii="Arial" w:hAnsi="Arial" w:cs="Arial"/>
          <w:sz w:val="24"/>
          <w:szCs w:val="24"/>
        </w:rPr>
        <w:t>Module Code: BMBM6008                         Module: Global Ethics</w:t>
      </w:r>
    </w:p>
    <w:p w14:paraId="01ABD0BB" w14:textId="77777777" w:rsidR="00284CE3" w:rsidRPr="00167F81" w:rsidRDefault="00284CE3" w:rsidP="000668DC">
      <w:pPr>
        <w:spacing w:line="360" w:lineRule="auto"/>
        <w:jc w:val="center"/>
        <w:rPr>
          <w:rFonts w:ascii="Arial" w:hAnsi="Arial" w:cs="Arial" w:hint="eastAsia"/>
          <w:sz w:val="24"/>
          <w:szCs w:val="24"/>
          <w:lang w:val="en-US"/>
        </w:rPr>
      </w:pPr>
    </w:p>
    <w:p w14:paraId="47A7A258" w14:textId="77777777" w:rsidR="000668DC" w:rsidRDefault="000668DC" w:rsidP="000668DC">
      <w:pPr>
        <w:spacing w:line="360" w:lineRule="auto"/>
        <w:jc w:val="center"/>
        <w:rPr>
          <w:rFonts w:ascii="Arial" w:hAnsi="Arial" w:cs="Arial"/>
          <w:sz w:val="24"/>
          <w:szCs w:val="24"/>
        </w:rPr>
      </w:pPr>
    </w:p>
    <w:p w14:paraId="050BEB9B" w14:textId="77777777" w:rsidR="000668DC" w:rsidRDefault="000668DC" w:rsidP="000668DC">
      <w:pPr>
        <w:spacing w:line="360" w:lineRule="auto"/>
        <w:jc w:val="center"/>
        <w:rPr>
          <w:rFonts w:ascii="Arial" w:hAnsi="Arial" w:cs="Arial"/>
          <w:sz w:val="24"/>
          <w:szCs w:val="24"/>
          <w:lang w:val="en-US"/>
        </w:rPr>
      </w:pPr>
    </w:p>
    <w:p w14:paraId="48D7B910" w14:textId="77777777" w:rsidR="00D24EDA" w:rsidRPr="00134757" w:rsidRDefault="00D24EDA" w:rsidP="000668DC">
      <w:pPr>
        <w:spacing w:line="360" w:lineRule="auto"/>
        <w:jc w:val="center"/>
        <w:rPr>
          <w:rFonts w:ascii="Arial" w:hAnsi="Arial" w:cs="Arial"/>
          <w:sz w:val="24"/>
          <w:szCs w:val="24"/>
          <w:lang w:val="en-US"/>
        </w:rPr>
      </w:pPr>
    </w:p>
    <w:p w14:paraId="355A406C" w14:textId="77777777" w:rsidR="000668DC" w:rsidRDefault="000668DC" w:rsidP="000668DC">
      <w:pPr>
        <w:spacing w:line="360" w:lineRule="auto"/>
        <w:jc w:val="center"/>
        <w:rPr>
          <w:rFonts w:ascii="Arial" w:hAnsi="Arial" w:cs="Arial"/>
          <w:sz w:val="24"/>
          <w:szCs w:val="24"/>
        </w:rPr>
      </w:pPr>
    </w:p>
    <w:p w14:paraId="07FFFBBC" w14:textId="77777777" w:rsidR="000668DC" w:rsidRPr="00DD4254" w:rsidRDefault="000668DC" w:rsidP="000668DC">
      <w:pPr>
        <w:spacing w:line="360" w:lineRule="auto"/>
        <w:jc w:val="center"/>
        <w:rPr>
          <w:rFonts w:ascii="Arial" w:hAnsi="Arial" w:cs="Arial" w:hint="eastAsia"/>
          <w:sz w:val="24"/>
          <w:szCs w:val="24"/>
          <w:lang w:val="en-US"/>
        </w:rPr>
      </w:pPr>
    </w:p>
    <w:p w14:paraId="7298BED5" w14:textId="3F4E04A9" w:rsidR="001D75C9" w:rsidRDefault="00787335" w:rsidP="000668DC">
      <w:pPr>
        <w:spacing w:line="480" w:lineRule="auto"/>
        <w:jc w:val="center"/>
        <w:rPr>
          <w:rFonts w:ascii="Arial" w:hAnsi="Arial" w:cs="Arial"/>
          <w:b/>
          <w:sz w:val="32"/>
          <w:szCs w:val="32"/>
          <w:lang w:val="en-US"/>
        </w:rPr>
      </w:pPr>
      <w:r w:rsidRPr="008D4E6B">
        <w:rPr>
          <w:rFonts w:ascii="Arial" w:hAnsi="Arial" w:cs="Arial"/>
          <w:b/>
          <w:sz w:val="32"/>
          <w:szCs w:val="32"/>
        </w:rPr>
        <w:t>Business Decision: Balancing Profits with Religious Culture, Climate Responsibility——An Ethical Analysis Based on Lao</w:t>
      </w:r>
      <w:r w:rsidR="009A6B0A" w:rsidRPr="008D4E6B">
        <w:rPr>
          <w:rFonts w:ascii="Arial" w:hAnsi="Arial" w:cs="Arial"/>
          <w:b/>
          <w:sz w:val="32"/>
          <w:szCs w:val="32"/>
        </w:rPr>
        <w:t xml:space="preserve"> F</w:t>
      </w:r>
      <w:r w:rsidRPr="008D4E6B">
        <w:rPr>
          <w:rFonts w:ascii="Arial" w:hAnsi="Arial" w:cs="Arial"/>
          <w:b/>
          <w:sz w:val="32"/>
          <w:szCs w:val="32"/>
        </w:rPr>
        <w:t>eng</w:t>
      </w:r>
      <w:r w:rsidR="009A6B0A" w:rsidRPr="008D4E6B">
        <w:rPr>
          <w:rFonts w:ascii="Arial" w:hAnsi="Arial" w:cs="Arial"/>
          <w:b/>
          <w:sz w:val="32"/>
          <w:szCs w:val="32"/>
        </w:rPr>
        <w:t xml:space="preserve"> X</w:t>
      </w:r>
      <w:r w:rsidRPr="008D4E6B">
        <w:rPr>
          <w:rFonts w:ascii="Arial" w:hAnsi="Arial" w:cs="Arial"/>
          <w:b/>
          <w:sz w:val="32"/>
          <w:szCs w:val="32"/>
        </w:rPr>
        <w:t>iang</w:t>
      </w:r>
      <w:r w:rsidR="00D833CE">
        <w:rPr>
          <w:rFonts w:ascii="Arial" w:hAnsi="Arial" w:cs="Arial"/>
          <w:b/>
          <w:noProof/>
          <w:sz w:val="32"/>
          <w:szCs w:val="32"/>
          <w:lang w:val="en-US"/>
          <w14:ligatures w14:val="standardContextual"/>
        </w:rPr>
        <w:drawing>
          <wp:inline distT="0" distB="0" distL="0" distR="0" wp14:anchorId="2CA2E079" wp14:editId="46FFB67A">
            <wp:extent cx="2235200" cy="1140474"/>
            <wp:effectExtent l="0" t="0" r="0" b="2540"/>
            <wp:docPr id="793879868" name="图片 1" descr="徽标, 公司名称&#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79868" name="图片 1" descr="徽标, 公司名称&#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84586" cy="1165672"/>
                    </a:xfrm>
                    <a:prstGeom prst="rect">
                      <a:avLst/>
                    </a:prstGeom>
                  </pic:spPr>
                </pic:pic>
              </a:graphicData>
            </a:graphic>
          </wp:inline>
        </w:drawing>
      </w:r>
    </w:p>
    <w:p w14:paraId="71E9582B" w14:textId="77777777" w:rsidR="00D24EDA" w:rsidRDefault="00D24EDA" w:rsidP="00D833CE">
      <w:pPr>
        <w:spacing w:line="480" w:lineRule="auto"/>
        <w:rPr>
          <w:rFonts w:ascii="Arial" w:hAnsi="Arial" w:cs="Arial" w:hint="eastAsia"/>
          <w:b/>
          <w:sz w:val="32"/>
          <w:szCs w:val="32"/>
        </w:rPr>
      </w:pPr>
    </w:p>
    <w:p w14:paraId="7C151564" w14:textId="77777777" w:rsidR="000668DC" w:rsidRDefault="000668DC" w:rsidP="000668DC">
      <w:pPr>
        <w:spacing w:line="480" w:lineRule="auto"/>
        <w:jc w:val="center"/>
        <w:rPr>
          <w:rFonts w:ascii="Arial" w:hAnsi="Arial" w:cs="Arial"/>
          <w:b/>
          <w:sz w:val="32"/>
          <w:szCs w:val="32"/>
        </w:rPr>
      </w:pPr>
    </w:p>
    <w:p w14:paraId="4FE284E1" w14:textId="77777777" w:rsidR="000668DC" w:rsidRDefault="000668DC" w:rsidP="000668DC">
      <w:pPr>
        <w:spacing w:line="480" w:lineRule="auto"/>
        <w:jc w:val="center"/>
        <w:rPr>
          <w:rFonts w:ascii="Arial" w:hAnsi="Arial" w:cs="Arial"/>
          <w:b/>
          <w:sz w:val="32"/>
          <w:szCs w:val="32"/>
        </w:rPr>
      </w:pPr>
    </w:p>
    <w:p w14:paraId="401086A0" w14:textId="77777777" w:rsidR="000668DC" w:rsidRPr="00D833CE" w:rsidRDefault="000668DC" w:rsidP="000668DC">
      <w:pPr>
        <w:spacing w:line="480" w:lineRule="auto"/>
        <w:jc w:val="center"/>
        <w:rPr>
          <w:rFonts w:ascii="Arial" w:hAnsi="Arial" w:cs="Arial" w:hint="eastAsia"/>
          <w:bCs/>
          <w:sz w:val="24"/>
          <w:szCs w:val="24"/>
          <w:lang w:val="en-US"/>
        </w:rPr>
      </w:pPr>
      <w:r w:rsidRPr="00D8065E">
        <w:rPr>
          <w:rFonts w:ascii="Arial" w:hAnsi="Arial" w:cs="Arial"/>
          <w:bCs/>
          <w:sz w:val="24"/>
          <w:szCs w:val="24"/>
        </w:rPr>
        <w:t>Student Name</w:t>
      </w:r>
      <w:r w:rsidRPr="00D8065E">
        <w:rPr>
          <w:rFonts w:ascii="Arial" w:hAnsi="Arial" w:cs="Arial"/>
          <w:bCs/>
          <w:sz w:val="24"/>
          <w:szCs w:val="24"/>
        </w:rPr>
        <w:t>：</w:t>
      </w:r>
      <w:r w:rsidRPr="00D8065E">
        <w:rPr>
          <w:rFonts w:ascii="Arial" w:hAnsi="Arial" w:cs="Arial"/>
          <w:bCs/>
          <w:sz w:val="24"/>
          <w:szCs w:val="24"/>
        </w:rPr>
        <w:t>Jinqi Sha</w:t>
      </w:r>
    </w:p>
    <w:p w14:paraId="55098EA0" w14:textId="77777777" w:rsidR="000668DC" w:rsidRPr="00D8065E" w:rsidRDefault="000668DC" w:rsidP="000668DC">
      <w:pPr>
        <w:spacing w:line="480" w:lineRule="auto"/>
        <w:jc w:val="center"/>
        <w:rPr>
          <w:rFonts w:ascii="Arial" w:hAnsi="Arial" w:cs="Arial"/>
          <w:bCs/>
          <w:sz w:val="24"/>
          <w:szCs w:val="24"/>
        </w:rPr>
      </w:pPr>
      <w:r w:rsidRPr="00D8065E">
        <w:rPr>
          <w:rFonts w:ascii="Arial" w:hAnsi="Arial" w:cs="Arial"/>
          <w:bCs/>
          <w:sz w:val="24"/>
          <w:szCs w:val="24"/>
        </w:rPr>
        <w:t>Student ID Number</w:t>
      </w:r>
      <w:r w:rsidRPr="00D8065E">
        <w:rPr>
          <w:rFonts w:ascii="Arial" w:hAnsi="Arial" w:cs="Arial"/>
          <w:bCs/>
          <w:sz w:val="24"/>
          <w:szCs w:val="24"/>
        </w:rPr>
        <w:t>：</w:t>
      </w:r>
      <w:r w:rsidRPr="00D8065E">
        <w:rPr>
          <w:rFonts w:ascii="Arial" w:hAnsi="Arial" w:cs="Arial"/>
          <w:bCs/>
          <w:sz w:val="24"/>
          <w:szCs w:val="24"/>
        </w:rPr>
        <w:t>2502887</w:t>
      </w:r>
    </w:p>
    <w:p w14:paraId="6AB17C8B" w14:textId="77777777" w:rsidR="000668DC" w:rsidRPr="00D8065E" w:rsidRDefault="000668DC" w:rsidP="000668DC">
      <w:pPr>
        <w:spacing w:line="480" w:lineRule="auto"/>
        <w:jc w:val="center"/>
        <w:rPr>
          <w:rFonts w:ascii="Arial" w:hAnsi="Arial" w:cs="Arial"/>
          <w:bCs/>
          <w:sz w:val="24"/>
          <w:szCs w:val="24"/>
        </w:rPr>
      </w:pPr>
      <w:r w:rsidRPr="00D8065E">
        <w:rPr>
          <w:rFonts w:ascii="Arial" w:hAnsi="Arial" w:cs="Arial"/>
          <w:bCs/>
          <w:sz w:val="24"/>
          <w:szCs w:val="24"/>
        </w:rPr>
        <w:t>Programme</w:t>
      </w:r>
      <w:r w:rsidRPr="00D8065E">
        <w:rPr>
          <w:rFonts w:ascii="Arial" w:hAnsi="Arial" w:cs="Arial"/>
          <w:bCs/>
          <w:sz w:val="24"/>
          <w:szCs w:val="24"/>
        </w:rPr>
        <w:t>：</w:t>
      </w:r>
      <w:r w:rsidRPr="00D8065E">
        <w:rPr>
          <w:rFonts w:ascii="Arial" w:hAnsi="Arial" w:cs="Arial"/>
          <w:bCs/>
          <w:sz w:val="24"/>
          <w:szCs w:val="24"/>
        </w:rPr>
        <w:t>International Business Management</w:t>
      </w:r>
    </w:p>
    <w:p w14:paraId="3603DA55" w14:textId="77777777" w:rsidR="000668DC" w:rsidRPr="00D8065E" w:rsidRDefault="000668DC" w:rsidP="000668DC">
      <w:pPr>
        <w:spacing w:line="480" w:lineRule="auto"/>
        <w:jc w:val="center"/>
        <w:rPr>
          <w:rFonts w:ascii="Arial" w:hAnsi="Arial" w:cs="Arial"/>
          <w:bCs/>
          <w:sz w:val="24"/>
          <w:szCs w:val="24"/>
        </w:rPr>
      </w:pPr>
      <w:r w:rsidRPr="00D8065E">
        <w:rPr>
          <w:rFonts w:ascii="Arial" w:hAnsi="Arial" w:cs="Arial"/>
          <w:bCs/>
          <w:sz w:val="24"/>
          <w:szCs w:val="24"/>
        </w:rPr>
        <w:t>Lecturer Name</w:t>
      </w:r>
      <w:r w:rsidRPr="00D8065E">
        <w:rPr>
          <w:rFonts w:ascii="Arial" w:hAnsi="Arial" w:cs="Arial"/>
          <w:bCs/>
          <w:sz w:val="24"/>
          <w:szCs w:val="24"/>
        </w:rPr>
        <w:t>：</w:t>
      </w:r>
      <w:proofErr w:type="spellStart"/>
      <w:r w:rsidRPr="00D8065E">
        <w:rPr>
          <w:rFonts w:ascii="Arial" w:hAnsi="Arial" w:cs="Arial"/>
          <w:bCs/>
          <w:sz w:val="24"/>
          <w:szCs w:val="24"/>
        </w:rPr>
        <w:t>Arpu</w:t>
      </w:r>
      <w:proofErr w:type="spellEnd"/>
      <w:r w:rsidRPr="00D8065E">
        <w:rPr>
          <w:rFonts w:ascii="Arial" w:hAnsi="Arial" w:cs="Arial"/>
          <w:bCs/>
          <w:sz w:val="24"/>
          <w:szCs w:val="24"/>
        </w:rPr>
        <w:t xml:space="preserve"> Kumar</w:t>
      </w:r>
    </w:p>
    <w:p w14:paraId="4CDBAFB1" w14:textId="303762BB" w:rsidR="000668DC" w:rsidRPr="00D8065E" w:rsidRDefault="000668DC" w:rsidP="000668DC">
      <w:pPr>
        <w:spacing w:line="480" w:lineRule="auto"/>
        <w:jc w:val="center"/>
        <w:rPr>
          <w:rFonts w:ascii="Arial" w:hAnsi="Arial" w:cs="Arial"/>
          <w:bCs/>
          <w:sz w:val="24"/>
          <w:szCs w:val="24"/>
        </w:rPr>
      </w:pPr>
      <w:r w:rsidRPr="00D8065E">
        <w:rPr>
          <w:rFonts w:ascii="Arial" w:hAnsi="Arial" w:cs="Arial"/>
          <w:bCs/>
          <w:sz w:val="24"/>
          <w:szCs w:val="24"/>
        </w:rPr>
        <w:t>Submission Deadline</w:t>
      </w:r>
      <w:r w:rsidRPr="00D8065E">
        <w:rPr>
          <w:rFonts w:ascii="Arial" w:hAnsi="Arial" w:cs="Arial"/>
          <w:bCs/>
          <w:sz w:val="24"/>
          <w:szCs w:val="24"/>
        </w:rPr>
        <w:t>：</w:t>
      </w:r>
      <w:r w:rsidR="00284CE3">
        <w:rPr>
          <w:rFonts w:ascii="Arial" w:hAnsi="Arial" w:cs="Arial" w:hint="eastAsia"/>
          <w:bCs/>
          <w:sz w:val="24"/>
          <w:szCs w:val="24"/>
        </w:rPr>
        <w:t>12</w:t>
      </w:r>
      <w:r w:rsidRPr="00D8065E">
        <w:rPr>
          <w:rFonts w:ascii="Arial" w:hAnsi="Arial" w:cs="Arial"/>
          <w:bCs/>
          <w:sz w:val="24"/>
          <w:szCs w:val="24"/>
        </w:rPr>
        <w:t>/1</w:t>
      </w:r>
      <w:r w:rsidR="00284CE3">
        <w:rPr>
          <w:rFonts w:ascii="Arial" w:hAnsi="Arial" w:cs="Arial" w:hint="eastAsia"/>
          <w:bCs/>
          <w:sz w:val="24"/>
          <w:szCs w:val="24"/>
        </w:rPr>
        <w:t>2</w:t>
      </w:r>
      <w:r w:rsidRPr="00D8065E">
        <w:rPr>
          <w:rFonts w:ascii="Arial" w:hAnsi="Arial" w:cs="Arial"/>
          <w:bCs/>
          <w:sz w:val="24"/>
          <w:szCs w:val="24"/>
        </w:rPr>
        <w:t>/2025</w:t>
      </w:r>
    </w:p>
    <w:p w14:paraId="1843C7E4" w14:textId="4744370A" w:rsidR="0093780E" w:rsidRPr="008D4E6B" w:rsidRDefault="00721D2B" w:rsidP="001C6E2D">
      <w:pPr>
        <w:spacing w:line="480" w:lineRule="auto"/>
        <w:rPr>
          <w:b/>
          <w:bCs/>
          <w:sz w:val="28"/>
          <w:szCs w:val="28"/>
          <w:lang w:val="en-US"/>
        </w:rPr>
      </w:pPr>
      <w:r w:rsidRPr="008D4E6B">
        <w:rPr>
          <w:b/>
          <w:bCs/>
          <w:sz w:val="28"/>
          <w:szCs w:val="28"/>
          <w:lang w:val="en-US"/>
        </w:rPr>
        <w:lastRenderedPageBreak/>
        <w:t>Abstract</w:t>
      </w:r>
    </w:p>
    <w:p w14:paraId="1F9C2F00" w14:textId="61AAA84A" w:rsidR="001C6E2D" w:rsidRDefault="00354B5B" w:rsidP="001C6E2D">
      <w:pPr>
        <w:spacing w:line="480" w:lineRule="auto"/>
        <w:rPr>
          <w:sz w:val="24"/>
          <w:szCs w:val="24"/>
          <w:lang w:val="en-US"/>
        </w:rPr>
      </w:pPr>
      <w:r w:rsidRPr="00354B5B">
        <w:rPr>
          <w:sz w:val="24"/>
          <w:szCs w:val="24"/>
          <w:lang w:val="en-US"/>
        </w:rPr>
        <w:t>This article takes the globalization practice of China's jewelry company, Lau Fong Sang, as an example to explore the cross-cultural ethical issues in cross-border operations. Through analyzing the product design conflicts and climate responsibility practices encountered by Lau Fong Sang in markets such as Turkey, Indonesia, and France, this report uses the theoretical framework of cultural relativism and ethical universalism to distinguish the situational obligations and universal responsibilities that enterprises face in terms of respecting religious culture and environmental protection. The study finds that enterprises need to follow cultural relativism for local adjustments in adapting to religious culture, while in terms of climate responsibility, they must adhere to the universal ethical bottom line and conduct differentiated practices based on local culture and policies. Lau Fong Sang successfully coordinated cultural respect, environmental responsibility, and business goals by establishing a balanced mechanism centered on moral leadership, while pursuing profits. This provides practical references for multinational enterprises to address cross-cultural ethical challenges.</w:t>
      </w:r>
    </w:p>
    <w:p w14:paraId="02E42506" w14:textId="77777777" w:rsidR="001C6E2D" w:rsidRDefault="001C6E2D" w:rsidP="001C6E2D">
      <w:pPr>
        <w:spacing w:line="480" w:lineRule="auto"/>
        <w:rPr>
          <w:sz w:val="24"/>
          <w:szCs w:val="24"/>
          <w:lang w:val="en-US"/>
        </w:rPr>
      </w:pPr>
    </w:p>
    <w:p w14:paraId="4078A0A6" w14:textId="77777777" w:rsidR="001C6E2D" w:rsidRDefault="001C6E2D" w:rsidP="001C6E2D">
      <w:pPr>
        <w:spacing w:line="480" w:lineRule="auto"/>
        <w:rPr>
          <w:sz w:val="24"/>
          <w:szCs w:val="24"/>
          <w:lang w:val="en-US"/>
        </w:rPr>
      </w:pPr>
    </w:p>
    <w:p w14:paraId="1EEA9917" w14:textId="77777777" w:rsidR="001C6E2D" w:rsidRDefault="001C6E2D" w:rsidP="001C6E2D">
      <w:pPr>
        <w:spacing w:line="480" w:lineRule="auto"/>
        <w:rPr>
          <w:sz w:val="24"/>
          <w:szCs w:val="24"/>
          <w:lang w:val="en-US"/>
        </w:rPr>
      </w:pPr>
    </w:p>
    <w:p w14:paraId="7A49DA06" w14:textId="77777777" w:rsidR="001C6E2D" w:rsidRDefault="001C6E2D" w:rsidP="001C6E2D">
      <w:pPr>
        <w:spacing w:line="480" w:lineRule="auto"/>
        <w:rPr>
          <w:sz w:val="24"/>
          <w:szCs w:val="24"/>
          <w:lang w:val="en-US"/>
        </w:rPr>
      </w:pPr>
    </w:p>
    <w:p w14:paraId="2EE9BCF9" w14:textId="77777777" w:rsidR="001C6E2D" w:rsidRDefault="001C6E2D" w:rsidP="001C6E2D">
      <w:pPr>
        <w:spacing w:line="480" w:lineRule="auto"/>
        <w:rPr>
          <w:sz w:val="24"/>
          <w:szCs w:val="24"/>
          <w:lang w:val="en-US"/>
        </w:rPr>
      </w:pPr>
    </w:p>
    <w:p w14:paraId="411875A7" w14:textId="77777777" w:rsidR="001C6E2D" w:rsidRDefault="001C6E2D" w:rsidP="001C6E2D">
      <w:pPr>
        <w:spacing w:line="480" w:lineRule="auto"/>
        <w:rPr>
          <w:rFonts w:hint="eastAsia"/>
          <w:sz w:val="24"/>
          <w:szCs w:val="24"/>
          <w:lang w:val="en-US"/>
        </w:rPr>
      </w:pPr>
    </w:p>
    <w:p w14:paraId="49730C2D" w14:textId="3913F452" w:rsidR="001C6E2D" w:rsidRPr="008D4E6B" w:rsidRDefault="009A0BC8" w:rsidP="008D4E6B">
      <w:pPr>
        <w:spacing w:line="480" w:lineRule="auto"/>
        <w:jc w:val="center"/>
        <w:rPr>
          <w:b/>
          <w:bCs/>
          <w:sz w:val="28"/>
          <w:szCs w:val="28"/>
          <w:lang w:val="en-US"/>
        </w:rPr>
      </w:pPr>
      <w:r w:rsidRPr="008D4E6B">
        <w:rPr>
          <w:b/>
          <w:bCs/>
          <w:sz w:val="28"/>
          <w:szCs w:val="28"/>
          <w:lang w:val="en-US"/>
        </w:rPr>
        <w:lastRenderedPageBreak/>
        <w:t>Content</w:t>
      </w:r>
    </w:p>
    <w:p w14:paraId="39719831" w14:textId="77777777" w:rsidR="00202A29" w:rsidRDefault="00202A29" w:rsidP="001C6E2D">
      <w:pPr>
        <w:spacing w:line="480" w:lineRule="auto"/>
        <w:rPr>
          <w:sz w:val="24"/>
          <w:szCs w:val="24"/>
          <w:lang w:val="en-US"/>
        </w:rPr>
      </w:pPr>
    </w:p>
    <w:p w14:paraId="4F26D5E4" w14:textId="667BAC7B" w:rsidR="00202A29" w:rsidRDefault="00A5280D" w:rsidP="009F54A7">
      <w:pPr>
        <w:tabs>
          <w:tab w:val="right" w:leader="middleDot" w:pos="8400"/>
        </w:tabs>
        <w:spacing w:line="480" w:lineRule="auto"/>
        <w:rPr>
          <w:sz w:val="24"/>
          <w:szCs w:val="24"/>
          <w:lang w:val="en-US"/>
        </w:rPr>
      </w:pPr>
      <w:r>
        <w:rPr>
          <w:rFonts w:hint="eastAsia"/>
          <w:sz w:val="24"/>
          <w:szCs w:val="24"/>
          <w:lang w:val="en-US"/>
        </w:rPr>
        <w:t xml:space="preserve">1.0 </w:t>
      </w:r>
      <w:r w:rsidR="00202A29">
        <w:rPr>
          <w:rFonts w:hint="eastAsia"/>
          <w:sz w:val="24"/>
          <w:szCs w:val="24"/>
          <w:lang w:val="en-US"/>
        </w:rPr>
        <w:t>Introduction</w:t>
      </w:r>
      <w:r w:rsidR="00DD61A3">
        <w:rPr>
          <w:sz w:val="24"/>
          <w:szCs w:val="24"/>
          <w:lang w:val="en-US"/>
        </w:rPr>
        <w:tab/>
      </w:r>
      <w:r w:rsidR="00401CA4">
        <w:rPr>
          <w:rFonts w:hint="eastAsia"/>
          <w:sz w:val="24"/>
          <w:szCs w:val="24"/>
          <w:lang w:val="en-US"/>
        </w:rPr>
        <w:t>4</w:t>
      </w:r>
    </w:p>
    <w:p w14:paraId="66E41A3B" w14:textId="3194CFD7" w:rsidR="00202A29" w:rsidRDefault="00A5280D" w:rsidP="009F54A7">
      <w:pPr>
        <w:tabs>
          <w:tab w:val="right" w:leader="middleDot" w:pos="8400"/>
        </w:tabs>
        <w:spacing w:line="480" w:lineRule="auto"/>
        <w:rPr>
          <w:rFonts w:hint="eastAsia"/>
          <w:sz w:val="24"/>
          <w:szCs w:val="24"/>
          <w:lang w:val="en-US"/>
        </w:rPr>
      </w:pPr>
      <w:r>
        <w:rPr>
          <w:rFonts w:hint="eastAsia"/>
          <w:sz w:val="24"/>
          <w:szCs w:val="24"/>
          <w:lang w:val="en-US"/>
        </w:rPr>
        <w:t xml:space="preserve">2.0 </w:t>
      </w:r>
      <w:r w:rsidR="00F36BEE" w:rsidRPr="00F36BEE">
        <w:rPr>
          <w:sz w:val="24"/>
          <w:szCs w:val="24"/>
          <w:lang w:val="en-US"/>
        </w:rPr>
        <w:t>Cultural Relativism, Universalism and Business Ethics</w:t>
      </w:r>
      <w:r w:rsidR="00DD61A3">
        <w:rPr>
          <w:sz w:val="24"/>
          <w:szCs w:val="24"/>
          <w:lang w:val="en-US"/>
        </w:rPr>
        <w:tab/>
      </w:r>
      <w:r w:rsidR="00401CA4">
        <w:rPr>
          <w:rFonts w:hint="eastAsia"/>
          <w:sz w:val="24"/>
          <w:szCs w:val="24"/>
          <w:lang w:val="en-US"/>
        </w:rPr>
        <w:t>5</w:t>
      </w:r>
    </w:p>
    <w:p w14:paraId="439F8289" w14:textId="0B5975E5" w:rsidR="00202A29" w:rsidRDefault="00A5280D" w:rsidP="009F54A7">
      <w:pPr>
        <w:tabs>
          <w:tab w:val="right" w:leader="middleDot" w:pos="8400"/>
        </w:tabs>
        <w:spacing w:line="480" w:lineRule="auto"/>
        <w:rPr>
          <w:rFonts w:hint="eastAsia"/>
          <w:sz w:val="24"/>
          <w:szCs w:val="24"/>
          <w:lang w:val="en-US"/>
        </w:rPr>
      </w:pPr>
      <w:r>
        <w:rPr>
          <w:rFonts w:hint="eastAsia"/>
          <w:sz w:val="24"/>
          <w:szCs w:val="24"/>
          <w:lang w:val="en-US"/>
        </w:rPr>
        <w:t xml:space="preserve">3.0 </w:t>
      </w:r>
      <w:r w:rsidR="00E51A21" w:rsidRPr="00E51A21">
        <w:rPr>
          <w:sz w:val="24"/>
          <w:szCs w:val="24"/>
          <w:lang w:val="en-US"/>
        </w:rPr>
        <w:t>Lao</w:t>
      </w:r>
      <w:r w:rsidR="009A6B0A">
        <w:rPr>
          <w:sz w:val="24"/>
          <w:szCs w:val="24"/>
          <w:lang w:val="en-US"/>
        </w:rPr>
        <w:t xml:space="preserve"> F</w:t>
      </w:r>
      <w:r w:rsidR="00E51A21" w:rsidRPr="00E51A21">
        <w:rPr>
          <w:sz w:val="24"/>
          <w:szCs w:val="24"/>
          <w:lang w:val="en-US"/>
        </w:rPr>
        <w:t>eng</w:t>
      </w:r>
      <w:r w:rsidR="009A6B0A">
        <w:rPr>
          <w:sz w:val="24"/>
          <w:szCs w:val="24"/>
          <w:lang w:val="en-US"/>
        </w:rPr>
        <w:t xml:space="preserve"> X</w:t>
      </w:r>
      <w:r w:rsidR="00E51A21" w:rsidRPr="00E51A21">
        <w:rPr>
          <w:sz w:val="24"/>
          <w:szCs w:val="24"/>
          <w:lang w:val="en-US"/>
        </w:rPr>
        <w:t>iang’s Practice in Religious and Cultural Contexts</w:t>
      </w:r>
      <w:r w:rsidR="00DD61A3">
        <w:rPr>
          <w:sz w:val="24"/>
          <w:szCs w:val="24"/>
          <w:lang w:val="en-US"/>
        </w:rPr>
        <w:tab/>
      </w:r>
      <w:r w:rsidR="00401CA4">
        <w:rPr>
          <w:rFonts w:hint="eastAsia"/>
          <w:sz w:val="24"/>
          <w:szCs w:val="24"/>
          <w:lang w:val="en-US"/>
        </w:rPr>
        <w:t>5</w:t>
      </w:r>
    </w:p>
    <w:p w14:paraId="4673C3BA" w14:textId="020C97BB" w:rsidR="00202A29" w:rsidRDefault="00A5280D" w:rsidP="009F54A7">
      <w:pPr>
        <w:tabs>
          <w:tab w:val="right" w:leader="middleDot" w:pos="8400"/>
        </w:tabs>
        <w:spacing w:line="480" w:lineRule="auto"/>
        <w:rPr>
          <w:rFonts w:hint="eastAsia"/>
          <w:sz w:val="24"/>
          <w:szCs w:val="24"/>
          <w:lang w:val="en-US"/>
        </w:rPr>
      </w:pPr>
      <w:r>
        <w:rPr>
          <w:rFonts w:hint="eastAsia"/>
          <w:sz w:val="24"/>
          <w:szCs w:val="24"/>
          <w:lang w:val="en-US"/>
        </w:rPr>
        <w:t xml:space="preserve">4.0 </w:t>
      </w:r>
      <w:r w:rsidR="0062518A" w:rsidRPr="0062518A">
        <w:rPr>
          <w:sz w:val="24"/>
          <w:szCs w:val="24"/>
          <w:lang w:val="en-US"/>
        </w:rPr>
        <w:t>Ethical Nature of Climate Responsibility</w:t>
      </w:r>
      <w:r w:rsidR="00DD61A3">
        <w:rPr>
          <w:sz w:val="24"/>
          <w:szCs w:val="24"/>
          <w:lang w:val="en-US"/>
        </w:rPr>
        <w:tab/>
      </w:r>
      <w:r w:rsidR="00401CA4">
        <w:rPr>
          <w:rFonts w:hint="eastAsia"/>
          <w:sz w:val="24"/>
          <w:szCs w:val="24"/>
          <w:lang w:val="en-US"/>
        </w:rPr>
        <w:t>7</w:t>
      </w:r>
    </w:p>
    <w:p w14:paraId="2CCAAC39" w14:textId="382583A0" w:rsidR="00C25257" w:rsidRDefault="00A5280D" w:rsidP="009F54A7">
      <w:pPr>
        <w:tabs>
          <w:tab w:val="right" w:leader="middleDot" w:pos="8400"/>
        </w:tabs>
        <w:spacing w:line="480" w:lineRule="auto"/>
        <w:rPr>
          <w:rFonts w:hint="eastAsia"/>
          <w:sz w:val="24"/>
          <w:szCs w:val="24"/>
          <w:lang w:val="en-US"/>
        </w:rPr>
      </w:pPr>
      <w:r>
        <w:rPr>
          <w:rFonts w:hint="eastAsia"/>
          <w:sz w:val="24"/>
          <w:szCs w:val="24"/>
          <w:lang w:val="en-US"/>
        </w:rPr>
        <w:t xml:space="preserve">5.0 </w:t>
      </w:r>
      <w:r w:rsidR="00C25257" w:rsidRPr="00C25257">
        <w:rPr>
          <w:sz w:val="24"/>
          <w:szCs w:val="24"/>
          <w:lang w:val="en-US"/>
        </w:rPr>
        <w:t>Lao</w:t>
      </w:r>
      <w:r w:rsidR="009A6B0A">
        <w:rPr>
          <w:sz w:val="24"/>
          <w:szCs w:val="24"/>
          <w:lang w:val="en-US"/>
        </w:rPr>
        <w:t xml:space="preserve"> F</w:t>
      </w:r>
      <w:r w:rsidR="00C25257" w:rsidRPr="00C25257">
        <w:rPr>
          <w:sz w:val="24"/>
          <w:szCs w:val="24"/>
          <w:lang w:val="en-US"/>
        </w:rPr>
        <w:t>eng</w:t>
      </w:r>
      <w:r w:rsidR="009A6B0A">
        <w:rPr>
          <w:sz w:val="24"/>
          <w:szCs w:val="24"/>
          <w:lang w:val="en-US"/>
        </w:rPr>
        <w:t xml:space="preserve"> X</w:t>
      </w:r>
      <w:r w:rsidR="00C25257" w:rsidRPr="00C25257">
        <w:rPr>
          <w:sz w:val="24"/>
          <w:szCs w:val="24"/>
          <w:lang w:val="en-US"/>
        </w:rPr>
        <w:t>iang’s Balancing Logic</w:t>
      </w:r>
      <w:r w:rsidR="00DD61A3">
        <w:rPr>
          <w:sz w:val="24"/>
          <w:szCs w:val="24"/>
          <w:lang w:val="en-US"/>
        </w:rPr>
        <w:tab/>
      </w:r>
      <w:r w:rsidR="00401CA4">
        <w:rPr>
          <w:rFonts w:hint="eastAsia"/>
          <w:sz w:val="24"/>
          <w:szCs w:val="24"/>
          <w:lang w:val="en-US"/>
        </w:rPr>
        <w:t>9</w:t>
      </w:r>
    </w:p>
    <w:p w14:paraId="4B74E415" w14:textId="12376ECA" w:rsidR="00202A29" w:rsidRDefault="00A5280D" w:rsidP="009F54A7">
      <w:pPr>
        <w:tabs>
          <w:tab w:val="right" w:leader="middleDot" w:pos="8400"/>
        </w:tabs>
        <w:spacing w:line="480" w:lineRule="auto"/>
        <w:rPr>
          <w:rFonts w:hint="eastAsia"/>
          <w:sz w:val="24"/>
          <w:szCs w:val="24"/>
          <w:lang w:val="en-US"/>
        </w:rPr>
      </w:pPr>
      <w:r>
        <w:rPr>
          <w:rFonts w:hint="eastAsia"/>
          <w:sz w:val="24"/>
          <w:szCs w:val="24"/>
          <w:lang w:val="en-US"/>
        </w:rPr>
        <w:t xml:space="preserve">6.0 </w:t>
      </w:r>
      <w:r w:rsidR="008D1F93">
        <w:rPr>
          <w:rFonts w:hint="eastAsia"/>
          <w:sz w:val="24"/>
          <w:szCs w:val="24"/>
          <w:lang w:val="en-US"/>
        </w:rPr>
        <w:t>Conclusion</w:t>
      </w:r>
      <w:r w:rsidR="00DD61A3">
        <w:rPr>
          <w:sz w:val="24"/>
          <w:szCs w:val="24"/>
          <w:lang w:val="en-US"/>
        </w:rPr>
        <w:tab/>
      </w:r>
      <w:r w:rsidR="00401CA4">
        <w:rPr>
          <w:rFonts w:hint="eastAsia"/>
          <w:sz w:val="24"/>
          <w:szCs w:val="24"/>
          <w:lang w:val="en-US"/>
        </w:rPr>
        <w:t>11</w:t>
      </w:r>
    </w:p>
    <w:p w14:paraId="796DC95C" w14:textId="73A207CF" w:rsidR="008D1F93" w:rsidRDefault="008D1F93" w:rsidP="009F54A7">
      <w:pPr>
        <w:tabs>
          <w:tab w:val="right" w:leader="middleDot" w:pos="8400"/>
        </w:tabs>
        <w:spacing w:line="480" w:lineRule="auto"/>
        <w:rPr>
          <w:rFonts w:hint="eastAsia"/>
          <w:sz w:val="24"/>
          <w:szCs w:val="24"/>
          <w:lang w:val="en-US"/>
        </w:rPr>
      </w:pPr>
      <w:r>
        <w:rPr>
          <w:rFonts w:hint="eastAsia"/>
          <w:sz w:val="24"/>
          <w:szCs w:val="24"/>
          <w:lang w:val="en-US"/>
        </w:rPr>
        <w:t>References</w:t>
      </w:r>
      <w:r w:rsidR="00DD61A3">
        <w:rPr>
          <w:sz w:val="24"/>
          <w:szCs w:val="24"/>
          <w:lang w:val="en-US"/>
        </w:rPr>
        <w:tab/>
      </w:r>
      <w:r w:rsidR="00401CA4">
        <w:rPr>
          <w:rFonts w:hint="eastAsia"/>
          <w:sz w:val="24"/>
          <w:szCs w:val="24"/>
          <w:lang w:val="en-US"/>
        </w:rPr>
        <w:t>12</w:t>
      </w:r>
    </w:p>
    <w:p w14:paraId="11AC91AA" w14:textId="77777777" w:rsidR="00AB29B4" w:rsidRDefault="00AB29B4" w:rsidP="001C6E2D">
      <w:pPr>
        <w:spacing w:line="480" w:lineRule="auto"/>
        <w:rPr>
          <w:sz w:val="24"/>
          <w:szCs w:val="24"/>
          <w:lang w:val="en-US"/>
        </w:rPr>
      </w:pPr>
    </w:p>
    <w:p w14:paraId="1A243659" w14:textId="77777777" w:rsidR="00AB29B4" w:rsidRDefault="00AB29B4" w:rsidP="001C6E2D">
      <w:pPr>
        <w:spacing w:line="480" w:lineRule="auto"/>
        <w:rPr>
          <w:sz w:val="24"/>
          <w:szCs w:val="24"/>
          <w:lang w:val="en-US"/>
        </w:rPr>
      </w:pPr>
    </w:p>
    <w:p w14:paraId="61935035" w14:textId="77777777" w:rsidR="00AB29B4" w:rsidRDefault="00AB29B4" w:rsidP="001C6E2D">
      <w:pPr>
        <w:spacing w:line="480" w:lineRule="auto"/>
        <w:rPr>
          <w:sz w:val="24"/>
          <w:szCs w:val="24"/>
          <w:lang w:val="en-US"/>
        </w:rPr>
      </w:pPr>
    </w:p>
    <w:p w14:paraId="1AB88882" w14:textId="77777777" w:rsidR="00AB29B4" w:rsidRDefault="00AB29B4" w:rsidP="001C6E2D">
      <w:pPr>
        <w:spacing w:line="480" w:lineRule="auto"/>
        <w:rPr>
          <w:sz w:val="24"/>
          <w:szCs w:val="24"/>
          <w:lang w:val="en-US"/>
        </w:rPr>
      </w:pPr>
    </w:p>
    <w:p w14:paraId="6E2AAFB6" w14:textId="77777777" w:rsidR="00AB29B4" w:rsidRDefault="00AB29B4" w:rsidP="001C6E2D">
      <w:pPr>
        <w:spacing w:line="480" w:lineRule="auto"/>
        <w:rPr>
          <w:sz w:val="24"/>
          <w:szCs w:val="24"/>
          <w:lang w:val="en-US"/>
        </w:rPr>
      </w:pPr>
    </w:p>
    <w:p w14:paraId="067334F0" w14:textId="77777777" w:rsidR="00AB29B4" w:rsidRDefault="00AB29B4" w:rsidP="001C6E2D">
      <w:pPr>
        <w:spacing w:line="480" w:lineRule="auto"/>
        <w:rPr>
          <w:sz w:val="24"/>
          <w:szCs w:val="24"/>
          <w:lang w:val="en-US"/>
        </w:rPr>
      </w:pPr>
    </w:p>
    <w:p w14:paraId="1DE52D12" w14:textId="77777777" w:rsidR="00AB29B4" w:rsidRDefault="00AB29B4" w:rsidP="001C6E2D">
      <w:pPr>
        <w:spacing w:line="480" w:lineRule="auto"/>
        <w:rPr>
          <w:sz w:val="24"/>
          <w:szCs w:val="24"/>
          <w:lang w:val="en-US"/>
        </w:rPr>
      </w:pPr>
    </w:p>
    <w:p w14:paraId="7AB8A2AB" w14:textId="77777777" w:rsidR="00AB29B4" w:rsidRDefault="00AB29B4" w:rsidP="001C6E2D">
      <w:pPr>
        <w:spacing w:line="480" w:lineRule="auto"/>
        <w:rPr>
          <w:sz w:val="24"/>
          <w:szCs w:val="24"/>
          <w:lang w:val="en-US"/>
        </w:rPr>
      </w:pPr>
    </w:p>
    <w:p w14:paraId="3BD75AE2" w14:textId="77777777" w:rsidR="00AB29B4" w:rsidRDefault="00AB29B4" w:rsidP="001C6E2D">
      <w:pPr>
        <w:spacing w:line="480" w:lineRule="auto"/>
        <w:rPr>
          <w:sz w:val="24"/>
          <w:szCs w:val="24"/>
          <w:lang w:val="en-US"/>
        </w:rPr>
      </w:pPr>
    </w:p>
    <w:p w14:paraId="09AFF62B" w14:textId="77777777" w:rsidR="00AB29B4" w:rsidRDefault="00AB29B4" w:rsidP="001C6E2D">
      <w:pPr>
        <w:spacing w:line="480" w:lineRule="auto"/>
        <w:rPr>
          <w:sz w:val="24"/>
          <w:szCs w:val="24"/>
          <w:lang w:val="en-US"/>
        </w:rPr>
      </w:pPr>
    </w:p>
    <w:p w14:paraId="53FBE244" w14:textId="77777777" w:rsidR="00AB29B4" w:rsidRDefault="00AB29B4" w:rsidP="001C6E2D">
      <w:pPr>
        <w:spacing w:line="480" w:lineRule="auto"/>
        <w:rPr>
          <w:sz w:val="24"/>
          <w:szCs w:val="24"/>
          <w:lang w:val="en-US"/>
        </w:rPr>
      </w:pPr>
    </w:p>
    <w:p w14:paraId="6A36757D" w14:textId="77777777" w:rsidR="00AB29B4" w:rsidRDefault="00AB29B4" w:rsidP="001C6E2D">
      <w:pPr>
        <w:spacing w:line="480" w:lineRule="auto"/>
        <w:rPr>
          <w:sz w:val="24"/>
          <w:szCs w:val="24"/>
          <w:lang w:val="en-US"/>
        </w:rPr>
      </w:pPr>
    </w:p>
    <w:p w14:paraId="7F8B58FF" w14:textId="77777777" w:rsidR="00E52A9C" w:rsidRDefault="00E52A9C" w:rsidP="001C6E2D">
      <w:pPr>
        <w:spacing w:line="480" w:lineRule="auto"/>
        <w:rPr>
          <w:sz w:val="24"/>
          <w:szCs w:val="24"/>
          <w:lang w:val="en-US"/>
        </w:rPr>
      </w:pPr>
    </w:p>
    <w:p w14:paraId="05FE9DC5" w14:textId="77777777" w:rsidR="00E52A9C" w:rsidRPr="008D4E6B" w:rsidRDefault="00E52A9C" w:rsidP="00E52A9C">
      <w:pPr>
        <w:spacing w:line="480" w:lineRule="auto"/>
        <w:rPr>
          <w:b/>
          <w:bCs/>
          <w:sz w:val="28"/>
          <w:szCs w:val="28"/>
          <w:lang w:val="en-US"/>
        </w:rPr>
      </w:pPr>
      <w:r w:rsidRPr="008D4E6B">
        <w:rPr>
          <w:rFonts w:hint="eastAsia"/>
          <w:b/>
          <w:bCs/>
          <w:sz w:val="28"/>
          <w:szCs w:val="28"/>
          <w:lang w:val="en-US"/>
        </w:rPr>
        <w:lastRenderedPageBreak/>
        <w:t>1.0 Introduction</w:t>
      </w:r>
    </w:p>
    <w:p w14:paraId="7B0A4997" w14:textId="57A4CF08" w:rsidR="00EF4A1B" w:rsidRPr="00EF4A1B" w:rsidRDefault="00EF4A1B" w:rsidP="00EF4A1B">
      <w:pPr>
        <w:spacing w:line="480" w:lineRule="auto"/>
        <w:rPr>
          <w:sz w:val="24"/>
          <w:szCs w:val="24"/>
          <w:lang w:val="en-US"/>
        </w:rPr>
      </w:pPr>
      <w:r w:rsidRPr="00EF4A1B">
        <w:rPr>
          <w:sz w:val="24"/>
          <w:szCs w:val="24"/>
          <w:lang w:val="en-US"/>
        </w:rPr>
        <w:t>Lao Feng Xiang Company was founded in 1848. It started as a local silverware store in Shanghai and has since grown into a multinational jewelry enterprise with business operations in over 30 countries and regions</w:t>
      </w:r>
      <w:r w:rsidR="00BF629A">
        <w:rPr>
          <w:sz w:val="24"/>
          <w:szCs w:val="24"/>
          <w:lang w:val="en-US"/>
        </w:rPr>
        <w:fldChar w:fldCharType="begin"/>
      </w:r>
      <w:r w:rsidR="0033166E">
        <w:rPr>
          <w:sz w:val="24"/>
          <w:szCs w:val="24"/>
          <w:lang w:val="en-US"/>
        </w:rPr>
        <w:instrText xml:space="preserve"> ADDIN ZOTERO_ITEM CSL_CITATION {"citationID":"4EfBDNTZ","properties":{"formattedCitation":"(DCFmodeling, 2025)","plainCitation":"(DCFmodeling, 2025)","noteIndex":0},"citationItems":[{"id":180,"uris":["http://zotero.org/users/18628635/items/VRH9CBHP"],"itemData":{"id":180,"type":"webpage","abstract":"[relinking] \n\nHome\nHistory\nOwners\nMission\nHow It Works\nHow It Makes Money\n\n\n\nA Brief History of Lao Feng Xiang Co., Ltd.\n\n\nLao Feng Xiang Co., Ltd., founded in 1848, is a renowned Chinese jewelry brand based in Shanghai. It specializes in the design, production, and sale of gold, silver, and diamond jewelry.\n\nOver the years, the company has expanded its operations significantly. As of 2022, Lao Feng Xiang operated over 4,000 retail outlets across China, making it one of the most recognized jewelry brands in the country.\n\nIn 2006, Lao Feng Xiang was publicly listed on the Shanghai Stock Exchange, with the stock code 600612. The initial offering price was ¥37.25 per share.\n\nIn 2020, the company's total revenue was approximately ¥21.8 billion, reflecting a year-on-year growth of 8.4%. The net profit for the same year reached around ¥1.9 billion, up from ¥1.7 billion in 2019.\n\nBy mid-2023, the company's market capitalization was estimated at approximately ¥50 billion, with shares trading around ¥65 each. The company continues to experience growth driven by expanding consumer demand and strategic marketing initiatives.\n\n\n    \n        Year\n        Total Revenue (¥ Billion)\n        Net Profit (¥ Billion)\n        Number of Retail Outlets\n        Stock Price (¥)\n    \n    \n        2019\n        20.1\n        1.7\n        3,500\n        32.00\n    \n    \n        2020\n        21.8\n        1.9\n        3,800\n        40.00\n    \n    \n        2021\n        24.0\n        2.2\n        4,000\n        50.00\n    \n    \n        2022\n        26.0\n        2.5\n        4,200\n        60.00\n    \n    \n        2023 (Estimated)\n        28.5\n        2.8\n        4,300\n        65.00\n    \n\n\nLao Feng Xiang has also embraced e-commerce, reporting that online sales accounted for approximately 30% of total revenue in 2022. This strategic move has positioned the company favorably amid rising digital shopping trends.\n\nIn recent years, the brand has focused on global expansion, with plans to enter markets in Southeast Asia and the Middle East, aiming to further increase its international footprint.\n\nThe company's commitment to sustainability is reflected in its initiatives to source conflict-free materials, aligning with the growing consumer demand for ethically produced goods.\n\nA Who Owns Lao Feng Xiang Co., Ltd.\n\n\nLao Feng Xiang Co., Ltd. is a prominent jewelry company in China, known for its rich history and extensive range of products, including gold and diamond jewelry. As of the latest data, the company is publicly traded on the Shanghai Stock Exchange under the ticker symbol 600612.\n\nThe ownership structure of Lao Feng Xiang is characterized by a blend of state ownership and significant private stakeholder investments. According to the most recent filings, the major shareholders include:\n\n\n\nShareholder\nShareholding Percentage\nType of Ownership\n\n\nLao Feng Xiang Group Co., Ltd.\n27.06%\nState-owned enterprise\n\n\nShanghai Yuyuan Tourist Mart Group Co., Ltd.\n15.19%\nPublicly traded corporation\n\n\nOther Institutional Investors\n30.75%\nInstitutional\n\n\nPublic Shareholders\n27.00%\nPublic\n\n\n\nThe largest shareholder, Lao Feng Xiang Group Co., Ltd., is responsible for a significant majority of the shares, representing over a quarter of the total stake in the company. This group plays a crucial role in the strategic decision-making process of the company.\n\nAccording to the financial reports for the fiscal year ending December 2022, Lao Feng Xiang reported revenues of approximately 7.2 billion CNY, marking a 12% increase year-over-year. The net profit for the same period stood at around 650 million CNY, reflecting a net profit margin of about 9%.\n\nThe company has seen fluctuations in its stock price over the past year. The stock traded at around 54 CNY per share in October 2022 but dropped to approximately 44 CNY in March 2023 before rebounding back to 52 CNY by September 2023.\n\nIn terms of market capitalization, Lao Feng Xiang's valuation was approximately 45 billion CNY as of the latest trading data. The company is also known for its strong brand recognition in the jewelry market, with significant sales channels both online and offline, contributing to its expansive market presence across China.\n\nOverall, Lao Feng Xiang's blend of private and state ownership, combined with its robust financial performance, positions it as a key player in the jewelry industry in China. The significant institutional interest also indicates confidence in the company's growth trajectory.\n\nLao Feng Xiang Co., Ltd. Mission Statement\n\n\nLao Feng Xiang Co., Ltd., a prominent player in the Chinese gold and jewelry market, focuses on delivering high-quality products while upholding traditional craftsmanship. The company aims to inspire customers with innovative designs and sustainable practices. The mission statement highlights the commitment to customer satisfaction, cultural heritage, and social responsibility.\n\nAs of October 2023, Lao Feng Xiang reported a revenue of approximately RMB 9 billion (around USD 1.2 billion), reflecting a year-over-year growth rate of 12%. The company operates over 3,000 retail outlets across China, showcasing its extensive market reach.\n\nThe company’s mission emphasizes not only profit but also the preservation of Chinese culture through jewelry. This is reflected in their annual investment of approximately RMB 50 million towards cultural heritage programs and initiatives.\n\n\n    \n        Year\n        Revenue (RMB)\n        Net Income (RMB)\n        Number of Outlets\n    \n    \n        2021\n        7.5 billion\n        800 million\n        2,800\n    \n    \n        2022\n        8.0 billion\n        900 million\n        3,000\n    \n    \n        2023\n        9.0 billion\n        1.1 billion\n        3,200\n    \n\n\nLao Feng Xiang also emphasizes environmental responsibility. In 2023, the company reduced its carbon footprint by 15% through initiatives like recycling and eco-friendly packaging. Such measures align with their goal of operating sustainably while catering to a growing demographic of environmentally conscious consumers.\n\nThe mission statement also underscores the importance of employee satisfaction and development. Lao Feng Xiang invests roughly RMB 30 million annually in training programs, enhancing employee skills and knowledge in traditional and modern jewelry making techniques.\n\nIn 2023, Lao Feng Xiang launched a new product line, featuring sustainable jewelry made from recycled materials, contributing to an increase in their market share by approximately 3% in the luxury segment of the jewelry market.\n\nAccording to market analysis, the Chinese jewelry market is expected to grow at a CAGR of 8.5% from 2023 to 2028, providing ample opportunities for Lao Feng Xiang to expand its presence and fulfill its mission of combining tradition with innovation.\n\nHow Lao Feng Xiang Co., Ltd. Works\n\n\nLao Feng Xiang Co., Ltd., founded in 1848, is one of the oldest and most prominent jewelry companies in China. It specializes in gold and silver jewelry, gemstones, and other precious metal products. The company operates both online and through a vast network of physical stores, focusing on quality craftsmanship and innovative designs.\n\nAs of 2023, Lao Feng Xiang has reported a robust revenue growth compared to previous years. The company's revenues for the fiscal year ending December 31, 2022, were approximately RMB 13.7 billion, representing a year-on-year increase of about 10%. This growth is attributed to rising consumer demand in both urban and rural areas, alongside expanding e-commerce initiatives.\n\nThe company has effectively leveraged its online sales platform, which contributed to approximately 30% of total sales in 2022. The e-commerce division's sales rose significantly, highlighting a shift in consumer purchasing behavior, particularly among younger demographics.\n\n\n  \n    Fiscal Year\n    Revenue (RMB Billion)\n    Year-on-Year Growth (%)\n    E-Commerce Contribution (%)\n  \n  \n    2020\n    11.2\n    5.5\n    20\n  \n  \n    2021\n    12.5\n    11.6\n    25\n  \n  \n    2022\n    13.7\n    10.0\n    30\n  \n\n\nIn terms of market presence, Lao Feng Xiang operates approximately 1,300 retail outlets across China, with a significant presence in tier-one cities such as Beijing, Shanghai, and Guangzhou. The brand is well-respected for its high-quality products and has built a loyal customer base over its long history.\n\nThe company has also invested heavily in marketing and brand image, launching several promotional campaigns that resonate with luxury consumers. In 2023, their marketing expenses reached around RMB 1.2 billion, a significant investment aimed at strengthening brand awareness and customer engagement.\n\nLao Feng Xiang focuses on sustainable sourcing and ethical practices, ensuring that the gemstones and precious metals used in their products adhere to strict environmental and ethical standards. This has become increasingly important to consumers and reflects a broader trend in the jewelry industry.\n\nAdditionally, the company's gross profit margin remained strong at approximately 30% in the latest fiscal year, showcasing effective cost management and operational efficiency. The net profit margin was reported at 8%, reflecting the company's ability to maintain profitability while investing in growth opportunities.\n\nIn 2023, the company's stock performance on the Shanghai Stock Exchange remains compelling, with a market capitalization of approximately RMB 45 billion. The stock price has seen fluctuations but has generally trended upwards, driven by strong financial results and positive market sentiment.\n\n\n  \n    Metric\n    Value\n  \n  \n    Market Capitalization (RMB Billion)\n    45\n  \n  \n    Gross Profit Margin (%)\n    30\n  \n  \n    Net Profit Margin (%)\n    8\n  \n  \n    Number of Retail Outlets\n    1,300\n  \n  \n    Marketing Expenses (RMB Billion)\n    1.2\n  \n\n\nOverall, Lao Feng Xiang Co., Ltd. continues to adapt to changing market dynamics, focusing on e-commerce expansion, sustainable practices, and maintaining high-quality standards. The company's storied history combined with its innovative approaches positions it well in the competitive jewelry market in China and beyond.\n\nHow Lao Feng Xiang Co., Ltd. Makes Money\n\nLao Feng Xiang Co., Ltd. is a prominent Chinese jewelry retailer, primarily known for its gold and silver jewelry products. The company generates revenue through various segments, including retail operations, online sales, and wholesale distributions.\n\nIn 2022, Lao Feng Xiang reported total revenue of approximately RMB 19.67 billion, which reflects a growth of 21.5% compared to the previous year. Retail sales made up a significant portion of this revenue, accounting for nearly 82% of total sales.\n\nRevenue Streams\n\n\n    \nRetail Sales: The core revenue stream, comprising direct sales in stores, made approximately RMB 16.12 billion in 2022.\n    \nOnline Sales: E-commerce initiatives have boosted sales, contributing around RMB 2.73 billion, reflecting a year-over-year increase of 35%.\n    \nWholesale Distribution: Sales to distributors and entities accounted for RMB 850 million.\n\n\nProduct Segmentation\n\nLao Feng Xiang uses a product segmentation strategy that focuses on various categories of jewelry:\n\n\n    \nGold Jewelry: The largest segment, accounting for approximately 65% of total revenue.\n    \nSilver Jewelry: Contributes about 20% of revenue.\n    \nPlatinum and Diamond Jewelry: Account for the remaining 15%.\n\n\nCost and Profit Margins\n\nThe company's cost structure includes both fixed and variable costs, with a focus on maintaining high profit margins:\n\n\n    \nGross Margin: The gross margin stood at 38% in 2022.\n    \nOperating Margin: Operating margin reported at 15%.\n    \nNet Profit Margin: The net margin was about 10.5%.\n\n\nMarket Presence\n\nLao Feng Xiang operates over 3,000 retail outlets across China, enhancing brand visibility and customer accessibility. The company also emphasizes luxury branding to tap into the growing affluent consumer base. In 2022, international sales accounted for approximately 5% of total revenue.\n\nFinancial Overview\n\n\n    \n        Financial Metric\n        2021\n        2022\n        Growth Rate (%)\n    \n    \n        Total Revenue (RMB billion)\n        16.17\n        19.67\n        21.5\n    \n    \n        Retail Sales (RMB billion)\n        13.25\n        16.12\n        21.6\n    \n    \n        Online Sales (RMB billion)\n        2.02\n        2.73\n        35.0\n    \n    \n        Wholesale Sales (RMB million)\n        700\n        850\n        21.4\n    \n    \n        Net Income (RMB billion)\n        1.55\n        2.07\n        33.5\n    \n\n\nThe significant increase in online sales illustrates the effectiveness of digital transformation strategies, appealing to younger consumers who prefer e-commerce channels. Furthermore, the high profit margins indicate efficient cost management and strong brand loyalty, which allows for premium pricing of products.\n\nWith a continued focus on expanding its market share and enhancing customer experience, Lao Feng Xiang is well-positioned to capitalize on the growing demand for high-quality jewelry in China and beyond.","container-title":"AI-Powered Discounted Cash Flow Editable Templates","language":"en","title":"Lao Feng Xiang Co., Ltd.: history, ownership, mission, how it works &amp; makes money","title-short":"Lao Feng Xiang Co., Ltd.","URL":"https://dcfmodeling.com/blogs/history/600612ss-history-mission-ownership","author":[{"family":"DCFmodeling","given":""}],"accessed":{"date-parts":[["2025",12,7]]},"issued":{"date-parts":[["2025",2,20]]}}}],"schema":"https://github.com/citation-style-language/schema/raw/master/csl-citation.json"} </w:instrText>
      </w:r>
      <w:r w:rsidR="00BF629A">
        <w:rPr>
          <w:sz w:val="24"/>
          <w:szCs w:val="24"/>
          <w:lang w:val="en-US"/>
        </w:rPr>
        <w:fldChar w:fldCharType="separate"/>
      </w:r>
      <w:r w:rsidR="0033166E" w:rsidRPr="007308EB">
        <w:rPr>
          <w:noProof/>
          <w:sz w:val="24"/>
          <w:szCs w:val="24"/>
          <w:lang w:val="en-US"/>
        </w:rPr>
        <w:t>(</w:t>
      </w:r>
      <w:proofErr w:type="spellStart"/>
      <w:r w:rsidR="0033166E" w:rsidRPr="007308EB">
        <w:rPr>
          <w:noProof/>
          <w:sz w:val="24"/>
          <w:szCs w:val="24"/>
          <w:lang w:val="en-US"/>
        </w:rPr>
        <w:t>DCFmodeling</w:t>
      </w:r>
      <w:proofErr w:type="spellEnd"/>
      <w:r w:rsidR="0033166E" w:rsidRPr="007308EB">
        <w:rPr>
          <w:noProof/>
          <w:sz w:val="24"/>
          <w:szCs w:val="24"/>
          <w:lang w:val="en-US"/>
        </w:rPr>
        <w:t>, 2025)</w:t>
      </w:r>
      <w:r w:rsidR="00BF629A">
        <w:rPr>
          <w:sz w:val="24"/>
          <w:szCs w:val="24"/>
          <w:lang w:val="en-US"/>
        </w:rPr>
        <w:fldChar w:fldCharType="end"/>
      </w:r>
      <w:r w:rsidRPr="00EF4A1B">
        <w:rPr>
          <w:sz w:val="24"/>
          <w:szCs w:val="24"/>
          <w:lang w:val="en-US"/>
        </w:rPr>
        <w:t>. It is a typical example of a Chinese brand facing cross-cultural ethical challenges during its globalization process.</w:t>
      </w:r>
    </w:p>
    <w:p w14:paraId="13134A71" w14:textId="6389059A" w:rsidR="00E52A9C" w:rsidRPr="00EF4A1B" w:rsidRDefault="00EF4A1B" w:rsidP="00EF4A1B">
      <w:pPr>
        <w:spacing w:line="480" w:lineRule="auto"/>
        <w:rPr>
          <w:sz w:val="24"/>
          <w:szCs w:val="24"/>
        </w:rPr>
      </w:pPr>
      <w:r w:rsidRPr="00EF4A1B">
        <w:rPr>
          <w:sz w:val="24"/>
          <w:szCs w:val="24"/>
          <w:lang w:val="en-US"/>
        </w:rPr>
        <w:t>In 2017, Lao Feng Xiang promoted a new wedding jewelry collection in Turkey, but the sales were poor because the image of the dragon conflicted with the local Islamic cultural concepts. In this situation, a product design accepted in Chinese culture sparked ethical questions about disrespecting local culture in that country. On the contrary, its gemstone collection launched in 2022 used recycled gold and laboratory-grown diamonds, receiving positive feedback worldwide. Consumers in Europe and China recognized its environmental responsibility</w:t>
      </w:r>
      <w:r w:rsidR="003C6BF3">
        <w:rPr>
          <w:sz w:val="24"/>
          <w:szCs w:val="24"/>
          <w:lang w:val="en-US"/>
        </w:rPr>
        <w:fldChar w:fldCharType="begin"/>
      </w:r>
      <w:r w:rsidR="00C3513C">
        <w:rPr>
          <w:sz w:val="24"/>
          <w:szCs w:val="24"/>
          <w:lang w:val="en-US"/>
        </w:rPr>
        <w:instrText xml:space="preserve"> ADDIN ZOTERO_ITEM CSL_CITATION {"citationID":"E2ItVWR6","properties":{"formattedCitation":"(vizologi, no date)","plainCitation":"(vizologi, no date)","noteIndex":0},"citationItems":[{"id":184,"uris":["http://zotero.org/users/18628635/items/ZLBYUEYV"],"itemData":{"id":184,"type":"webpage","abstract":"1848","container-title":"Vizologi | rethinking business model design","language":"en-US","title":"Lao Feng Xiang business model canvas","URL":"http://vizologi.com/business-strategy-canvas/lao-feng-xiang-business-model-canvas/?lang=en","author":[{"family":"vizologi","given":""}],"accessed":{"date-parts":[["2025",12,7]]}}}],"schema":"https://github.com/citation-style-language/schema/raw/master/csl-citation.json"} </w:instrText>
      </w:r>
      <w:r w:rsidR="003C6BF3">
        <w:rPr>
          <w:sz w:val="24"/>
          <w:szCs w:val="24"/>
          <w:lang w:val="en-US"/>
        </w:rPr>
        <w:fldChar w:fldCharType="separate"/>
      </w:r>
      <w:r w:rsidR="00C3513C">
        <w:rPr>
          <w:noProof/>
          <w:sz w:val="24"/>
          <w:szCs w:val="24"/>
          <w:lang w:val="en-US"/>
        </w:rPr>
        <w:t>(</w:t>
      </w:r>
      <w:proofErr w:type="spellStart"/>
      <w:r w:rsidR="00C3513C">
        <w:rPr>
          <w:noProof/>
          <w:sz w:val="24"/>
          <w:szCs w:val="24"/>
          <w:lang w:val="en-US"/>
        </w:rPr>
        <w:t>vizologi</w:t>
      </w:r>
      <w:proofErr w:type="spellEnd"/>
      <w:r w:rsidR="00C3513C">
        <w:rPr>
          <w:noProof/>
          <w:sz w:val="24"/>
          <w:szCs w:val="24"/>
          <w:lang w:val="en-US"/>
        </w:rPr>
        <w:t>, no date)</w:t>
      </w:r>
      <w:r w:rsidR="003C6BF3">
        <w:rPr>
          <w:sz w:val="24"/>
          <w:szCs w:val="24"/>
          <w:lang w:val="en-US"/>
        </w:rPr>
        <w:fldChar w:fldCharType="end"/>
      </w:r>
      <w:r w:rsidRPr="00EF4A1B">
        <w:rPr>
          <w:sz w:val="24"/>
          <w:szCs w:val="24"/>
          <w:lang w:val="en-US"/>
        </w:rPr>
        <w:t xml:space="preserve">. These contrasting experiences prompt reflection on ethical issues: why do the same business actions elicit different ethical evaluations in different cultures? Is the respect for religion and culture factors a specific situational obligation based on cultural relativism, or is it a universal ethical requirement? For enterprises, climate responsibility is a universal moral obligation or a strategic choice limited by specific policies and cultural </w:t>
      </w:r>
      <w:proofErr w:type="gramStart"/>
      <w:r w:rsidR="00223BC8" w:rsidRPr="00EF4A1B">
        <w:rPr>
          <w:sz w:val="24"/>
          <w:szCs w:val="24"/>
          <w:lang w:val="en-US"/>
        </w:rPr>
        <w:t>values</w:t>
      </w:r>
      <w:r w:rsidR="00223BC8">
        <w:rPr>
          <w:sz w:val="24"/>
          <w:szCs w:val="24"/>
          <w:lang w:val="en-US"/>
        </w:rPr>
        <w:t>?</w:t>
      </w:r>
      <w:proofErr w:type="gramEnd"/>
      <w:r w:rsidR="00223BC8" w:rsidRPr="00EF4A1B">
        <w:rPr>
          <w:sz w:val="24"/>
          <w:szCs w:val="24"/>
          <w:lang w:val="en-US"/>
        </w:rPr>
        <w:t xml:space="preserve"> This</w:t>
      </w:r>
      <w:r w:rsidRPr="00EF4A1B">
        <w:rPr>
          <w:sz w:val="24"/>
          <w:szCs w:val="24"/>
          <w:lang w:val="en-US"/>
        </w:rPr>
        <w:t xml:space="preserve"> report takes this as a starting point, using Lao Feng Xiang's practice as an example, to explore the ethical logic of enterprises in pursuing profits while taking on multiple responsibilities.</w:t>
      </w:r>
    </w:p>
    <w:p w14:paraId="65A3E912" w14:textId="77777777" w:rsidR="00E52A9C" w:rsidRDefault="00E52A9C" w:rsidP="00E52A9C">
      <w:pPr>
        <w:spacing w:line="480" w:lineRule="auto"/>
        <w:rPr>
          <w:sz w:val="24"/>
          <w:szCs w:val="24"/>
          <w:lang w:val="en-US"/>
        </w:rPr>
      </w:pPr>
    </w:p>
    <w:p w14:paraId="13F750E2" w14:textId="1FEB2D06" w:rsidR="00E52A9C" w:rsidRPr="008D4E6B" w:rsidRDefault="00E52A9C" w:rsidP="00E52A9C">
      <w:pPr>
        <w:spacing w:line="480" w:lineRule="auto"/>
        <w:rPr>
          <w:b/>
          <w:bCs/>
          <w:sz w:val="28"/>
          <w:szCs w:val="28"/>
          <w:lang w:val="en-US"/>
        </w:rPr>
      </w:pPr>
      <w:r w:rsidRPr="008D4E6B">
        <w:rPr>
          <w:rFonts w:hint="eastAsia"/>
          <w:b/>
          <w:bCs/>
          <w:sz w:val="28"/>
          <w:szCs w:val="28"/>
          <w:lang w:val="en-US"/>
        </w:rPr>
        <w:lastRenderedPageBreak/>
        <w:t xml:space="preserve">2.0 </w:t>
      </w:r>
      <w:r w:rsidRPr="008D4E6B">
        <w:rPr>
          <w:b/>
          <w:bCs/>
          <w:sz w:val="28"/>
          <w:szCs w:val="28"/>
          <w:lang w:val="en-US"/>
        </w:rPr>
        <w:t>Cultural Relativism, Universalism and Business Ethics</w:t>
      </w:r>
    </w:p>
    <w:p w14:paraId="3A6A0936" w14:textId="2242B676" w:rsidR="007951A4" w:rsidRPr="007951A4" w:rsidRDefault="007951A4" w:rsidP="007951A4">
      <w:pPr>
        <w:spacing w:line="480" w:lineRule="auto"/>
        <w:rPr>
          <w:sz w:val="24"/>
          <w:szCs w:val="24"/>
          <w:lang w:val="en-US"/>
        </w:rPr>
      </w:pPr>
      <w:r w:rsidRPr="007951A4">
        <w:rPr>
          <w:sz w:val="24"/>
          <w:szCs w:val="24"/>
          <w:lang w:val="en-US"/>
        </w:rPr>
        <w:t xml:space="preserve">To analyze the cross-cultural ethical issues faced by enterprises, it is necessary to clearly define the connotations of cultural relativism and ethical </w:t>
      </w:r>
      <w:r w:rsidR="00A11FB2" w:rsidRPr="007951A4">
        <w:rPr>
          <w:sz w:val="24"/>
          <w:szCs w:val="24"/>
          <w:lang w:val="en-US"/>
        </w:rPr>
        <w:t>universalism and</w:t>
      </w:r>
      <w:r w:rsidRPr="007951A4">
        <w:rPr>
          <w:sz w:val="24"/>
          <w:szCs w:val="24"/>
          <w:lang w:val="en-US"/>
        </w:rPr>
        <w:t xml:space="preserve"> combine them with utilitarianism for analysis</w:t>
      </w:r>
      <w:r w:rsidR="00F35D3E">
        <w:rPr>
          <w:sz w:val="24"/>
          <w:szCs w:val="24"/>
          <w:lang w:val="en-US"/>
        </w:rPr>
        <w:fldChar w:fldCharType="begin"/>
      </w:r>
      <w:r w:rsidR="00F35D3E">
        <w:rPr>
          <w:sz w:val="24"/>
          <w:szCs w:val="24"/>
          <w:lang w:val="en-US"/>
        </w:rPr>
        <w:instrText xml:space="preserve"> ADDIN ZOTERO_ITEM CSL_CITATION {"citationID":"AixO7zmp","properties":{"formattedCitation":"(Ermasova, 2021)","plainCitation":"(Ermasova, 2021)","noteIndex":0},"citationItems":[{"id":188,"uris":["http://zotero.org/users/18628635/items/EV85G34X"],"itemData":{"id":188,"type":"article-journal","abstract":"This paper reports a systematic literature review of articles published over the past 35 years on cross-cultural issues in business ethics. A screening process resulted in a final sample of 306 papers in 26 double-blind reviewed journals with an impact factor score of at least 1.0 in the field. This study uses citation analysis, systematic literature review method, and knowledge-stock analysis. This study highlights the findings from prior studies, compares and contrasts salient characteristics and provides directions for future research. This study identifies important gaps between the literature and the challenges of cross-cultural issues in business ethics. These gaps include lack of conceptual articles, multi-countries level analysis, and deficiency of comparison analysis between developed and developing countries. This article proposes to apply virtue ethics and model of cultural sense-making as some analytical frameworks in the field of cross-cultural issues in business ethics. This review of the literature could provide managers with a longitudinal perspective on how the institutional environment and national culture affect business ethics perception of employees. This paper contributes to the cross-cultural literature on ethical attitudes, helps us better understand cross-cultural differences in business ethics, and provides directions for further research.","container-title":"International Journal of Cross Cultural Management","DOI":"10.1177/1470595821999075","ISSN":"1470-5958","issue":"1","journalAbbreviation":"Int'l Jnl of Cross Cultural Management","language":"EN","note":"publisher: SAGE Publications","page":"95-121","source":"SAGE Journals","title":"Cross-cultural issues in business ethics: A review and research agenda","title-short":"Cross-cultural issues in business ethics","volume":"21","author":[{"family":"Ermasova","given":"Natalia"}],"issued":{"date-parts":[["2021",4,1]]}}}],"schema":"https://github.com/citation-style-language/schema/raw/master/csl-citation.json"} </w:instrText>
      </w:r>
      <w:r w:rsidR="00F35D3E">
        <w:rPr>
          <w:sz w:val="24"/>
          <w:szCs w:val="24"/>
          <w:lang w:val="en-US"/>
        </w:rPr>
        <w:fldChar w:fldCharType="separate"/>
      </w:r>
      <w:r w:rsidR="00F35D3E">
        <w:rPr>
          <w:noProof/>
          <w:sz w:val="24"/>
          <w:szCs w:val="24"/>
          <w:lang w:val="en-US"/>
        </w:rPr>
        <w:t>(</w:t>
      </w:r>
      <w:proofErr w:type="spellStart"/>
      <w:r w:rsidR="00F35D3E">
        <w:rPr>
          <w:noProof/>
          <w:sz w:val="24"/>
          <w:szCs w:val="24"/>
          <w:lang w:val="en-US"/>
        </w:rPr>
        <w:t>Ermasova</w:t>
      </w:r>
      <w:proofErr w:type="spellEnd"/>
      <w:r w:rsidR="00F35D3E">
        <w:rPr>
          <w:noProof/>
          <w:sz w:val="24"/>
          <w:szCs w:val="24"/>
          <w:lang w:val="en-US"/>
        </w:rPr>
        <w:t>, 2021)</w:t>
      </w:r>
      <w:r w:rsidR="00F35D3E">
        <w:rPr>
          <w:sz w:val="24"/>
          <w:szCs w:val="24"/>
          <w:lang w:val="en-US"/>
        </w:rPr>
        <w:fldChar w:fldCharType="end"/>
      </w:r>
      <w:r w:rsidRPr="007951A4">
        <w:rPr>
          <w:sz w:val="24"/>
          <w:szCs w:val="24"/>
          <w:lang w:val="en-US"/>
        </w:rPr>
        <w:t>.</w:t>
      </w:r>
    </w:p>
    <w:p w14:paraId="10F03C74" w14:textId="284D9817" w:rsidR="007951A4" w:rsidRPr="007951A4" w:rsidRDefault="007951A4" w:rsidP="007951A4">
      <w:pPr>
        <w:spacing w:line="480" w:lineRule="auto"/>
        <w:rPr>
          <w:sz w:val="24"/>
          <w:szCs w:val="24"/>
          <w:lang w:val="en-US"/>
        </w:rPr>
      </w:pPr>
      <w:r w:rsidRPr="007951A4">
        <w:rPr>
          <w:sz w:val="24"/>
          <w:szCs w:val="24"/>
          <w:lang w:val="en-US"/>
        </w:rPr>
        <w:t>Cultural relativism holds that moral norms are not absolute but are shaped by specific cultural environments</w:t>
      </w:r>
      <w:r w:rsidR="005D50B0">
        <w:rPr>
          <w:sz w:val="24"/>
          <w:szCs w:val="24"/>
          <w:lang w:val="en-US"/>
        </w:rPr>
        <w:fldChar w:fldCharType="begin"/>
      </w:r>
      <w:r w:rsidR="00062987">
        <w:rPr>
          <w:sz w:val="24"/>
          <w:szCs w:val="24"/>
          <w:lang w:val="en-US"/>
        </w:rPr>
        <w:instrText xml:space="preserve"> ADDIN ZOTERO_ITEM CSL_CITATION {"citationID":"VB7Pbur7","properties":{"formattedCitation":"(\\uc0\\u8216{}Cultural Relativism: Definition &amp; Examples\\uc0\\u8217{}, 2022)","plainCitation":"(‘Cultural Relativism: Definition &amp; Examples’, 2022)","noteIndex":0},"citationItems":[{"id":191,"uris":["http://zotero.org/users/18628635/items/6XPLW8KP"],"itemData":{"id":191,"type":"post-weblog","abstract":"Cultural relativism is the principle of regarding the beliefs, values, and practices of a culture from the viewpoint of that culture itself.","language":"en-US","note":"section: Social Psychology","title":"Cultural Relativism: Definition &amp; Examples","title-short":"Cultural Relativism","URL":"https://www.simplypsychology.org/cultural-relativism.html","accessed":{"date-parts":[["2025",12,8]]},"issued":{"date-parts":[["2022",11,3]]}}}],"schema":"https://github.com/citation-style-language/schema/raw/master/csl-citation.json"} </w:instrText>
      </w:r>
      <w:r w:rsidR="005D50B0">
        <w:rPr>
          <w:sz w:val="24"/>
          <w:szCs w:val="24"/>
          <w:lang w:val="en-US"/>
        </w:rPr>
        <w:fldChar w:fldCharType="separate"/>
      </w:r>
      <w:r w:rsidR="00062987" w:rsidRPr="00062987">
        <w:rPr>
          <w:rFonts w:eastAsiaTheme="minorEastAsia" w:cs="Calibri"/>
          <w:kern w:val="0"/>
          <w:sz w:val="24"/>
          <w:szCs w:val="24"/>
          <w:lang w:val="en-US"/>
          <w14:ligatures w14:val="standardContextual"/>
        </w:rPr>
        <w:t>(‘Cultural Relativism: Definition &amp; Examples’, 2022)</w:t>
      </w:r>
      <w:r w:rsidR="005D50B0">
        <w:rPr>
          <w:sz w:val="24"/>
          <w:szCs w:val="24"/>
          <w:lang w:val="en-US"/>
        </w:rPr>
        <w:fldChar w:fldCharType="end"/>
      </w:r>
      <w:r w:rsidRPr="007951A4">
        <w:rPr>
          <w:sz w:val="24"/>
          <w:szCs w:val="24"/>
          <w:lang w:val="en-US"/>
        </w:rPr>
        <w:t>. For multinational enterprises, this means that commercial decisions such as product design and marketing must be measured according to local religious beliefs, values, and behavioral norms. What is considered respectful behavior in one culture may be regarded as offensive in another culture, which is the root cause of cross-cultural ethical conflicts</w:t>
      </w:r>
      <w:r w:rsidR="007A77D3">
        <w:rPr>
          <w:sz w:val="24"/>
          <w:szCs w:val="24"/>
          <w:lang w:val="en-US"/>
        </w:rPr>
        <w:fldChar w:fldCharType="begin"/>
      </w:r>
      <w:r w:rsidR="00F47D54">
        <w:rPr>
          <w:sz w:val="24"/>
          <w:szCs w:val="24"/>
          <w:lang w:val="en-US"/>
        </w:rPr>
        <w:instrText xml:space="preserve"> ADDIN ZOTERO_ITEM CSL_CITATION {"citationID":"WrvxtpS7","properties":{"formattedCitation":"(Somaraju, 2023)","plainCitation":"(Somaraju, 2023)","noteIndex":0},"citationItems":[{"id":193,"uris":["http://zotero.org/users/18628635/items/RVY8QJSU"],"itemData":{"id":193,"type":"article-journal","abstract":"Using a social motives framework, I tested two process models that linked ethical beliefs of Relativism and Idealism to conflict resolution preferences of Compromise and Forcing through social values (Face, Collectivism, Dignity, and Honor). Cultural relativity of the models was assessed across three-cultural subgroups (Confucian, Hindu, and Aristotelian). Results revealed that the process model for Idealism held across cultures as Idealism was indirectly related to Forcing through Dignity and Honor. However, the results suggested that the process model for Relativism differed across cultural groups as Relativism was indirectly related to Compromise through both Face and Collectivism for Confucian cultures, but indirectly related to Compromise through Collectivism for Hindu cultures, and indirectly related to Compromise through Face for Aristotelian cultures. By examining the relationships between ethical beliefs and social values commonly attributed to cultural differences in conflict resolution preferences, the study disentangles the culture-specific and culture-free relationships which are important to resolving interpersonal conflict.","container-title":"International Journal of Cross Cultural Management","DOI":"10.1177/14705958231155014","ISSN":"1470-5958","issue":"1","journalAbbreviation":"Int'l Jnl of Cross Cultural Management","language":"EN","note":"publisher: SAGE Publications","page":"215-237","source":"SAGE Journals","title":"Cultural differences in ethics and values during conflict resolution: A disentangling approach","title-short":"Cultural differences in ethics and values during conflict resolution","volume":"23","author":[{"family":"Somaraju","given":"Ajay V"}],"issued":{"date-parts":[["2023",4,1]]}}}],"schema":"https://github.com/citation-style-language/schema/raw/master/csl-citation.json"} </w:instrText>
      </w:r>
      <w:r w:rsidR="007A77D3">
        <w:rPr>
          <w:sz w:val="24"/>
          <w:szCs w:val="24"/>
          <w:lang w:val="en-US"/>
        </w:rPr>
        <w:fldChar w:fldCharType="separate"/>
      </w:r>
      <w:r w:rsidR="00F47D54">
        <w:rPr>
          <w:noProof/>
          <w:sz w:val="24"/>
          <w:szCs w:val="24"/>
          <w:lang w:val="en-US"/>
        </w:rPr>
        <w:t>(</w:t>
      </w:r>
      <w:proofErr w:type="spellStart"/>
      <w:r w:rsidR="00F47D54">
        <w:rPr>
          <w:noProof/>
          <w:sz w:val="24"/>
          <w:szCs w:val="24"/>
          <w:lang w:val="en-US"/>
        </w:rPr>
        <w:t>Somaraju</w:t>
      </w:r>
      <w:proofErr w:type="spellEnd"/>
      <w:r w:rsidR="00F47D54">
        <w:rPr>
          <w:noProof/>
          <w:sz w:val="24"/>
          <w:szCs w:val="24"/>
          <w:lang w:val="en-US"/>
        </w:rPr>
        <w:t>, 2023)</w:t>
      </w:r>
      <w:r w:rsidR="007A77D3">
        <w:rPr>
          <w:sz w:val="24"/>
          <w:szCs w:val="24"/>
          <w:lang w:val="en-US"/>
        </w:rPr>
        <w:fldChar w:fldCharType="end"/>
      </w:r>
      <w:r w:rsidRPr="007951A4">
        <w:rPr>
          <w:sz w:val="24"/>
          <w:szCs w:val="24"/>
          <w:lang w:val="en-US"/>
        </w:rPr>
        <w:t>.</w:t>
      </w:r>
    </w:p>
    <w:p w14:paraId="6B4BEDD4" w14:textId="6D0D5EC3" w:rsidR="007951A4" w:rsidRPr="007951A4" w:rsidRDefault="007951A4" w:rsidP="007951A4">
      <w:pPr>
        <w:spacing w:line="480" w:lineRule="auto"/>
        <w:rPr>
          <w:sz w:val="24"/>
          <w:szCs w:val="24"/>
          <w:lang w:val="en-US"/>
        </w:rPr>
      </w:pPr>
      <w:r w:rsidRPr="007951A4">
        <w:rPr>
          <w:sz w:val="24"/>
          <w:szCs w:val="24"/>
          <w:lang w:val="en-US"/>
        </w:rPr>
        <w:t>In contrast, ethical universalism holds that there are universal moral principles that transcend cultural differences, such as respecting others and protecting the common environment. These principles form the lowest ethical baseline for enterprises, regardless of their cultural background</w:t>
      </w:r>
      <w:r w:rsidR="00446D4D">
        <w:rPr>
          <w:sz w:val="24"/>
          <w:szCs w:val="24"/>
          <w:lang w:val="en-US"/>
        </w:rPr>
        <w:fldChar w:fldCharType="begin"/>
      </w:r>
      <w:r w:rsidR="00EF2A27">
        <w:rPr>
          <w:sz w:val="24"/>
          <w:szCs w:val="24"/>
          <w:lang w:val="en-US"/>
        </w:rPr>
        <w:instrText xml:space="preserve"> ADDIN ZOTERO_ITEM CSL_CITATION {"citationID":"5BeITnCr","properties":{"formattedCitation":"(B\\uc0\\u229{}genholm {\\i{}et al.}, 2021)","plainCitation":"(Bågenholm et al., 2021)","noteIndex":0},"citationItems":[{"id":197,"uris":["http://zotero.org/users/18628635/items/X58GPBFM"],"itemData":{"id":197,"type":"book","abstract":"Recent research demonstrates that the quality of public institutions are crucial for a number of important environmental, social, economic, and political outcomes, and thereby human well-being. The Quality of Government (QoG) approach directs attention to issues such as impartiality in the exercise of public power, professionalism in public service delivery, effective measures against corruption, and meritocracy instead of patronage and nepotism in the hiring of public sector employees. This handbook offer a comprehensive, state of the art overview of this rapidly expanding research field and also identifies viable avenues for future research. The initial chapters focus on theoretical approaches and debates, and the central question of how QoG can be measured. The remaining chapters examine the wealth of empirical research on how QoG relates to democratization, social cohesion, ethnic diversity, human wellbeing, democratic accountability, economic growth, political legitimacy, environmental sustainability, gender quality, and the outbreak of civil conflicts. These chapters bring evidence to bear to examine, for example, questions of the effect of QoG on subjective well-being (i.e. happiness), social trust and inequality. A third set of chapters turns to the perennial issue of which contextual factors and policy approaches, both national, local and international, have proven successful (and not so successful) for increasing QoG.The Quality of Government approach both challenges and complements important strands of inquiry in the social sciences. For research about democratization, QoG adds the importance of taking state capacity into account. For economics, the QoG approach shows that in order to produce economic prosperity, markets need to be embedded in institutions with a certain set of qualities. For development studies, QoG emphasizes that issues about corruption are integral to understanding development writ large.","ISBN":"978-0-19-885821-8","language":"en","note":"Google-Books-ID: Nbo0EAAAQBAJ","number-of-pages":"881","publisher":"Oxford University Press","source":"Google Books","title":"The Oxford Handbook of the Quality of Government","author":[{"family":"Bågenholm","given":"Andreas"},{"family":"Bauhr","given":"Monika"},{"family":"Grimes","given":"Marcia"},{"family":"Rothstein","given":"Bo"}],"issued":{"date-parts":[["2021"]]}}}],"schema":"https://github.com/citation-style-language/schema/raw/master/csl-citation.json"} </w:instrText>
      </w:r>
      <w:r w:rsidR="00446D4D">
        <w:rPr>
          <w:sz w:val="24"/>
          <w:szCs w:val="24"/>
          <w:lang w:val="en-US"/>
        </w:rPr>
        <w:fldChar w:fldCharType="separate"/>
      </w:r>
      <w:r w:rsidR="00EF2A27" w:rsidRPr="00EF2A27">
        <w:rPr>
          <w:rFonts w:eastAsiaTheme="minorEastAsia" w:cs="Calibri"/>
          <w:kern w:val="0"/>
          <w:sz w:val="24"/>
          <w:szCs w:val="24"/>
          <w:lang w:val="en-US"/>
          <w14:ligatures w14:val="standardContextual"/>
        </w:rPr>
        <w:t>(</w:t>
      </w:r>
      <w:proofErr w:type="spellStart"/>
      <w:r w:rsidR="00EF2A27" w:rsidRPr="00EF2A27">
        <w:rPr>
          <w:rFonts w:eastAsiaTheme="minorEastAsia" w:cs="Calibri"/>
          <w:kern w:val="0"/>
          <w:sz w:val="24"/>
          <w:szCs w:val="24"/>
          <w:lang w:val="en-US"/>
          <w14:ligatures w14:val="standardContextual"/>
        </w:rPr>
        <w:t>Bågenholm</w:t>
      </w:r>
      <w:proofErr w:type="spellEnd"/>
      <w:r w:rsidR="00EF2A27" w:rsidRPr="00EF2A27">
        <w:rPr>
          <w:rFonts w:eastAsiaTheme="minorEastAsia" w:cs="Calibri"/>
          <w:kern w:val="0"/>
          <w:sz w:val="24"/>
          <w:szCs w:val="24"/>
          <w:lang w:val="en-US"/>
          <w14:ligatures w14:val="standardContextual"/>
        </w:rPr>
        <w:t xml:space="preserve"> </w:t>
      </w:r>
      <w:r w:rsidR="00EF2A27" w:rsidRPr="00EF2A27">
        <w:rPr>
          <w:rFonts w:eastAsiaTheme="minorEastAsia" w:cs="Calibri"/>
          <w:i/>
          <w:iCs/>
          <w:kern w:val="0"/>
          <w:sz w:val="24"/>
          <w:szCs w:val="24"/>
          <w:lang w:val="en-US"/>
          <w14:ligatures w14:val="standardContextual"/>
        </w:rPr>
        <w:t>et al.</w:t>
      </w:r>
      <w:r w:rsidR="00EF2A27" w:rsidRPr="00EF2A27">
        <w:rPr>
          <w:rFonts w:eastAsiaTheme="minorEastAsia" w:cs="Calibri"/>
          <w:kern w:val="0"/>
          <w:sz w:val="24"/>
          <w:szCs w:val="24"/>
          <w:lang w:val="en-US"/>
          <w14:ligatures w14:val="standardContextual"/>
        </w:rPr>
        <w:t>, 2021)</w:t>
      </w:r>
      <w:r w:rsidR="00446D4D">
        <w:rPr>
          <w:sz w:val="24"/>
          <w:szCs w:val="24"/>
          <w:lang w:val="en-US"/>
        </w:rPr>
        <w:fldChar w:fldCharType="end"/>
      </w:r>
      <w:r w:rsidRPr="007951A4">
        <w:rPr>
          <w:sz w:val="24"/>
          <w:szCs w:val="24"/>
          <w:lang w:val="en-US"/>
        </w:rPr>
        <w:t>.</w:t>
      </w:r>
    </w:p>
    <w:p w14:paraId="090DD89E" w14:textId="5ABF99F3" w:rsidR="00E52A9C" w:rsidRPr="00A11FB2" w:rsidRDefault="007951A4" w:rsidP="00E52A9C">
      <w:pPr>
        <w:spacing w:line="480" w:lineRule="auto"/>
        <w:rPr>
          <w:rFonts w:hint="eastAsia"/>
          <w:sz w:val="24"/>
          <w:szCs w:val="24"/>
        </w:rPr>
      </w:pPr>
      <w:r w:rsidRPr="007951A4">
        <w:rPr>
          <w:sz w:val="24"/>
          <w:szCs w:val="24"/>
          <w:lang w:val="en-US"/>
        </w:rPr>
        <w:t>Utilitarianism, as a supplementary theory, provides an outcome-oriented evaluation standard for moral decisions. It holds that the moral value of an action lies in whether it can maximize the overall interests of stakeholders</w:t>
      </w:r>
      <w:r w:rsidR="001E13C9">
        <w:rPr>
          <w:sz w:val="24"/>
          <w:szCs w:val="24"/>
          <w:lang w:val="en-US"/>
        </w:rPr>
        <w:fldChar w:fldCharType="begin"/>
      </w:r>
      <w:r w:rsidR="00BA1C6B">
        <w:rPr>
          <w:sz w:val="24"/>
          <w:szCs w:val="24"/>
          <w:lang w:val="en-US"/>
        </w:rPr>
        <w:instrText xml:space="preserve"> ADDIN ZOTERO_ITEM CSL_CITATION {"citationID":"uMdfpH0e","properties":{"formattedCitation":"(Sebo, 2023)","plainCitation":"(Sebo, 2023)","noteIndex":0},"citationItems":[{"id":199,"uris":["http://zotero.org/users/18628635/items/8JXXZLNP"],"itemData":{"id":199,"type":"article-journal","abstract":"This paper considers questions that small animals and AI systems raise for utilitarianism. Specifically, if these beings have more welfare than humans and other large animals, then utilitarianism implies that we should prioritize them, all else equal. This could lead to a ‘rebugnant conclusion’, according to which we should, say, create large populations of small animals rather than small populations of large animals. It could also lead to a ‘Pascal’s bugging’, according to which we should, say, prioritize large populations of small animals even if they have a low chance of being sentient. I suggest that utilitarians should accept these implications in theory but might be able to avoid some of them in practice.","container-title":"Ethics, Policy &amp; Environment","DOI":"10.1080/21550085.2023.2200724","ISSN":"2155-0085","issue":"2","note":"publisher: Routledge\n_eprint: https://doi.org/10.1080/21550085.2023.2200724\nTLDR: This paper considers questions that small animals and AI systems raise for utilitarianism, and suggests that utilitarians should accept these implications in theory but might be able to avoid them in practice.","page":"249-264","source":"Taylor and Francis+NEJM","title":"The Rebugnant Conclusion: Utilitarianism, Insects, Microbes, and AI Systems","title-short":"The Rebugnant Conclusion","volume":"26","author":[{"family":"Sebo","given":"Jeff"}],"issued":{"date-parts":[["2023",5,4]]}}}],"schema":"https://github.com/citation-style-language/schema/raw/master/csl-citation.json"} </w:instrText>
      </w:r>
      <w:r w:rsidR="001E13C9">
        <w:rPr>
          <w:sz w:val="24"/>
          <w:szCs w:val="24"/>
          <w:lang w:val="en-US"/>
        </w:rPr>
        <w:fldChar w:fldCharType="separate"/>
      </w:r>
      <w:r w:rsidR="00BA1C6B">
        <w:rPr>
          <w:noProof/>
          <w:sz w:val="24"/>
          <w:szCs w:val="24"/>
          <w:lang w:val="en-US"/>
        </w:rPr>
        <w:t>(Sebo, 2023)</w:t>
      </w:r>
      <w:r w:rsidR="001E13C9">
        <w:rPr>
          <w:sz w:val="24"/>
          <w:szCs w:val="24"/>
          <w:lang w:val="en-US"/>
        </w:rPr>
        <w:fldChar w:fldCharType="end"/>
      </w:r>
      <w:r w:rsidRPr="007951A4">
        <w:rPr>
          <w:sz w:val="24"/>
          <w:szCs w:val="24"/>
          <w:lang w:val="en-US"/>
        </w:rPr>
        <w:t>. For enterprises, this means that cross-cultural ethical decisions need to balance multiple interests and cannot merely focus on short-term profits</w:t>
      </w:r>
      <w:r w:rsidR="00B300AF">
        <w:rPr>
          <w:sz w:val="24"/>
          <w:szCs w:val="24"/>
          <w:lang w:val="en-US"/>
        </w:rPr>
        <w:fldChar w:fldCharType="begin"/>
      </w:r>
      <w:r w:rsidR="003056A5">
        <w:rPr>
          <w:sz w:val="24"/>
          <w:szCs w:val="24"/>
          <w:lang w:val="en-US"/>
        </w:rPr>
        <w:instrText xml:space="preserve"> ADDIN ZOTERO_ITEM CSL_CITATION {"citationID":"K5aEsBUZ","properties":{"formattedCitation":"(Lee, Yun and Kang, 2024)","plainCitation":"(Lee, Yun and Kang, 2024)","noteIndex":0},"citationItems":[{"id":201,"uris":["http://zotero.org/users/18628635/items/UI2TL89W"],"itemData":{"id":201,"type":"paper-conference","abstract":"How can we accurately capture users’ diverse interests to provide more relevant recommendations based on their historical interactions? Recent advancements in recommender systems have led to the development of multi-interest recommendation models that attempt to capture the diverse interests of users through multiple interest vectors. While theoretically promising, existing implementations frequently struggle with oversimplifying user interests, where models tend to focus on a single dominant vector and overlook the relationships between multiple interests, failing to represent the full complexity of users’ interests. This limits the models’ ability to truly personalize and diversify the recommendations provided to users. In response to this challenge, we propose BaM (Ba lanced Interest Learning for Multi-interest Recommendation), a versatile training scheme tailored for multi-interest recommendation models that ensures the full utilization of all interest vectors, leading to more effective recommendations. Instead of prioritizing an interest vector with the highest similarity to the ground-truth item for loss computation, BaM exploits a soft-selection approach, ensuring balanced training across multiple interest vectors. Furthermore, BaM trains all interest representations simultaneously through a multi-interest loss function that accounts for the contributions of every interest. This allows for a broader consideration of multiple interest vectors which are also related to the users’ diverse preferences with varying degrees of relevance. Extensive experiments with real-world datasets show that BaM achieves up to 31.43% higher accuracy in sequential recommendation compared to the best competitor, resulting in the state-of-the-art performance.","container-title":"2024 IEEE International Conference on Big Data (BigData)","DOI":"10.1109/BigData62323.2024.10825213","event-title":"2024 IEEE International Conference on Big Data (BigData)","note":"ISSN: 2573-2978","page":"394-402","source":"IEEE Xplore","title":"Towards True Multi-interest Recommendation: Enhanced Scheme for Balanced Interest Training","title-short":"Towards True Multi-interest Recommendation","URL":"https://ieeexplore.ieee.org/abstract/document/10825213","author":[{"family":"Lee","given":"Jaeri"},{"family":"Yun","given":"Jeongin"},{"family":"Kang","given":"U"}],"accessed":{"date-parts":[["2025",12,8]]},"issued":{"date-parts":[["2024",12]]}}}],"schema":"https://github.com/citation-style-language/schema/raw/master/csl-citation.json"} </w:instrText>
      </w:r>
      <w:r w:rsidR="00B300AF">
        <w:rPr>
          <w:sz w:val="24"/>
          <w:szCs w:val="24"/>
          <w:lang w:val="en-US"/>
        </w:rPr>
        <w:fldChar w:fldCharType="separate"/>
      </w:r>
      <w:r w:rsidR="003056A5">
        <w:rPr>
          <w:noProof/>
          <w:sz w:val="24"/>
          <w:szCs w:val="24"/>
          <w:lang w:val="en-US"/>
        </w:rPr>
        <w:t>(Lee, Yun and Kang, 2024)</w:t>
      </w:r>
      <w:r w:rsidR="00B300AF">
        <w:rPr>
          <w:sz w:val="24"/>
          <w:szCs w:val="24"/>
          <w:lang w:val="en-US"/>
        </w:rPr>
        <w:fldChar w:fldCharType="end"/>
      </w:r>
      <w:r w:rsidRPr="007951A4">
        <w:rPr>
          <w:sz w:val="24"/>
          <w:szCs w:val="24"/>
          <w:lang w:val="en-US"/>
        </w:rPr>
        <w:t>.</w:t>
      </w:r>
    </w:p>
    <w:p w14:paraId="11E69811" w14:textId="2783B893" w:rsidR="00E52A9C" w:rsidRPr="008D4E6B" w:rsidRDefault="00E52A9C" w:rsidP="00E52A9C">
      <w:pPr>
        <w:spacing w:line="480" w:lineRule="auto"/>
        <w:rPr>
          <w:b/>
          <w:bCs/>
          <w:sz w:val="28"/>
          <w:szCs w:val="28"/>
          <w:lang w:val="en-US"/>
        </w:rPr>
      </w:pPr>
      <w:r w:rsidRPr="008D4E6B">
        <w:rPr>
          <w:rFonts w:hint="eastAsia"/>
          <w:b/>
          <w:bCs/>
          <w:sz w:val="28"/>
          <w:szCs w:val="28"/>
          <w:lang w:val="en-US"/>
        </w:rPr>
        <w:t xml:space="preserve">3.0 </w:t>
      </w:r>
      <w:r w:rsidRPr="008D4E6B">
        <w:rPr>
          <w:b/>
          <w:bCs/>
          <w:sz w:val="28"/>
          <w:szCs w:val="28"/>
          <w:lang w:val="en-US"/>
        </w:rPr>
        <w:t>Lao</w:t>
      </w:r>
      <w:r w:rsidR="0067684B">
        <w:rPr>
          <w:b/>
          <w:bCs/>
          <w:sz w:val="28"/>
          <w:szCs w:val="28"/>
          <w:lang w:val="en-US"/>
        </w:rPr>
        <w:t xml:space="preserve"> F</w:t>
      </w:r>
      <w:r w:rsidRPr="008D4E6B">
        <w:rPr>
          <w:b/>
          <w:bCs/>
          <w:sz w:val="28"/>
          <w:szCs w:val="28"/>
          <w:lang w:val="en-US"/>
        </w:rPr>
        <w:t>eng</w:t>
      </w:r>
      <w:r w:rsidR="0067684B">
        <w:rPr>
          <w:b/>
          <w:bCs/>
          <w:sz w:val="28"/>
          <w:szCs w:val="28"/>
          <w:lang w:val="en-US"/>
        </w:rPr>
        <w:t xml:space="preserve"> X</w:t>
      </w:r>
      <w:r w:rsidRPr="008D4E6B">
        <w:rPr>
          <w:b/>
          <w:bCs/>
          <w:sz w:val="28"/>
          <w:szCs w:val="28"/>
          <w:lang w:val="en-US"/>
        </w:rPr>
        <w:t>iang’s Practice in Religious and Cultural Contexts</w:t>
      </w:r>
    </w:p>
    <w:p w14:paraId="5B604B02" w14:textId="40F35C14" w:rsidR="00E52A9C" w:rsidRDefault="00736CCD" w:rsidP="00E52A9C">
      <w:pPr>
        <w:spacing w:line="480" w:lineRule="auto"/>
        <w:rPr>
          <w:sz w:val="24"/>
          <w:szCs w:val="24"/>
          <w:lang w:val="en-US"/>
        </w:rPr>
      </w:pPr>
      <w:r w:rsidRPr="00736CCD">
        <w:rPr>
          <w:sz w:val="24"/>
          <w:szCs w:val="24"/>
          <w:lang w:val="en-US"/>
        </w:rPr>
        <w:t xml:space="preserve">The Middle East and Southeast Asia are important overseas markets for Lao Feng Xiang </w:t>
      </w:r>
      <w:r w:rsidRPr="00736CCD">
        <w:rPr>
          <w:sz w:val="24"/>
          <w:szCs w:val="24"/>
          <w:lang w:val="en-US"/>
        </w:rPr>
        <w:lastRenderedPageBreak/>
        <w:t xml:space="preserve">Company. The residents in these regions are mostly Muslims. These markets also fully reflect the ethical conflicts and solutions based on cultural relativism. In 2019, Lao Feng Xiang Company initially planned to launch a new gold jewelry series in Indonesia, where there is a large Muslim population. Although the phoenix image in Chinese culture is a symbol of good luck, it conflicts with the aesthetic preferences of local Islamic culture. Islam advocates avoiding anthropomorphic and anthropomorphic images in religious and daily life, and the complex patterns of the phoenix </w:t>
      </w:r>
      <w:r w:rsidR="00F3272C" w:rsidRPr="00736CCD">
        <w:rPr>
          <w:sz w:val="24"/>
          <w:szCs w:val="24"/>
          <w:lang w:val="en-US"/>
        </w:rPr>
        <w:t>are</w:t>
      </w:r>
      <w:r w:rsidRPr="00736CCD">
        <w:rPr>
          <w:sz w:val="24"/>
          <w:szCs w:val="24"/>
          <w:lang w:val="en-US"/>
        </w:rPr>
        <w:t xml:space="preserve"> inconsistent with the requirements of simplicity. From the perspective of cultural relativism, Lao Feng Xiang Company's initial design did not violate universal moral principles, but it violated specific ethical norms in the local cultural context</w:t>
      </w:r>
      <w:r w:rsidR="003A6CDA">
        <w:rPr>
          <w:sz w:val="24"/>
          <w:szCs w:val="24"/>
          <w:lang w:val="en-US"/>
        </w:rPr>
        <w:fldChar w:fldCharType="begin"/>
      </w:r>
      <w:r w:rsidR="00C070B7">
        <w:rPr>
          <w:sz w:val="24"/>
          <w:szCs w:val="24"/>
          <w:lang w:val="en-US"/>
        </w:rPr>
        <w:instrText xml:space="preserve"> ADDIN ZOTERO_ITEM CSL_CITATION {"citationID":"yg1oWIR4","properties":{"formattedCitation":"(Johansen, 2023)","plainCitation":"(Johansen, 2023)","noteIndex":0},"citationItems":[{"id":203,"uris":["http://zotero.org/users/18628635/items/SJA8B5VX"],"itemData":{"id":203,"type":"book","abstract":"This book focuses on the Hanafite school of fiqh which originated in the eight century and is, geographically, the most widespread and, numerically, the most important representative of Muslim normativeness. The fiqh consists of liturgical, ethical and legal norms derived from the Islamic revelation. The introduction outlines the main boundaries between fiqh and theology and follows the modern debate on the comparison between the fiqh and the secularized law of the modern Occident. The core of the book is dedicated to the way in which the fiqh, in the period between the 10th and the 12th centuries, adapted to changing circumstances of urban and agricultural life (chapters I and II), to the way in which it marked off legal from ethical norms (chapter III), religious from legal status (chapters IV to VI) and legal propositions from religious judgment (chapter VII). The forms in which change of norms was made acceptable is discussed in chapter VIII. The last chapter deals with an attempt of Shi'i scholars in the Islamic Republic of Iran to answer new problems in old forms.","ISBN":"978-90-04-66012-0","language":"en","note":"Google-Books-ID: Rt37EAAAQBAJ","number-of-pages":"536","publisher":"BRILL","source":"Google Books","title":"Contingency in a Sacred Law: Legal and Ethical Norms in the Muslim Fiqh","title-short":"Contingency in a Sacred Law","author":[{"family":"Johansen","given":"Baber"}],"issued":{"date-parts":[["2023",9,29]]}}}],"schema":"https://github.com/citation-style-language/schema/raw/master/csl-citation.json"} </w:instrText>
      </w:r>
      <w:r w:rsidR="003A6CDA">
        <w:rPr>
          <w:sz w:val="24"/>
          <w:szCs w:val="24"/>
          <w:lang w:val="en-US"/>
        </w:rPr>
        <w:fldChar w:fldCharType="separate"/>
      </w:r>
      <w:r w:rsidR="00C070B7">
        <w:rPr>
          <w:noProof/>
          <w:sz w:val="24"/>
          <w:szCs w:val="24"/>
          <w:lang w:val="en-US"/>
        </w:rPr>
        <w:t>(Johansen, 2023)</w:t>
      </w:r>
      <w:r w:rsidR="003A6CDA">
        <w:rPr>
          <w:sz w:val="24"/>
          <w:szCs w:val="24"/>
          <w:lang w:val="en-US"/>
        </w:rPr>
        <w:fldChar w:fldCharType="end"/>
      </w:r>
      <w:r w:rsidRPr="00736CCD">
        <w:rPr>
          <w:sz w:val="24"/>
          <w:szCs w:val="24"/>
          <w:lang w:val="en-US"/>
        </w:rPr>
        <w:t>. This would trigger ethical evaluations among local consumers regarding disrespect for local beliefs. After realizing this, Lao Feng Xiang adjusted the design, replacing the phoenix pattern with geometric patterns such as hexagons and octagons that are widely accepted in Islamic culture. These patterns are often used in Islamic architecture and art and symbolize infinite divine power and harmony. And turquoise, which is deeply loved by the local people, is used as the matching gemstone</w:t>
      </w:r>
      <w:r w:rsidR="0064781D">
        <w:rPr>
          <w:sz w:val="24"/>
          <w:szCs w:val="24"/>
          <w:lang w:val="en-US"/>
        </w:rPr>
        <w:fldChar w:fldCharType="begin"/>
      </w:r>
      <w:r w:rsidR="0064781D">
        <w:rPr>
          <w:sz w:val="24"/>
          <w:szCs w:val="24"/>
          <w:lang w:val="en-US"/>
        </w:rPr>
        <w:instrText xml:space="preserve"> ADDIN ZOTERO_ITEM CSL_CITATION {"citationID":"JgrhlJWB","properties":{"formattedCitation":"(Qais, 2024)","plainCitation":"(Qais, 2024)","noteIndex":0},"citationItems":[{"id":205,"uris":["http://zotero.org/users/18628635/items/BBST8LHL"],"itemData":{"id":205,"type":"article-journal","abstract":"&amp;nbsp;This paper aims to discuss the role of mathematics in the emergence of Islamic art. Islamic art is known for its geometrical patterns, decorative art and calligraphy. It is believed that the highly geometrical patterns is a result of the Quranic prohibition of making living beings. On the other hand, many researchers believed that Islamic artists got influenced by the platonic beliefs to adopt geometry to symbolically describe their ideas.\nThis research investigates the reason behind the great influence of geometry used to produce symbolism in Islamic art and architecture without replicating nature into artworks but to describe natural laws into geometrical forms with the reference of Quran. This paper shed the light on another perspective into this matter that Muslims were highly influenced by their religion and they practiced it not only in daily life but in art. They used Quranic descriptions of paradise to build heavenly gardens around the structures. The purpose of these ideas were to glorify Islam among other nations and to preach God’s message.","container-title":"Tercio Creciente","DOI":"10.17561/rtc.26.8301","ISSN":"2340-9096","issue":"26","language":"en","license":"https://creativecommons.org/licenses/by/4.0","page":"177-191","source":"revistaselectronicas.ujaen.es","title":"A case study on the influence of geometryand symbolism in Islamic Art withreference of Muslim’s religious Beliefs","author":[{"family":"Qais","given":"Humna"}],"issued":{"date-parts":[["2024",7,1]]}}}],"schema":"https://github.com/citation-style-language/schema/raw/master/csl-citation.json"} </w:instrText>
      </w:r>
      <w:r w:rsidR="0064781D">
        <w:rPr>
          <w:sz w:val="24"/>
          <w:szCs w:val="24"/>
          <w:lang w:val="en-US"/>
        </w:rPr>
        <w:fldChar w:fldCharType="separate"/>
      </w:r>
      <w:r w:rsidR="0064781D">
        <w:rPr>
          <w:noProof/>
          <w:sz w:val="24"/>
          <w:szCs w:val="24"/>
          <w:lang w:val="en-US"/>
        </w:rPr>
        <w:t>(Qais, 2024)</w:t>
      </w:r>
      <w:r w:rsidR="0064781D">
        <w:rPr>
          <w:sz w:val="24"/>
          <w:szCs w:val="24"/>
          <w:lang w:val="en-US"/>
        </w:rPr>
        <w:fldChar w:fldCharType="end"/>
      </w:r>
      <w:r w:rsidRPr="00736CCD">
        <w:rPr>
          <w:sz w:val="24"/>
          <w:szCs w:val="24"/>
          <w:lang w:val="en-US"/>
        </w:rPr>
        <w:t>. This adjustment is a typical practice of applying cultural relativism to resolve ethical conflicts. From the perspective of ethical evaluation, the adjusted product avoids the risk of disrespecting local culture and achieves the practical goal of maximizing the interests of stakeholders</w:t>
      </w:r>
      <w:r w:rsidR="007D721C">
        <w:rPr>
          <w:sz w:val="24"/>
          <w:szCs w:val="24"/>
          <w:lang w:val="en-US"/>
        </w:rPr>
        <w:fldChar w:fldCharType="begin"/>
      </w:r>
      <w:r w:rsidR="007D721C">
        <w:rPr>
          <w:sz w:val="24"/>
          <w:szCs w:val="24"/>
          <w:lang w:val="en-US"/>
        </w:rPr>
        <w:instrText xml:space="preserve"> ADDIN ZOTERO_ITEM CSL_CITATION {"citationID":"HRZBsB4L","properties":{"formattedCitation":"(Mahajan {\\i{}et al.}, 2023)","plainCitation":"(Mahajan et al., 2023)","noteIndex":0},"citationItems":[{"id":207,"uris":["http://zotero.org/users/18628635/items/XJDE7SH2"],"itemData":{"id":207,"type":"article-journal","abstract":"Stakeholder theory (ST) is a profound theory in business ethics and organizational management. Though several ST reviews are available, they remain restricted to functional or niche areas. Specifically, no study, to date, has attempted to review ST research in its entirety. To address this noteworthy gap, this study endeavors to (i) offer a comprehensive definition of ST and (ii) retrospect ST research and prospect its promising avenues for future growth. Given the large corpus (n = 988) and long history (1969–2021) of ST research, this study adopts and performs a systematic literature review using bibliometric analysis (performance analysis and science mapping). Consequently, this study reveals (i) the productivity (publication) and impact (citation) of ST research and its contributors (journals, authors, countries), (ii) the major thematic clusters of ST research (ST and sustainability, ST and organizational performance, ST and strategic management, and ST and stakeholder management), and (iii) the promising avenues to advance ST research across all its major thematic clusters.","container-title":"Journal of Business Research","DOI":"10.1016/j.jbusres.2023.114104","ISSN":"0148-2963","journalAbbreviation":"Journal of Business Research","page":"114104","source":"ScienceDirect","title":"Stakeholder theory","volume":"166","author":[{"family":"Mahajan","given":"Ritika"},{"family":"Lim","given":"Weng Marc"},{"family":"Sareen","given":"Monica"},{"family":"Kumar","given":"Satish"},{"family":"Panwar","given":"Rajat"}],"issued":{"date-parts":[["2023",11,1]]}}}],"schema":"https://github.com/citation-style-language/schema/raw/master/csl-citation.json"} </w:instrText>
      </w:r>
      <w:r w:rsidR="007D721C">
        <w:rPr>
          <w:sz w:val="24"/>
          <w:szCs w:val="24"/>
          <w:lang w:val="en-US"/>
        </w:rPr>
        <w:fldChar w:fldCharType="separate"/>
      </w:r>
      <w:r w:rsidR="007D721C" w:rsidRPr="007D721C">
        <w:rPr>
          <w:rFonts w:eastAsiaTheme="minorEastAsia" w:cs="Calibri"/>
          <w:kern w:val="0"/>
          <w:sz w:val="24"/>
          <w:szCs w:val="24"/>
          <w:lang w:val="en-US"/>
          <w14:ligatures w14:val="standardContextual"/>
        </w:rPr>
        <w:t xml:space="preserve">(Mahajan </w:t>
      </w:r>
      <w:r w:rsidR="007D721C" w:rsidRPr="007D721C">
        <w:rPr>
          <w:rFonts w:eastAsiaTheme="minorEastAsia" w:cs="Calibri"/>
          <w:i/>
          <w:iCs/>
          <w:kern w:val="0"/>
          <w:sz w:val="24"/>
          <w:szCs w:val="24"/>
          <w:lang w:val="en-US"/>
          <w14:ligatures w14:val="standardContextual"/>
        </w:rPr>
        <w:t>et al.</w:t>
      </w:r>
      <w:r w:rsidR="007D721C" w:rsidRPr="007D721C">
        <w:rPr>
          <w:rFonts w:eastAsiaTheme="minorEastAsia" w:cs="Calibri"/>
          <w:kern w:val="0"/>
          <w:sz w:val="24"/>
          <w:szCs w:val="24"/>
          <w:lang w:val="en-US"/>
          <w14:ligatures w14:val="standardContextual"/>
        </w:rPr>
        <w:t>, 2023)</w:t>
      </w:r>
      <w:r w:rsidR="007D721C">
        <w:rPr>
          <w:sz w:val="24"/>
          <w:szCs w:val="24"/>
          <w:lang w:val="en-US"/>
        </w:rPr>
        <w:fldChar w:fldCharType="end"/>
      </w:r>
      <w:r w:rsidRPr="00736CCD">
        <w:rPr>
          <w:sz w:val="24"/>
          <w:szCs w:val="24"/>
          <w:lang w:val="en-US"/>
        </w:rPr>
        <w:t xml:space="preserve">. Local consumers received products that were in line with their cultural and religious psychology. This behavior established an ethical image of respecting cultural diversity for the brand in </w:t>
      </w:r>
      <w:r w:rsidRPr="00736CCD">
        <w:rPr>
          <w:sz w:val="24"/>
          <w:szCs w:val="24"/>
          <w:lang w:val="en-US"/>
        </w:rPr>
        <w:lastRenderedPageBreak/>
        <w:t>the local market, which is much more valuable than short-term profits.</w:t>
      </w:r>
    </w:p>
    <w:p w14:paraId="781040DD" w14:textId="7069B63E" w:rsidR="00E52A9C" w:rsidRDefault="009C70A2" w:rsidP="00E52A9C">
      <w:pPr>
        <w:spacing w:line="480" w:lineRule="auto"/>
        <w:rPr>
          <w:rFonts w:hint="eastAsia"/>
          <w:sz w:val="24"/>
          <w:szCs w:val="24"/>
          <w:lang w:val="en-US"/>
        </w:rPr>
      </w:pPr>
      <w:r w:rsidRPr="009C70A2">
        <w:rPr>
          <w:sz w:val="24"/>
          <w:szCs w:val="24"/>
          <w:lang w:val="en-US"/>
        </w:rPr>
        <w:t xml:space="preserve">The ethical evaluation of the product design of Lao Feng Xiang also shows significant differences in the context of Chinese and European cultures, further demonstrating the explanatory power of cultural relativism. In the Chinese market, the intangible cultural heritage inheritance series of Lao Feng Xiang has been highly praised for its ethical value in preserving traditional culture. Chinese consumers view purchasing such products </w:t>
      </w:r>
      <w:r w:rsidRPr="009C70A2">
        <w:rPr>
          <w:sz w:val="24"/>
          <w:szCs w:val="24"/>
          <w:lang w:val="en-US"/>
        </w:rPr>
        <w:t>to</w:t>
      </w:r>
      <w:r w:rsidRPr="009C70A2">
        <w:rPr>
          <w:sz w:val="24"/>
          <w:szCs w:val="24"/>
          <w:lang w:val="en-US"/>
        </w:rPr>
        <w:t xml:space="preserve"> support cultural heritage, and this ethical evaluation is rooted in the Chinese cultural background, where respecting tradition and valuing inheritance are core values</w:t>
      </w:r>
      <w:r w:rsidR="00FD3AF4">
        <w:rPr>
          <w:sz w:val="24"/>
          <w:szCs w:val="24"/>
          <w:lang w:val="en-US"/>
        </w:rPr>
        <w:fldChar w:fldCharType="begin"/>
      </w:r>
      <w:r w:rsidR="00E62F52">
        <w:rPr>
          <w:sz w:val="24"/>
          <w:szCs w:val="24"/>
          <w:lang w:val="en-US"/>
        </w:rPr>
        <w:instrText xml:space="preserve"> ADDIN ZOTERO_ITEM CSL_CITATION {"citationID":"WHnwjB0b","properties":{"formattedCitation":"(Ismail, Ali and Anwar Us, 2022)","plainCitation":"(Ismail, Ali and Anwar Us, 2022)","noteIndex":0},"citationItems":[{"id":210,"uris":["http://zotero.org/users/18628635/items/WMBUXTKA"],"itemData":{"id":210,"type":"article-journal","abstract":"Previous research or relevant research is very important in a research or scientific article. Based on previous research or relevant research, it certainly serves to strengthen the theory and phenomena of the relationship or influence between variables. This article reviews the factors that influence critical and holistic thinking in Islamic education in Indonesia, namely: Self-Concept, Systematics, Tradition, and Culture, which is a form of qualitative research and literature study or library research on Islamic Education Management. The results of this literature review article show that: (1) Self-concept influences critical and holistic thinking in Islamic education; (2) System influences critical and holistic thinking in Islamic education; (3) Tradition influences critical and holistic thinking in Islamic education;","container-title":"Dinasti International Journal of Management Science","DOI":"10.31933/dijms.v3i3.1088","ISSN":"2686-522X, 2686-5211","issue":"3","journalAbbreviation":"DIJMS","language":"en","license":"https://creativecommons.org/licenses/by/4.0","page":"407-437","source":"DOI.org (Crossref)","title":"FACTORS AFFECTING CRITICAL AND HOLISTIC THINKING IN ISLAMIC EDUCATION IN INDONESIA: SELF-CONCEPT, SYSTEM, TRADITION, CULTURE. (LITERATURE REVIEW OF ISLAMIC EDUCATION MANAGEMENT)","title-short":"FACTORS AFFECTING CRITICAL AND HOLISTIC THINKING IN ISLAMIC EDUCATION IN INDONESIA","volume":"3","author":[{"family":"Ismail","given":"Ismail"},{"family":"Ali","given":"Hapzi"},{"family":"Anwar Us","given":"Kasful"}],"issued":{"date-parts":[["2022",1,5]]}}}],"schema":"https://github.com/citation-style-language/schema/raw/master/csl-citation.json"} </w:instrText>
      </w:r>
      <w:r w:rsidR="00FD3AF4">
        <w:rPr>
          <w:sz w:val="24"/>
          <w:szCs w:val="24"/>
          <w:lang w:val="en-US"/>
        </w:rPr>
        <w:fldChar w:fldCharType="separate"/>
      </w:r>
      <w:r w:rsidR="00E62F52">
        <w:rPr>
          <w:noProof/>
          <w:sz w:val="24"/>
          <w:szCs w:val="24"/>
          <w:lang w:val="en-US"/>
        </w:rPr>
        <w:t>(Ismail, Ali and Anwar Us, 2022)</w:t>
      </w:r>
      <w:r w:rsidR="00FD3AF4">
        <w:rPr>
          <w:sz w:val="24"/>
          <w:szCs w:val="24"/>
          <w:lang w:val="en-US"/>
        </w:rPr>
        <w:fldChar w:fldCharType="end"/>
      </w:r>
      <w:r w:rsidRPr="009C70A2">
        <w:rPr>
          <w:sz w:val="24"/>
          <w:szCs w:val="24"/>
          <w:lang w:val="en-US"/>
        </w:rPr>
        <w:t>. When entering the French market, Lao Feng Xiang did not simply replicate this model because the European cultural background emphasizes individual freedom and romantic aesthetics. To resolve this cross-cultural ethical conflict, the brand launched a new series that combines Chinese silk embroidery patterns with French romanticist design styles. This culturally integrated design effectively avoids the ethical dilemma of cultural barriers and not only conveys the charm of Chinese traditional culture but also meets the aesthetic ethics of French consumers</w:t>
      </w:r>
      <w:r w:rsidR="00294E56">
        <w:rPr>
          <w:sz w:val="24"/>
          <w:szCs w:val="24"/>
          <w:lang w:val="en-US"/>
        </w:rPr>
        <w:fldChar w:fldCharType="begin"/>
      </w:r>
      <w:r w:rsidR="00294E56">
        <w:rPr>
          <w:sz w:val="24"/>
          <w:szCs w:val="24"/>
          <w:lang w:val="en-US"/>
        </w:rPr>
        <w:instrText xml:space="preserve"> ADDIN ZOTERO_ITEM CSL_CITATION {"citationID":"ujHujoLw","properties":{"formattedCitation":"(Pillai, 2021)","plainCitation":"(Pillai, 2021)","noteIndex":0},"citationItems":[{"id":211,"uris":["http://zotero.org/users/18628635/items/V34Z8E56"],"itemData":{"id":211,"type":"chapter","abstract":"This chapter discusses the barriers that exist with International Medical Graduates (IMGs). International Medical Graduates find that their number one barrier is language. Language barriers include the inability to understand sarcasm, idioms, accents, regional dialects, voice inflection, colloquialisms, and body language. The barriers in language are limited not only to the spoken part but also to the nonverbal cues. Nonverbal cues include body language, touch, gestures, personal space, and facial expressions. Studies have shown that International Medical Graduates also struggle with not only language barriers but also religious barriers and cultural differences. Other issues that IMGs face are languages other than English. This poses a problem when IMGs are attempting to gather medical history of the patient. Medical history may become lost in translation, and this can lead to a missed diagnosis or affect the treatment of the patient. There are various differences between Western and non-Western cultures. IMGs from a collectivistic society may not be familiar with the individualistic society. IMGs from India come from a collectivistic society in which family is cohesive and a priority. Individualistic societies are focused on the individual over the entire group. Many healthcare systems have implemented programs to help IMGs cope with the change in culture, language, and adapting to the structure of the healthcare setting.","container-title":"International Medical Graduates in the United States: A Complete Guide to Challenges and Solutions","event-place":"Cham","ISBN":"978-3-030-62249-7","language":"en","note":"DOI: 10.1007/978-3-030-62249-7_7","page":"117-124","publisher":"Springer International Publishing","publisher-place":"Cham","source":"Springer Link","title":"Cultural Barriers","URL":"https://doi.org/10.1007/978-3-030-62249-7_7","author":[{"family":"Pillai","given":"Bindu"}],"editor":[{"family":"Tohid","given":"Hassaan"},{"family":"Maibach","given":"Howard"}],"accessed":{"date-parts":[["2025",12,8]]},"issued":{"date-parts":[["2021"]]}}}],"schema":"https://github.com/citation-style-language/schema/raw/master/csl-citation.json"} </w:instrText>
      </w:r>
      <w:r w:rsidR="00294E56">
        <w:rPr>
          <w:sz w:val="24"/>
          <w:szCs w:val="24"/>
          <w:lang w:val="en-US"/>
        </w:rPr>
        <w:fldChar w:fldCharType="separate"/>
      </w:r>
      <w:r w:rsidR="00294E56">
        <w:rPr>
          <w:noProof/>
          <w:sz w:val="24"/>
          <w:szCs w:val="24"/>
          <w:lang w:val="en-US"/>
        </w:rPr>
        <w:t>(Pillai, 2021)</w:t>
      </w:r>
      <w:r w:rsidR="00294E56">
        <w:rPr>
          <w:sz w:val="24"/>
          <w:szCs w:val="24"/>
          <w:lang w:val="en-US"/>
        </w:rPr>
        <w:fldChar w:fldCharType="end"/>
      </w:r>
      <w:r w:rsidRPr="009C70A2">
        <w:rPr>
          <w:sz w:val="24"/>
          <w:szCs w:val="24"/>
          <w:lang w:val="en-US"/>
        </w:rPr>
        <w:t>. From the perspective of ethical universalism, the business practices of Lao Feng Xiang in China and Europe have a common point, that is, they both follow the universal ethical principle of respecting consumers' cultural psychology. This universal bottom line combined with the scene-adaptive model is the key to resolving cross-cultural ethical conflicts.</w:t>
      </w:r>
    </w:p>
    <w:p w14:paraId="56646CDC" w14:textId="0A5ACF55" w:rsidR="00E52A9C" w:rsidRPr="008D4E6B" w:rsidRDefault="00E52A9C" w:rsidP="00E52A9C">
      <w:pPr>
        <w:spacing w:line="480" w:lineRule="auto"/>
        <w:rPr>
          <w:b/>
          <w:bCs/>
          <w:sz w:val="28"/>
          <w:szCs w:val="28"/>
          <w:lang w:val="en-US"/>
        </w:rPr>
      </w:pPr>
      <w:r w:rsidRPr="008D4E6B">
        <w:rPr>
          <w:rFonts w:hint="eastAsia"/>
          <w:b/>
          <w:bCs/>
          <w:sz w:val="28"/>
          <w:szCs w:val="28"/>
          <w:lang w:val="en-US"/>
        </w:rPr>
        <w:t xml:space="preserve">4.0 </w:t>
      </w:r>
      <w:r w:rsidRPr="008D4E6B">
        <w:rPr>
          <w:b/>
          <w:bCs/>
          <w:sz w:val="28"/>
          <w:szCs w:val="28"/>
          <w:lang w:val="en-US"/>
        </w:rPr>
        <w:t>Ethical Nature of Climate Responsibility</w:t>
      </w:r>
    </w:p>
    <w:p w14:paraId="715DDA3E" w14:textId="1F1D0EE4" w:rsidR="00E52A9C" w:rsidRDefault="000C72FF" w:rsidP="00E52A9C">
      <w:pPr>
        <w:spacing w:line="480" w:lineRule="auto"/>
        <w:rPr>
          <w:sz w:val="24"/>
          <w:szCs w:val="24"/>
          <w:lang w:val="en-US"/>
        </w:rPr>
      </w:pPr>
      <w:r w:rsidRPr="000C72FF">
        <w:rPr>
          <w:sz w:val="24"/>
          <w:szCs w:val="24"/>
          <w:lang w:val="en-US"/>
        </w:rPr>
        <w:t xml:space="preserve">Unlike the situational nature of religious and cultural adaptation, the ethical essence </w:t>
      </w:r>
      <w:r w:rsidRPr="000C72FF">
        <w:rPr>
          <w:sz w:val="24"/>
          <w:szCs w:val="24"/>
          <w:lang w:val="en-US"/>
        </w:rPr>
        <w:lastRenderedPageBreak/>
        <w:t xml:space="preserve">of corporate climate responsibility is more reflected in the dialectical unity of universality and </w:t>
      </w:r>
      <w:proofErr w:type="spellStart"/>
      <w:r w:rsidRPr="000C72FF">
        <w:rPr>
          <w:sz w:val="24"/>
          <w:szCs w:val="24"/>
          <w:lang w:val="en-US"/>
        </w:rPr>
        <w:t>situationality</w:t>
      </w:r>
      <w:proofErr w:type="spellEnd"/>
      <w:r w:rsidRPr="000C72FF">
        <w:rPr>
          <w:sz w:val="24"/>
          <w:szCs w:val="24"/>
          <w:lang w:val="en-US"/>
        </w:rPr>
        <w:t>. The environmental protection practices of Lao Feng Xiang in China and Europe provide a typical case for analyzing this issue.</w:t>
      </w:r>
    </w:p>
    <w:p w14:paraId="3CD97BB8" w14:textId="4E97D57D" w:rsidR="007C60D5" w:rsidRPr="007C60D5" w:rsidRDefault="007C60D5" w:rsidP="007C60D5">
      <w:pPr>
        <w:spacing w:line="480" w:lineRule="auto"/>
        <w:rPr>
          <w:sz w:val="24"/>
          <w:szCs w:val="24"/>
          <w:lang w:val="en-US"/>
        </w:rPr>
      </w:pPr>
      <w:r w:rsidRPr="007C60D5">
        <w:rPr>
          <w:sz w:val="24"/>
          <w:szCs w:val="24"/>
          <w:lang w:val="en-US"/>
        </w:rPr>
        <w:t>Ethical universalism holds that not harming the shared ecological environment of humanity is a minimum moral responsibility for enterprises, regardless of geographical and cultural differences</w:t>
      </w:r>
      <w:r w:rsidR="0000530A">
        <w:rPr>
          <w:sz w:val="24"/>
          <w:szCs w:val="24"/>
          <w:lang w:val="en-US"/>
        </w:rPr>
        <w:fldChar w:fldCharType="begin"/>
      </w:r>
      <w:r w:rsidR="0000530A">
        <w:rPr>
          <w:sz w:val="24"/>
          <w:szCs w:val="24"/>
          <w:lang w:val="en-US"/>
        </w:rPr>
        <w:instrText xml:space="preserve"> ADDIN ZOTERO_ITEM CSL_CITATION {"citationID":"rZgfKCwj","properties":{"formattedCitation":"(Waller, 2024)","plainCitation":"(Waller, 2024)","noteIndex":0},"citationItems":[{"id":212,"uris":["http://zotero.org/users/18628635/items/W24YP98F"],"itemData":{"id":212,"type":"book","abstract":"A vigorous attack on moral responsibility in all its forms argues that the abolition of moral responsibility will be liberating and beneficial.In Against Moral Responsibility, Bruce Waller launches a spirited attack on a system that is profoundly entrenched in our society and its institutions, deeply rooted in our emotions, and vigorously defended by philosophers from ancient times to the present. Waller argues that, despite the creative defenses of it by contemporary thinkers, moral responsibility cannot survive in our naturalistic-scientific system. The scientific understanding of human behavior and the causes that shape human character, he contends, leaves no room for moral responsibility.Waller argues that moral responsibility in all its forms—including criminal justice, distributive justice, and all claims of just deserts—is fundamentally unfair and harmful and that its abolition will be liberating and beneficial. What we really want—natural human free will, moral judgments, meaningful human relationships, creative abilities—would survive and flourish without moral responsibility. In the course of his argument, Waller examines the origins of the basic belief in moral responsibility, proposes a naturalistic understanding of free will, offers a detailed argument against moral responsibility and critiques arguments in favor of it, gives a general account of what a world without moral responsibility would look like, and examines the social and psychological aspects of abolishing moral responsibility. Waller not only mounts a vigorous, and philosophically rigorous, attack on the moral responsibility system, but also celebrates the benefits that would result from its total abolition.","ISBN":"978-0-262-55381-0","language":"en","note":"Google-Books-ID: i3InEQAAQBAJ","number-of-pages":"365","publisher":"MIT Press","source":"Google Books","title":"Against Moral Responsibility","author":[{"family":"Waller","given":"Bruce N."}],"issued":{"date-parts":[["2024",12,10]]}}}],"schema":"https://github.com/citation-style-language/schema/raw/master/csl-citation.json"} </w:instrText>
      </w:r>
      <w:r w:rsidR="0000530A">
        <w:rPr>
          <w:sz w:val="24"/>
          <w:szCs w:val="24"/>
          <w:lang w:val="en-US"/>
        </w:rPr>
        <w:fldChar w:fldCharType="separate"/>
      </w:r>
      <w:r w:rsidR="0000530A">
        <w:rPr>
          <w:noProof/>
          <w:sz w:val="24"/>
          <w:szCs w:val="24"/>
          <w:lang w:val="en-US"/>
        </w:rPr>
        <w:t>(Waller, 2024)</w:t>
      </w:r>
      <w:r w:rsidR="0000530A">
        <w:rPr>
          <w:sz w:val="24"/>
          <w:szCs w:val="24"/>
          <w:lang w:val="en-US"/>
        </w:rPr>
        <w:fldChar w:fldCharType="end"/>
      </w:r>
      <w:r w:rsidRPr="007C60D5">
        <w:rPr>
          <w:sz w:val="24"/>
          <w:szCs w:val="24"/>
          <w:lang w:val="en-US"/>
        </w:rPr>
        <w:t>. This is reflected in L</w:t>
      </w:r>
      <w:r>
        <w:rPr>
          <w:sz w:val="24"/>
          <w:szCs w:val="24"/>
          <w:lang w:val="en-US"/>
        </w:rPr>
        <w:t>ao F</w:t>
      </w:r>
      <w:r w:rsidRPr="007C60D5">
        <w:rPr>
          <w:sz w:val="24"/>
          <w:szCs w:val="24"/>
          <w:lang w:val="en-US"/>
        </w:rPr>
        <w:t>eng Xiang’s</w:t>
      </w:r>
      <w:r w:rsidRPr="007C60D5">
        <w:rPr>
          <w:sz w:val="24"/>
          <w:szCs w:val="24"/>
          <w:lang w:val="en-US"/>
        </w:rPr>
        <w:t xml:space="preserve"> global environmental protection practices. In the metal smelting process of jewelry, the brand has uniformly promoted the low-temperature gold smelting technology jointly developed with Southeast University in its smelting bases in China, Thailand, and Poland, reducing carbon and sulfur dioxide emissions. The promotion of this technology is not driven by local cultural differences, but is based on the universal ethical principle of protecting the climate</w:t>
      </w:r>
      <w:r w:rsidR="007B6F52">
        <w:rPr>
          <w:sz w:val="24"/>
          <w:szCs w:val="24"/>
          <w:lang w:val="en-US"/>
        </w:rPr>
        <w:fldChar w:fldCharType="begin"/>
      </w:r>
      <w:r w:rsidR="007B6F52">
        <w:rPr>
          <w:sz w:val="24"/>
          <w:szCs w:val="24"/>
          <w:lang w:val="en-US"/>
        </w:rPr>
        <w:instrText xml:space="preserve"> ADDIN ZOTERO_ITEM CSL_CITATION {"citationID":"SAs5zPKA","properties":{"formattedCitation":"(Heston and Ray, 2021)","plainCitation":"(Heston and Ray, 2021)","noteIndex":0},"citationItems":[{"id":214,"uris":["http://zotero.org/users/18628635/items/X5BKX6YL"],"itemData":{"id":214,"type":"book","abstract":"Bioethics is the application of ethics to the broad field of medicine, including the ethics of patient care, research, and public health. In this book, prominent authors from around the globe discuss the complexities of bioethics as they apply to our current world. Topics range from the philosophical bioethics of the evolution of thinking about marriage from a religious standpoint to the bioethics of radiation protection to value-based medicine and cancer screening for breast cancer. Bioethics in Medicine and Society is wide-ranging, with additional chapters on the ethics of geoengineering, complementary and alternative medicine, and end-of-life ethical dilemmas. Readers with find that the field of bioethics has broad implications throughout society from our most intimate interpersonal relationships to policies being implemented on a global scale.","ISBN":"978-1-83881-177-8","language":"en","note":"Google-Books-ID: cb4zEAAAQBAJ","number-of-pages":"370","publisher":"BoD – Books on Demand","source":"Google Books","title":"Bioethics in Medicine and Society","author":[{"family":"Heston","given":"Thomas F."},{"family":"Ray","given":"Sujoy"}],"issued":{"date-parts":[["2021",5,19]]}}}],"schema":"https://github.com/citation-style-language/schema/raw/master/csl-citation.json"} </w:instrText>
      </w:r>
      <w:r w:rsidR="007B6F52">
        <w:rPr>
          <w:sz w:val="24"/>
          <w:szCs w:val="24"/>
          <w:lang w:val="en-US"/>
        </w:rPr>
        <w:fldChar w:fldCharType="separate"/>
      </w:r>
      <w:r w:rsidR="007B6F52">
        <w:rPr>
          <w:noProof/>
          <w:sz w:val="24"/>
          <w:szCs w:val="24"/>
          <w:lang w:val="en-US"/>
        </w:rPr>
        <w:t>(Heston and Ray, 2021)</w:t>
      </w:r>
      <w:r w:rsidR="007B6F52">
        <w:rPr>
          <w:sz w:val="24"/>
          <w:szCs w:val="24"/>
          <w:lang w:val="en-US"/>
        </w:rPr>
        <w:fldChar w:fldCharType="end"/>
      </w:r>
      <w:r w:rsidRPr="007C60D5">
        <w:rPr>
          <w:sz w:val="24"/>
          <w:szCs w:val="24"/>
          <w:lang w:val="en-US"/>
        </w:rPr>
        <w:t>.</w:t>
      </w:r>
    </w:p>
    <w:p w14:paraId="0F97E854" w14:textId="35467D95" w:rsidR="00202A25" w:rsidRPr="000C72FF" w:rsidRDefault="007C60D5" w:rsidP="007C60D5">
      <w:pPr>
        <w:spacing w:line="480" w:lineRule="auto"/>
        <w:rPr>
          <w:rFonts w:hint="eastAsia"/>
          <w:sz w:val="24"/>
          <w:szCs w:val="24"/>
          <w:lang w:val="en-US"/>
        </w:rPr>
      </w:pPr>
      <w:r w:rsidRPr="007C60D5">
        <w:rPr>
          <w:sz w:val="24"/>
          <w:szCs w:val="24"/>
          <w:lang w:val="en-US"/>
        </w:rPr>
        <w:t>From a utilitarian perspective, this universal environmental protection practice also maximizes overall interests</w:t>
      </w:r>
      <w:r w:rsidR="001A5FCA">
        <w:rPr>
          <w:sz w:val="24"/>
          <w:szCs w:val="24"/>
          <w:lang w:val="en-US"/>
        </w:rPr>
        <w:fldChar w:fldCharType="begin"/>
      </w:r>
      <w:r w:rsidR="001A5FCA">
        <w:rPr>
          <w:sz w:val="24"/>
          <w:szCs w:val="24"/>
          <w:lang w:val="en-US"/>
        </w:rPr>
        <w:instrText xml:space="preserve"> ADDIN ZOTERO_ITEM CSL_CITATION {"citationID":"Gvh3EkCI","properties":{"formattedCitation":"(Udoudom, 2021)","plainCitation":"(Udoudom, 2021)","noteIndex":0},"citationItems":[{"id":216,"uris":["http://zotero.org/users/18628635/items/RC76YP3I"],"itemData":{"id":216,"type":"article-journal","abstract":"Utilitarianism regards pleasure, or the satisfaction of interest, desire, and preference as the only intrinsic value. Therefore, Utilitarian’s believes that right actions are those which produce the greatest pleasure for the greatest number of people. Ethical actions are judged and determined by their consequences, as opposed to de-ontological, which is concerned with rights and duties regardless of consequences. It focuses is on the instrumental value of actions. However, in environmental ethics, instrumental value also comprises the value of nature as a human resource. Ascribing the instrumental value to nature had started with humans' use of natural resources for survival on earth. Human use of natural resources soon turned into the exploitation of nature through a rapidly changing process which includes the science and technological revolution. Thus, the anthropocentric worldview was blamed for human reckless exploitation of nature. Anthropocentricism; a dominant western worldview sees only human beings as having independent moral status even to the detriment of other beings in the environment. This theory prioritizes those attitudes, values, or practices which give preferences to human interests rather than the interests of beings who are other than humans in the environment. In this work, I will be discussing instrumental value. I will be discussing the value of nature only as an instrument of human welfare for life support. I will be preoccupied with some of the issues regarding whether nature has any interest or significance as such independently of human concern.","container-title":"GNOSI: An Interdisciplinary Journal of Human Theory and Praxis","ISSN":"2714-2485","issue":"1(May)","language":"en","license":"Copyright (c) 2021 GNOSI: An Interdisciplinary Journal of Human Theory and Praxis","page":"31-46","source":"gnosijournal.com","title":"The Value of Nature: Utilitarian Perspective","title-short":"The Value of Nature","volume":"4","author":[{"family":"Udoudom","given":"Mfonobong"}],"issued":{"date-parts":[["2021",5,24]]}}}],"schema":"https://github.com/citation-style-language/schema/raw/master/csl-citation.json"} </w:instrText>
      </w:r>
      <w:r w:rsidR="001A5FCA">
        <w:rPr>
          <w:sz w:val="24"/>
          <w:szCs w:val="24"/>
          <w:lang w:val="en-US"/>
        </w:rPr>
        <w:fldChar w:fldCharType="separate"/>
      </w:r>
      <w:r w:rsidR="001A5FCA">
        <w:rPr>
          <w:noProof/>
          <w:sz w:val="24"/>
          <w:szCs w:val="24"/>
          <w:lang w:val="en-US"/>
        </w:rPr>
        <w:t>(</w:t>
      </w:r>
      <w:proofErr w:type="spellStart"/>
      <w:r w:rsidR="001A5FCA">
        <w:rPr>
          <w:noProof/>
          <w:sz w:val="24"/>
          <w:szCs w:val="24"/>
          <w:lang w:val="en-US"/>
        </w:rPr>
        <w:t>Udoudom</w:t>
      </w:r>
      <w:proofErr w:type="spellEnd"/>
      <w:r w:rsidR="001A5FCA">
        <w:rPr>
          <w:noProof/>
          <w:sz w:val="24"/>
          <w:szCs w:val="24"/>
          <w:lang w:val="en-US"/>
        </w:rPr>
        <w:t>, 2021)</w:t>
      </w:r>
      <w:r w:rsidR="001A5FCA">
        <w:rPr>
          <w:sz w:val="24"/>
          <w:szCs w:val="24"/>
          <w:lang w:val="en-US"/>
        </w:rPr>
        <w:fldChar w:fldCharType="end"/>
      </w:r>
      <w:r w:rsidRPr="007C60D5">
        <w:rPr>
          <w:sz w:val="24"/>
          <w:szCs w:val="24"/>
          <w:lang w:val="en-US"/>
        </w:rPr>
        <w:t>. In China, it helps the brand obtain the low-carbon certification required by national policies; in the European Union, it complies with the strict environmental protection standards of the REACH regulations; in Thailand, it avoids the risk of facing fines for exceeding pollutant emission standards</w:t>
      </w:r>
      <w:r w:rsidR="00307F9C">
        <w:rPr>
          <w:sz w:val="24"/>
          <w:szCs w:val="24"/>
          <w:lang w:val="en-US"/>
        </w:rPr>
        <w:fldChar w:fldCharType="begin"/>
      </w:r>
      <w:r w:rsidR="00307F9C">
        <w:rPr>
          <w:sz w:val="24"/>
          <w:szCs w:val="24"/>
          <w:lang w:val="en-US"/>
        </w:rPr>
        <w:instrText xml:space="preserve"> ADDIN ZOTERO_ITEM CSL_CITATION {"citationID":"g1xrXt75","properties":{"formattedCitation":"(Slunge, Andersson and Sterner, 2022)","plainCitation":"(Slunge, Andersson and Sterner, 2022)","noteIndex":0},"citationItems":[{"id":218,"uris":["http://zotero.org/users/18628635/items/I3GGEVV3"],"itemData":{"id":218,"type":"article-journal","abstract":"Through a survey with European companies and expert interviews we study how REACH authorisation affects the phase-out of hazardous chemicals focusing on trichloroethylene, a well-studied solvent used in metal parts cleaning. We find that most of the firms have substituted trichloroethylene by perchloroethylene, which has similar chemical characteristics. This allows them to continue to use the same machines and routines at low costs. Although perchloroethylene is only classified as a suspected rather than a proven carcinogenic substance in Europe, the “improvement” as the result of much regulatory effort must be considered fairly limited, particularly in the light of less hazardous alternatives being used on the market for a long time. Our survey shows that the REACH authorisation process has some effect. Many firms cited as their main reason for substitution that they wanted to avoid the renewed application process. Still, the fact that many firms report using old machines reinforces the impression that some firms are not feeling enough pressure to modify routines and engage in a more fundamental substitution process. The results illustrate the limited effectiveness of a substance by substance approach in chemical risk management. When companies can substitute chemicals of concern to substances with similar chemical characteristics, the health and environmental objectives of chemical regulation are not achieved. An important policy conclusion is that additional incentives need to be introduced in order to realize the ambition of a non-toxic environment in the European Chemicals Strategy for Sustainability. Increased use of measures targeting broader groups of structurally similar hazardous chemicals, in combination with fees that incentivize substitution, are promising avenues for a more sustainable European chemicals strategy.","container-title":"Journal of Cleaner Production","DOI":"10.1016/j.jclepro.2022.132637","ISSN":"0959-6526","journalAbbreviation":"Journal of Cleaner Production","page":"132637","source":"ScienceDirect","title":"REACH authorisation and the substitution of hazardous chemicals: The case of trichloroethylene","title-short":"REACH authorisation and the substitution of hazardous chemicals","volume":"364","author":[{"family":"Slunge","given":"Daniel"},{"family":"Andersson","given":"Ida"},{"family":"Sterner","given":"Thomas"}],"issued":{"date-parts":[["2022",9,1]]}}}],"schema":"https://github.com/citation-style-language/schema/raw/master/csl-citation.json"} </w:instrText>
      </w:r>
      <w:r w:rsidR="00307F9C">
        <w:rPr>
          <w:sz w:val="24"/>
          <w:szCs w:val="24"/>
          <w:lang w:val="en-US"/>
        </w:rPr>
        <w:fldChar w:fldCharType="separate"/>
      </w:r>
      <w:r w:rsidR="00307F9C">
        <w:rPr>
          <w:noProof/>
          <w:sz w:val="24"/>
          <w:szCs w:val="24"/>
          <w:lang w:val="en-US"/>
        </w:rPr>
        <w:t>(</w:t>
      </w:r>
      <w:proofErr w:type="spellStart"/>
      <w:r w:rsidR="00307F9C">
        <w:rPr>
          <w:noProof/>
          <w:sz w:val="24"/>
          <w:szCs w:val="24"/>
          <w:lang w:val="en-US"/>
        </w:rPr>
        <w:t>Slunge</w:t>
      </w:r>
      <w:proofErr w:type="spellEnd"/>
      <w:r w:rsidR="00307F9C">
        <w:rPr>
          <w:noProof/>
          <w:sz w:val="24"/>
          <w:szCs w:val="24"/>
          <w:lang w:val="en-US"/>
        </w:rPr>
        <w:t>, Andersson and Sterner, 2022)</w:t>
      </w:r>
      <w:r w:rsidR="00307F9C">
        <w:rPr>
          <w:sz w:val="24"/>
          <w:szCs w:val="24"/>
          <w:lang w:val="en-US"/>
        </w:rPr>
        <w:fldChar w:fldCharType="end"/>
      </w:r>
      <w:r w:rsidRPr="007C60D5">
        <w:rPr>
          <w:sz w:val="24"/>
          <w:szCs w:val="24"/>
          <w:lang w:val="en-US"/>
        </w:rPr>
        <w:t>. It avoids causing environmental damage to the public, which is in line with the core concept of utilitarianism of maximizing the happiness of the majority. This indicates that climate responsibility, as a universal moral obligation, is not only a moral requirement but also a necessary guarantee for enterprises to achieve global operational compliance</w:t>
      </w:r>
      <w:r w:rsidR="00D71FBD">
        <w:rPr>
          <w:sz w:val="24"/>
          <w:szCs w:val="24"/>
          <w:lang w:val="en-US"/>
        </w:rPr>
        <w:fldChar w:fldCharType="begin"/>
      </w:r>
      <w:r w:rsidR="00D71FBD">
        <w:rPr>
          <w:sz w:val="24"/>
          <w:szCs w:val="24"/>
          <w:lang w:val="en-US"/>
        </w:rPr>
        <w:instrText xml:space="preserve"> ADDIN ZOTERO_ITEM CSL_CITATION {"citationID":"Tm5IwvxC","properties":{"formattedCitation":"(Pererva {\\i{}et al.}, 2021)","plainCitation":"(Pererva et al., 2021)","noteIndex":0},"citationItems":[{"id":220,"uris":["http://zotero.org/users/18628635/items/CA868GNB"],"itemData":{"id":220,"type":"article-journal","abstract":"This article examines and explains the necessity and importance of studying the conceptual provisions of sustainable development of enterprises and organizations in the real sector of the economy, taking into account the current environmental, economic, social situation. Also, the work is developing scientific and theoretical provisions on increasing the level of safety of industrial enterprises. Special attention is paid to studying the theoretical and methodological foundations of the concept of “compliance-safety” and the development of methodological foundations of its potential use in the current conditions of the Ukrainian economy to increase the level of sustainable development of enterprises in the real sector of the economy.After analyzing the current state, methodological and practical recommendations, which are associated with potential changes in the number of compliance-safety violations in the domestic economy, were formed. In this regard, the scientific community was invited to expand the terminology base by introducing the terms “compliance safety”, which should be formulated based on the current understanding of the term “compliance”, as well as close to the concept of “economic security” and “sustainable development”. This approach makes it possible to significantly impact the sustainability of the development of industrial enterprises and the economy of the state as a whole. Thanks to this definition, it is possible to consider the dynamics of the compliance safety indicator in determining the sustainable development of an enterprise and determine the size and importance of the impact of micro and macro factors on safety. In this work, special theoretical and methodological provisions and methodological recommendations were developed for assessing the value of a comprehensive compliance safety indicator. The authors’ proposals were tested at many machine-building enterprises of the North-Eastern industrial region of Ukraine.","container-title":"Studies of Applied Economics","DOI":"10.25115/eea.v39i5.5111","ISSN":"1697-5731","issue":"5","language":"en","license":"Copyright (c) 2021 Studies of Applied Economics","source":"ojs.ual.es","title":"Ensuring the Sustainable Development of an Industrial Enterprise on the Principle of Compliance-Safety","URL":"https://ojs.ual.es/ojs/index.php/eea/article/view/5111","volume":"39","author":[{"family":"Pererva","given":"Petro"},{"family":"Kobielieva","given":"Tetiana"},{"family":"Kuchinskyi","given":"Volodymyr"},{"family":"Garmash","given":"Sergii"},{"family":"Danko","given":"Taras"}],"accessed":{"date-parts":[["2025",12,8]]},"issued":{"date-parts":[["2021",5,29]]}}}],"schema":"https://github.com/citation-style-language/schema/raw/master/csl-citation.json"} </w:instrText>
      </w:r>
      <w:r w:rsidR="00D71FBD">
        <w:rPr>
          <w:sz w:val="24"/>
          <w:szCs w:val="24"/>
          <w:lang w:val="en-US"/>
        </w:rPr>
        <w:fldChar w:fldCharType="separate"/>
      </w:r>
      <w:r w:rsidR="00D71FBD" w:rsidRPr="00D71FBD">
        <w:rPr>
          <w:rFonts w:eastAsiaTheme="minorEastAsia" w:cs="Calibri"/>
          <w:kern w:val="0"/>
          <w:sz w:val="24"/>
          <w:szCs w:val="24"/>
          <w:lang w:val="en-US"/>
          <w14:ligatures w14:val="standardContextual"/>
        </w:rPr>
        <w:t>(</w:t>
      </w:r>
      <w:proofErr w:type="spellStart"/>
      <w:r w:rsidR="00D71FBD" w:rsidRPr="00D71FBD">
        <w:rPr>
          <w:rFonts w:eastAsiaTheme="minorEastAsia" w:cs="Calibri"/>
          <w:kern w:val="0"/>
          <w:sz w:val="24"/>
          <w:szCs w:val="24"/>
          <w:lang w:val="en-US"/>
          <w14:ligatures w14:val="standardContextual"/>
        </w:rPr>
        <w:t>Pererva</w:t>
      </w:r>
      <w:proofErr w:type="spellEnd"/>
      <w:r w:rsidR="00D71FBD" w:rsidRPr="00D71FBD">
        <w:rPr>
          <w:rFonts w:eastAsiaTheme="minorEastAsia" w:cs="Calibri"/>
          <w:kern w:val="0"/>
          <w:sz w:val="24"/>
          <w:szCs w:val="24"/>
          <w:lang w:val="en-US"/>
          <w14:ligatures w14:val="standardContextual"/>
        </w:rPr>
        <w:t xml:space="preserve"> </w:t>
      </w:r>
      <w:r w:rsidR="00D71FBD" w:rsidRPr="00D71FBD">
        <w:rPr>
          <w:rFonts w:eastAsiaTheme="minorEastAsia" w:cs="Calibri"/>
          <w:i/>
          <w:iCs/>
          <w:kern w:val="0"/>
          <w:sz w:val="24"/>
          <w:szCs w:val="24"/>
          <w:lang w:val="en-US"/>
          <w14:ligatures w14:val="standardContextual"/>
        </w:rPr>
        <w:t>et al.</w:t>
      </w:r>
      <w:r w:rsidR="00D71FBD" w:rsidRPr="00D71FBD">
        <w:rPr>
          <w:rFonts w:eastAsiaTheme="minorEastAsia" w:cs="Calibri"/>
          <w:kern w:val="0"/>
          <w:sz w:val="24"/>
          <w:szCs w:val="24"/>
          <w:lang w:val="en-US"/>
          <w14:ligatures w14:val="standardContextual"/>
        </w:rPr>
        <w:t xml:space="preserve">, </w:t>
      </w:r>
      <w:r w:rsidR="00D71FBD" w:rsidRPr="00D71FBD">
        <w:rPr>
          <w:rFonts w:eastAsiaTheme="minorEastAsia" w:cs="Calibri"/>
          <w:kern w:val="0"/>
          <w:sz w:val="24"/>
          <w:szCs w:val="24"/>
          <w:lang w:val="en-US"/>
          <w14:ligatures w14:val="standardContextual"/>
        </w:rPr>
        <w:lastRenderedPageBreak/>
        <w:t>2021)</w:t>
      </w:r>
      <w:r w:rsidR="00D71FBD">
        <w:rPr>
          <w:sz w:val="24"/>
          <w:szCs w:val="24"/>
          <w:lang w:val="en-US"/>
        </w:rPr>
        <w:fldChar w:fldCharType="end"/>
      </w:r>
      <w:r w:rsidRPr="007C60D5">
        <w:rPr>
          <w:sz w:val="24"/>
          <w:szCs w:val="24"/>
          <w:lang w:val="en-US"/>
        </w:rPr>
        <w:t>.</w:t>
      </w:r>
    </w:p>
    <w:p w14:paraId="3C7D1557" w14:textId="270EB6BF" w:rsidR="00BB400B" w:rsidRDefault="00BB400B" w:rsidP="00E52A9C">
      <w:pPr>
        <w:spacing w:line="480" w:lineRule="auto"/>
        <w:rPr>
          <w:sz w:val="24"/>
          <w:szCs w:val="24"/>
          <w:lang w:val="en-US"/>
        </w:rPr>
      </w:pPr>
      <w:r w:rsidRPr="00BB400B">
        <w:rPr>
          <w:sz w:val="24"/>
          <w:szCs w:val="24"/>
          <w:lang w:val="en-US"/>
        </w:rPr>
        <w:t>While fulfilling universal moral obligations, Lao Feng Xiang's specific forms of climate responsibility also exhibit different manifestations due to cultural and policy factors, reflecting the complementary relationship between universalism and cultural relativism</w:t>
      </w:r>
      <w:r w:rsidR="00AA2D6C">
        <w:rPr>
          <w:sz w:val="24"/>
          <w:szCs w:val="24"/>
          <w:lang w:val="en-US"/>
        </w:rPr>
        <w:fldChar w:fldCharType="begin"/>
      </w:r>
      <w:r w:rsidR="002735D5">
        <w:rPr>
          <w:sz w:val="24"/>
          <w:szCs w:val="24"/>
          <w:lang w:val="en-US"/>
        </w:rPr>
        <w:instrText xml:space="preserve"> ADDIN ZOTERO_ITEM CSL_CITATION {"citationID":"RFLgGFzL","properties":{"formattedCitation":"(Yang, Khoo and Yang, 2024a)","plainCitation":"(Yang, Khoo and Yang, 2024a)","noteIndex":0},"citationItems":[{"id":222,"uris":["http://zotero.org/users/18628635/items/UUSDNJH9"],"itemData":{"id":222,"type":"article-journal","abstract":"Globally, considerable numbers of child workers are engaged in the tourism industry. Despite international efforts to eradicate all forms of child labour, the number of child labourers in the service industries has increased due to the ambiguity and challenges in defining child labourers in tourism, the dichotomic views on child labour, and the absence of children's voices in research. This paper explores host-children's perception of their engagement in tourism and proposes a transformative paradigm to transcend the dichotomy of universalism and cultural relativism. Employing photo-elicitation interviews with 82 Cambodian host-children, this paper identifies both favourable and unfavourable perceptions of host-children's engagement in tourism. Hence, it is argued that host-children's engagement in tourism should not be seen as black and white but as a complicated social phenomenon. Based on the findings and discussion, a conceptual framework is proposed to demonstrate how the transformative paradigm guides to address host-children's engagement in tourism.","container-title":"Tourism Management","DOI":"10.1016/j.tourman.2023.104838","ISSN":"0261-5177","journalAbbreviation":"Tourism Management","page":"104838","source":"ScienceDirect","title":"Exploring host-children's engagement in tourism: Transcending the dichotomy of universalism and cultural relativism","title-short":"Exploring host-children's engagement in tourism","volume":"100","author":[{"family":"Yang","given":"Mona Ji Hyun"},{"family":"Khoo","given":"Catheryn"},{"family":"Yang","given":"Elaine Chiao Ling"}],"issued":{"date-parts":[["2024",2,1]]}}}],"schema":"https://github.com/citation-style-language/schema/raw/master/csl-citation.json"} </w:instrText>
      </w:r>
      <w:r w:rsidR="00AA2D6C">
        <w:rPr>
          <w:sz w:val="24"/>
          <w:szCs w:val="24"/>
          <w:lang w:val="en-US"/>
        </w:rPr>
        <w:fldChar w:fldCharType="separate"/>
      </w:r>
      <w:r w:rsidR="002735D5">
        <w:rPr>
          <w:noProof/>
          <w:sz w:val="24"/>
          <w:szCs w:val="24"/>
          <w:lang w:val="en-US"/>
        </w:rPr>
        <w:t>(Yang, Khoo and Yang, 2024a)</w:t>
      </w:r>
      <w:r w:rsidR="00AA2D6C">
        <w:rPr>
          <w:sz w:val="24"/>
          <w:szCs w:val="24"/>
          <w:lang w:val="en-US"/>
        </w:rPr>
        <w:fldChar w:fldCharType="end"/>
      </w:r>
      <w:r w:rsidRPr="00BB400B">
        <w:rPr>
          <w:sz w:val="24"/>
          <w:szCs w:val="24"/>
          <w:lang w:val="en-US"/>
        </w:rPr>
        <w:t>. In the European market, due to the deeply rooted environmental protection culture, Lao Feng Xiang launched a carbon footprint transparency project. Each product is labeled with a QR code, allowing consumers to inquire about the entire carbon emission process from raw material extraction to production. This approach aligns with the cultural values of environmental protection in Europe. Local consumers view purchasing low-carbon products as an important way to practice environmental ethics, and thus this series has been well-received in the European market. In the Chinese market, Lao Feng Xiang's climate responsibility practices are closely integrated with the country's policies and traditional cultural concepts. It launched a series of products using recycled gold and combined it with the traditional Chinese cloud pattern. The focus of its promotion is on inheriting the virtue of frugality and linking environmental protection with China's traditional moral concept of frugality</w:t>
      </w:r>
      <w:r w:rsidR="006A5E1C">
        <w:rPr>
          <w:sz w:val="24"/>
          <w:szCs w:val="24"/>
          <w:lang w:val="en-US"/>
        </w:rPr>
        <w:fldChar w:fldCharType="begin"/>
      </w:r>
      <w:r w:rsidR="006A5E1C">
        <w:rPr>
          <w:sz w:val="24"/>
          <w:szCs w:val="24"/>
          <w:lang w:val="en-US"/>
        </w:rPr>
        <w:instrText xml:space="preserve"> ADDIN ZOTERO_ITEM CSL_CITATION {"citationID":"eslwoC56","properties":{"formattedCitation":"(Lu and Ran, 2025)","plainCitation":"(Lu and Ran, 2025)","noteIndex":0},"citationItems":[{"id":224,"uris":["http://zotero.org/users/18628635/items/5PQPZ7UF"],"itemData":{"id":224,"type":"article-journal","abstract":"China's rapid economic growth has expanded the urban middle class and intensive material consumption as both a marker of social status and a source of environmental strain. Meanwhile, some consumers increasingly embrace post-material values such as environemntalism and simplicity, creating tensions in everyday pratices. Drawing on practice theories, this paper analyzes how middle-class Chinese practice sustainable consumption within these competing economic and cultural currents through forming new dispositions and rebranding of old ones. We conducted a seven-month-long participant observation, 41 in-depth interviews, and a survey of 500 people in China's largest social media-based sustainable lifestyle community, GoZero Waste. We identify environmentalism, simplicity, and frugality as the three main ideals that drive community members’ sustainable consumption practices. Facing challenges of limited infrastructure, status signaling through material well-being, and the poverty-related stigma of frugality, sustainable consumers cope with making pragmatic incremental changes and the reconstruction of non-material well-being against consumerism. They rebrand traditional values for sustainable consumption and gain support in the GoZero Waste community. We further provide a critical analysis of the conditions necessary for sustainable consumption that pertain to multiple scales. The adoption of sustainable consumption is likely to be challenging without broader transformations in both status norms and material infrastructure. Our study contributes to our understanding of sustainable consumption in emerging economies and the sociology of consumption literature by highlighting the dynamic and contested formation of practical understandings in changing practices.","container-title":"Chinese Journal of Sociology","DOI":"10.1177/2057150X251371845","ISSN":"2057-150X","language":"EN","note":"publisher: SAGE Publications","page":"2057150X251371845","source":"SAGE Journals","title":"Navigating social and material challenges of sustainable consumption among the Chinese urban middle class: Environmentalism, simplicity, and frugality","title-short":"Navigating social and material challenges of sustainable consumption among the Chinese urban middle class","author":[{"family":"Lu","given":"Danning"},{"family":"Ran","given":"Tianshu"}],"issued":{"date-parts":[["2025",9,11]]}}}],"schema":"https://github.com/citation-style-language/schema/raw/master/csl-citation.json"} </w:instrText>
      </w:r>
      <w:r w:rsidR="006A5E1C">
        <w:rPr>
          <w:sz w:val="24"/>
          <w:szCs w:val="24"/>
          <w:lang w:val="en-US"/>
        </w:rPr>
        <w:fldChar w:fldCharType="separate"/>
      </w:r>
      <w:r w:rsidR="006A5E1C">
        <w:rPr>
          <w:noProof/>
          <w:sz w:val="24"/>
          <w:szCs w:val="24"/>
          <w:lang w:val="en-US"/>
        </w:rPr>
        <w:t>(Lu and Ran, 2025)</w:t>
      </w:r>
      <w:r w:rsidR="006A5E1C">
        <w:rPr>
          <w:sz w:val="24"/>
          <w:szCs w:val="24"/>
          <w:lang w:val="en-US"/>
        </w:rPr>
        <w:fldChar w:fldCharType="end"/>
      </w:r>
      <w:r w:rsidRPr="00BB400B">
        <w:rPr>
          <w:sz w:val="24"/>
          <w:szCs w:val="24"/>
          <w:lang w:val="en-US"/>
        </w:rPr>
        <w:t>. This differentiated practice is based on the judgment of the local culture and policy background and is a reasonable application of cultural relativism within the framework of universal moral obligations.</w:t>
      </w:r>
    </w:p>
    <w:p w14:paraId="65B125F6" w14:textId="366ADBC0" w:rsidR="00E52A9C" w:rsidRPr="008D4E6B" w:rsidRDefault="00E52A9C" w:rsidP="00E52A9C">
      <w:pPr>
        <w:spacing w:line="480" w:lineRule="auto"/>
        <w:rPr>
          <w:rFonts w:hint="eastAsia"/>
          <w:b/>
          <w:bCs/>
          <w:sz w:val="28"/>
          <w:szCs w:val="28"/>
          <w:lang w:val="en-US"/>
        </w:rPr>
      </w:pPr>
      <w:r w:rsidRPr="008D4E6B">
        <w:rPr>
          <w:rFonts w:hint="eastAsia"/>
          <w:b/>
          <w:bCs/>
          <w:sz w:val="28"/>
          <w:szCs w:val="28"/>
          <w:lang w:val="en-US"/>
        </w:rPr>
        <w:t xml:space="preserve">5.0 </w:t>
      </w:r>
      <w:r w:rsidRPr="008D4E6B">
        <w:rPr>
          <w:b/>
          <w:bCs/>
          <w:sz w:val="28"/>
          <w:szCs w:val="28"/>
          <w:lang w:val="en-US"/>
        </w:rPr>
        <w:t>Lao</w:t>
      </w:r>
      <w:r w:rsidR="0067684B">
        <w:rPr>
          <w:b/>
          <w:bCs/>
          <w:sz w:val="28"/>
          <w:szCs w:val="28"/>
          <w:lang w:val="en-US"/>
        </w:rPr>
        <w:t xml:space="preserve"> F</w:t>
      </w:r>
      <w:r w:rsidRPr="008D4E6B">
        <w:rPr>
          <w:b/>
          <w:bCs/>
          <w:sz w:val="28"/>
          <w:szCs w:val="28"/>
          <w:lang w:val="en-US"/>
        </w:rPr>
        <w:t>eng</w:t>
      </w:r>
      <w:r w:rsidR="0067684B">
        <w:rPr>
          <w:b/>
          <w:bCs/>
          <w:sz w:val="28"/>
          <w:szCs w:val="28"/>
          <w:lang w:val="en-US"/>
        </w:rPr>
        <w:t xml:space="preserve"> X</w:t>
      </w:r>
      <w:r w:rsidRPr="008D4E6B">
        <w:rPr>
          <w:b/>
          <w:bCs/>
          <w:sz w:val="28"/>
          <w:szCs w:val="28"/>
          <w:lang w:val="en-US"/>
        </w:rPr>
        <w:t>iang’s Balancing Logic</w:t>
      </w:r>
    </w:p>
    <w:p w14:paraId="783F2E2E" w14:textId="725F3511" w:rsidR="00E52A9C" w:rsidRDefault="00B47725" w:rsidP="00E52A9C">
      <w:pPr>
        <w:spacing w:line="480" w:lineRule="auto"/>
        <w:rPr>
          <w:sz w:val="24"/>
          <w:szCs w:val="24"/>
          <w:lang w:val="en-US"/>
        </w:rPr>
      </w:pPr>
      <w:r w:rsidRPr="00B47725">
        <w:rPr>
          <w:sz w:val="24"/>
          <w:szCs w:val="24"/>
          <w:lang w:val="en-US"/>
        </w:rPr>
        <w:t xml:space="preserve">Lao Feng Xiang's approach clearly defines the boundaries within which enterprises make moral decisions, balancing profits with religious, cultural and climate </w:t>
      </w:r>
      <w:r w:rsidRPr="00B47725">
        <w:rPr>
          <w:sz w:val="24"/>
          <w:szCs w:val="24"/>
          <w:lang w:val="en-US"/>
        </w:rPr>
        <w:lastRenderedPageBreak/>
        <w:t>responsibilities. The first boundary is based on ethical universalism and cannot be crossed in any cultural context, including not infringing upon the basic human rights of local residents and not causing irreversible environmental damage</w:t>
      </w:r>
      <w:r w:rsidR="00D007DA">
        <w:rPr>
          <w:sz w:val="24"/>
          <w:szCs w:val="24"/>
          <w:lang w:val="en-US"/>
        </w:rPr>
        <w:fldChar w:fldCharType="begin"/>
      </w:r>
      <w:r w:rsidR="00D007DA">
        <w:rPr>
          <w:sz w:val="24"/>
          <w:szCs w:val="24"/>
          <w:lang w:val="en-US"/>
        </w:rPr>
        <w:instrText xml:space="preserve"> ADDIN ZOTERO_ITEM CSL_CITATION {"citationID":"5uYdaFDr","properties":{"formattedCitation":"(Ugleva, 2022)","plainCitation":"(Ugleva, 2022)","noteIndex":0},"citationItems":[{"id":228,"uris":["http://zotero.org/users/18628635/items/BEFRT6C8"],"itemData":{"id":228,"type":"article-journal","container-title":"Kantian Journal","DOI":"10.5922/0207-6918-2022-2-5","issue":"2","page":"122–147","source":"PhilPapers","title":"Broken Facets of Ethical Universalism. Commentary on the Book Universality in Morality","volume":"41","author":[{"family":"Ugleva","given":"Anastasia V."}],"issued":{"date-parts":[["2022"]]}}}],"schema":"https://github.com/citation-style-language/schema/raw/master/csl-citation.json"} </w:instrText>
      </w:r>
      <w:r w:rsidR="00D007DA">
        <w:rPr>
          <w:sz w:val="24"/>
          <w:szCs w:val="24"/>
          <w:lang w:val="en-US"/>
        </w:rPr>
        <w:fldChar w:fldCharType="separate"/>
      </w:r>
      <w:r w:rsidR="00D007DA">
        <w:rPr>
          <w:noProof/>
          <w:sz w:val="24"/>
          <w:szCs w:val="24"/>
          <w:lang w:val="en-US"/>
        </w:rPr>
        <w:t>(</w:t>
      </w:r>
      <w:proofErr w:type="spellStart"/>
      <w:r w:rsidR="00D007DA">
        <w:rPr>
          <w:noProof/>
          <w:sz w:val="24"/>
          <w:szCs w:val="24"/>
          <w:lang w:val="en-US"/>
        </w:rPr>
        <w:t>Ugleva</w:t>
      </w:r>
      <w:proofErr w:type="spellEnd"/>
      <w:r w:rsidR="00D007DA">
        <w:rPr>
          <w:noProof/>
          <w:sz w:val="24"/>
          <w:szCs w:val="24"/>
          <w:lang w:val="en-US"/>
        </w:rPr>
        <w:t>, 2022)</w:t>
      </w:r>
      <w:r w:rsidR="00D007DA">
        <w:rPr>
          <w:sz w:val="24"/>
          <w:szCs w:val="24"/>
          <w:lang w:val="en-US"/>
        </w:rPr>
        <w:fldChar w:fldCharType="end"/>
      </w:r>
      <w:r w:rsidRPr="00B47725">
        <w:rPr>
          <w:sz w:val="24"/>
          <w:szCs w:val="24"/>
          <w:lang w:val="en-US"/>
        </w:rPr>
        <w:t>. The second boundary is based on cultural relativism, which allows enterprises to adjust specific business strategies, including product design, marketing methods, and corporate public welfare activities, according to the local cultural and religious characteristics without exceeding the universal bottom line. For example, Lao Feng Xiang's adjustments to jewelry patterns in countries with a majority Muslim population, as well as the integration of local aesthetic elements in the European market, fall within this category</w:t>
      </w:r>
      <w:r w:rsidR="002735D5">
        <w:rPr>
          <w:sz w:val="24"/>
          <w:szCs w:val="24"/>
          <w:lang w:val="en-US"/>
        </w:rPr>
        <w:fldChar w:fldCharType="begin"/>
      </w:r>
      <w:r w:rsidR="002735D5">
        <w:rPr>
          <w:sz w:val="24"/>
          <w:szCs w:val="24"/>
          <w:lang w:val="en-US"/>
        </w:rPr>
        <w:instrText xml:space="preserve"> ADDIN ZOTERO_ITEM CSL_CITATION {"citationID":"FX0eLYZv","properties":{"formattedCitation":"(Yang, Khoo and Yang, 2024b)","plainCitation":"(Yang, Khoo and Yang, 2024b)","noteIndex":0},"citationItems":[{"id":232,"uris":["http://zotero.org/users/18628635/items/IM8R9DND"],"itemData":{"id":232,"type":"article-journal","abstract":"Globally, considerable numbers of child workers are engaged in the tourism industry. Despite international efforts to eradicate all forms of child labour, the number of child labourers in the service industries has increased due to the ambiguity and challenges in defining child labourers in tourism, the dichotomic views on child labour, and the absence of children's voices in research. This paper explores host-children's perception of their engagement in tourism and proposes a transformative paradigm to transcend the dichotomy of universalism and cultural relativism. Employing photo-elicitation interviews with 82 Cambodian host-children, this paper identifies both favourable and unfavourable perceptions of host-children's engagement in tourism. Hence, it is argued that host-children's engagement in tourism should not be seen as black and white but as a complicated social phenomenon. Based on the findings and discussion, a conceptual framework is proposed to demonstrate how the transformative paradigm guides to address host-children's engagement in tourism.","container-title":"Tourism Management","DOI":"10.1016/j.tourman.2023.104838","ISSN":"0261-5177","journalAbbreviation":"Tourism Management","page":"104838","source":"ScienceDirect","title":"Exploring host-children's engagement in tourism: Transcending the dichotomy of universalism and cultural relativism","title-short":"Exploring host-children's engagement in tourism","volume":"100","author":[{"family":"Yang","given":"Mona Ji Hyun"},{"family":"Khoo","given":"Catheryn"},{"family":"Yang","given":"Elaine Chiao Ling"}],"issued":{"date-parts":[["2024",2,1]]}}}],"schema":"https://github.com/citation-style-language/schema/raw/master/csl-citation.json"} </w:instrText>
      </w:r>
      <w:r w:rsidR="002735D5">
        <w:rPr>
          <w:sz w:val="24"/>
          <w:szCs w:val="24"/>
          <w:lang w:val="en-US"/>
        </w:rPr>
        <w:fldChar w:fldCharType="separate"/>
      </w:r>
      <w:r w:rsidR="002735D5">
        <w:rPr>
          <w:noProof/>
          <w:sz w:val="24"/>
          <w:szCs w:val="24"/>
          <w:lang w:val="en-US"/>
        </w:rPr>
        <w:t>(Yang, Khoo and Yang, 2024b)</w:t>
      </w:r>
      <w:r w:rsidR="002735D5">
        <w:rPr>
          <w:sz w:val="24"/>
          <w:szCs w:val="24"/>
          <w:lang w:val="en-US"/>
        </w:rPr>
        <w:fldChar w:fldCharType="end"/>
      </w:r>
      <w:r w:rsidRPr="00B47725">
        <w:rPr>
          <w:sz w:val="24"/>
          <w:szCs w:val="24"/>
          <w:lang w:val="en-US"/>
        </w:rPr>
        <w:t>.</w:t>
      </w:r>
    </w:p>
    <w:p w14:paraId="4432076F" w14:textId="782C35BF" w:rsidR="00E52A9C" w:rsidRDefault="006C43FF" w:rsidP="00E52A9C">
      <w:pPr>
        <w:spacing w:line="480" w:lineRule="auto"/>
        <w:rPr>
          <w:sz w:val="24"/>
          <w:szCs w:val="24"/>
          <w:lang w:val="en-US"/>
        </w:rPr>
      </w:pPr>
      <w:r w:rsidRPr="006C43FF">
        <w:rPr>
          <w:sz w:val="24"/>
          <w:szCs w:val="24"/>
          <w:lang w:val="en-US"/>
        </w:rPr>
        <w:t>To ensure the making of correct moral decisions, Lao Feng</w:t>
      </w:r>
      <w:r>
        <w:rPr>
          <w:sz w:val="24"/>
          <w:szCs w:val="24"/>
          <w:lang w:val="en-US"/>
        </w:rPr>
        <w:t xml:space="preserve"> X</w:t>
      </w:r>
      <w:r w:rsidRPr="006C43FF">
        <w:rPr>
          <w:sz w:val="24"/>
          <w:szCs w:val="24"/>
          <w:lang w:val="en-US"/>
        </w:rPr>
        <w:t>iang has established a balanced mechanism centered on moral leadership. When making major decisions such as entering new markets or launching new products, Lao Feng</w:t>
      </w:r>
      <w:r>
        <w:rPr>
          <w:sz w:val="24"/>
          <w:szCs w:val="24"/>
          <w:lang w:val="en-US"/>
        </w:rPr>
        <w:t xml:space="preserve"> X</w:t>
      </w:r>
      <w:r w:rsidRPr="006C43FF">
        <w:rPr>
          <w:sz w:val="24"/>
          <w:szCs w:val="24"/>
          <w:lang w:val="en-US"/>
        </w:rPr>
        <w:t>iang will assess whether the decision violates the general moral bottom line, and then formulate corresponding adaptation plans based on the principle of cultural relativism</w:t>
      </w:r>
      <w:r w:rsidR="00FD3813">
        <w:rPr>
          <w:sz w:val="24"/>
          <w:szCs w:val="24"/>
          <w:lang w:val="en-US"/>
        </w:rPr>
        <w:fldChar w:fldCharType="begin"/>
      </w:r>
      <w:r w:rsidR="00FD3813">
        <w:rPr>
          <w:sz w:val="24"/>
          <w:szCs w:val="24"/>
          <w:lang w:val="en-US"/>
        </w:rPr>
        <w:instrText xml:space="preserve"> ADDIN ZOTERO_ITEM CSL_CITATION {"citationID":"0f3UqbzV","properties":{"formattedCitation":"(Greenbaum {\\i{}et al.}, 2021)","plainCitation":"(Greenbaum et al., 2021)","noteIndex":0},"citationItems":[{"id":234,"uris":["http://zotero.org/users/18628635/items/N5P85D7G"],"itemData":{"id":234,"type":"article-journal","abstract":"Drawing on theoretical work on humans’ adaptive capacity, we propose that supervisors’ perception of top management’s high bottom-line mentality (BLM) has a dysfunctional effect on their ethical leadership practices. Specifically, we suggest that these perceptions hinder supervisors’ empathy, which eventuates in less ethical leadership practices. We also investigate, in a first-stage moderated mediation model, how supervisors high in trait mindfulness are resistant to the ill effects of perceptions of top management’s high BLM. Supervisors high (versus low) in this trait are less likely to respond to perceptions of top management’s high BLM with reduced empathy that then hinders ethical leadership. Results from a multi-wave, multi-source sample of working adults from the Chinese high technology industry provide general support for our theoretical model. Theoretical and practical implications are discussed.","container-title":"Journal of Business Ethics","DOI":"10.1007/s10551-020-04546-w","ISSN":"1573-0697","issue":"1","journalAbbreviation":"J Bus Ethics","language":"en","page":"109-123","source":"Springer Link","title":"Moral Burden of Bottom-Line Pursuits: How and When Perceptions of Top Management Bottom-Line Mentality Inhibit Supervisors’ Ethical Leadership Practices","title-short":"Moral Burden of Bottom-Line Pursuits","volume":"174","author":[{"family":"Greenbaum","given":"Rebecca L."},{"family":"Babalola","given":"Mayowa"},{"family":"Quade","given":"Matthew J."},{"family":"Guo","given":"Liang"},{"family":"Kim","given":"Yun Chung"}],"issued":{"date-parts":[["2021",11,1]]}}}],"schema":"https://github.com/citation-style-language/schema/raw/master/csl-citation.json"} </w:instrText>
      </w:r>
      <w:r w:rsidR="00FD3813">
        <w:rPr>
          <w:sz w:val="24"/>
          <w:szCs w:val="24"/>
          <w:lang w:val="en-US"/>
        </w:rPr>
        <w:fldChar w:fldCharType="separate"/>
      </w:r>
      <w:r w:rsidR="00FD3813" w:rsidRPr="00FD3813">
        <w:rPr>
          <w:rFonts w:eastAsiaTheme="minorEastAsia" w:cs="Calibri"/>
          <w:kern w:val="0"/>
          <w:sz w:val="24"/>
          <w:szCs w:val="24"/>
          <w:lang w:val="en-US"/>
          <w14:ligatures w14:val="standardContextual"/>
        </w:rPr>
        <w:t xml:space="preserve">(Greenbaum </w:t>
      </w:r>
      <w:r w:rsidR="00FD3813" w:rsidRPr="00FD3813">
        <w:rPr>
          <w:rFonts w:eastAsiaTheme="minorEastAsia" w:cs="Calibri"/>
          <w:i/>
          <w:iCs/>
          <w:kern w:val="0"/>
          <w:sz w:val="24"/>
          <w:szCs w:val="24"/>
          <w:lang w:val="en-US"/>
          <w14:ligatures w14:val="standardContextual"/>
        </w:rPr>
        <w:t>et al.</w:t>
      </w:r>
      <w:r w:rsidR="00FD3813" w:rsidRPr="00FD3813">
        <w:rPr>
          <w:rFonts w:eastAsiaTheme="minorEastAsia" w:cs="Calibri"/>
          <w:kern w:val="0"/>
          <w:sz w:val="24"/>
          <w:szCs w:val="24"/>
          <w:lang w:val="en-US"/>
          <w14:ligatures w14:val="standardContextual"/>
        </w:rPr>
        <w:t>, 2021)</w:t>
      </w:r>
      <w:r w:rsidR="00FD3813">
        <w:rPr>
          <w:sz w:val="24"/>
          <w:szCs w:val="24"/>
          <w:lang w:val="en-US"/>
        </w:rPr>
        <w:fldChar w:fldCharType="end"/>
      </w:r>
      <w:r w:rsidRPr="006C43FF">
        <w:rPr>
          <w:sz w:val="24"/>
          <w:szCs w:val="24"/>
          <w:lang w:val="en-US"/>
        </w:rPr>
        <w:t>. For example, when deciding to enter the Indian market, Lao Feng</w:t>
      </w:r>
      <w:r>
        <w:rPr>
          <w:sz w:val="24"/>
          <w:szCs w:val="24"/>
          <w:lang w:val="en-US"/>
        </w:rPr>
        <w:t xml:space="preserve"> X</w:t>
      </w:r>
      <w:r w:rsidRPr="006C43FF">
        <w:rPr>
          <w:sz w:val="24"/>
          <w:szCs w:val="24"/>
          <w:lang w:val="en-US"/>
        </w:rPr>
        <w:t xml:space="preserve">iang will first confirm that using local gem resources will not cause ecological </w:t>
      </w:r>
      <w:proofErr w:type="gramStart"/>
      <w:r w:rsidRPr="006C43FF">
        <w:rPr>
          <w:sz w:val="24"/>
          <w:szCs w:val="24"/>
          <w:lang w:val="en-US"/>
        </w:rPr>
        <w:t>damage, and</w:t>
      </w:r>
      <w:proofErr w:type="gramEnd"/>
      <w:r w:rsidRPr="006C43FF">
        <w:rPr>
          <w:sz w:val="24"/>
          <w:szCs w:val="24"/>
          <w:lang w:val="en-US"/>
        </w:rPr>
        <w:t xml:space="preserve"> then adjust the product design to incorporate patterns suitable for the Diwali festival in India. This mechanism helps Lao Feng</w:t>
      </w:r>
      <w:r>
        <w:rPr>
          <w:sz w:val="24"/>
          <w:szCs w:val="24"/>
          <w:lang w:val="en-US"/>
        </w:rPr>
        <w:t xml:space="preserve"> X</w:t>
      </w:r>
      <w:r w:rsidRPr="006C43FF">
        <w:rPr>
          <w:sz w:val="24"/>
          <w:szCs w:val="24"/>
          <w:lang w:val="en-US"/>
        </w:rPr>
        <w:t>iang's profit pursuit remain within the moral framework, forming a unique moral competitiveness that enables the company to gain long-term trust in the global market.</w:t>
      </w:r>
    </w:p>
    <w:p w14:paraId="5F151B2A" w14:textId="77777777" w:rsidR="00E52A9C" w:rsidRDefault="00E52A9C" w:rsidP="00E52A9C">
      <w:pPr>
        <w:spacing w:line="480" w:lineRule="auto"/>
        <w:rPr>
          <w:sz w:val="24"/>
          <w:szCs w:val="24"/>
          <w:lang w:val="en-US"/>
        </w:rPr>
      </w:pPr>
    </w:p>
    <w:p w14:paraId="580A39BD" w14:textId="4E53F674" w:rsidR="00E52A9C" w:rsidRPr="008D4E6B" w:rsidRDefault="00E52A9C" w:rsidP="00E52A9C">
      <w:pPr>
        <w:spacing w:line="480" w:lineRule="auto"/>
        <w:rPr>
          <w:b/>
          <w:bCs/>
          <w:sz w:val="28"/>
          <w:szCs w:val="28"/>
          <w:lang w:val="en-US"/>
        </w:rPr>
      </w:pPr>
      <w:r w:rsidRPr="008D4E6B">
        <w:rPr>
          <w:rFonts w:hint="eastAsia"/>
          <w:b/>
          <w:bCs/>
          <w:sz w:val="28"/>
          <w:szCs w:val="28"/>
          <w:lang w:val="en-US"/>
        </w:rPr>
        <w:lastRenderedPageBreak/>
        <w:t>6.0 Conclusion</w:t>
      </w:r>
    </w:p>
    <w:p w14:paraId="6497FA9E" w14:textId="28970857" w:rsidR="00DA1469" w:rsidRPr="00DA1469" w:rsidRDefault="00DA1469" w:rsidP="00DA1469">
      <w:pPr>
        <w:spacing w:line="480" w:lineRule="auto"/>
        <w:rPr>
          <w:sz w:val="24"/>
          <w:szCs w:val="24"/>
          <w:lang w:val="en-US"/>
        </w:rPr>
      </w:pPr>
      <w:r w:rsidRPr="00DA1469">
        <w:rPr>
          <w:sz w:val="24"/>
          <w:szCs w:val="24"/>
          <w:lang w:val="en-US"/>
        </w:rPr>
        <w:t>This report</w:t>
      </w:r>
      <w:r>
        <w:rPr>
          <w:rFonts w:hint="eastAsia"/>
          <w:sz w:val="24"/>
          <w:szCs w:val="24"/>
          <w:lang w:val="en-US"/>
        </w:rPr>
        <w:t xml:space="preserve"> </w:t>
      </w:r>
      <w:r w:rsidRPr="00DA1469">
        <w:rPr>
          <w:sz w:val="24"/>
          <w:szCs w:val="24"/>
          <w:lang w:val="en-US"/>
        </w:rPr>
        <w:t>through the analysis of the practices of Lao Feng Xiang, concludes that the differences in ethical evaluations across different cultural backgrounds stem from the duality of ethical norms, the specific ethical requirements shaped by cultural backgrounds, and the universal ethical principles transcending cultures. Different business behaviors demonstrated in Turkey, Europe, and China all prove that the ethical judgment of enterprises must be measured simultaneously based on the rationality of the situation and the universal correctness.</w:t>
      </w:r>
    </w:p>
    <w:p w14:paraId="357659C3" w14:textId="77777777" w:rsidR="00DA1469" w:rsidRPr="00DA1469" w:rsidRDefault="00DA1469" w:rsidP="00DA1469">
      <w:pPr>
        <w:spacing w:line="480" w:lineRule="auto"/>
        <w:rPr>
          <w:sz w:val="24"/>
          <w:szCs w:val="24"/>
          <w:lang w:val="en-US"/>
        </w:rPr>
      </w:pPr>
      <w:r w:rsidRPr="00DA1469">
        <w:rPr>
          <w:sz w:val="24"/>
          <w:szCs w:val="24"/>
          <w:lang w:val="en-US"/>
        </w:rPr>
        <w:t>The universal bottom line is non-negotiable, including respecting human dignity, protecting the global environment, and abiding by universal laws. This is the moral responsibility that enterprises must undertake. And situational adaptation is flexible, requiring enterprises to respect local culture according to the principle of cultural relativism.</w:t>
      </w:r>
    </w:p>
    <w:p w14:paraId="038E5235" w14:textId="185E69EE" w:rsidR="00E52A9C" w:rsidRDefault="00DA1469" w:rsidP="00DA1469">
      <w:pPr>
        <w:spacing w:line="480" w:lineRule="auto"/>
        <w:rPr>
          <w:sz w:val="24"/>
          <w:szCs w:val="24"/>
          <w:lang w:val="en-US"/>
        </w:rPr>
      </w:pPr>
      <w:r w:rsidRPr="00DA1469">
        <w:rPr>
          <w:sz w:val="24"/>
          <w:szCs w:val="24"/>
          <w:lang w:val="en-US"/>
        </w:rPr>
        <w:t>For enterprises, the key to resolving moral dilemmas lies in establishing a moral thinking that combines universalism and relativism. Profit is not the opposite of responsibility; responsibility based on moral principles is an important factor for achieving sustainable profit growth. The experience of Lao Feng Xiang shows that when enterprises take respecting cultural diversity and protecting the common environment as their moral pursuit, this is conducive to avoiding cross-cultural conflicts and establishing a brand image, thereby achieving the common development of economic value, moral value, and social value.</w:t>
      </w:r>
    </w:p>
    <w:p w14:paraId="24AF6834" w14:textId="77777777" w:rsidR="00E52A9C" w:rsidRDefault="00E52A9C" w:rsidP="00E52A9C">
      <w:pPr>
        <w:spacing w:line="480" w:lineRule="auto"/>
        <w:rPr>
          <w:sz w:val="24"/>
          <w:szCs w:val="24"/>
          <w:lang w:val="en-US"/>
        </w:rPr>
      </w:pPr>
    </w:p>
    <w:p w14:paraId="1B55ECAB" w14:textId="7FDEE2CA" w:rsidR="00E52A9C" w:rsidRPr="008D4E6B" w:rsidRDefault="00E52A9C" w:rsidP="00E52A9C">
      <w:pPr>
        <w:spacing w:line="480" w:lineRule="auto"/>
        <w:rPr>
          <w:b/>
          <w:bCs/>
          <w:sz w:val="28"/>
          <w:szCs w:val="28"/>
          <w:lang w:val="en-US"/>
        </w:rPr>
      </w:pPr>
      <w:r w:rsidRPr="008D4E6B">
        <w:rPr>
          <w:rFonts w:hint="eastAsia"/>
          <w:b/>
          <w:bCs/>
          <w:sz w:val="28"/>
          <w:szCs w:val="28"/>
          <w:lang w:val="en-US"/>
        </w:rPr>
        <w:t>References</w:t>
      </w:r>
    </w:p>
    <w:p w14:paraId="53E064EB" w14:textId="77777777" w:rsidR="00FD3813" w:rsidRPr="00FD3813" w:rsidRDefault="006C4B45" w:rsidP="00FD3813">
      <w:pPr>
        <w:pStyle w:val="ae"/>
        <w:rPr>
          <w:rFonts w:cs="Calibri"/>
          <w:sz w:val="24"/>
          <w:lang w:val="en-US"/>
        </w:rPr>
      </w:pPr>
      <w:r>
        <w:rPr>
          <w:lang w:val="en-US"/>
        </w:rPr>
        <w:fldChar w:fldCharType="begin"/>
      </w:r>
      <w:r>
        <w:rPr>
          <w:lang w:val="en-US"/>
        </w:rPr>
        <w:instrText xml:space="preserve"> ADDIN ZOTERO_BIBL {"uncited":[],"omitted":[],"custom":[]} CSL_BIBLIOGRAPHY </w:instrText>
      </w:r>
      <w:r>
        <w:rPr>
          <w:lang w:val="en-US"/>
        </w:rPr>
        <w:fldChar w:fldCharType="separate"/>
      </w:r>
      <w:proofErr w:type="spellStart"/>
      <w:r w:rsidR="00FD3813" w:rsidRPr="00FD3813">
        <w:rPr>
          <w:rFonts w:cs="Calibri"/>
          <w:sz w:val="24"/>
          <w:lang w:val="en-US"/>
        </w:rPr>
        <w:t>Bågenholm</w:t>
      </w:r>
      <w:proofErr w:type="spellEnd"/>
      <w:r w:rsidR="00FD3813" w:rsidRPr="00FD3813">
        <w:rPr>
          <w:rFonts w:cs="Calibri"/>
          <w:sz w:val="24"/>
          <w:lang w:val="en-US"/>
        </w:rPr>
        <w:t xml:space="preserve">, A. </w:t>
      </w:r>
      <w:r w:rsidR="00FD3813" w:rsidRPr="00FD3813">
        <w:rPr>
          <w:rFonts w:cs="Calibri"/>
          <w:i/>
          <w:iCs/>
          <w:sz w:val="24"/>
          <w:lang w:val="en-US"/>
        </w:rPr>
        <w:t>et al.</w:t>
      </w:r>
      <w:r w:rsidR="00FD3813" w:rsidRPr="00FD3813">
        <w:rPr>
          <w:rFonts w:cs="Calibri"/>
          <w:sz w:val="24"/>
          <w:lang w:val="en-US"/>
        </w:rPr>
        <w:t xml:space="preserve"> (2021) </w:t>
      </w:r>
      <w:r w:rsidR="00FD3813" w:rsidRPr="00FD3813">
        <w:rPr>
          <w:rFonts w:cs="Calibri"/>
          <w:i/>
          <w:iCs/>
          <w:sz w:val="24"/>
          <w:lang w:val="en-US"/>
        </w:rPr>
        <w:t>The Oxford Handbook of the Quality of Government</w:t>
      </w:r>
      <w:r w:rsidR="00FD3813" w:rsidRPr="00FD3813">
        <w:rPr>
          <w:rFonts w:cs="Calibri"/>
          <w:sz w:val="24"/>
          <w:lang w:val="en-US"/>
        </w:rPr>
        <w:t>. Oxford University Press.</w:t>
      </w:r>
    </w:p>
    <w:p w14:paraId="51FC6176" w14:textId="77777777" w:rsidR="00A41FEC" w:rsidRDefault="00A41FEC" w:rsidP="00FD3813">
      <w:pPr>
        <w:pStyle w:val="ae"/>
        <w:rPr>
          <w:rFonts w:cs="Calibri"/>
          <w:sz w:val="24"/>
          <w:lang w:val="en-US"/>
        </w:rPr>
      </w:pPr>
    </w:p>
    <w:p w14:paraId="628C650F" w14:textId="1BB4930E" w:rsidR="00FD3813" w:rsidRPr="00FD3813" w:rsidRDefault="00FD3813" w:rsidP="00FD3813">
      <w:pPr>
        <w:pStyle w:val="ae"/>
        <w:rPr>
          <w:rFonts w:cs="Calibri"/>
          <w:sz w:val="24"/>
          <w:lang w:val="en-US"/>
        </w:rPr>
      </w:pPr>
      <w:r w:rsidRPr="00FD3813">
        <w:rPr>
          <w:rFonts w:cs="Calibri"/>
          <w:sz w:val="24"/>
          <w:lang w:val="en-US"/>
        </w:rPr>
        <w:t xml:space="preserve">‘Cultural Relativism: Definition &amp; Examples’ (2022), 3 November. Available at: https://www.simplypsychology.org/cultural-relativism.html (Accessed: </w:t>
      </w:r>
      <w:r w:rsidR="000924D4">
        <w:rPr>
          <w:rFonts w:cs="Calibri"/>
          <w:sz w:val="24"/>
          <w:lang w:val="en-US"/>
        </w:rPr>
        <w:t>1</w:t>
      </w:r>
      <w:r w:rsidRPr="00FD3813">
        <w:rPr>
          <w:rFonts w:cs="Calibri"/>
          <w:sz w:val="24"/>
          <w:lang w:val="en-US"/>
        </w:rPr>
        <w:t xml:space="preserve"> December 2025).</w:t>
      </w:r>
    </w:p>
    <w:p w14:paraId="1000993F" w14:textId="77777777" w:rsidR="00A41FEC" w:rsidRDefault="00A41FEC" w:rsidP="00FD3813">
      <w:pPr>
        <w:pStyle w:val="ae"/>
        <w:rPr>
          <w:rFonts w:cs="Calibri"/>
          <w:sz w:val="24"/>
          <w:lang w:val="en-US"/>
        </w:rPr>
      </w:pPr>
    </w:p>
    <w:p w14:paraId="3F0DDA8C" w14:textId="628B90CA" w:rsidR="00FD3813" w:rsidRPr="00FD3813" w:rsidRDefault="00FD3813" w:rsidP="00FD3813">
      <w:pPr>
        <w:pStyle w:val="ae"/>
        <w:rPr>
          <w:rFonts w:cs="Calibri"/>
          <w:sz w:val="24"/>
          <w:lang w:val="en-US"/>
        </w:rPr>
      </w:pPr>
      <w:proofErr w:type="spellStart"/>
      <w:r w:rsidRPr="00FD3813">
        <w:rPr>
          <w:rFonts w:cs="Calibri"/>
          <w:sz w:val="24"/>
          <w:lang w:val="en-US"/>
        </w:rPr>
        <w:t>DCFmodeling</w:t>
      </w:r>
      <w:proofErr w:type="spellEnd"/>
      <w:r w:rsidRPr="00FD3813">
        <w:rPr>
          <w:rFonts w:cs="Calibri"/>
          <w:sz w:val="24"/>
          <w:lang w:val="en-US"/>
        </w:rPr>
        <w:t xml:space="preserve"> (2025) </w:t>
      </w:r>
      <w:r w:rsidRPr="00FD3813">
        <w:rPr>
          <w:rFonts w:cs="Calibri"/>
          <w:i/>
          <w:iCs/>
          <w:sz w:val="24"/>
          <w:lang w:val="en-US"/>
        </w:rPr>
        <w:t>Lao Feng Xiang Co., Ltd.: history, ownership, mission, how it works &amp; makes money</w:t>
      </w:r>
      <w:r w:rsidRPr="00FD3813">
        <w:rPr>
          <w:rFonts w:cs="Calibri"/>
          <w:sz w:val="24"/>
          <w:lang w:val="en-US"/>
        </w:rPr>
        <w:t xml:space="preserve">, </w:t>
      </w:r>
      <w:r w:rsidRPr="00FD3813">
        <w:rPr>
          <w:rFonts w:cs="Calibri"/>
          <w:i/>
          <w:iCs/>
          <w:sz w:val="24"/>
          <w:lang w:val="en-US"/>
        </w:rPr>
        <w:t>AI-Powered Discounted Cash Flow Editable Templates</w:t>
      </w:r>
      <w:r w:rsidRPr="00FD3813">
        <w:rPr>
          <w:rFonts w:cs="Calibri"/>
          <w:sz w:val="24"/>
          <w:lang w:val="en-US"/>
        </w:rPr>
        <w:t xml:space="preserve">. Available at: https://dcfmodeling.com/blogs/history/600612ss-history-mission-ownership (Accessed: </w:t>
      </w:r>
      <w:r w:rsidR="000924D4">
        <w:rPr>
          <w:rFonts w:cs="Calibri"/>
          <w:sz w:val="24"/>
          <w:lang w:val="en-US"/>
        </w:rPr>
        <w:t>1</w:t>
      </w:r>
      <w:r w:rsidRPr="00FD3813">
        <w:rPr>
          <w:rFonts w:cs="Calibri"/>
          <w:sz w:val="24"/>
          <w:lang w:val="en-US"/>
        </w:rPr>
        <w:t xml:space="preserve"> December 2025).</w:t>
      </w:r>
    </w:p>
    <w:p w14:paraId="65FEBE88" w14:textId="77777777" w:rsidR="00A41FEC" w:rsidRDefault="00A41FEC" w:rsidP="00FD3813">
      <w:pPr>
        <w:pStyle w:val="ae"/>
        <w:rPr>
          <w:rFonts w:cs="Calibri"/>
          <w:sz w:val="24"/>
          <w:lang w:val="en-US"/>
        </w:rPr>
      </w:pPr>
    </w:p>
    <w:p w14:paraId="11860E7E" w14:textId="0203C73A" w:rsidR="00FD3813" w:rsidRPr="00FD3813" w:rsidRDefault="00FD3813" w:rsidP="00FD3813">
      <w:pPr>
        <w:pStyle w:val="ae"/>
        <w:rPr>
          <w:rFonts w:cs="Calibri"/>
          <w:sz w:val="24"/>
          <w:lang w:val="en-US"/>
        </w:rPr>
      </w:pPr>
      <w:proofErr w:type="spellStart"/>
      <w:r w:rsidRPr="00FD3813">
        <w:rPr>
          <w:rFonts w:cs="Calibri"/>
          <w:sz w:val="24"/>
          <w:lang w:val="en-US"/>
        </w:rPr>
        <w:t>Ermasova</w:t>
      </w:r>
      <w:proofErr w:type="spellEnd"/>
      <w:r w:rsidRPr="00FD3813">
        <w:rPr>
          <w:rFonts w:cs="Calibri"/>
          <w:sz w:val="24"/>
          <w:lang w:val="en-US"/>
        </w:rPr>
        <w:t xml:space="preserve">, N. (2021) ‘Cross-cultural issues in business ethics: A review and research agenda’, </w:t>
      </w:r>
      <w:r w:rsidRPr="00FD3813">
        <w:rPr>
          <w:rFonts w:cs="Calibri"/>
          <w:i/>
          <w:iCs/>
          <w:sz w:val="24"/>
          <w:lang w:val="en-US"/>
        </w:rPr>
        <w:t xml:space="preserve">International Journal of </w:t>
      </w:r>
      <w:proofErr w:type="gramStart"/>
      <w:r w:rsidRPr="00FD3813">
        <w:rPr>
          <w:rFonts w:cs="Calibri"/>
          <w:i/>
          <w:iCs/>
          <w:sz w:val="24"/>
          <w:lang w:val="en-US"/>
        </w:rPr>
        <w:t>Cross Cultural</w:t>
      </w:r>
      <w:proofErr w:type="gramEnd"/>
      <w:r w:rsidRPr="00FD3813">
        <w:rPr>
          <w:rFonts w:cs="Calibri"/>
          <w:i/>
          <w:iCs/>
          <w:sz w:val="24"/>
          <w:lang w:val="en-US"/>
        </w:rPr>
        <w:t xml:space="preserve"> Management</w:t>
      </w:r>
      <w:r w:rsidRPr="00FD3813">
        <w:rPr>
          <w:rFonts w:cs="Calibri"/>
          <w:sz w:val="24"/>
          <w:lang w:val="en-US"/>
        </w:rPr>
        <w:t>, 21(1), pp. 95–121. Available at: https://doi.org/10.1177/1470595821999075.</w:t>
      </w:r>
    </w:p>
    <w:p w14:paraId="4EDD8EEE" w14:textId="77777777" w:rsidR="00A41FEC" w:rsidRDefault="00A41FEC" w:rsidP="00FD3813">
      <w:pPr>
        <w:pStyle w:val="ae"/>
        <w:rPr>
          <w:rFonts w:cs="Calibri"/>
          <w:sz w:val="24"/>
          <w:lang w:val="en-US"/>
        </w:rPr>
      </w:pPr>
    </w:p>
    <w:p w14:paraId="5EE6C53F" w14:textId="78E045AA" w:rsidR="00FD3813" w:rsidRPr="00FD3813" w:rsidRDefault="00FD3813" w:rsidP="00FD3813">
      <w:pPr>
        <w:pStyle w:val="ae"/>
        <w:rPr>
          <w:rFonts w:cs="Calibri"/>
          <w:sz w:val="24"/>
          <w:lang w:val="en-US"/>
        </w:rPr>
      </w:pPr>
      <w:r w:rsidRPr="00FD3813">
        <w:rPr>
          <w:rFonts w:cs="Calibri"/>
          <w:sz w:val="24"/>
          <w:lang w:val="en-US"/>
        </w:rPr>
        <w:t xml:space="preserve">Greenbaum, R.L. </w:t>
      </w:r>
      <w:r w:rsidRPr="00FD3813">
        <w:rPr>
          <w:rFonts w:cs="Calibri"/>
          <w:i/>
          <w:iCs/>
          <w:sz w:val="24"/>
          <w:lang w:val="en-US"/>
        </w:rPr>
        <w:t>et al.</w:t>
      </w:r>
      <w:r w:rsidRPr="00FD3813">
        <w:rPr>
          <w:rFonts w:cs="Calibri"/>
          <w:sz w:val="24"/>
          <w:lang w:val="en-US"/>
        </w:rPr>
        <w:t xml:space="preserve"> (2021) ‘Moral Burden of Bottom-Line Pursuits: How and When Perceptions of Top Management Bottom-Line Mentality Inhibit Supervisors’ Ethical Leadership Practices’, </w:t>
      </w:r>
      <w:r w:rsidRPr="00FD3813">
        <w:rPr>
          <w:rFonts w:cs="Calibri"/>
          <w:i/>
          <w:iCs/>
          <w:sz w:val="24"/>
          <w:lang w:val="en-US"/>
        </w:rPr>
        <w:t>Journal of Business Ethics</w:t>
      </w:r>
      <w:r w:rsidRPr="00FD3813">
        <w:rPr>
          <w:rFonts w:cs="Calibri"/>
          <w:sz w:val="24"/>
          <w:lang w:val="en-US"/>
        </w:rPr>
        <w:t>, 174(1), pp. 109–123. Available at: https://doi.org/10.1007/s10551-020-04546-w.</w:t>
      </w:r>
    </w:p>
    <w:p w14:paraId="217C323B" w14:textId="77777777" w:rsidR="00A41FEC" w:rsidRDefault="00A41FEC" w:rsidP="00FD3813">
      <w:pPr>
        <w:pStyle w:val="ae"/>
        <w:rPr>
          <w:rFonts w:cs="Calibri"/>
          <w:sz w:val="24"/>
          <w:lang w:val="en-US"/>
        </w:rPr>
      </w:pPr>
    </w:p>
    <w:p w14:paraId="5629FB0B" w14:textId="24C12A30" w:rsidR="00FD3813" w:rsidRPr="00FD3813" w:rsidRDefault="00FD3813" w:rsidP="00FD3813">
      <w:pPr>
        <w:pStyle w:val="ae"/>
        <w:rPr>
          <w:rFonts w:cs="Calibri"/>
          <w:sz w:val="24"/>
          <w:lang w:val="en-US"/>
        </w:rPr>
      </w:pPr>
      <w:r w:rsidRPr="00FD3813">
        <w:rPr>
          <w:rFonts w:cs="Calibri"/>
          <w:sz w:val="24"/>
          <w:lang w:val="en-US"/>
        </w:rPr>
        <w:t xml:space="preserve">Heston, T.F. and Ray, S. (2021) </w:t>
      </w:r>
      <w:r w:rsidRPr="00FD3813">
        <w:rPr>
          <w:rFonts w:cs="Calibri"/>
          <w:i/>
          <w:iCs/>
          <w:sz w:val="24"/>
          <w:lang w:val="en-US"/>
        </w:rPr>
        <w:t>Bioethics in Medicine and Society</w:t>
      </w:r>
      <w:r w:rsidRPr="00FD3813">
        <w:rPr>
          <w:rFonts w:cs="Calibri"/>
          <w:sz w:val="24"/>
          <w:lang w:val="en-US"/>
        </w:rPr>
        <w:t xml:space="preserve">. </w:t>
      </w:r>
      <w:proofErr w:type="spellStart"/>
      <w:r w:rsidRPr="00FD3813">
        <w:rPr>
          <w:rFonts w:cs="Calibri"/>
          <w:sz w:val="24"/>
          <w:lang w:val="en-US"/>
        </w:rPr>
        <w:t>BoD</w:t>
      </w:r>
      <w:proofErr w:type="spellEnd"/>
      <w:r w:rsidRPr="00FD3813">
        <w:rPr>
          <w:rFonts w:cs="Calibri"/>
          <w:sz w:val="24"/>
          <w:lang w:val="en-US"/>
        </w:rPr>
        <w:t xml:space="preserve"> – Books on Demand.</w:t>
      </w:r>
    </w:p>
    <w:p w14:paraId="6F285217" w14:textId="77777777" w:rsidR="00A41FEC" w:rsidRDefault="00A41FEC" w:rsidP="00FD3813">
      <w:pPr>
        <w:pStyle w:val="ae"/>
        <w:rPr>
          <w:rFonts w:cs="Calibri"/>
          <w:sz w:val="24"/>
          <w:lang w:val="en-US"/>
        </w:rPr>
      </w:pPr>
    </w:p>
    <w:p w14:paraId="2390CA30" w14:textId="349FBD27" w:rsidR="00FD3813" w:rsidRPr="00FD3813" w:rsidRDefault="00FD3813" w:rsidP="00FD3813">
      <w:pPr>
        <w:pStyle w:val="ae"/>
        <w:rPr>
          <w:rFonts w:cs="Calibri"/>
          <w:sz w:val="24"/>
          <w:lang w:val="en-US"/>
        </w:rPr>
      </w:pPr>
      <w:r w:rsidRPr="00FD3813">
        <w:rPr>
          <w:rFonts w:cs="Calibri"/>
          <w:sz w:val="24"/>
          <w:lang w:val="en-US"/>
        </w:rPr>
        <w:t xml:space="preserve">Ismail, I., Ali, H. and Anwar Us, K. (2022) ‘FACTORS AFFECTING CRITICAL AND HOLISTIC THINKING IN ISLAMIC EDUCATION IN INDONESIA: SELF-CONCEPT, SYSTEM, TRADITION, CULTURE. (LITERATURE REVIEW OF ISLAMIC EDUCATION MANAGEMENT)’, </w:t>
      </w:r>
      <w:r w:rsidRPr="00FD3813">
        <w:rPr>
          <w:rFonts w:cs="Calibri"/>
          <w:i/>
          <w:iCs/>
          <w:sz w:val="24"/>
          <w:lang w:val="en-US"/>
        </w:rPr>
        <w:t>Dinasti International Journal of Management Science</w:t>
      </w:r>
      <w:r w:rsidRPr="00FD3813">
        <w:rPr>
          <w:rFonts w:cs="Calibri"/>
          <w:sz w:val="24"/>
          <w:lang w:val="en-US"/>
        </w:rPr>
        <w:t>, 3(3), pp. 407–437. Available at: https://doi.org/10.31933/dijms.v3i3.1088.</w:t>
      </w:r>
    </w:p>
    <w:p w14:paraId="15774288" w14:textId="77777777" w:rsidR="00A41FEC" w:rsidRDefault="00A41FEC" w:rsidP="00FD3813">
      <w:pPr>
        <w:pStyle w:val="ae"/>
        <w:rPr>
          <w:rFonts w:cs="Calibri"/>
          <w:sz w:val="24"/>
          <w:lang w:val="en-US"/>
        </w:rPr>
      </w:pPr>
    </w:p>
    <w:p w14:paraId="04A94A37" w14:textId="78E21CC9" w:rsidR="00FD3813" w:rsidRPr="00FD3813" w:rsidRDefault="00FD3813" w:rsidP="00FD3813">
      <w:pPr>
        <w:pStyle w:val="ae"/>
        <w:rPr>
          <w:rFonts w:cs="Calibri"/>
          <w:sz w:val="24"/>
          <w:lang w:val="en-US"/>
        </w:rPr>
      </w:pPr>
      <w:r w:rsidRPr="00FD3813">
        <w:rPr>
          <w:rFonts w:cs="Calibri"/>
          <w:sz w:val="24"/>
          <w:lang w:val="en-US"/>
        </w:rPr>
        <w:t xml:space="preserve">Johansen, B. (2023) </w:t>
      </w:r>
      <w:r w:rsidRPr="00FD3813">
        <w:rPr>
          <w:rFonts w:cs="Calibri"/>
          <w:i/>
          <w:iCs/>
          <w:sz w:val="24"/>
          <w:lang w:val="en-US"/>
        </w:rPr>
        <w:t>Contingency in a Sacred Law: Legal and Ethical Norms in the Muslim Fiqh</w:t>
      </w:r>
      <w:r w:rsidRPr="00FD3813">
        <w:rPr>
          <w:rFonts w:cs="Calibri"/>
          <w:sz w:val="24"/>
          <w:lang w:val="en-US"/>
        </w:rPr>
        <w:t>. BRILL.</w:t>
      </w:r>
    </w:p>
    <w:p w14:paraId="07A9962F" w14:textId="77777777" w:rsidR="00A41FEC" w:rsidRDefault="00A41FEC" w:rsidP="00FD3813">
      <w:pPr>
        <w:pStyle w:val="ae"/>
        <w:rPr>
          <w:rFonts w:cs="Calibri"/>
          <w:sz w:val="24"/>
          <w:lang w:val="en-US"/>
        </w:rPr>
      </w:pPr>
    </w:p>
    <w:p w14:paraId="6D90CAFD" w14:textId="1B402A75" w:rsidR="00FD3813" w:rsidRPr="00FD3813" w:rsidRDefault="00FD3813" w:rsidP="00FD3813">
      <w:pPr>
        <w:pStyle w:val="ae"/>
        <w:rPr>
          <w:rFonts w:cs="Calibri"/>
          <w:sz w:val="24"/>
          <w:lang w:val="en-US"/>
        </w:rPr>
      </w:pPr>
      <w:r w:rsidRPr="00FD3813">
        <w:rPr>
          <w:rFonts w:cs="Calibri"/>
          <w:sz w:val="24"/>
          <w:lang w:val="en-US"/>
        </w:rPr>
        <w:t>Lee, J., Yun, J. and Kang, U. (2024) ‘Towards True Multi-</w:t>
      </w:r>
      <w:proofErr w:type="gramStart"/>
      <w:r w:rsidRPr="00FD3813">
        <w:rPr>
          <w:rFonts w:cs="Calibri"/>
          <w:sz w:val="24"/>
          <w:lang w:val="en-US"/>
        </w:rPr>
        <w:t>interest</w:t>
      </w:r>
      <w:proofErr w:type="gramEnd"/>
      <w:r w:rsidRPr="00FD3813">
        <w:rPr>
          <w:rFonts w:cs="Calibri"/>
          <w:sz w:val="24"/>
          <w:lang w:val="en-US"/>
        </w:rPr>
        <w:t xml:space="preserve"> Recommendation: Enhanced Scheme for Balanced Interest Training’, in </w:t>
      </w:r>
      <w:r w:rsidRPr="00FD3813">
        <w:rPr>
          <w:rFonts w:cs="Calibri"/>
          <w:i/>
          <w:iCs/>
          <w:sz w:val="24"/>
          <w:lang w:val="en-US"/>
        </w:rPr>
        <w:t>2024 IEEE International Conference on Big Data (</w:t>
      </w:r>
      <w:proofErr w:type="spellStart"/>
      <w:r w:rsidRPr="00FD3813">
        <w:rPr>
          <w:rFonts w:cs="Calibri"/>
          <w:i/>
          <w:iCs/>
          <w:sz w:val="24"/>
          <w:lang w:val="en-US"/>
        </w:rPr>
        <w:t>BigData</w:t>
      </w:r>
      <w:proofErr w:type="spellEnd"/>
      <w:r w:rsidRPr="00FD3813">
        <w:rPr>
          <w:rFonts w:cs="Calibri"/>
          <w:i/>
          <w:iCs/>
          <w:sz w:val="24"/>
          <w:lang w:val="en-US"/>
        </w:rPr>
        <w:t>)</w:t>
      </w:r>
      <w:r w:rsidRPr="00FD3813">
        <w:rPr>
          <w:rFonts w:cs="Calibri"/>
          <w:sz w:val="24"/>
          <w:lang w:val="en-US"/>
        </w:rPr>
        <w:t xml:space="preserve">. </w:t>
      </w:r>
      <w:r w:rsidRPr="00FD3813">
        <w:rPr>
          <w:rFonts w:cs="Calibri"/>
          <w:i/>
          <w:iCs/>
          <w:sz w:val="24"/>
          <w:lang w:val="en-US"/>
        </w:rPr>
        <w:t>2024 IEEE International Conference on Big Data (</w:t>
      </w:r>
      <w:proofErr w:type="spellStart"/>
      <w:r w:rsidRPr="00FD3813">
        <w:rPr>
          <w:rFonts w:cs="Calibri"/>
          <w:i/>
          <w:iCs/>
          <w:sz w:val="24"/>
          <w:lang w:val="en-US"/>
        </w:rPr>
        <w:t>BigData</w:t>
      </w:r>
      <w:proofErr w:type="spellEnd"/>
      <w:r w:rsidRPr="00FD3813">
        <w:rPr>
          <w:rFonts w:cs="Calibri"/>
          <w:i/>
          <w:iCs/>
          <w:sz w:val="24"/>
          <w:lang w:val="en-US"/>
        </w:rPr>
        <w:t>)</w:t>
      </w:r>
      <w:r w:rsidRPr="00FD3813">
        <w:rPr>
          <w:rFonts w:cs="Calibri"/>
          <w:sz w:val="24"/>
          <w:lang w:val="en-US"/>
        </w:rPr>
        <w:t>, pp. 394–402. Available at: https://doi.org/10.1109/BigData62323.2024.10825213.</w:t>
      </w:r>
    </w:p>
    <w:p w14:paraId="040760A3" w14:textId="77777777" w:rsidR="00A41FEC" w:rsidRDefault="00A41FEC" w:rsidP="00FD3813">
      <w:pPr>
        <w:pStyle w:val="ae"/>
        <w:rPr>
          <w:rFonts w:cs="Calibri"/>
          <w:sz w:val="24"/>
          <w:lang w:val="en-US"/>
        </w:rPr>
      </w:pPr>
    </w:p>
    <w:p w14:paraId="66C82FCA" w14:textId="0FF34E16" w:rsidR="00FD3813" w:rsidRPr="00FD3813" w:rsidRDefault="00FD3813" w:rsidP="00FD3813">
      <w:pPr>
        <w:pStyle w:val="ae"/>
        <w:rPr>
          <w:rFonts w:cs="Calibri"/>
          <w:sz w:val="24"/>
          <w:lang w:val="en-US"/>
        </w:rPr>
      </w:pPr>
      <w:r w:rsidRPr="00FD3813">
        <w:rPr>
          <w:rFonts w:cs="Calibri"/>
          <w:sz w:val="24"/>
          <w:lang w:val="en-US"/>
        </w:rPr>
        <w:t xml:space="preserve">Lu, D. and Ran, T. (2025) ‘Navigating social and material challenges of sustainable consumption among the Chinese urban middle class: Environmentalism, simplicity, and frugality’, </w:t>
      </w:r>
      <w:r w:rsidRPr="00FD3813">
        <w:rPr>
          <w:rFonts w:cs="Calibri"/>
          <w:i/>
          <w:iCs/>
          <w:sz w:val="24"/>
          <w:lang w:val="en-US"/>
        </w:rPr>
        <w:t>Chinese Journal of Sociology</w:t>
      </w:r>
      <w:r w:rsidRPr="00FD3813">
        <w:rPr>
          <w:rFonts w:cs="Calibri"/>
          <w:sz w:val="24"/>
          <w:lang w:val="en-US"/>
        </w:rPr>
        <w:t>, p. 2057150X251371845. Available at: https://doi.org/10.1177/2057150X251371845.</w:t>
      </w:r>
    </w:p>
    <w:p w14:paraId="3533E1CD" w14:textId="77777777" w:rsidR="00A41FEC" w:rsidRDefault="00A41FEC" w:rsidP="00FD3813">
      <w:pPr>
        <w:pStyle w:val="ae"/>
        <w:rPr>
          <w:rFonts w:cs="Calibri"/>
          <w:sz w:val="24"/>
          <w:lang w:val="en-US"/>
        </w:rPr>
      </w:pPr>
    </w:p>
    <w:p w14:paraId="28DE372B" w14:textId="2A12FAFF" w:rsidR="00FD3813" w:rsidRPr="00FD3813" w:rsidRDefault="00FD3813" w:rsidP="00FD3813">
      <w:pPr>
        <w:pStyle w:val="ae"/>
        <w:rPr>
          <w:rFonts w:cs="Calibri"/>
          <w:sz w:val="24"/>
          <w:lang w:val="en-US"/>
        </w:rPr>
      </w:pPr>
      <w:r w:rsidRPr="00FD3813">
        <w:rPr>
          <w:rFonts w:cs="Calibri"/>
          <w:sz w:val="24"/>
          <w:lang w:val="en-US"/>
        </w:rPr>
        <w:t xml:space="preserve">Mahajan, R. </w:t>
      </w:r>
      <w:r w:rsidRPr="00FD3813">
        <w:rPr>
          <w:rFonts w:cs="Calibri"/>
          <w:i/>
          <w:iCs/>
          <w:sz w:val="24"/>
          <w:lang w:val="en-US"/>
        </w:rPr>
        <w:t>et al.</w:t>
      </w:r>
      <w:r w:rsidRPr="00FD3813">
        <w:rPr>
          <w:rFonts w:cs="Calibri"/>
          <w:sz w:val="24"/>
          <w:lang w:val="en-US"/>
        </w:rPr>
        <w:t xml:space="preserve"> (2023) ‘Stakeholder theory’, </w:t>
      </w:r>
      <w:r w:rsidRPr="00FD3813">
        <w:rPr>
          <w:rFonts w:cs="Calibri"/>
          <w:i/>
          <w:iCs/>
          <w:sz w:val="24"/>
          <w:lang w:val="en-US"/>
        </w:rPr>
        <w:t>Journal of Business Research</w:t>
      </w:r>
      <w:r w:rsidRPr="00FD3813">
        <w:rPr>
          <w:rFonts w:cs="Calibri"/>
          <w:sz w:val="24"/>
          <w:lang w:val="en-US"/>
        </w:rPr>
        <w:t>, 166, p. 114104. Available at: https://doi.org/10.1016/j.jbusres.2023.114104.</w:t>
      </w:r>
    </w:p>
    <w:p w14:paraId="6451B7A5" w14:textId="77777777" w:rsidR="00A41FEC" w:rsidRDefault="00A41FEC" w:rsidP="00FD3813">
      <w:pPr>
        <w:pStyle w:val="ae"/>
        <w:rPr>
          <w:rFonts w:cs="Calibri"/>
          <w:sz w:val="24"/>
          <w:lang w:val="en-US"/>
        </w:rPr>
      </w:pPr>
    </w:p>
    <w:p w14:paraId="6FF73DD7" w14:textId="226A5529" w:rsidR="00FD3813" w:rsidRPr="00FD3813" w:rsidRDefault="00FD3813" w:rsidP="00FD3813">
      <w:pPr>
        <w:pStyle w:val="ae"/>
        <w:rPr>
          <w:rFonts w:cs="Calibri"/>
          <w:sz w:val="24"/>
          <w:lang w:val="en-US"/>
        </w:rPr>
      </w:pPr>
      <w:proofErr w:type="spellStart"/>
      <w:r w:rsidRPr="00FD3813">
        <w:rPr>
          <w:rFonts w:cs="Calibri"/>
          <w:sz w:val="24"/>
          <w:lang w:val="en-US"/>
        </w:rPr>
        <w:t>Pererva</w:t>
      </w:r>
      <w:proofErr w:type="spellEnd"/>
      <w:r w:rsidRPr="00FD3813">
        <w:rPr>
          <w:rFonts w:cs="Calibri"/>
          <w:sz w:val="24"/>
          <w:lang w:val="en-US"/>
        </w:rPr>
        <w:t xml:space="preserve">, P. </w:t>
      </w:r>
      <w:r w:rsidRPr="00FD3813">
        <w:rPr>
          <w:rFonts w:cs="Calibri"/>
          <w:i/>
          <w:iCs/>
          <w:sz w:val="24"/>
          <w:lang w:val="en-US"/>
        </w:rPr>
        <w:t>et al.</w:t>
      </w:r>
      <w:r w:rsidRPr="00FD3813">
        <w:rPr>
          <w:rFonts w:cs="Calibri"/>
          <w:sz w:val="24"/>
          <w:lang w:val="en-US"/>
        </w:rPr>
        <w:t xml:space="preserve"> (2021) ‘Ensuring the Sustainable Development of an Industrial Enterprise on the Principle of Compliance-Safety’, </w:t>
      </w:r>
      <w:r w:rsidRPr="00FD3813">
        <w:rPr>
          <w:rFonts w:cs="Calibri"/>
          <w:i/>
          <w:iCs/>
          <w:sz w:val="24"/>
          <w:lang w:val="en-US"/>
        </w:rPr>
        <w:t>Studies of Applied Economics</w:t>
      </w:r>
      <w:r w:rsidRPr="00FD3813">
        <w:rPr>
          <w:rFonts w:cs="Calibri"/>
          <w:sz w:val="24"/>
          <w:lang w:val="en-US"/>
        </w:rPr>
        <w:t>, 39(5). Available at: https://doi.org/10.25115/eea.v39i5.5111.</w:t>
      </w:r>
    </w:p>
    <w:p w14:paraId="3067B7FB" w14:textId="77777777" w:rsidR="00A41FEC" w:rsidRDefault="00A41FEC" w:rsidP="00FD3813">
      <w:pPr>
        <w:pStyle w:val="ae"/>
        <w:rPr>
          <w:rFonts w:cs="Calibri"/>
          <w:sz w:val="24"/>
          <w:lang w:val="en-US"/>
        </w:rPr>
      </w:pPr>
    </w:p>
    <w:p w14:paraId="7B0C5D69" w14:textId="2DFF2629" w:rsidR="00FD3813" w:rsidRPr="00FD3813" w:rsidRDefault="00FD3813" w:rsidP="00FD3813">
      <w:pPr>
        <w:pStyle w:val="ae"/>
        <w:rPr>
          <w:rFonts w:cs="Calibri"/>
          <w:sz w:val="24"/>
          <w:lang w:val="en-US"/>
        </w:rPr>
      </w:pPr>
      <w:r w:rsidRPr="00FD3813">
        <w:rPr>
          <w:rFonts w:cs="Calibri"/>
          <w:sz w:val="24"/>
          <w:lang w:val="en-US"/>
        </w:rPr>
        <w:t xml:space="preserve">Pillai, B. (2021) ‘Cultural Barriers’, in H. </w:t>
      </w:r>
      <w:proofErr w:type="spellStart"/>
      <w:r w:rsidRPr="00FD3813">
        <w:rPr>
          <w:rFonts w:cs="Calibri"/>
          <w:sz w:val="24"/>
          <w:lang w:val="en-US"/>
        </w:rPr>
        <w:t>Tohid</w:t>
      </w:r>
      <w:proofErr w:type="spellEnd"/>
      <w:r w:rsidRPr="00FD3813">
        <w:rPr>
          <w:rFonts w:cs="Calibri"/>
          <w:sz w:val="24"/>
          <w:lang w:val="en-US"/>
        </w:rPr>
        <w:t xml:space="preserve"> and H. Maibach (eds) </w:t>
      </w:r>
      <w:r w:rsidRPr="00FD3813">
        <w:rPr>
          <w:rFonts w:cs="Calibri"/>
          <w:i/>
          <w:iCs/>
          <w:sz w:val="24"/>
          <w:lang w:val="en-US"/>
        </w:rPr>
        <w:t>International Medical Graduates in the United States: A Complete Guide to Challenges and Solutions</w:t>
      </w:r>
      <w:r w:rsidRPr="00FD3813">
        <w:rPr>
          <w:rFonts w:cs="Calibri"/>
          <w:sz w:val="24"/>
          <w:lang w:val="en-US"/>
        </w:rPr>
        <w:t>. Cham: Springer International Publishing, pp. 117–124. Available at: https://doi.org/10.1007/978-3-030-62249-7_7.</w:t>
      </w:r>
    </w:p>
    <w:p w14:paraId="138E84C6" w14:textId="77777777" w:rsidR="00A41FEC" w:rsidRDefault="00A41FEC" w:rsidP="00FD3813">
      <w:pPr>
        <w:pStyle w:val="ae"/>
        <w:rPr>
          <w:rFonts w:cs="Calibri"/>
          <w:sz w:val="24"/>
          <w:lang w:val="en-US"/>
        </w:rPr>
      </w:pPr>
    </w:p>
    <w:p w14:paraId="24686C2C" w14:textId="1609DDCB" w:rsidR="00FD3813" w:rsidRPr="00FD3813" w:rsidRDefault="00FD3813" w:rsidP="00FD3813">
      <w:pPr>
        <w:pStyle w:val="ae"/>
        <w:rPr>
          <w:rFonts w:cs="Calibri"/>
          <w:sz w:val="24"/>
          <w:lang w:val="en-US"/>
        </w:rPr>
      </w:pPr>
      <w:r w:rsidRPr="00FD3813">
        <w:rPr>
          <w:rFonts w:cs="Calibri"/>
          <w:sz w:val="24"/>
          <w:lang w:val="en-US"/>
        </w:rPr>
        <w:t xml:space="preserve">Qais, H. (2024) ‘A case study on the influence of </w:t>
      </w:r>
      <w:proofErr w:type="spellStart"/>
      <w:r w:rsidRPr="00FD3813">
        <w:rPr>
          <w:rFonts w:cs="Calibri"/>
          <w:sz w:val="24"/>
          <w:lang w:val="en-US"/>
        </w:rPr>
        <w:t>geometryand</w:t>
      </w:r>
      <w:proofErr w:type="spellEnd"/>
      <w:r w:rsidRPr="00FD3813">
        <w:rPr>
          <w:rFonts w:cs="Calibri"/>
          <w:sz w:val="24"/>
          <w:lang w:val="en-US"/>
        </w:rPr>
        <w:t xml:space="preserve"> symbolism in Islamic Art </w:t>
      </w:r>
      <w:proofErr w:type="spellStart"/>
      <w:r w:rsidRPr="00FD3813">
        <w:rPr>
          <w:rFonts w:cs="Calibri"/>
          <w:sz w:val="24"/>
          <w:lang w:val="en-US"/>
        </w:rPr>
        <w:t>withreference</w:t>
      </w:r>
      <w:proofErr w:type="spellEnd"/>
      <w:r w:rsidRPr="00FD3813">
        <w:rPr>
          <w:rFonts w:cs="Calibri"/>
          <w:sz w:val="24"/>
          <w:lang w:val="en-US"/>
        </w:rPr>
        <w:t xml:space="preserve"> of Muslim’s religious Beliefs’, </w:t>
      </w:r>
      <w:r w:rsidRPr="00FD3813">
        <w:rPr>
          <w:rFonts w:cs="Calibri"/>
          <w:i/>
          <w:iCs/>
          <w:sz w:val="24"/>
          <w:lang w:val="en-US"/>
        </w:rPr>
        <w:t>Tercio Creciente</w:t>
      </w:r>
      <w:r w:rsidRPr="00FD3813">
        <w:rPr>
          <w:rFonts w:cs="Calibri"/>
          <w:sz w:val="24"/>
          <w:lang w:val="en-US"/>
        </w:rPr>
        <w:t>, (26), pp. 177–191. Available at: https://doi.org/10.17561/rtc.26.8301.</w:t>
      </w:r>
    </w:p>
    <w:p w14:paraId="51E90EF8" w14:textId="77777777" w:rsidR="00A41FEC" w:rsidRDefault="00A41FEC" w:rsidP="00FD3813">
      <w:pPr>
        <w:pStyle w:val="ae"/>
        <w:rPr>
          <w:rFonts w:cs="Calibri"/>
          <w:sz w:val="24"/>
          <w:lang w:val="en-US"/>
        </w:rPr>
      </w:pPr>
    </w:p>
    <w:p w14:paraId="550AA488" w14:textId="5D88531B" w:rsidR="00FD3813" w:rsidRPr="00FD3813" w:rsidRDefault="00FD3813" w:rsidP="00FD3813">
      <w:pPr>
        <w:pStyle w:val="ae"/>
        <w:rPr>
          <w:rFonts w:cs="Calibri"/>
          <w:sz w:val="24"/>
          <w:lang w:val="en-US"/>
        </w:rPr>
      </w:pPr>
      <w:r w:rsidRPr="00FD3813">
        <w:rPr>
          <w:rFonts w:cs="Calibri"/>
          <w:sz w:val="24"/>
          <w:lang w:val="en-US"/>
        </w:rPr>
        <w:t xml:space="preserve">Sebo, J. (2023) ‘The </w:t>
      </w:r>
      <w:proofErr w:type="spellStart"/>
      <w:r w:rsidRPr="00FD3813">
        <w:rPr>
          <w:rFonts w:cs="Calibri"/>
          <w:sz w:val="24"/>
          <w:lang w:val="en-US"/>
        </w:rPr>
        <w:t>Rebugnant</w:t>
      </w:r>
      <w:proofErr w:type="spellEnd"/>
      <w:r w:rsidRPr="00FD3813">
        <w:rPr>
          <w:rFonts w:cs="Calibri"/>
          <w:sz w:val="24"/>
          <w:lang w:val="en-US"/>
        </w:rPr>
        <w:t xml:space="preserve"> Conclusion: Utilitarianism, Insects, Microbes, and AI Systems’, </w:t>
      </w:r>
      <w:r w:rsidRPr="00FD3813">
        <w:rPr>
          <w:rFonts w:cs="Calibri"/>
          <w:i/>
          <w:iCs/>
          <w:sz w:val="24"/>
          <w:lang w:val="en-US"/>
        </w:rPr>
        <w:t>Ethics, Policy &amp; Environment</w:t>
      </w:r>
      <w:r w:rsidRPr="00FD3813">
        <w:rPr>
          <w:rFonts w:cs="Calibri"/>
          <w:sz w:val="24"/>
          <w:lang w:val="en-US"/>
        </w:rPr>
        <w:t>, 26(2), pp. 249–264. Available at: https://doi.org/10.1080/21550085.2023.2200724.</w:t>
      </w:r>
    </w:p>
    <w:p w14:paraId="3C86DBD2" w14:textId="77777777" w:rsidR="00A41FEC" w:rsidRDefault="00A41FEC" w:rsidP="00FD3813">
      <w:pPr>
        <w:pStyle w:val="ae"/>
        <w:rPr>
          <w:rFonts w:cs="Calibri"/>
          <w:sz w:val="24"/>
          <w:lang w:val="en-US"/>
        </w:rPr>
      </w:pPr>
    </w:p>
    <w:p w14:paraId="1456D95D" w14:textId="74F029F7" w:rsidR="00FD3813" w:rsidRPr="00FD3813" w:rsidRDefault="00FD3813" w:rsidP="00FD3813">
      <w:pPr>
        <w:pStyle w:val="ae"/>
        <w:rPr>
          <w:rFonts w:cs="Calibri"/>
          <w:sz w:val="24"/>
          <w:lang w:val="en-US"/>
        </w:rPr>
      </w:pPr>
      <w:proofErr w:type="spellStart"/>
      <w:r w:rsidRPr="00FD3813">
        <w:rPr>
          <w:rFonts w:cs="Calibri"/>
          <w:sz w:val="24"/>
          <w:lang w:val="en-US"/>
        </w:rPr>
        <w:t>Slunge</w:t>
      </w:r>
      <w:proofErr w:type="spellEnd"/>
      <w:r w:rsidRPr="00FD3813">
        <w:rPr>
          <w:rFonts w:cs="Calibri"/>
          <w:sz w:val="24"/>
          <w:lang w:val="en-US"/>
        </w:rPr>
        <w:t xml:space="preserve">, D., Andersson, I. and Sterner, T. (2022) ‘REACH </w:t>
      </w:r>
      <w:proofErr w:type="spellStart"/>
      <w:r w:rsidRPr="00FD3813">
        <w:rPr>
          <w:rFonts w:cs="Calibri"/>
          <w:sz w:val="24"/>
          <w:lang w:val="en-US"/>
        </w:rPr>
        <w:t>authorisation</w:t>
      </w:r>
      <w:proofErr w:type="spellEnd"/>
      <w:r w:rsidRPr="00FD3813">
        <w:rPr>
          <w:rFonts w:cs="Calibri"/>
          <w:sz w:val="24"/>
          <w:lang w:val="en-US"/>
        </w:rPr>
        <w:t xml:space="preserve"> and the substitution of hazardous chemicals: The case of trichloroethylene’, </w:t>
      </w:r>
      <w:r w:rsidRPr="00FD3813">
        <w:rPr>
          <w:rFonts w:cs="Calibri"/>
          <w:i/>
          <w:iCs/>
          <w:sz w:val="24"/>
          <w:lang w:val="en-US"/>
        </w:rPr>
        <w:t>Journal of Cleaner Production</w:t>
      </w:r>
      <w:r w:rsidRPr="00FD3813">
        <w:rPr>
          <w:rFonts w:cs="Calibri"/>
          <w:sz w:val="24"/>
          <w:lang w:val="en-US"/>
        </w:rPr>
        <w:t>, 364, p. 132637. Available at: https://doi.org/10.1016/j.jclepro.2022.132637.</w:t>
      </w:r>
    </w:p>
    <w:p w14:paraId="08E880AA" w14:textId="77777777" w:rsidR="00A41FEC" w:rsidRDefault="00A41FEC" w:rsidP="00FD3813">
      <w:pPr>
        <w:pStyle w:val="ae"/>
        <w:rPr>
          <w:rFonts w:cs="Calibri"/>
          <w:sz w:val="24"/>
          <w:lang w:val="en-US"/>
        </w:rPr>
      </w:pPr>
    </w:p>
    <w:p w14:paraId="62DD8419" w14:textId="1CABE121" w:rsidR="00FD3813" w:rsidRPr="00FD3813" w:rsidRDefault="00FD3813" w:rsidP="00FD3813">
      <w:pPr>
        <w:pStyle w:val="ae"/>
        <w:rPr>
          <w:rFonts w:cs="Calibri"/>
          <w:sz w:val="24"/>
          <w:lang w:val="en-US"/>
        </w:rPr>
      </w:pPr>
      <w:proofErr w:type="spellStart"/>
      <w:r w:rsidRPr="00FD3813">
        <w:rPr>
          <w:rFonts w:cs="Calibri"/>
          <w:sz w:val="24"/>
          <w:lang w:val="en-US"/>
        </w:rPr>
        <w:t>Somaraju</w:t>
      </w:r>
      <w:proofErr w:type="spellEnd"/>
      <w:r w:rsidRPr="00FD3813">
        <w:rPr>
          <w:rFonts w:cs="Calibri"/>
          <w:sz w:val="24"/>
          <w:lang w:val="en-US"/>
        </w:rPr>
        <w:t xml:space="preserve">, A.V. (2023) ‘Cultural differences in ethics and values during conflict resolution: A disentangling approach’, </w:t>
      </w:r>
      <w:r w:rsidRPr="00FD3813">
        <w:rPr>
          <w:rFonts w:cs="Calibri"/>
          <w:i/>
          <w:iCs/>
          <w:sz w:val="24"/>
          <w:lang w:val="en-US"/>
        </w:rPr>
        <w:t xml:space="preserve">International Journal of </w:t>
      </w:r>
      <w:proofErr w:type="gramStart"/>
      <w:r w:rsidRPr="00FD3813">
        <w:rPr>
          <w:rFonts w:cs="Calibri"/>
          <w:i/>
          <w:iCs/>
          <w:sz w:val="24"/>
          <w:lang w:val="en-US"/>
        </w:rPr>
        <w:t>Cross Cultural</w:t>
      </w:r>
      <w:proofErr w:type="gramEnd"/>
      <w:r w:rsidRPr="00FD3813">
        <w:rPr>
          <w:rFonts w:cs="Calibri"/>
          <w:i/>
          <w:iCs/>
          <w:sz w:val="24"/>
          <w:lang w:val="en-US"/>
        </w:rPr>
        <w:t xml:space="preserve"> Management</w:t>
      </w:r>
      <w:r w:rsidRPr="00FD3813">
        <w:rPr>
          <w:rFonts w:cs="Calibri"/>
          <w:sz w:val="24"/>
          <w:lang w:val="en-US"/>
        </w:rPr>
        <w:t>, 23(1), pp. 215–237. Available at: https://doi.org/10.1177/14705958231155014.</w:t>
      </w:r>
    </w:p>
    <w:p w14:paraId="479D693F" w14:textId="77777777" w:rsidR="00A41FEC" w:rsidRDefault="00A41FEC" w:rsidP="00FD3813">
      <w:pPr>
        <w:pStyle w:val="ae"/>
        <w:rPr>
          <w:rFonts w:cs="Calibri"/>
          <w:sz w:val="24"/>
          <w:lang w:val="en-US"/>
        </w:rPr>
      </w:pPr>
    </w:p>
    <w:p w14:paraId="67219F93" w14:textId="5A9CACC8" w:rsidR="00FD3813" w:rsidRPr="00FD3813" w:rsidRDefault="00FD3813" w:rsidP="00FD3813">
      <w:pPr>
        <w:pStyle w:val="ae"/>
        <w:rPr>
          <w:rFonts w:cs="Calibri"/>
          <w:sz w:val="24"/>
          <w:lang w:val="en-US"/>
        </w:rPr>
      </w:pPr>
      <w:proofErr w:type="spellStart"/>
      <w:r w:rsidRPr="00FD3813">
        <w:rPr>
          <w:rFonts w:cs="Calibri"/>
          <w:sz w:val="24"/>
          <w:lang w:val="en-US"/>
        </w:rPr>
        <w:t>Udoudom</w:t>
      </w:r>
      <w:proofErr w:type="spellEnd"/>
      <w:r w:rsidRPr="00FD3813">
        <w:rPr>
          <w:rFonts w:cs="Calibri"/>
          <w:sz w:val="24"/>
          <w:lang w:val="en-US"/>
        </w:rPr>
        <w:t xml:space="preserve">, M. (2021) ‘The Value of Nature: Utilitarian Perspective’, </w:t>
      </w:r>
      <w:r w:rsidRPr="00FD3813">
        <w:rPr>
          <w:rFonts w:cs="Calibri"/>
          <w:i/>
          <w:iCs/>
          <w:sz w:val="24"/>
          <w:lang w:val="en-US"/>
        </w:rPr>
        <w:t>GNOSI: An Interdisciplinary Journal of Human Theory and Praxis</w:t>
      </w:r>
      <w:r w:rsidRPr="00FD3813">
        <w:rPr>
          <w:rFonts w:cs="Calibri"/>
          <w:sz w:val="24"/>
          <w:lang w:val="en-US"/>
        </w:rPr>
        <w:t>, 4(1(May)), pp. 31–46.</w:t>
      </w:r>
    </w:p>
    <w:p w14:paraId="073D9C8F" w14:textId="77777777" w:rsidR="00A41FEC" w:rsidRDefault="00A41FEC" w:rsidP="00FD3813">
      <w:pPr>
        <w:pStyle w:val="ae"/>
        <w:rPr>
          <w:rFonts w:cs="Calibri"/>
          <w:sz w:val="24"/>
          <w:lang w:val="en-US"/>
        </w:rPr>
      </w:pPr>
    </w:p>
    <w:p w14:paraId="0FF3CB35" w14:textId="7CDB61A3" w:rsidR="00FD3813" w:rsidRPr="00FD3813" w:rsidRDefault="00FD3813" w:rsidP="00FD3813">
      <w:pPr>
        <w:pStyle w:val="ae"/>
        <w:rPr>
          <w:rFonts w:cs="Calibri"/>
          <w:sz w:val="24"/>
          <w:lang w:val="en-US"/>
        </w:rPr>
      </w:pPr>
      <w:proofErr w:type="spellStart"/>
      <w:r w:rsidRPr="00FD3813">
        <w:rPr>
          <w:rFonts w:cs="Calibri"/>
          <w:sz w:val="24"/>
          <w:lang w:val="en-US"/>
        </w:rPr>
        <w:t>Ugleva</w:t>
      </w:r>
      <w:proofErr w:type="spellEnd"/>
      <w:r w:rsidRPr="00FD3813">
        <w:rPr>
          <w:rFonts w:cs="Calibri"/>
          <w:sz w:val="24"/>
          <w:lang w:val="en-US"/>
        </w:rPr>
        <w:t xml:space="preserve">, A.V. (2022) ‘Broken Facets of Ethical Universalism. Commentary on the Book Universality in Morality’, </w:t>
      </w:r>
      <w:r w:rsidRPr="00FD3813">
        <w:rPr>
          <w:rFonts w:cs="Calibri"/>
          <w:i/>
          <w:iCs/>
          <w:sz w:val="24"/>
          <w:lang w:val="en-US"/>
        </w:rPr>
        <w:t>Kantian Journal</w:t>
      </w:r>
      <w:r w:rsidRPr="00FD3813">
        <w:rPr>
          <w:rFonts w:cs="Calibri"/>
          <w:sz w:val="24"/>
          <w:lang w:val="en-US"/>
        </w:rPr>
        <w:t>, 41(2), pp. 122–147. Available at: https://doi.org/10.5922/0207-6918-2022-2-5.</w:t>
      </w:r>
    </w:p>
    <w:p w14:paraId="1802D41E" w14:textId="77777777" w:rsidR="00A41FEC" w:rsidRDefault="00A41FEC" w:rsidP="00FD3813">
      <w:pPr>
        <w:pStyle w:val="ae"/>
        <w:rPr>
          <w:rFonts w:cs="Calibri"/>
          <w:sz w:val="24"/>
          <w:lang w:val="en-US"/>
        </w:rPr>
      </w:pPr>
    </w:p>
    <w:p w14:paraId="16C76CF3" w14:textId="3133848B" w:rsidR="00FD3813" w:rsidRPr="00FD3813" w:rsidRDefault="00FD3813" w:rsidP="00FD3813">
      <w:pPr>
        <w:pStyle w:val="ae"/>
        <w:rPr>
          <w:rFonts w:cs="Calibri"/>
          <w:sz w:val="24"/>
          <w:lang w:val="en-US"/>
        </w:rPr>
      </w:pPr>
      <w:proofErr w:type="spellStart"/>
      <w:r w:rsidRPr="00FD3813">
        <w:rPr>
          <w:rFonts w:cs="Calibri"/>
          <w:sz w:val="24"/>
          <w:lang w:val="en-US"/>
        </w:rPr>
        <w:t>vizologi</w:t>
      </w:r>
      <w:proofErr w:type="spellEnd"/>
      <w:r w:rsidRPr="00FD3813">
        <w:rPr>
          <w:rFonts w:cs="Calibri"/>
          <w:sz w:val="24"/>
          <w:lang w:val="en-US"/>
        </w:rPr>
        <w:t xml:space="preserve"> (no date) </w:t>
      </w:r>
      <w:r w:rsidRPr="00FD3813">
        <w:rPr>
          <w:rFonts w:cs="Calibri"/>
          <w:i/>
          <w:iCs/>
          <w:sz w:val="24"/>
          <w:lang w:val="en-US"/>
        </w:rPr>
        <w:t>Lao Feng Xiang business model canvas</w:t>
      </w:r>
      <w:r w:rsidRPr="00FD3813">
        <w:rPr>
          <w:rFonts w:cs="Calibri"/>
          <w:sz w:val="24"/>
          <w:lang w:val="en-US"/>
        </w:rPr>
        <w:t xml:space="preserve">, </w:t>
      </w:r>
      <w:proofErr w:type="spellStart"/>
      <w:r w:rsidRPr="00FD3813">
        <w:rPr>
          <w:rFonts w:cs="Calibri"/>
          <w:i/>
          <w:iCs/>
          <w:sz w:val="24"/>
          <w:lang w:val="en-US"/>
        </w:rPr>
        <w:t>Vizologi</w:t>
      </w:r>
      <w:proofErr w:type="spellEnd"/>
      <w:r w:rsidRPr="00FD3813">
        <w:rPr>
          <w:rFonts w:cs="Calibri"/>
          <w:i/>
          <w:iCs/>
          <w:sz w:val="24"/>
          <w:lang w:val="en-US"/>
        </w:rPr>
        <w:t xml:space="preserve"> | rethinking business model design</w:t>
      </w:r>
      <w:r w:rsidRPr="00FD3813">
        <w:rPr>
          <w:rFonts w:cs="Calibri"/>
          <w:sz w:val="24"/>
          <w:lang w:val="en-US"/>
        </w:rPr>
        <w:t xml:space="preserve">. Available at: http://vizologi.com/business-strategy-canvas/lao-feng-xiang-business-model-canvas/?lang=en (Accessed: </w:t>
      </w:r>
      <w:r w:rsidR="000924D4">
        <w:rPr>
          <w:rFonts w:cs="Calibri"/>
          <w:sz w:val="24"/>
          <w:lang w:val="en-US"/>
        </w:rPr>
        <w:t>1</w:t>
      </w:r>
      <w:r w:rsidRPr="00FD3813">
        <w:rPr>
          <w:rFonts w:cs="Calibri"/>
          <w:sz w:val="24"/>
          <w:lang w:val="en-US"/>
        </w:rPr>
        <w:t xml:space="preserve"> December 2025).</w:t>
      </w:r>
    </w:p>
    <w:p w14:paraId="19E1D9CB" w14:textId="77777777" w:rsidR="00A41FEC" w:rsidRDefault="00A41FEC" w:rsidP="00FD3813">
      <w:pPr>
        <w:pStyle w:val="ae"/>
        <w:rPr>
          <w:rFonts w:cs="Calibri"/>
          <w:sz w:val="24"/>
          <w:lang w:val="en-US"/>
        </w:rPr>
      </w:pPr>
    </w:p>
    <w:p w14:paraId="7BAB5EB2" w14:textId="3F90322E" w:rsidR="00FD3813" w:rsidRPr="00FD3813" w:rsidRDefault="00FD3813" w:rsidP="00FD3813">
      <w:pPr>
        <w:pStyle w:val="ae"/>
        <w:rPr>
          <w:rFonts w:cs="Calibri"/>
          <w:sz w:val="24"/>
          <w:lang w:val="en-US"/>
        </w:rPr>
      </w:pPr>
      <w:r w:rsidRPr="00FD3813">
        <w:rPr>
          <w:rFonts w:cs="Calibri"/>
          <w:sz w:val="24"/>
          <w:lang w:val="en-US"/>
        </w:rPr>
        <w:t xml:space="preserve">Waller, B.N. (2024) </w:t>
      </w:r>
      <w:r w:rsidRPr="00FD3813">
        <w:rPr>
          <w:rFonts w:cs="Calibri"/>
          <w:i/>
          <w:iCs/>
          <w:sz w:val="24"/>
          <w:lang w:val="en-US"/>
        </w:rPr>
        <w:t>Against Moral Responsibility</w:t>
      </w:r>
      <w:r w:rsidRPr="00FD3813">
        <w:rPr>
          <w:rFonts w:cs="Calibri"/>
          <w:sz w:val="24"/>
          <w:lang w:val="en-US"/>
        </w:rPr>
        <w:t>. MIT Press.</w:t>
      </w:r>
    </w:p>
    <w:p w14:paraId="49B2BA21" w14:textId="77777777" w:rsidR="000924D4" w:rsidRDefault="000924D4" w:rsidP="00FD3813">
      <w:pPr>
        <w:pStyle w:val="ae"/>
        <w:rPr>
          <w:rFonts w:cs="Calibri"/>
          <w:sz w:val="24"/>
          <w:lang w:val="en-US"/>
        </w:rPr>
      </w:pPr>
    </w:p>
    <w:p w14:paraId="785CCA3F" w14:textId="0CBCFFEC" w:rsidR="00FD3813" w:rsidRPr="00FD3813" w:rsidRDefault="00FD3813" w:rsidP="00FD3813">
      <w:pPr>
        <w:pStyle w:val="ae"/>
        <w:rPr>
          <w:rFonts w:cs="Calibri"/>
          <w:sz w:val="24"/>
          <w:lang w:val="en-US"/>
        </w:rPr>
      </w:pPr>
      <w:r w:rsidRPr="00FD3813">
        <w:rPr>
          <w:rFonts w:cs="Calibri"/>
          <w:sz w:val="24"/>
          <w:lang w:val="en-US"/>
        </w:rPr>
        <w:t xml:space="preserve">Yang, M.J.H., Khoo, C. and Yang, E.C.L. (2024a) ‘Exploring host-children’s engagement in tourism: Transcending the dichotomy of universalism and cultural relativism’, </w:t>
      </w:r>
      <w:r w:rsidRPr="00FD3813">
        <w:rPr>
          <w:rFonts w:cs="Calibri"/>
          <w:i/>
          <w:iCs/>
          <w:sz w:val="24"/>
          <w:lang w:val="en-US"/>
        </w:rPr>
        <w:t>Tourism Management</w:t>
      </w:r>
      <w:r w:rsidRPr="00FD3813">
        <w:rPr>
          <w:rFonts w:cs="Calibri"/>
          <w:sz w:val="24"/>
          <w:lang w:val="en-US"/>
        </w:rPr>
        <w:t>, 100, p. 104838. Available at: https://doi.org/10.1016/j.tourman.2023.104838.</w:t>
      </w:r>
    </w:p>
    <w:p w14:paraId="2C3496A3" w14:textId="77777777" w:rsidR="000924D4" w:rsidRDefault="000924D4" w:rsidP="00FD3813">
      <w:pPr>
        <w:pStyle w:val="ae"/>
        <w:rPr>
          <w:rFonts w:cs="Calibri"/>
          <w:sz w:val="24"/>
          <w:lang w:val="en-US"/>
        </w:rPr>
      </w:pPr>
    </w:p>
    <w:p w14:paraId="1AC7CF32" w14:textId="689B6312" w:rsidR="00FD3813" w:rsidRPr="00FD3813" w:rsidRDefault="00FD3813" w:rsidP="00FD3813">
      <w:pPr>
        <w:pStyle w:val="ae"/>
        <w:rPr>
          <w:rFonts w:cs="Calibri"/>
          <w:sz w:val="24"/>
          <w:lang w:val="en-US"/>
        </w:rPr>
      </w:pPr>
      <w:r w:rsidRPr="00FD3813">
        <w:rPr>
          <w:rFonts w:cs="Calibri"/>
          <w:sz w:val="24"/>
          <w:lang w:val="en-US"/>
        </w:rPr>
        <w:t xml:space="preserve">Yang, M.J.H., Khoo, C. and Yang, E.C.L. (2024b) ‘Exploring host-children’s engagement in tourism: Transcending the dichotomy of universalism and cultural relativism’, </w:t>
      </w:r>
      <w:r w:rsidRPr="00FD3813">
        <w:rPr>
          <w:rFonts w:cs="Calibri"/>
          <w:i/>
          <w:iCs/>
          <w:sz w:val="24"/>
          <w:lang w:val="en-US"/>
        </w:rPr>
        <w:t>Tourism Management</w:t>
      </w:r>
      <w:r w:rsidRPr="00FD3813">
        <w:rPr>
          <w:rFonts w:cs="Calibri"/>
          <w:sz w:val="24"/>
          <w:lang w:val="en-US"/>
        </w:rPr>
        <w:t>, 100, p. 104838. Available at: https://doi.org/10.1016/j.tourman.2023.104838.</w:t>
      </w:r>
    </w:p>
    <w:p w14:paraId="451D0967" w14:textId="7E6471D3" w:rsidR="00E52A9C" w:rsidRPr="004A6453" w:rsidRDefault="006C4B45" w:rsidP="00FD3813">
      <w:pPr>
        <w:pStyle w:val="ae"/>
        <w:rPr>
          <w:rFonts w:hint="eastAsia"/>
          <w:sz w:val="24"/>
          <w:szCs w:val="24"/>
          <w:lang w:val="en-US"/>
        </w:rPr>
      </w:pPr>
      <w:r>
        <w:rPr>
          <w:sz w:val="24"/>
          <w:szCs w:val="24"/>
          <w:lang w:val="en-US"/>
        </w:rPr>
        <w:fldChar w:fldCharType="end"/>
      </w:r>
    </w:p>
    <w:sectPr w:rsidR="00E52A9C" w:rsidRPr="004A6453" w:rsidSect="00CE5C68">
      <w:footerReference w:type="even" r:id="rId11"/>
      <w:footerReference w:type="default" r:id="rId12"/>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18078" w14:textId="77777777" w:rsidR="00CE5C68" w:rsidRDefault="00CE5C68" w:rsidP="00CE5C68">
      <w:r>
        <w:separator/>
      </w:r>
    </w:p>
  </w:endnote>
  <w:endnote w:type="continuationSeparator" w:id="0">
    <w:p w14:paraId="4DA9B554" w14:textId="77777777" w:rsidR="00CE5C68" w:rsidRDefault="00CE5C68" w:rsidP="00CE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246352057"/>
      <w:docPartObj>
        <w:docPartGallery w:val="Page Numbers (Bottom of Page)"/>
        <w:docPartUnique/>
      </w:docPartObj>
    </w:sdtPr>
    <w:sdtContent>
      <w:p w14:paraId="44143FC5" w14:textId="2BC67CA6" w:rsidR="00CE5C68" w:rsidRDefault="00CE5C68" w:rsidP="002011DD">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Pr>
            <w:rStyle w:val="af1"/>
          </w:rPr>
          <w:fldChar w:fldCharType="end"/>
        </w:r>
      </w:p>
    </w:sdtContent>
  </w:sdt>
  <w:p w14:paraId="0BF4A96C" w14:textId="77777777" w:rsidR="00CE5C68" w:rsidRDefault="00CE5C68">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1"/>
      </w:rPr>
      <w:id w:val="1256091115"/>
      <w:docPartObj>
        <w:docPartGallery w:val="Page Numbers (Bottom of Page)"/>
        <w:docPartUnique/>
      </w:docPartObj>
    </w:sdtPr>
    <w:sdtContent>
      <w:p w14:paraId="6D99FDAA" w14:textId="0BC35AC6" w:rsidR="00CE5C68" w:rsidRDefault="00CE5C68" w:rsidP="002011DD">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Pr>
            <w:rStyle w:val="af1"/>
            <w:noProof/>
          </w:rPr>
          <w:t>2</w:t>
        </w:r>
        <w:r>
          <w:rPr>
            <w:rStyle w:val="af1"/>
          </w:rPr>
          <w:fldChar w:fldCharType="end"/>
        </w:r>
      </w:p>
    </w:sdtContent>
  </w:sdt>
  <w:p w14:paraId="26217BE0" w14:textId="77777777" w:rsidR="00CE5C68" w:rsidRDefault="00CE5C68">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41BCE" w14:textId="77777777" w:rsidR="00CE5C68" w:rsidRDefault="00CE5C68" w:rsidP="00CE5C68">
      <w:r>
        <w:separator/>
      </w:r>
    </w:p>
  </w:footnote>
  <w:footnote w:type="continuationSeparator" w:id="0">
    <w:p w14:paraId="56FB3015" w14:textId="77777777" w:rsidR="00CE5C68" w:rsidRDefault="00CE5C68" w:rsidP="00CE5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60745"/>
    <w:multiLevelType w:val="multilevel"/>
    <w:tmpl w:val="ABCE8B38"/>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04444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DC"/>
    <w:rsid w:val="0000530A"/>
    <w:rsid w:val="00062987"/>
    <w:rsid w:val="000668DC"/>
    <w:rsid w:val="000924D4"/>
    <w:rsid w:val="000C72FF"/>
    <w:rsid w:val="00113D48"/>
    <w:rsid w:val="001A5FCA"/>
    <w:rsid w:val="001A6303"/>
    <w:rsid w:val="001A6EAC"/>
    <w:rsid w:val="001C6E2D"/>
    <w:rsid w:val="001D75C9"/>
    <w:rsid w:val="001E13C9"/>
    <w:rsid w:val="00202A25"/>
    <w:rsid w:val="00202A29"/>
    <w:rsid w:val="00223BC8"/>
    <w:rsid w:val="002735D5"/>
    <w:rsid w:val="00284CE3"/>
    <w:rsid w:val="00294E56"/>
    <w:rsid w:val="003056A5"/>
    <w:rsid w:val="0030622A"/>
    <w:rsid w:val="00307F9C"/>
    <w:rsid w:val="003311BA"/>
    <w:rsid w:val="0033166E"/>
    <w:rsid w:val="00354B5B"/>
    <w:rsid w:val="003A6CDA"/>
    <w:rsid w:val="003C6BF3"/>
    <w:rsid w:val="00401CA4"/>
    <w:rsid w:val="00446D4D"/>
    <w:rsid w:val="004A6453"/>
    <w:rsid w:val="004E2734"/>
    <w:rsid w:val="004E5B77"/>
    <w:rsid w:val="00572EAE"/>
    <w:rsid w:val="005B7B01"/>
    <w:rsid w:val="005D50B0"/>
    <w:rsid w:val="0062518A"/>
    <w:rsid w:val="0064781D"/>
    <w:rsid w:val="0067684B"/>
    <w:rsid w:val="006A5E1C"/>
    <w:rsid w:val="006C43FF"/>
    <w:rsid w:val="006C4B45"/>
    <w:rsid w:val="006D21E4"/>
    <w:rsid w:val="00721D2B"/>
    <w:rsid w:val="007308EB"/>
    <w:rsid w:val="00736CCD"/>
    <w:rsid w:val="00787335"/>
    <w:rsid w:val="00792E97"/>
    <w:rsid w:val="007951A4"/>
    <w:rsid w:val="007A77D3"/>
    <w:rsid w:val="007B6F52"/>
    <w:rsid w:val="007C60D5"/>
    <w:rsid w:val="007D721C"/>
    <w:rsid w:val="00847D27"/>
    <w:rsid w:val="008B33ED"/>
    <w:rsid w:val="008D1F93"/>
    <w:rsid w:val="008D4E6B"/>
    <w:rsid w:val="0093780E"/>
    <w:rsid w:val="00947E6A"/>
    <w:rsid w:val="0095576E"/>
    <w:rsid w:val="009A0BC8"/>
    <w:rsid w:val="009A6B0A"/>
    <w:rsid w:val="009B1089"/>
    <w:rsid w:val="009C70A2"/>
    <w:rsid w:val="009F54A7"/>
    <w:rsid w:val="00A11FB2"/>
    <w:rsid w:val="00A3255C"/>
    <w:rsid w:val="00A41FEC"/>
    <w:rsid w:val="00A44D8B"/>
    <w:rsid w:val="00A5280D"/>
    <w:rsid w:val="00A52B60"/>
    <w:rsid w:val="00AA2D6C"/>
    <w:rsid w:val="00AB29B4"/>
    <w:rsid w:val="00AD30F6"/>
    <w:rsid w:val="00AF6557"/>
    <w:rsid w:val="00B22B4F"/>
    <w:rsid w:val="00B300AF"/>
    <w:rsid w:val="00B47725"/>
    <w:rsid w:val="00BA1C6B"/>
    <w:rsid w:val="00BB0692"/>
    <w:rsid w:val="00BB400B"/>
    <w:rsid w:val="00BC4C5C"/>
    <w:rsid w:val="00BF629A"/>
    <w:rsid w:val="00C070B7"/>
    <w:rsid w:val="00C25257"/>
    <w:rsid w:val="00C3513C"/>
    <w:rsid w:val="00C81841"/>
    <w:rsid w:val="00CE5C68"/>
    <w:rsid w:val="00D007DA"/>
    <w:rsid w:val="00D24EDA"/>
    <w:rsid w:val="00D71FBD"/>
    <w:rsid w:val="00D833CE"/>
    <w:rsid w:val="00DA1469"/>
    <w:rsid w:val="00DD61A3"/>
    <w:rsid w:val="00E14BBC"/>
    <w:rsid w:val="00E51A21"/>
    <w:rsid w:val="00E52A9C"/>
    <w:rsid w:val="00E62F52"/>
    <w:rsid w:val="00E70239"/>
    <w:rsid w:val="00ED5938"/>
    <w:rsid w:val="00EF2A27"/>
    <w:rsid w:val="00EF4A1B"/>
    <w:rsid w:val="00F3272C"/>
    <w:rsid w:val="00F35D3E"/>
    <w:rsid w:val="00F36BEE"/>
    <w:rsid w:val="00F47D54"/>
    <w:rsid w:val="00FD3813"/>
    <w:rsid w:val="00FD3A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F20D"/>
  <w15:chartTrackingRefBased/>
  <w15:docId w15:val="{56E20137-221D-0547-B41F-01FD3E48E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56A5"/>
    <w:pPr>
      <w:widowControl w:val="0"/>
      <w:spacing w:after="0" w:line="240" w:lineRule="auto"/>
      <w:jc w:val="both"/>
    </w:pPr>
    <w:rPr>
      <w:rFonts w:ascii="Calibri" w:eastAsia="宋体" w:hAnsi="Calibri" w:cs="Times New Roman"/>
      <w:sz w:val="21"/>
      <w:szCs w:val="21"/>
      <w:lang w:val="en-GB"/>
      <w14:ligatures w14:val="none"/>
    </w:rPr>
  </w:style>
  <w:style w:type="paragraph" w:styleId="1">
    <w:name w:val="heading 1"/>
    <w:basedOn w:val="a"/>
    <w:next w:val="a"/>
    <w:link w:val="10"/>
    <w:uiPriority w:val="9"/>
    <w:qFormat/>
    <w:rsid w:val="000668DC"/>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0668DC"/>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0668DC"/>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0668DC"/>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0668DC"/>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0668DC"/>
    <w:pPr>
      <w:keepNext/>
      <w:keepLines/>
      <w:spacing w:before="40" w:line="278" w:lineRule="auto"/>
      <w:jc w:val="left"/>
      <w:outlineLvl w:val="5"/>
    </w:pPr>
    <w:rPr>
      <w:rFonts w:asciiTheme="minorHAnsi" w:eastAsiaTheme="minorEastAsia" w:hAnsiTheme="minorHAnsi"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0668DC"/>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0668DC"/>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0668DC"/>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668DC"/>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0668DC"/>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0668DC"/>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0668DC"/>
    <w:rPr>
      <w:rFonts w:cstheme="majorBidi"/>
      <w:color w:val="0F4761" w:themeColor="accent1" w:themeShade="BF"/>
      <w:sz w:val="28"/>
      <w:szCs w:val="28"/>
      <w:lang w:val="en-GB"/>
    </w:rPr>
  </w:style>
  <w:style w:type="character" w:customStyle="1" w:styleId="50">
    <w:name w:val="标题 5 字符"/>
    <w:basedOn w:val="a0"/>
    <w:link w:val="5"/>
    <w:uiPriority w:val="9"/>
    <w:semiHidden/>
    <w:rsid w:val="000668DC"/>
    <w:rPr>
      <w:rFonts w:cstheme="majorBidi"/>
      <w:color w:val="0F4761" w:themeColor="accent1" w:themeShade="BF"/>
      <w:sz w:val="24"/>
      <w:lang w:val="en-GB"/>
    </w:rPr>
  </w:style>
  <w:style w:type="character" w:customStyle="1" w:styleId="60">
    <w:name w:val="标题 6 字符"/>
    <w:basedOn w:val="a0"/>
    <w:link w:val="6"/>
    <w:uiPriority w:val="9"/>
    <w:semiHidden/>
    <w:rsid w:val="000668DC"/>
    <w:rPr>
      <w:rFonts w:cstheme="majorBidi"/>
      <w:b/>
      <w:bCs/>
      <w:color w:val="0F4761" w:themeColor="accent1" w:themeShade="BF"/>
      <w:lang w:val="en-GB"/>
    </w:rPr>
  </w:style>
  <w:style w:type="character" w:customStyle="1" w:styleId="70">
    <w:name w:val="标题 7 字符"/>
    <w:basedOn w:val="a0"/>
    <w:link w:val="7"/>
    <w:uiPriority w:val="9"/>
    <w:semiHidden/>
    <w:rsid w:val="000668DC"/>
    <w:rPr>
      <w:rFonts w:cstheme="majorBidi"/>
      <w:b/>
      <w:bCs/>
      <w:color w:val="595959" w:themeColor="text1" w:themeTint="A6"/>
      <w:lang w:val="en-GB"/>
    </w:rPr>
  </w:style>
  <w:style w:type="character" w:customStyle="1" w:styleId="80">
    <w:name w:val="标题 8 字符"/>
    <w:basedOn w:val="a0"/>
    <w:link w:val="8"/>
    <w:uiPriority w:val="9"/>
    <w:semiHidden/>
    <w:rsid w:val="000668DC"/>
    <w:rPr>
      <w:rFonts w:cstheme="majorBidi"/>
      <w:color w:val="595959" w:themeColor="text1" w:themeTint="A6"/>
      <w:lang w:val="en-GB"/>
    </w:rPr>
  </w:style>
  <w:style w:type="character" w:customStyle="1" w:styleId="90">
    <w:name w:val="标题 9 字符"/>
    <w:basedOn w:val="a0"/>
    <w:link w:val="9"/>
    <w:uiPriority w:val="9"/>
    <w:semiHidden/>
    <w:rsid w:val="000668DC"/>
    <w:rPr>
      <w:rFonts w:eastAsiaTheme="majorEastAsia" w:cstheme="majorBidi"/>
      <w:color w:val="595959" w:themeColor="text1" w:themeTint="A6"/>
      <w:lang w:val="en-GB"/>
    </w:rPr>
  </w:style>
  <w:style w:type="paragraph" w:styleId="a3">
    <w:name w:val="Title"/>
    <w:basedOn w:val="a"/>
    <w:next w:val="a"/>
    <w:link w:val="a4"/>
    <w:uiPriority w:val="10"/>
    <w:qFormat/>
    <w:rsid w:val="000668DC"/>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0668DC"/>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0668DC"/>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0668DC"/>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0668DC"/>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8">
    <w:name w:val="引用 字符"/>
    <w:basedOn w:val="a0"/>
    <w:link w:val="a7"/>
    <w:uiPriority w:val="29"/>
    <w:rsid w:val="000668DC"/>
    <w:rPr>
      <w:i/>
      <w:iCs/>
      <w:color w:val="404040" w:themeColor="text1" w:themeTint="BF"/>
      <w:lang w:val="en-GB"/>
    </w:rPr>
  </w:style>
  <w:style w:type="paragraph" w:styleId="a9">
    <w:name w:val="List Paragraph"/>
    <w:basedOn w:val="a"/>
    <w:uiPriority w:val="34"/>
    <w:qFormat/>
    <w:rsid w:val="000668DC"/>
    <w:pPr>
      <w:spacing w:after="160" w:line="278" w:lineRule="auto"/>
      <w:ind w:left="720"/>
      <w:contextualSpacing/>
      <w:jc w:val="left"/>
    </w:pPr>
    <w:rPr>
      <w:rFonts w:asciiTheme="minorHAnsi" w:eastAsiaTheme="minorEastAsia" w:hAnsiTheme="minorHAnsi" w:cstheme="minorBidi"/>
      <w:sz w:val="22"/>
      <w:szCs w:val="24"/>
      <w14:ligatures w14:val="standardContextual"/>
    </w:rPr>
  </w:style>
  <w:style w:type="character" w:styleId="aa">
    <w:name w:val="Intense Emphasis"/>
    <w:basedOn w:val="a0"/>
    <w:uiPriority w:val="21"/>
    <w:qFormat/>
    <w:rsid w:val="000668DC"/>
    <w:rPr>
      <w:i/>
      <w:iCs/>
      <w:color w:val="0F4761" w:themeColor="accent1" w:themeShade="BF"/>
    </w:rPr>
  </w:style>
  <w:style w:type="paragraph" w:styleId="ab">
    <w:name w:val="Intense Quote"/>
    <w:basedOn w:val="a"/>
    <w:next w:val="a"/>
    <w:link w:val="ac"/>
    <w:uiPriority w:val="30"/>
    <w:qFormat/>
    <w:rsid w:val="000668D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szCs w:val="24"/>
      <w14:ligatures w14:val="standardContextual"/>
    </w:rPr>
  </w:style>
  <w:style w:type="character" w:customStyle="1" w:styleId="ac">
    <w:name w:val="明显引用 字符"/>
    <w:basedOn w:val="a0"/>
    <w:link w:val="ab"/>
    <w:uiPriority w:val="30"/>
    <w:rsid w:val="000668DC"/>
    <w:rPr>
      <w:i/>
      <w:iCs/>
      <w:color w:val="0F4761" w:themeColor="accent1" w:themeShade="BF"/>
      <w:lang w:val="en-GB"/>
    </w:rPr>
  </w:style>
  <w:style w:type="character" w:styleId="ad">
    <w:name w:val="Intense Reference"/>
    <w:basedOn w:val="a0"/>
    <w:uiPriority w:val="32"/>
    <w:qFormat/>
    <w:rsid w:val="000668DC"/>
    <w:rPr>
      <w:b/>
      <w:bCs/>
      <w:smallCaps/>
      <w:color w:val="0F4761" w:themeColor="accent1" w:themeShade="BF"/>
      <w:spacing w:val="5"/>
    </w:rPr>
  </w:style>
  <w:style w:type="paragraph" w:styleId="ae">
    <w:name w:val="Bibliography"/>
    <w:basedOn w:val="a"/>
    <w:next w:val="a"/>
    <w:uiPriority w:val="37"/>
    <w:unhideWhenUsed/>
    <w:rsid w:val="0033166E"/>
  </w:style>
  <w:style w:type="paragraph" w:styleId="af">
    <w:name w:val="footer"/>
    <w:basedOn w:val="a"/>
    <w:link w:val="af0"/>
    <w:uiPriority w:val="99"/>
    <w:unhideWhenUsed/>
    <w:rsid w:val="00CE5C68"/>
    <w:pPr>
      <w:tabs>
        <w:tab w:val="center" w:pos="4153"/>
        <w:tab w:val="right" w:pos="8306"/>
      </w:tabs>
      <w:snapToGrid w:val="0"/>
      <w:jc w:val="left"/>
    </w:pPr>
    <w:rPr>
      <w:sz w:val="18"/>
      <w:szCs w:val="18"/>
    </w:rPr>
  </w:style>
  <w:style w:type="character" w:customStyle="1" w:styleId="af0">
    <w:name w:val="页脚 字符"/>
    <w:basedOn w:val="a0"/>
    <w:link w:val="af"/>
    <w:uiPriority w:val="99"/>
    <w:rsid w:val="00CE5C68"/>
    <w:rPr>
      <w:rFonts w:ascii="Calibri" w:eastAsia="宋体" w:hAnsi="Calibri" w:cs="Times New Roman"/>
      <w:sz w:val="18"/>
      <w:szCs w:val="18"/>
      <w:lang w:val="en-GB"/>
      <w14:ligatures w14:val="none"/>
    </w:rPr>
  </w:style>
  <w:style w:type="character" w:styleId="af1">
    <w:name w:val="page number"/>
    <w:basedOn w:val="a0"/>
    <w:uiPriority w:val="99"/>
    <w:semiHidden/>
    <w:unhideWhenUsed/>
    <w:rsid w:val="00CE5C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file:////Users/shajinqi/Library/Containers/com.kingsoft.wpsoffice.mac/Data/tmp/wps-shajinqi/ksohtml/wps1.png"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CF60C-AE5D-C74F-8CE6-C3F96DA5E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12082</Words>
  <Characters>68871</Characters>
  <Application>Microsoft Office Word</Application>
  <DocSecurity>0</DocSecurity>
  <Lines>573</Lines>
  <Paragraphs>161</Paragraphs>
  <ScaleCrop>false</ScaleCrop>
  <Company/>
  <LinksUpToDate>false</LinksUpToDate>
  <CharactersWithSpaces>80792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2025-12-08T22:43:00Z</dcterms:created>
  <dcterms:modified xsi:type="dcterms:W3CDTF">2025-12-08T22:43:00Z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id="KFJWknOP"/&gt;&lt;style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