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BC8" w:rsidRDefault="00FC2205">
      <w:pPr>
        <w:pStyle w:val="Heading1"/>
        <w:jc w:val="center"/>
        <w:rPr>
          <w:sz w:val="26"/>
          <w:szCs w:val="26"/>
        </w:rPr>
      </w:pPr>
      <w:bookmarkStart w:id="0" w:name="_heading=h.3b34vizawzxx" w:colFirst="0" w:colLast="0"/>
      <w:bookmarkStart w:id="1" w:name="_Toc238232020"/>
      <w:bookmarkEnd w:id="0"/>
      <w:r>
        <w:rPr>
          <w:noProof/>
          <w:lang w:eastAsia="en-US"/>
        </w:rPr>
        <w:drawing>
          <wp:anchor distT="0" distB="0" distL="114300" distR="114300" simplePos="0" relativeHeight="251658240" behindDoc="0" locked="0" layoutInCell="1" allowOverlap="1">
            <wp:simplePos x="0" y="0"/>
            <wp:positionH relativeFrom="column">
              <wp:posOffset>2066925</wp:posOffset>
            </wp:positionH>
            <wp:positionV relativeFrom="paragraph">
              <wp:posOffset>179147</wp:posOffset>
            </wp:positionV>
            <wp:extent cx="1816608" cy="728472"/>
            <wp:effectExtent l="0" t="0" r="0" b="0"/>
            <wp:wrapNone/>
            <wp:docPr id="1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816608" cy="728472"/>
                    </a:xfrm>
                    <a:prstGeom prst="rect">
                      <a:avLst/>
                    </a:prstGeom>
                    <a:ln/>
                  </pic:spPr>
                </pic:pic>
              </a:graphicData>
            </a:graphic>
          </wp:anchor>
        </w:drawing>
      </w:r>
      <w:bookmarkEnd w:id="1"/>
    </w:p>
    <w:p w:rsidR="002C2BC8" w:rsidRDefault="002C2BC8"/>
    <w:p w:rsidR="002C2BC8" w:rsidRDefault="00FC2205">
      <w:pPr>
        <w:jc w:val="center"/>
        <w:rPr>
          <w:b/>
          <w:bCs/>
          <w:sz w:val="32"/>
          <w:szCs w:val="32"/>
        </w:rPr>
      </w:pPr>
      <w:r>
        <w:rPr>
          <w:b/>
          <w:bCs/>
          <w:sz w:val="32"/>
          <w:szCs w:val="32"/>
        </w:rPr>
        <w:t>Programme name: Master of Business Administration</w:t>
      </w:r>
    </w:p>
    <w:p w:rsidR="002C2BC8" w:rsidRDefault="00FC2205">
      <w:pPr>
        <w:jc w:val="center"/>
        <w:rPr>
          <w:b/>
          <w:bCs/>
          <w:sz w:val="32"/>
          <w:szCs w:val="32"/>
        </w:rPr>
      </w:pPr>
      <w:r>
        <w:rPr>
          <w:b/>
          <w:bCs/>
          <w:sz w:val="32"/>
          <w:szCs w:val="32"/>
        </w:rPr>
        <w:t>Module name: Business Development Proposal</w:t>
      </w:r>
    </w:p>
    <w:p w:rsidR="002C2BC8" w:rsidRDefault="00FC2205">
      <w:pPr>
        <w:jc w:val="center"/>
        <w:rPr>
          <w:b/>
          <w:bCs/>
          <w:sz w:val="32"/>
          <w:szCs w:val="32"/>
        </w:rPr>
      </w:pPr>
      <w:r>
        <w:rPr>
          <w:b/>
          <w:bCs/>
          <w:sz w:val="32"/>
          <w:szCs w:val="32"/>
        </w:rPr>
        <w:t>Module code: LCMB7037</w:t>
      </w:r>
    </w:p>
    <w:p w:rsidR="002C2BC8" w:rsidRDefault="00FC2205">
      <w:pPr>
        <w:jc w:val="center"/>
        <w:rPr>
          <w:b/>
          <w:bCs/>
          <w:sz w:val="32"/>
          <w:szCs w:val="32"/>
        </w:rPr>
      </w:pPr>
      <w:r>
        <w:rPr>
          <w:b/>
          <w:bCs/>
          <w:sz w:val="32"/>
          <w:szCs w:val="32"/>
        </w:rPr>
        <w:t>Assignment title: Business development proposal on EcoLoop Office</w:t>
      </w:r>
      <w:r w:rsidR="009D04FF">
        <w:rPr>
          <w:b/>
          <w:bCs/>
          <w:sz w:val="32"/>
          <w:szCs w:val="32"/>
        </w:rPr>
        <w:t xml:space="preserve"> (Chapter 1 to 10</w:t>
      </w:r>
      <w:r w:rsidR="006F1940">
        <w:rPr>
          <w:b/>
          <w:bCs/>
          <w:sz w:val="32"/>
          <w:szCs w:val="32"/>
        </w:rPr>
        <w:t>)</w:t>
      </w:r>
    </w:p>
    <w:p w:rsidR="002C2BC8" w:rsidRDefault="00FF2D7A">
      <w:pPr>
        <w:jc w:val="center"/>
        <w:rPr>
          <w:b/>
          <w:bCs/>
          <w:sz w:val="32"/>
          <w:szCs w:val="32"/>
        </w:rPr>
      </w:pPr>
      <w:r>
        <w:rPr>
          <w:b/>
          <w:bCs/>
          <w:sz w:val="32"/>
          <w:szCs w:val="32"/>
        </w:rPr>
        <w:t>Supervisor</w:t>
      </w:r>
      <w:r w:rsidR="006F1940">
        <w:rPr>
          <w:b/>
          <w:bCs/>
          <w:sz w:val="32"/>
          <w:szCs w:val="32"/>
        </w:rPr>
        <w:t xml:space="preserve">’s name: Balendran Kandasamy </w:t>
      </w:r>
    </w:p>
    <w:p w:rsidR="002C2BC8" w:rsidRDefault="00FC2205">
      <w:pPr>
        <w:jc w:val="center"/>
        <w:rPr>
          <w:b/>
          <w:bCs/>
          <w:sz w:val="32"/>
          <w:szCs w:val="32"/>
        </w:rPr>
      </w:pPr>
      <w:r>
        <w:rPr>
          <w:b/>
          <w:bCs/>
          <w:sz w:val="32"/>
          <w:szCs w:val="32"/>
        </w:rPr>
        <w:t>Student ID &amp; Name:</w:t>
      </w:r>
      <w:r w:rsidR="006F1940">
        <w:rPr>
          <w:b/>
          <w:bCs/>
          <w:sz w:val="32"/>
          <w:szCs w:val="32"/>
        </w:rPr>
        <w:t xml:space="preserve"> Deep J. Viththani - 2508635</w:t>
      </w:r>
    </w:p>
    <w:p w:rsidR="002C2BC8" w:rsidRDefault="006F1940">
      <w:pPr>
        <w:jc w:val="center"/>
        <w:rPr>
          <w:b/>
          <w:bCs/>
          <w:sz w:val="32"/>
          <w:szCs w:val="32"/>
        </w:rPr>
      </w:pPr>
      <w:r>
        <w:rPr>
          <w:b/>
          <w:bCs/>
          <w:sz w:val="32"/>
          <w:szCs w:val="32"/>
        </w:rPr>
        <w:t xml:space="preserve">Word Count: </w:t>
      </w:r>
      <w:bookmarkStart w:id="2" w:name="_GoBack"/>
      <w:bookmarkEnd w:id="2"/>
      <w:r w:rsidR="009D04FF">
        <w:rPr>
          <w:b/>
          <w:bCs/>
          <w:sz w:val="32"/>
          <w:szCs w:val="32"/>
        </w:rPr>
        <w:t>12,924</w:t>
      </w:r>
    </w:p>
    <w:p w:rsidR="002C2BC8" w:rsidRDefault="00FC2205">
      <w:pPr>
        <w:jc w:val="center"/>
        <w:rPr>
          <w:b/>
          <w:bCs/>
          <w:sz w:val="32"/>
          <w:szCs w:val="32"/>
        </w:rPr>
      </w:pPr>
      <w:r>
        <w:rPr>
          <w:b/>
          <w:bCs/>
          <w:sz w:val="32"/>
          <w:szCs w:val="32"/>
        </w:rPr>
        <w:t>Submission date:</w:t>
      </w:r>
      <w:r w:rsidR="00FF2D7A">
        <w:rPr>
          <w:b/>
          <w:bCs/>
          <w:sz w:val="32"/>
          <w:szCs w:val="32"/>
        </w:rPr>
        <w:t xml:space="preserve"> </w:t>
      </w:r>
      <w:r w:rsidR="009D04FF">
        <w:rPr>
          <w:b/>
          <w:bCs/>
          <w:sz w:val="32"/>
          <w:szCs w:val="32"/>
        </w:rPr>
        <w:t>5</w:t>
      </w:r>
      <w:r w:rsidR="00FF2D7A" w:rsidRPr="00FF2D7A">
        <w:rPr>
          <w:b/>
          <w:bCs/>
          <w:sz w:val="32"/>
          <w:szCs w:val="32"/>
          <w:vertAlign w:val="superscript"/>
        </w:rPr>
        <w:t>th</w:t>
      </w:r>
      <w:r w:rsidR="00105F69">
        <w:rPr>
          <w:b/>
          <w:bCs/>
          <w:sz w:val="32"/>
          <w:szCs w:val="32"/>
        </w:rPr>
        <w:t xml:space="preserve"> Sep</w:t>
      </w:r>
      <w:r w:rsidR="00FF2D7A">
        <w:rPr>
          <w:b/>
          <w:bCs/>
          <w:sz w:val="32"/>
          <w:szCs w:val="32"/>
        </w:rPr>
        <w:t xml:space="preserve"> 2026</w:t>
      </w:r>
      <w:r>
        <w:br w:type="page"/>
      </w:r>
    </w:p>
    <w:p w:rsidR="002C2BC8" w:rsidRDefault="00FC2205">
      <w:pPr>
        <w:pStyle w:val="Heading1"/>
        <w:keepNext w:val="0"/>
        <w:keepLines w:val="0"/>
        <w:jc w:val="center"/>
      </w:pPr>
      <w:bookmarkStart w:id="3" w:name="_heading=h.rpu9hlhkpyz9" w:colFirst="0" w:colLast="0"/>
      <w:bookmarkStart w:id="4" w:name="_Toc238232021"/>
      <w:bookmarkStart w:id="5" w:name="_Toc239460871"/>
      <w:bookmarkEnd w:id="3"/>
      <w:r>
        <w:lastRenderedPageBreak/>
        <w:t>Table of Contents</w:t>
      </w:r>
      <w:bookmarkEnd w:id="4"/>
      <w:bookmarkEnd w:id="5"/>
    </w:p>
    <w:bookmarkStart w:id="6" w:name="_heading=h.mfzkv0cu6b2j" w:colFirst="0" w:colLast="0" w:displacedByCustomXml="next"/>
    <w:bookmarkEnd w:id="6" w:displacedByCustomXml="next"/>
    <w:sdt>
      <w:sdtPr>
        <w:rPr>
          <w:rFonts w:ascii="Times New Roman" w:eastAsia="Times New Roman" w:hAnsi="Times New Roman" w:cs="Times New Roman"/>
          <w:b w:val="0"/>
          <w:bCs w:val="0"/>
          <w:color w:val="auto"/>
          <w:sz w:val="24"/>
          <w:szCs w:val="24"/>
          <w:lang w:eastAsia="en-IN"/>
        </w:rPr>
        <w:id w:val="80742786"/>
        <w:docPartObj>
          <w:docPartGallery w:val="Table of Contents"/>
          <w:docPartUnique/>
        </w:docPartObj>
      </w:sdtPr>
      <w:sdtContent>
        <w:p w:rsidR="004F6403" w:rsidRDefault="004F6403">
          <w:pPr>
            <w:pStyle w:val="TOCHeading"/>
          </w:pPr>
          <w:r>
            <w:t>Contents</w:t>
          </w:r>
        </w:p>
        <w:p w:rsidR="008C37A4" w:rsidRDefault="00FE617C">
          <w:pPr>
            <w:pStyle w:val="TOC1"/>
            <w:tabs>
              <w:tab w:val="right" w:leader="dot" w:pos="9350"/>
            </w:tabs>
            <w:rPr>
              <w:rFonts w:asciiTheme="minorHAnsi" w:eastAsiaTheme="minorEastAsia" w:hAnsiTheme="minorHAnsi" w:cstheme="minorBidi"/>
              <w:noProof/>
              <w:sz w:val="22"/>
              <w:szCs w:val="22"/>
              <w:lang w:eastAsia="en-US"/>
            </w:rPr>
          </w:pPr>
          <w:r>
            <w:fldChar w:fldCharType="begin"/>
          </w:r>
          <w:r w:rsidR="004F6403">
            <w:instrText xml:space="preserve"> TOC \o "1-3" \h \z \u </w:instrText>
          </w:r>
          <w:r>
            <w:fldChar w:fldCharType="separate"/>
          </w:r>
          <w:hyperlink w:anchor="_Toc239460871" w:history="1">
            <w:r w:rsidR="008C37A4" w:rsidRPr="00427ED2">
              <w:rPr>
                <w:rStyle w:val="Hyperlink"/>
                <w:noProof/>
              </w:rPr>
              <w:t>Table of Contents</w:t>
            </w:r>
            <w:r w:rsidR="008C37A4">
              <w:rPr>
                <w:noProof/>
                <w:webHidden/>
              </w:rPr>
              <w:tab/>
            </w:r>
            <w:r w:rsidR="008C37A4">
              <w:rPr>
                <w:noProof/>
                <w:webHidden/>
              </w:rPr>
              <w:fldChar w:fldCharType="begin"/>
            </w:r>
            <w:r w:rsidR="008C37A4">
              <w:rPr>
                <w:noProof/>
                <w:webHidden/>
              </w:rPr>
              <w:instrText xml:space="preserve"> PAGEREF _Toc239460871 \h </w:instrText>
            </w:r>
            <w:r w:rsidR="008C37A4">
              <w:rPr>
                <w:noProof/>
                <w:webHidden/>
              </w:rPr>
            </w:r>
            <w:r w:rsidR="008C37A4">
              <w:rPr>
                <w:noProof/>
                <w:webHidden/>
              </w:rPr>
              <w:fldChar w:fldCharType="separate"/>
            </w:r>
            <w:r w:rsidR="008C37A4">
              <w:rPr>
                <w:noProof/>
                <w:webHidden/>
              </w:rPr>
              <w:t>1</w:t>
            </w:r>
            <w:r w:rsidR="008C37A4">
              <w:rPr>
                <w:noProof/>
                <w:webHidden/>
              </w:rPr>
              <w:fldChar w:fldCharType="end"/>
            </w:r>
          </w:hyperlink>
        </w:p>
        <w:p w:rsidR="008C37A4" w:rsidRDefault="008C37A4">
          <w:pPr>
            <w:pStyle w:val="TOC1"/>
            <w:tabs>
              <w:tab w:val="left" w:pos="480"/>
              <w:tab w:val="right" w:leader="dot" w:pos="9350"/>
            </w:tabs>
            <w:rPr>
              <w:rFonts w:asciiTheme="minorHAnsi" w:eastAsiaTheme="minorEastAsia" w:hAnsiTheme="minorHAnsi" w:cstheme="minorBidi"/>
              <w:noProof/>
              <w:sz w:val="22"/>
              <w:szCs w:val="22"/>
              <w:lang w:eastAsia="en-US"/>
            </w:rPr>
          </w:pPr>
          <w:hyperlink w:anchor="_Toc239460872" w:history="1">
            <w:r w:rsidRPr="00427ED2">
              <w:rPr>
                <w:rStyle w:val="Hyperlink"/>
                <w:noProof/>
              </w:rPr>
              <w:t>1.</w:t>
            </w:r>
            <w:r>
              <w:rPr>
                <w:rFonts w:asciiTheme="minorHAnsi" w:eastAsiaTheme="minorEastAsia" w:hAnsiTheme="minorHAnsi" w:cstheme="minorBidi"/>
                <w:noProof/>
                <w:sz w:val="22"/>
                <w:szCs w:val="22"/>
                <w:lang w:eastAsia="en-US"/>
              </w:rPr>
              <w:tab/>
            </w:r>
            <w:r w:rsidRPr="00427ED2">
              <w:rPr>
                <w:rStyle w:val="Hyperlink"/>
                <w:noProof/>
              </w:rPr>
              <w:t>Introduction</w:t>
            </w:r>
            <w:r>
              <w:rPr>
                <w:noProof/>
                <w:webHidden/>
              </w:rPr>
              <w:tab/>
            </w:r>
            <w:r>
              <w:rPr>
                <w:noProof/>
                <w:webHidden/>
              </w:rPr>
              <w:fldChar w:fldCharType="begin"/>
            </w:r>
            <w:r>
              <w:rPr>
                <w:noProof/>
                <w:webHidden/>
              </w:rPr>
              <w:instrText xml:space="preserve"> PAGEREF _Toc239460872 \h </w:instrText>
            </w:r>
            <w:r>
              <w:rPr>
                <w:noProof/>
                <w:webHidden/>
              </w:rPr>
            </w:r>
            <w:r>
              <w:rPr>
                <w:noProof/>
                <w:webHidden/>
              </w:rPr>
              <w:fldChar w:fldCharType="separate"/>
            </w:r>
            <w:r>
              <w:rPr>
                <w:noProof/>
                <w:webHidden/>
              </w:rPr>
              <w:t>7</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73" w:history="1">
            <w:r w:rsidRPr="00427ED2">
              <w:rPr>
                <w:rStyle w:val="Hyperlink"/>
                <w:noProof/>
              </w:rPr>
              <w:t>1.1 Background / Context</w:t>
            </w:r>
            <w:r>
              <w:rPr>
                <w:noProof/>
                <w:webHidden/>
              </w:rPr>
              <w:tab/>
            </w:r>
            <w:r>
              <w:rPr>
                <w:noProof/>
                <w:webHidden/>
              </w:rPr>
              <w:fldChar w:fldCharType="begin"/>
            </w:r>
            <w:r>
              <w:rPr>
                <w:noProof/>
                <w:webHidden/>
              </w:rPr>
              <w:instrText xml:space="preserve"> PAGEREF _Toc239460873 \h </w:instrText>
            </w:r>
            <w:r>
              <w:rPr>
                <w:noProof/>
                <w:webHidden/>
              </w:rPr>
            </w:r>
            <w:r>
              <w:rPr>
                <w:noProof/>
                <w:webHidden/>
              </w:rPr>
              <w:fldChar w:fldCharType="separate"/>
            </w:r>
            <w:r>
              <w:rPr>
                <w:noProof/>
                <w:webHidden/>
              </w:rPr>
              <w:t>7</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74" w:history="1">
            <w:r w:rsidRPr="00427ED2">
              <w:rPr>
                <w:rStyle w:val="Hyperlink"/>
                <w:noProof/>
              </w:rPr>
              <w:t>1.2 Problem / Opportunity Statement</w:t>
            </w:r>
            <w:r>
              <w:rPr>
                <w:noProof/>
                <w:webHidden/>
              </w:rPr>
              <w:tab/>
            </w:r>
            <w:r>
              <w:rPr>
                <w:noProof/>
                <w:webHidden/>
              </w:rPr>
              <w:fldChar w:fldCharType="begin"/>
            </w:r>
            <w:r>
              <w:rPr>
                <w:noProof/>
                <w:webHidden/>
              </w:rPr>
              <w:instrText xml:space="preserve"> PAGEREF _Toc239460874 \h </w:instrText>
            </w:r>
            <w:r>
              <w:rPr>
                <w:noProof/>
                <w:webHidden/>
              </w:rPr>
            </w:r>
            <w:r>
              <w:rPr>
                <w:noProof/>
                <w:webHidden/>
              </w:rPr>
              <w:fldChar w:fldCharType="separate"/>
            </w:r>
            <w:r>
              <w:rPr>
                <w:noProof/>
                <w:webHidden/>
              </w:rPr>
              <w:t>8</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75" w:history="1">
            <w:r w:rsidRPr="00427ED2">
              <w:rPr>
                <w:rStyle w:val="Hyperlink"/>
                <w:noProof/>
              </w:rPr>
              <w:t>1.3 Initial Observation of Demand</w:t>
            </w:r>
            <w:r>
              <w:rPr>
                <w:noProof/>
                <w:webHidden/>
              </w:rPr>
              <w:tab/>
            </w:r>
            <w:r>
              <w:rPr>
                <w:noProof/>
                <w:webHidden/>
              </w:rPr>
              <w:fldChar w:fldCharType="begin"/>
            </w:r>
            <w:r>
              <w:rPr>
                <w:noProof/>
                <w:webHidden/>
              </w:rPr>
              <w:instrText xml:space="preserve"> PAGEREF _Toc239460875 \h </w:instrText>
            </w:r>
            <w:r>
              <w:rPr>
                <w:noProof/>
                <w:webHidden/>
              </w:rPr>
            </w:r>
            <w:r>
              <w:rPr>
                <w:noProof/>
                <w:webHidden/>
              </w:rPr>
              <w:fldChar w:fldCharType="separate"/>
            </w:r>
            <w:r>
              <w:rPr>
                <w:noProof/>
                <w:webHidden/>
              </w:rPr>
              <w:t>9</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76" w:history="1">
            <w:r w:rsidRPr="00427ED2">
              <w:rPr>
                <w:rStyle w:val="Hyperlink"/>
                <w:noProof/>
              </w:rPr>
              <w:t>1.4 Aim ,Objectives and Research Questions</w:t>
            </w:r>
            <w:r>
              <w:rPr>
                <w:noProof/>
                <w:webHidden/>
              </w:rPr>
              <w:tab/>
            </w:r>
            <w:r>
              <w:rPr>
                <w:noProof/>
                <w:webHidden/>
              </w:rPr>
              <w:fldChar w:fldCharType="begin"/>
            </w:r>
            <w:r>
              <w:rPr>
                <w:noProof/>
                <w:webHidden/>
              </w:rPr>
              <w:instrText xml:space="preserve"> PAGEREF _Toc239460876 \h </w:instrText>
            </w:r>
            <w:r>
              <w:rPr>
                <w:noProof/>
                <w:webHidden/>
              </w:rPr>
            </w:r>
            <w:r>
              <w:rPr>
                <w:noProof/>
                <w:webHidden/>
              </w:rPr>
              <w:fldChar w:fldCharType="separate"/>
            </w:r>
            <w:r>
              <w:rPr>
                <w:noProof/>
                <w:webHidden/>
              </w:rPr>
              <w:t>9</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77" w:history="1">
            <w:r w:rsidRPr="00427ED2">
              <w:rPr>
                <w:rStyle w:val="Hyperlink"/>
                <w:noProof/>
              </w:rPr>
              <w:t>Research Aim</w:t>
            </w:r>
            <w:r>
              <w:rPr>
                <w:noProof/>
                <w:webHidden/>
              </w:rPr>
              <w:tab/>
            </w:r>
            <w:r>
              <w:rPr>
                <w:noProof/>
                <w:webHidden/>
              </w:rPr>
              <w:fldChar w:fldCharType="begin"/>
            </w:r>
            <w:r>
              <w:rPr>
                <w:noProof/>
                <w:webHidden/>
              </w:rPr>
              <w:instrText xml:space="preserve"> PAGEREF _Toc239460877 \h </w:instrText>
            </w:r>
            <w:r>
              <w:rPr>
                <w:noProof/>
                <w:webHidden/>
              </w:rPr>
            </w:r>
            <w:r>
              <w:rPr>
                <w:noProof/>
                <w:webHidden/>
              </w:rPr>
              <w:fldChar w:fldCharType="separate"/>
            </w:r>
            <w:r>
              <w:rPr>
                <w:noProof/>
                <w:webHidden/>
              </w:rPr>
              <w:t>9</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78" w:history="1">
            <w:r w:rsidRPr="00427ED2">
              <w:rPr>
                <w:rStyle w:val="Hyperlink"/>
                <w:noProof/>
              </w:rPr>
              <w:t>Research Objectives</w:t>
            </w:r>
            <w:r>
              <w:rPr>
                <w:noProof/>
                <w:webHidden/>
              </w:rPr>
              <w:tab/>
            </w:r>
            <w:r>
              <w:rPr>
                <w:noProof/>
                <w:webHidden/>
              </w:rPr>
              <w:fldChar w:fldCharType="begin"/>
            </w:r>
            <w:r>
              <w:rPr>
                <w:noProof/>
                <w:webHidden/>
              </w:rPr>
              <w:instrText xml:space="preserve"> PAGEREF _Toc239460878 \h </w:instrText>
            </w:r>
            <w:r>
              <w:rPr>
                <w:noProof/>
                <w:webHidden/>
              </w:rPr>
            </w:r>
            <w:r>
              <w:rPr>
                <w:noProof/>
                <w:webHidden/>
              </w:rPr>
              <w:fldChar w:fldCharType="separate"/>
            </w:r>
            <w:r>
              <w:rPr>
                <w:noProof/>
                <w:webHidden/>
              </w:rPr>
              <w:t>9</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79" w:history="1">
            <w:r w:rsidRPr="00427ED2">
              <w:rPr>
                <w:rStyle w:val="Hyperlink"/>
                <w:noProof/>
              </w:rPr>
              <w:t>Research Questions</w:t>
            </w:r>
            <w:r>
              <w:rPr>
                <w:noProof/>
                <w:webHidden/>
              </w:rPr>
              <w:tab/>
            </w:r>
            <w:r>
              <w:rPr>
                <w:noProof/>
                <w:webHidden/>
              </w:rPr>
              <w:fldChar w:fldCharType="begin"/>
            </w:r>
            <w:r>
              <w:rPr>
                <w:noProof/>
                <w:webHidden/>
              </w:rPr>
              <w:instrText xml:space="preserve"> PAGEREF _Toc239460879 \h </w:instrText>
            </w:r>
            <w:r>
              <w:rPr>
                <w:noProof/>
                <w:webHidden/>
              </w:rPr>
            </w:r>
            <w:r>
              <w:rPr>
                <w:noProof/>
                <w:webHidden/>
              </w:rPr>
              <w:fldChar w:fldCharType="separate"/>
            </w:r>
            <w:r>
              <w:rPr>
                <w:noProof/>
                <w:webHidden/>
              </w:rPr>
              <w:t>10</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80" w:history="1">
            <w:r w:rsidRPr="00427ED2">
              <w:rPr>
                <w:rStyle w:val="Hyperlink"/>
                <w:noProof/>
              </w:rPr>
              <w:t>1.5 Scope of Analysis</w:t>
            </w:r>
            <w:r>
              <w:rPr>
                <w:noProof/>
                <w:webHidden/>
              </w:rPr>
              <w:tab/>
            </w:r>
            <w:r>
              <w:rPr>
                <w:noProof/>
                <w:webHidden/>
              </w:rPr>
              <w:fldChar w:fldCharType="begin"/>
            </w:r>
            <w:r>
              <w:rPr>
                <w:noProof/>
                <w:webHidden/>
              </w:rPr>
              <w:instrText xml:space="preserve"> PAGEREF _Toc239460880 \h </w:instrText>
            </w:r>
            <w:r>
              <w:rPr>
                <w:noProof/>
                <w:webHidden/>
              </w:rPr>
            </w:r>
            <w:r>
              <w:rPr>
                <w:noProof/>
                <w:webHidden/>
              </w:rPr>
              <w:fldChar w:fldCharType="separate"/>
            </w:r>
            <w:r>
              <w:rPr>
                <w:noProof/>
                <w:webHidden/>
              </w:rPr>
              <w:t>10</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81" w:history="1">
            <w:r w:rsidRPr="00427ED2">
              <w:rPr>
                <w:rStyle w:val="Hyperlink"/>
                <w:noProof/>
              </w:rPr>
              <w:t>1.6 Structure of the Report</w:t>
            </w:r>
            <w:r>
              <w:rPr>
                <w:noProof/>
                <w:webHidden/>
              </w:rPr>
              <w:tab/>
            </w:r>
            <w:r>
              <w:rPr>
                <w:noProof/>
                <w:webHidden/>
              </w:rPr>
              <w:fldChar w:fldCharType="begin"/>
            </w:r>
            <w:r>
              <w:rPr>
                <w:noProof/>
                <w:webHidden/>
              </w:rPr>
              <w:instrText xml:space="preserve"> PAGEREF _Toc239460881 \h </w:instrText>
            </w:r>
            <w:r>
              <w:rPr>
                <w:noProof/>
                <w:webHidden/>
              </w:rPr>
            </w:r>
            <w:r>
              <w:rPr>
                <w:noProof/>
                <w:webHidden/>
              </w:rPr>
              <w:fldChar w:fldCharType="separate"/>
            </w:r>
            <w:r>
              <w:rPr>
                <w:noProof/>
                <w:webHidden/>
              </w:rPr>
              <w:t>10</w:t>
            </w:r>
            <w:r>
              <w:rPr>
                <w:noProof/>
                <w:webHidden/>
              </w:rPr>
              <w:fldChar w:fldCharType="end"/>
            </w:r>
          </w:hyperlink>
        </w:p>
        <w:p w:rsidR="008C37A4" w:rsidRDefault="008C37A4">
          <w:pPr>
            <w:pStyle w:val="TOC1"/>
            <w:tabs>
              <w:tab w:val="right" w:leader="dot" w:pos="9350"/>
            </w:tabs>
            <w:rPr>
              <w:rFonts w:asciiTheme="minorHAnsi" w:eastAsiaTheme="minorEastAsia" w:hAnsiTheme="minorHAnsi" w:cstheme="minorBidi"/>
              <w:noProof/>
              <w:sz w:val="22"/>
              <w:szCs w:val="22"/>
              <w:lang w:eastAsia="en-US"/>
            </w:rPr>
          </w:pPr>
          <w:hyperlink w:anchor="_Toc239460882" w:history="1">
            <w:r w:rsidRPr="00427ED2">
              <w:rPr>
                <w:rStyle w:val="Hyperlink"/>
                <w:noProof/>
              </w:rPr>
              <w:t>2. Company Description</w:t>
            </w:r>
            <w:r>
              <w:rPr>
                <w:noProof/>
                <w:webHidden/>
              </w:rPr>
              <w:tab/>
            </w:r>
            <w:r>
              <w:rPr>
                <w:noProof/>
                <w:webHidden/>
              </w:rPr>
              <w:fldChar w:fldCharType="begin"/>
            </w:r>
            <w:r>
              <w:rPr>
                <w:noProof/>
                <w:webHidden/>
              </w:rPr>
              <w:instrText xml:space="preserve"> PAGEREF _Toc239460882 \h </w:instrText>
            </w:r>
            <w:r>
              <w:rPr>
                <w:noProof/>
                <w:webHidden/>
              </w:rPr>
            </w:r>
            <w:r>
              <w:rPr>
                <w:noProof/>
                <w:webHidden/>
              </w:rPr>
              <w:fldChar w:fldCharType="separate"/>
            </w:r>
            <w:r>
              <w:rPr>
                <w:noProof/>
                <w:webHidden/>
              </w:rPr>
              <w:t>11</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83" w:history="1">
            <w:r w:rsidRPr="00427ED2">
              <w:rPr>
                <w:rStyle w:val="Hyperlink"/>
                <w:noProof/>
              </w:rPr>
              <w:t>2.1 Business Identity, Legal Structure</w:t>
            </w:r>
            <w:r>
              <w:rPr>
                <w:noProof/>
                <w:webHidden/>
              </w:rPr>
              <w:tab/>
            </w:r>
            <w:r>
              <w:rPr>
                <w:noProof/>
                <w:webHidden/>
              </w:rPr>
              <w:fldChar w:fldCharType="begin"/>
            </w:r>
            <w:r>
              <w:rPr>
                <w:noProof/>
                <w:webHidden/>
              </w:rPr>
              <w:instrText xml:space="preserve"> PAGEREF _Toc239460883 \h </w:instrText>
            </w:r>
            <w:r>
              <w:rPr>
                <w:noProof/>
                <w:webHidden/>
              </w:rPr>
            </w:r>
            <w:r>
              <w:rPr>
                <w:noProof/>
                <w:webHidden/>
              </w:rPr>
              <w:fldChar w:fldCharType="separate"/>
            </w:r>
            <w:r>
              <w:rPr>
                <w:noProof/>
                <w:webHidden/>
              </w:rPr>
              <w:t>11</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84" w:history="1">
            <w:r w:rsidRPr="00427ED2">
              <w:rPr>
                <w:rStyle w:val="Hyperlink"/>
                <w:noProof/>
              </w:rPr>
              <w:t>2.2 Product/Service and Problem Solved</w:t>
            </w:r>
            <w:r>
              <w:rPr>
                <w:noProof/>
                <w:webHidden/>
              </w:rPr>
              <w:tab/>
            </w:r>
            <w:r>
              <w:rPr>
                <w:noProof/>
                <w:webHidden/>
              </w:rPr>
              <w:fldChar w:fldCharType="begin"/>
            </w:r>
            <w:r>
              <w:rPr>
                <w:noProof/>
                <w:webHidden/>
              </w:rPr>
              <w:instrText xml:space="preserve"> PAGEREF _Toc239460884 \h </w:instrText>
            </w:r>
            <w:r>
              <w:rPr>
                <w:noProof/>
                <w:webHidden/>
              </w:rPr>
            </w:r>
            <w:r>
              <w:rPr>
                <w:noProof/>
                <w:webHidden/>
              </w:rPr>
              <w:fldChar w:fldCharType="separate"/>
            </w:r>
            <w:r>
              <w:rPr>
                <w:noProof/>
                <w:webHidden/>
              </w:rPr>
              <w:t>12</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85" w:history="1">
            <w:r w:rsidRPr="00427ED2">
              <w:rPr>
                <w:rStyle w:val="Hyperlink"/>
                <w:noProof/>
              </w:rPr>
              <w:t>2.3 Founding Idea and History</w:t>
            </w:r>
            <w:r>
              <w:rPr>
                <w:noProof/>
                <w:webHidden/>
              </w:rPr>
              <w:tab/>
            </w:r>
            <w:r>
              <w:rPr>
                <w:noProof/>
                <w:webHidden/>
              </w:rPr>
              <w:fldChar w:fldCharType="begin"/>
            </w:r>
            <w:r>
              <w:rPr>
                <w:noProof/>
                <w:webHidden/>
              </w:rPr>
              <w:instrText xml:space="preserve"> PAGEREF _Toc239460885 \h </w:instrText>
            </w:r>
            <w:r>
              <w:rPr>
                <w:noProof/>
                <w:webHidden/>
              </w:rPr>
            </w:r>
            <w:r>
              <w:rPr>
                <w:noProof/>
                <w:webHidden/>
              </w:rPr>
              <w:fldChar w:fldCharType="separate"/>
            </w:r>
            <w:r>
              <w:rPr>
                <w:noProof/>
                <w:webHidden/>
              </w:rPr>
              <w:t>12</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86" w:history="1">
            <w:r w:rsidRPr="00427ED2">
              <w:rPr>
                <w:rStyle w:val="Hyperlink"/>
                <w:noProof/>
              </w:rPr>
              <w:t>2.4 SMART Business Objectives and Goals</w:t>
            </w:r>
            <w:r>
              <w:rPr>
                <w:noProof/>
                <w:webHidden/>
              </w:rPr>
              <w:tab/>
            </w:r>
            <w:r>
              <w:rPr>
                <w:noProof/>
                <w:webHidden/>
              </w:rPr>
              <w:fldChar w:fldCharType="begin"/>
            </w:r>
            <w:r>
              <w:rPr>
                <w:noProof/>
                <w:webHidden/>
              </w:rPr>
              <w:instrText xml:space="preserve"> PAGEREF _Toc239460886 \h </w:instrText>
            </w:r>
            <w:r>
              <w:rPr>
                <w:noProof/>
                <w:webHidden/>
              </w:rPr>
            </w:r>
            <w:r>
              <w:rPr>
                <w:noProof/>
                <w:webHidden/>
              </w:rPr>
              <w:fldChar w:fldCharType="separate"/>
            </w:r>
            <w:r>
              <w:rPr>
                <w:noProof/>
                <w:webHidden/>
              </w:rPr>
              <w:t>13</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87" w:history="1">
            <w:r w:rsidRPr="00427ED2">
              <w:rPr>
                <w:rStyle w:val="Hyperlink"/>
                <w:noProof/>
              </w:rPr>
              <w:t>2.5 Core Values and Trend Alignment</w:t>
            </w:r>
            <w:r>
              <w:rPr>
                <w:noProof/>
                <w:webHidden/>
              </w:rPr>
              <w:tab/>
            </w:r>
            <w:r>
              <w:rPr>
                <w:noProof/>
                <w:webHidden/>
              </w:rPr>
              <w:fldChar w:fldCharType="begin"/>
            </w:r>
            <w:r>
              <w:rPr>
                <w:noProof/>
                <w:webHidden/>
              </w:rPr>
              <w:instrText xml:space="preserve"> PAGEREF _Toc239460887 \h </w:instrText>
            </w:r>
            <w:r>
              <w:rPr>
                <w:noProof/>
                <w:webHidden/>
              </w:rPr>
            </w:r>
            <w:r>
              <w:rPr>
                <w:noProof/>
                <w:webHidden/>
              </w:rPr>
              <w:fldChar w:fldCharType="separate"/>
            </w:r>
            <w:r>
              <w:rPr>
                <w:noProof/>
                <w:webHidden/>
              </w:rPr>
              <w:t>14</w:t>
            </w:r>
            <w:r>
              <w:rPr>
                <w:noProof/>
                <w:webHidden/>
              </w:rPr>
              <w:fldChar w:fldCharType="end"/>
            </w:r>
          </w:hyperlink>
        </w:p>
        <w:p w:rsidR="008C37A4" w:rsidRDefault="008C37A4">
          <w:pPr>
            <w:pStyle w:val="TOC1"/>
            <w:tabs>
              <w:tab w:val="right" w:leader="dot" w:pos="9350"/>
            </w:tabs>
            <w:rPr>
              <w:rFonts w:asciiTheme="minorHAnsi" w:eastAsiaTheme="minorEastAsia" w:hAnsiTheme="minorHAnsi" w:cstheme="minorBidi"/>
              <w:noProof/>
              <w:sz w:val="22"/>
              <w:szCs w:val="22"/>
              <w:lang w:eastAsia="en-US"/>
            </w:rPr>
          </w:pPr>
          <w:hyperlink w:anchor="_Toc239460888" w:history="1">
            <w:r w:rsidRPr="00427ED2">
              <w:rPr>
                <w:rStyle w:val="Hyperlink"/>
                <w:noProof/>
              </w:rPr>
              <w:t>3. Literature Review</w:t>
            </w:r>
            <w:r>
              <w:rPr>
                <w:noProof/>
                <w:webHidden/>
              </w:rPr>
              <w:tab/>
            </w:r>
            <w:r>
              <w:rPr>
                <w:noProof/>
                <w:webHidden/>
              </w:rPr>
              <w:fldChar w:fldCharType="begin"/>
            </w:r>
            <w:r>
              <w:rPr>
                <w:noProof/>
                <w:webHidden/>
              </w:rPr>
              <w:instrText xml:space="preserve"> PAGEREF _Toc239460888 \h </w:instrText>
            </w:r>
            <w:r>
              <w:rPr>
                <w:noProof/>
                <w:webHidden/>
              </w:rPr>
            </w:r>
            <w:r>
              <w:rPr>
                <w:noProof/>
                <w:webHidden/>
              </w:rPr>
              <w:fldChar w:fldCharType="separate"/>
            </w:r>
            <w:r>
              <w:rPr>
                <w:noProof/>
                <w:webHidden/>
              </w:rPr>
              <w:t>14</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89" w:history="1">
            <w:r w:rsidRPr="00427ED2">
              <w:rPr>
                <w:rStyle w:val="Hyperlink"/>
                <w:noProof/>
              </w:rPr>
              <w:t>3.1 UK Office Fit-Out and Furniture Market</w:t>
            </w:r>
            <w:r>
              <w:rPr>
                <w:noProof/>
                <w:webHidden/>
              </w:rPr>
              <w:tab/>
            </w:r>
            <w:r>
              <w:rPr>
                <w:noProof/>
                <w:webHidden/>
              </w:rPr>
              <w:fldChar w:fldCharType="begin"/>
            </w:r>
            <w:r>
              <w:rPr>
                <w:noProof/>
                <w:webHidden/>
              </w:rPr>
              <w:instrText xml:space="preserve"> PAGEREF _Toc239460889 \h </w:instrText>
            </w:r>
            <w:r>
              <w:rPr>
                <w:noProof/>
                <w:webHidden/>
              </w:rPr>
            </w:r>
            <w:r>
              <w:rPr>
                <w:noProof/>
                <w:webHidden/>
              </w:rPr>
              <w:fldChar w:fldCharType="separate"/>
            </w:r>
            <w:r>
              <w:rPr>
                <w:noProof/>
                <w:webHidden/>
              </w:rPr>
              <w:t>14</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90" w:history="1">
            <w:r w:rsidRPr="00427ED2">
              <w:rPr>
                <w:rStyle w:val="Hyperlink"/>
                <w:noProof/>
              </w:rPr>
              <w:t>3.2 Circular Economy Theory</w:t>
            </w:r>
            <w:r>
              <w:rPr>
                <w:noProof/>
                <w:webHidden/>
              </w:rPr>
              <w:tab/>
            </w:r>
            <w:r>
              <w:rPr>
                <w:noProof/>
                <w:webHidden/>
              </w:rPr>
              <w:fldChar w:fldCharType="begin"/>
            </w:r>
            <w:r>
              <w:rPr>
                <w:noProof/>
                <w:webHidden/>
              </w:rPr>
              <w:instrText xml:space="preserve"> PAGEREF _Toc239460890 \h </w:instrText>
            </w:r>
            <w:r>
              <w:rPr>
                <w:noProof/>
                <w:webHidden/>
              </w:rPr>
            </w:r>
            <w:r>
              <w:rPr>
                <w:noProof/>
                <w:webHidden/>
              </w:rPr>
              <w:fldChar w:fldCharType="separate"/>
            </w:r>
            <w:r>
              <w:rPr>
                <w:noProof/>
                <w:webHidden/>
              </w:rPr>
              <w:t>15</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91" w:history="1">
            <w:r w:rsidRPr="00427ED2">
              <w:rPr>
                <w:rStyle w:val="Hyperlink"/>
                <w:noProof/>
              </w:rPr>
              <w:t>3.3 Sustainable Business Model Innovation</w:t>
            </w:r>
            <w:r>
              <w:rPr>
                <w:noProof/>
                <w:webHidden/>
              </w:rPr>
              <w:tab/>
            </w:r>
            <w:r>
              <w:rPr>
                <w:noProof/>
                <w:webHidden/>
              </w:rPr>
              <w:fldChar w:fldCharType="begin"/>
            </w:r>
            <w:r>
              <w:rPr>
                <w:noProof/>
                <w:webHidden/>
              </w:rPr>
              <w:instrText xml:space="preserve"> PAGEREF _Toc239460891 \h </w:instrText>
            </w:r>
            <w:r>
              <w:rPr>
                <w:noProof/>
                <w:webHidden/>
              </w:rPr>
            </w:r>
            <w:r>
              <w:rPr>
                <w:noProof/>
                <w:webHidden/>
              </w:rPr>
              <w:fldChar w:fldCharType="separate"/>
            </w:r>
            <w:r>
              <w:rPr>
                <w:noProof/>
                <w:webHidden/>
              </w:rPr>
              <w:t>16</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92" w:history="1">
            <w:r w:rsidRPr="00427ED2">
              <w:rPr>
                <w:rStyle w:val="Hyperlink"/>
                <w:noProof/>
              </w:rPr>
              <w:t>3.4 Strategic Frameworks for Business Development</w:t>
            </w:r>
            <w:r>
              <w:rPr>
                <w:noProof/>
                <w:webHidden/>
              </w:rPr>
              <w:tab/>
            </w:r>
            <w:r>
              <w:rPr>
                <w:noProof/>
                <w:webHidden/>
              </w:rPr>
              <w:fldChar w:fldCharType="begin"/>
            </w:r>
            <w:r>
              <w:rPr>
                <w:noProof/>
                <w:webHidden/>
              </w:rPr>
              <w:instrText xml:space="preserve"> PAGEREF _Toc239460892 \h </w:instrText>
            </w:r>
            <w:r>
              <w:rPr>
                <w:noProof/>
                <w:webHidden/>
              </w:rPr>
            </w:r>
            <w:r>
              <w:rPr>
                <w:noProof/>
                <w:webHidden/>
              </w:rPr>
              <w:fldChar w:fldCharType="separate"/>
            </w:r>
            <w:r>
              <w:rPr>
                <w:noProof/>
                <w:webHidden/>
              </w:rPr>
              <w:t>18</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93" w:history="1">
            <w:r w:rsidRPr="00427ED2">
              <w:rPr>
                <w:rStyle w:val="Hyperlink"/>
                <w:noProof/>
              </w:rPr>
              <w:t>3.5 Synthesis and Research Gap</w:t>
            </w:r>
            <w:r>
              <w:rPr>
                <w:noProof/>
                <w:webHidden/>
              </w:rPr>
              <w:tab/>
            </w:r>
            <w:r>
              <w:rPr>
                <w:noProof/>
                <w:webHidden/>
              </w:rPr>
              <w:fldChar w:fldCharType="begin"/>
            </w:r>
            <w:r>
              <w:rPr>
                <w:noProof/>
                <w:webHidden/>
              </w:rPr>
              <w:instrText xml:space="preserve"> PAGEREF _Toc239460893 \h </w:instrText>
            </w:r>
            <w:r>
              <w:rPr>
                <w:noProof/>
                <w:webHidden/>
              </w:rPr>
            </w:r>
            <w:r>
              <w:rPr>
                <w:noProof/>
                <w:webHidden/>
              </w:rPr>
              <w:fldChar w:fldCharType="separate"/>
            </w:r>
            <w:r>
              <w:rPr>
                <w:noProof/>
                <w:webHidden/>
              </w:rPr>
              <w:t>18</w:t>
            </w:r>
            <w:r>
              <w:rPr>
                <w:noProof/>
                <w:webHidden/>
              </w:rPr>
              <w:fldChar w:fldCharType="end"/>
            </w:r>
          </w:hyperlink>
        </w:p>
        <w:p w:rsidR="008C37A4" w:rsidRDefault="008C37A4">
          <w:pPr>
            <w:pStyle w:val="TOC1"/>
            <w:tabs>
              <w:tab w:val="right" w:leader="dot" w:pos="9350"/>
            </w:tabs>
            <w:rPr>
              <w:rFonts w:asciiTheme="minorHAnsi" w:eastAsiaTheme="minorEastAsia" w:hAnsiTheme="minorHAnsi" w:cstheme="minorBidi"/>
              <w:noProof/>
              <w:sz w:val="22"/>
              <w:szCs w:val="22"/>
              <w:lang w:eastAsia="en-US"/>
            </w:rPr>
          </w:pPr>
          <w:hyperlink w:anchor="_Toc239460894" w:history="1">
            <w:r w:rsidRPr="00427ED2">
              <w:rPr>
                <w:rStyle w:val="Hyperlink"/>
                <w:noProof/>
              </w:rPr>
              <w:t>4. Methodology</w:t>
            </w:r>
            <w:r>
              <w:rPr>
                <w:noProof/>
                <w:webHidden/>
              </w:rPr>
              <w:tab/>
            </w:r>
            <w:r>
              <w:rPr>
                <w:noProof/>
                <w:webHidden/>
              </w:rPr>
              <w:fldChar w:fldCharType="begin"/>
            </w:r>
            <w:r>
              <w:rPr>
                <w:noProof/>
                <w:webHidden/>
              </w:rPr>
              <w:instrText xml:space="preserve"> PAGEREF _Toc239460894 \h </w:instrText>
            </w:r>
            <w:r>
              <w:rPr>
                <w:noProof/>
                <w:webHidden/>
              </w:rPr>
            </w:r>
            <w:r>
              <w:rPr>
                <w:noProof/>
                <w:webHidden/>
              </w:rPr>
              <w:fldChar w:fldCharType="separate"/>
            </w:r>
            <w:r>
              <w:rPr>
                <w:noProof/>
                <w:webHidden/>
              </w:rPr>
              <w:t>19</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95" w:history="1">
            <w:r w:rsidRPr="00427ED2">
              <w:rPr>
                <w:rStyle w:val="Hyperlink"/>
                <w:noProof/>
              </w:rPr>
              <w:t>4.1 Methodological Approach to Opportunity Identification</w:t>
            </w:r>
            <w:r>
              <w:rPr>
                <w:noProof/>
                <w:webHidden/>
              </w:rPr>
              <w:tab/>
            </w:r>
            <w:r>
              <w:rPr>
                <w:noProof/>
                <w:webHidden/>
              </w:rPr>
              <w:fldChar w:fldCharType="begin"/>
            </w:r>
            <w:r>
              <w:rPr>
                <w:noProof/>
                <w:webHidden/>
              </w:rPr>
              <w:instrText xml:space="preserve"> PAGEREF _Toc239460895 \h </w:instrText>
            </w:r>
            <w:r>
              <w:rPr>
                <w:noProof/>
                <w:webHidden/>
              </w:rPr>
            </w:r>
            <w:r>
              <w:rPr>
                <w:noProof/>
                <w:webHidden/>
              </w:rPr>
              <w:fldChar w:fldCharType="separate"/>
            </w:r>
            <w:r>
              <w:rPr>
                <w:noProof/>
                <w:webHidden/>
              </w:rPr>
              <w:t>19</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96" w:history="1">
            <w:r w:rsidRPr="00427ED2">
              <w:rPr>
                <w:rStyle w:val="Hyperlink"/>
                <w:noProof/>
              </w:rPr>
              <w:t>4.2 Market Insight Collection</w:t>
            </w:r>
            <w:r>
              <w:rPr>
                <w:noProof/>
                <w:webHidden/>
              </w:rPr>
              <w:tab/>
            </w:r>
            <w:r>
              <w:rPr>
                <w:noProof/>
                <w:webHidden/>
              </w:rPr>
              <w:fldChar w:fldCharType="begin"/>
            </w:r>
            <w:r>
              <w:rPr>
                <w:noProof/>
                <w:webHidden/>
              </w:rPr>
              <w:instrText xml:space="preserve"> PAGEREF _Toc239460896 \h </w:instrText>
            </w:r>
            <w:r>
              <w:rPr>
                <w:noProof/>
                <w:webHidden/>
              </w:rPr>
            </w:r>
            <w:r>
              <w:rPr>
                <w:noProof/>
                <w:webHidden/>
              </w:rPr>
              <w:fldChar w:fldCharType="separate"/>
            </w:r>
            <w:r>
              <w:rPr>
                <w:noProof/>
                <w:webHidden/>
              </w:rPr>
              <w:t>19</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97" w:history="1">
            <w:r w:rsidRPr="00427ED2">
              <w:rPr>
                <w:rStyle w:val="Hyperlink"/>
                <w:noProof/>
              </w:rPr>
              <w:t>4.3 Market Data Gathering</w:t>
            </w:r>
            <w:r>
              <w:rPr>
                <w:noProof/>
                <w:webHidden/>
              </w:rPr>
              <w:tab/>
            </w:r>
            <w:r>
              <w:rPr>
                <w:noProof/>
                <w:webHidden/>
              </w:rPr>
              <w:fldChar w:fldCharType="begin"/>
            </w:r>
            <w:r>
              <w:rPr>
                <w:noProof/>
                <w:webHidden/>
              </w:rPr>
              <w:instrText xml:space="preserve"> PAGEREF _Toc239460897 \h </w:instrText>
            </w:r>
            <w:r>
              <w:rPr>
                <w:noProof/>
                <w:webHidden/>
              </w:rPr>
            </w:r>
            <w:r>
              <w:rPr>
                <w:noProof/>
                <w:webHidden/>
              </w:rPr>
              <w:fldChar w:fldCharType="separate"/>
            </w:r>
            <w:r>
              <w:rPr>
                <w:noProof/>
                <w:webHidden/>
              </w:rPr>
              <w:t>20</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98" w:history="1">
            <w:r w:rsidRPr="00427ED2">
              <w:rPr>
                <w:rStyle w:val="Hyperlink"/>
                <w:noProof/>
              </w:rPr>
              <w:t>4.4 Data Analysis</w:t>
            </w:r>
            <w:r>
              <w:rPr>
                <w:noProof/>
                <w:webHidden/>
              </w:rPr>
              <w:tab/>
            </w:r>
            <w:r>
              <w:rPr>
                <w:noProof/>
                <w:webHidden/>
              </w:rPr>
              <w:fldChar w:fldCharType="begin"/>
            </w:r>
            <w:r>
              <w:rPr>
                <w:noProof/>
                <w:webHidden/>
              </w:rPr>
              <w:instrText xml:space="preserve"> PAGEREF _Toc239460898 \h </w:instrText>
            </w:r>
            <w:r>
              <w:rPr>
                <w:noProof/>
                <w:webHidden/>
              </w:rPr>
            </w:r>
            <w:r>
              <w:rPr>
                <w:noProof/>
                <w:webHidden/>
              </w:rPr>
              <w:fldChar w:fldCharType="separate"/>
            </w:r>
            <w:r>
              <w:rPr>
                <w:noProof/>
                <w:webHidden/>
              </w:rPr>
              <w:t>20</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899" w:history="1">
            <w:r w:rsidRPr="00427ED2">
              <w:rPr>
                <w:rStyle w:val="Hyperlink"/>
                <w:noProof/>
              </w:rPr>
              <w:t>4.5 Models and Frameworks</w:t>
            </w:r>
            <w:r>
              <w:rPr>
                <w:noProof/>
                <w:webHidden/>
              </w:rPr>
              <w:tab/>
            </w:r>
            <w:r>
              <w:rPr>
                <w:noProof/>
                <w:webHidden/>
              </w:rPr>
              <w:fldChar w:fldCharType="begin"/>
            </w:r>
            <w:r>
              <w:rPr>
                <w:noProof/>
                <w:webHidden/>
              </w:rPr>
              <w:instrText xml:space="preserve"> PAGEREF _Toc239460899 \h </w:instrText>
            </w:r>
            <w:r>
              <w:rPr>
                <w:noProof/>
                <w:webHidden/>
              </w:rPr>
            </w:r>
            <w:r>
              <w:rPr>
                <w:noProof/>
                <w:webHidden/>
              </w:rPr>
              <w:fldChar w:fldCharType="separate"/>
            </w:r>
            <w:r>
              <w:rPr>
                <w:noProof/>
                <w:webHidden/>
              </w:rPr>
              <w:t>21</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00" w:history="1">
            <w:r w:rsidRPr="00427ED2">
              <w:rPr>
                <w:rStyle w:val="Hyperlink"/>
                <w:noProof/>
              </w:rPr>
              <w:t>4.6 Limitations and Ethical Considerations</w:t>
            </w:r>
            <w:r>
              <w:rPr>
                <w:noProof/>
                <w:webHidden/>
              </w:rPr>
              <w:tab/>
            </w:r>
            <w:r>
              <w:rPr>
                <w:noProof/>
                <w:webHidden/>
              </w:rPr>
              <w:fldChar w:fldCharType="begin"/>
            </w:r>
            <w:r>
              <w:rPr>
                <w:noProof/>
                <w:webHidden/>
              </w:rPr>
              <w:instrText xml:space="preserve"> PAGEREF _Toc239460900 \h </w:instrText>
            </w:r>
            <w:r>
              <w:rPr>
                <w:noProof/>
                <w:webHidden/>
              </w:rPr>
            </w:r>
            <w:r>
              <w:rPr>
                <w:noProof/>
                <w:webHidden/>
              </w:rPr>
              <w:fldChar w:fldCharType="separate"/>
            </w:r>
            <w:r>
              <w:rPr>
                <w:noProof/>
                <w:webHidden/>
              </w:rPr>
              <w:t>21</w:t>
            </w:r>
            <w:r>
              <w:rPr>
                <w:noProof/>
                <w:webHidden/>
              </w:rPr>
              <w:fldChar w:fldCharType="end"/>
            </w:r>
          </w:hyperlink>
        </w:p>
        <w:p w:rsidR="008C37A4" w:rsidRDefault="008C37A4">
          <w:pPr>
            <w:pStyle w:val="TOC1"/>
            <w:tabs>
              <w:tab w:val="right" w:leader="dot" w:pos="9350"/>
            </w:tabs>
            <w:rPr>
              <w:rFonts w:asciiTheme="minorHAnsi" w:eastAsiaTheme="minorEastAsia" w:hAnsiTheme="minorHAnsi" w:cstheme="minorBidi"/>
              <w:noProof/>
              <w:sz w:val="22"/>
              <w:szCs w:val="22"/>
              <w:lang w:eastAsia="en-US"/>
            </w:rPr>
          </w:pPr>
          <w:hyperlink w:anchor="_Toc239460901" w:history="1">
            <w:r w:rsidRPr="00427ED2">
              <w:rPr>
                <w:rStyle w:val="Hyperlink"/>
                <w:noProof/>
              </w:rPr>
              <w:t>Chapter 5: Market Opportunity Analysis</w:t>
            </w:r>
            <w:r>
              <w:rPr>
                <w:noProof/>
                <w:webHidden/>
              </w:rPr>
              <w:tab/>
            </w:r>
            <w:r>
              <w:rPr>
                <w:noProof/>
                <w:webHidden/>
              </w:rPr>
              <w:fldChar w:fldCharType="begin"/>
            </w:r>
            <w:r>
              <w:rPr>
                <w:noProof/>
                <w:webHidden/>
              </w:rPr>
              <w:instrText xml:space="preserve"> PAGEREF _Toc239460901 \h </w:instrText>
            </w:r>
            <w:r>
              <w:rPr>
                <w:noProof/>
                <w:webHidden/>
              </w:rPr>
            </w:r>
            <w:r>
              <w:rPr>
                <w:noProof/>
                <w:webHidden/>
              </w:rPr>
              <w:fldChar w:fldCharType="separate"/>
            </w:r>
            <w:r>
              <w:rPr>
                <w:noProof/>
                <w:webHidden/>
              </w:rPr>
              <w:t>23</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02" w:history="1">
            <w:r w:rsidRPr="00427ED2">
              <w:rPr>
                <w:rStyle w:val="Hyperlink"/>
                <w:noProof/>
              </w:rPr>
              <w:t>5.1 Scope and Market Definition</w:t>
            </w:r>
            <w:r>
              <w:rPr>
                <w:noProof/>
                <w:webHidden/>
              </w:rPr>
              <w:tab/>
            </w:r>
            <w:r>
              <w:rPr>
                <w:noProof/>
                <w:webHidden/>
              </w:rPr>
              <w:fldChar w:fldCharType="begin"/>
            </w:r>
            <w:r>
              <w:rPr>
                <w:noProof/>
                <w:webHidden/>
              </w:rPr>
              <w:instrText xml:space="preserve"> PAGEREF _Toc239460902 \h </w:instrText>
            </w:r>
            <w:r>
              <w:rPr>
                <w:noProof/>
                <w:webHidden/>
              </w:rPr>
            </w:r>
            <w:r>
              <w:rPr>
                <w:noProof/>
                <w:webHidden/>
              </w:rPr>
              <w:fldChar w:fldCharType="separate"/>
            </w:r>
            <w:r>
              <w:rPr>
                <w:noProof/>
                <w:webHidden/>
              </w:rPr>
              <w:t>23</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03" w:history="1">
            <w:r w:rsidRPr="00427ED2">
              <w:rPr>
                <w:rStyle w:val="Hyperlink"/>
                <w:noProof/>
              </w:rPr>
              <w:t>5.2 Market Size and Growth</w:t>
            </w:r>
            <w:r>
              <w:rPr>
                <w:noProof/>
                <w:webHidden/>
              </w:rPr>
              <w:tab/>
            </w:r>
            <w:r>
              <w:rPr>
                <w:noProof/>
                <w:webHidden/>
              </w:rPr>
              <w:fldChar w:fldCharType="begin"/>
            </w:r>
            <w:r>
              <w:rPr>
                <w:noProof/>
                <w:webHidden/>
              </w:rPr>
              <w:instrText xml:space="preserve"> PAGEREF _Toc239460903 \h </w:instrText>
            </w:r>
            <w:r>
              <w:rPr>
                <w:noProof/>
                <w:webHidden/>
              </w:rPr>
            </w:r>
            <w:r>
              <w:rPr>
                <w:noProof/>
                <w:webHidden/>
              </w:rPr>
              <w:fldChar w:fldCharType="separate"/>
            </w:r>
            <w:r>
              <w:rPr>
                <w:noProof/>
                <w:webHidden/>
              </w:rPr>
              <w:t>23</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04" w:history="1">
            <w:r w:rsidRPr="00427ED2">
              <w:rPr>
                <w:rStyle w:val="Hyperlink"/>
                <w:noProof/>
              </w:rPr>
              <w:t>5.3 Segmentation and Target Customer</w:t>
            </w:r>
            <w:r>
              <w:rPr>
                <w:noProof/>
                <w:webHidden/>
              </w:rPr>
              <w:tab/>
            </w:r>
            <w:r>
              <w:rPr>
                <w:noProof/>
                <w:webHidden/>
              </w:rPr>
              <w:fldChar w:fldCharType="begin"/>
            </w:r>
            <w:r>
              <w:rPr>
                <w:noProof/>
                <w:webHidden/>
              </w:rPr>
              <w:instrText xml:space="preserve"> PAGEREF _Toc239460904 \h </w:instrText>
            </w:r>
            <w:r>
              <w:rPr>
                <w:noProof/>
                <w:webHidden/>
              </w:rPr>
            </w:r>
            <w:r>
              <w:rPr>
                <w:noProof/>
                <w:webHidden/>
              </w:rPr>
              <w:fldChar w:fldCharType="separate"/>
            </w:r>
            <w:r>
              <w:rPr>
                <w:noProof/>
                <w:webHidden/>
              </w:rPr>
              <w:t>24</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05" w:history="1">
            <w:r w:rsidRPr="00427ED2">
              <w:rPr>
                <w:rStyle w:val="Hyperlink"/>
                <w:noProof/>
              </w:rPr>
              <w:t>5.4 Pain Points, Unmet Needs and Demand</w:t>
            </w:r>
            <w:r>
              <w:rPr>
                <w:noProof/>
                <w:webHidden/>
              </w:rPr>
              <w:tab/>
            </w:r>
            <w:r>
              <w:rPr>
                <w:noProof/>
                <w:webHidden/>
              </w:rPr>
              <w:fldChar w:fldCharType="begin"/>
            </w:r>
            <w:r>
              <w:rPr>
                <w:noProof/>
                <w:webHidden/>
              </w:rPr>
              <w:instrText xml:space="preserve"> PAGEREF _Toc239460905 \h </w:instrText>
            </w:r>
            <w:r>
              <w:rPr>
                <w:noProof/>
                <w:webHidden/>
              </w:rPr>
            </w:r>
            <w:r>
              <w:rPr>
                <w:noProof/>
                <w:webHidden/>
              </w:rPr>
              <w:fldChar w:fldCharType="separate"/>
            </w:r>
            <w:r>
              <w:rPr>
                <w:noProof/>
                <w:webHidden/>
              </w:rPr>
              <w:t>27</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06" w:history="1">
            <w:r w:rsidRPr="00427ED2">
              <w:rPr>
                <w:rStyle w:val="Hyperlink"/>
                <w:noProof/>
              </w:rPr>
              <w:t>5.5 Economic and Geographic Conditions</w:t>
            </w:r>
            <w:r>
              <w:rPr>
                <w:noProof/>
                <w:webHidden/>
              </w:rPr>
              <w:tab/>
            </w:r>
            <w:r>
              <w:rPr>
                <w:noProof/>
                <w:webHidden/>
              </w:rPr>
              <w:fldChar w:fldCharType="begin"/>
            </w:r>
            <w:r>
              <w:rPr>
                <w:noProof/>
                <w:webHidden/>
              </w:rPr>
              <w:instrText xml:space="preserve"> PAGEREF _Toc239460906 \h </w:instrText>
            </w:r>
            <w:r>
              <w:rPr>
                <w:noProof/>
                <w:webHidden/>
              </w:rPr>
            </w:r>
            <w:r>
              <w:rPr>
                <w:noProof/>
                <w:webHidden/>
              </w:rPr>
              <w:fldChar w:fldCharType="separate"/>
            </w:r>
            <w:r>
              <w:rPr>
                <w:noProof/>
                <w:webHidden/>
              </w:rPr>
              <w:t>28</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07" w:history="1">
            <w:r w:rsidRPr="00427ED2">
              <w:rPr>
                <w:rStyle w:val="Hyperlink"/>
                <w:noProof/>
              </w:rPr>
              <w:t>5.6 Research Findings and Opportunity Synthesis</w:t>
            </w:r>
            <w:r>
              <w:rPr>
                <w:noProof/>
                <w:webHidden/>
              </w:rPr>
              <w:tab/>
            </w:r>
            <w:r>
              <w:rPr>
                <w:noProof/>
                <w:webHidden/>
              </w:rPr>
              <w:fldChar w:fldCharType="begin"/>
            </w:r>
            <w:r>
              <w:rPr>
                <w:noProof/>
                <w:webHidden/>
              </w:rPr>
              <w:instrText xml:space="preserve"> PAGEREF _Toc239460907 \h </w:instrText>
            </w:r>
            <w:r>
              <w:rPr>
                <w:noProof/>
                <w:webHidden/>
              </w:rPr>
            </w:r>
            <w:r>
              <w:rPr>
                <w:noProof/>
                <w:webHidden/>
              </w:rPr>
              <w:fldChar w:fldCharType="separate"/>
            </w:r>
            <w:r>
              <w:rPr>
                <w:noProof/>
                <w:webHidden/>
              </w:rPr>
              <w:t>29</w:t>
            </w:r>
            <w:r>
              <w:rPr>
                <w:noProof/>
                <w:webHidden/>
              </w:rPr>
              <w:fldChar w:fldCharType="end"/>
            </w:r>
          </w:hyperlink>
        </w:p>
        <w:p w:rsidR="008C37A4" w:rsidRDefault="008C37A4">
          <w:pPr>
            <w:pStyle w:val="TOC1"/>
            <w:tabs>
              <w:tab w:val="right" w:leader="dot" w:pos="9350"/>
            </w:tabs>
            <w:rPr>
              <w:rFonts w:asciiTheme="minorHAnsi" w:eastAsiaTheme="minorEastAsia" w:hAnsiTheme="minorHAnsi" w:cstheme="minorBidi"/>
              <w:noProof/>
              <w:sz w:val="22"/>
              <w:szCs w:val="22"/>
              <w:lang w:eastAsia="en-US"/>
            </w:rPr>
          </w:pPr>
          <w:hyperlink w:anchor="_Toc239460908" w:history="1">
            <w:r w:rsidRPr="00427ED2">
              <w:rPr>
                <w:rStyle w:val="Hyperlink"/>
                <w:noProof/>
              </w:rPr>
              <w:t>Chapter 6: Competitive Environment Analysis</w:t>
            </w:r>
            <w:r>
              <w:rPr>
                <w:noProof/>
                <w:webHidden/>
              </w:rPr>
              <w:tab/>
            </w:r>
            <w:r>
              <w:rPr>
                <w:noProof/>
                <w:webHidden/>
              </w:rPr>
              <w:fldChar w:fldCharType="begin"/>
            </w:r>
            <w:r>
              <w:rPr>
                <w:noProof/>
                <w:webHidden/>
              </w:rPr>
              <w:instrText xml:space="preserve"> PAGEREF _Toc239460908 \h </w:instrText>
            </w:r>
            <w:r>
              <w:rPr>
                <w:noProof/>
                <w:webHidden/>
              </w:rPr>
            </w:r>
            <w:r>
              <w:rPr>
                <w:noProof/>
                <w:webHidden/>
              </w:rPr>
              <w:fldChar w:fldCharType="separate"/>
            </w:r>
            <w:r>
              <w:rPr>
                <w:noProof/>
                <w:webHidden/>
              </w:rPr>
              <w:t>30</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09" w:history="1">
            <w:r w:rsidRPr="00427ED2">
              <w:rPr>
                <w:rStyle w:val="Hyperlink"/>
                <w:noProof/>
              </w:rPr>
              <w:t>6.1 Scope, Frameworks and Competitive Set</w:t>
            </w:r>
            <w:r>
              <w:rPr>
                <w:noProof/>
                <w:webHidden/>
              </w:rPr>
              <w:tab/>
            </w:r>
            <w:r>
              <w:rPr>
                <w:noProof/>
                <w:webHidden/>
              </w:rPr>
              <w:fldChar w:fldCharType="begin"/>
            </w:r>
            <w:r>
              <w:rPr>
                <w:noProof/>
                <w:webHidden/>
              </w:rPr>
              <w:instrText xml:space="preserve"> PAGEREF _Toc239460909 \h </w:instrText>
            </w:r>
            <w:r>
              <w:rPr>
                <w:noProof/>
                <w:webHidden/>
              </w:rPr>
            </w:r>
            <w:r>
              <w:rPr>
                <w:noProof/>
                <w:webHidden/>
              </w:rPr>
              <w:fldChar w:fldCharType="separate"/>
            </w:r>
            <w:r>
              <w:rPr>
                <w:noProof/>
                <w:webHidden/>
              </w:rPr>
              <w:t>30</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10" w:history="1">
            <w:r w:rsidRPr="00427ED2">
              <w:rPr>
                <w:rStyle w:val="Hyperlink"/>
                <w:noProof/>
              </w:rPr>
              <w:t>6.2 Key Success Factors</w:t>
            </w:r>
            <w:r>
              <w:rPr>
                <w:noProof/>
                <w:webHidden/>
              </w:rPr>
              <w:tab/>
            </w:r>
            <w:r>
              <w:rPr>
                <w:noProof/>
                <w:webHidden/>
              </w:rPr>
              <w:fldChar w:fldCharType="begin"/>
            </w:r>
            <w:r>
              <w:rPr>
                <w:noProof/>
                <w:webHidden/>
              </w:rPr>
              <w:instrText xml:space="preserve"> PAGEREF _Toc239460910 \h </w:instrText>
            </w:r>
            <w:r>
              <w:rPr>
                <w:noProof/>
                <w:webHidden/>
              </w:rPr>
            </w:r>
            <w:r>
              <w:rPr>
                <w:noProof/>
                <w:webHidden/>
              </w:rPr>
              <w:fldChar w:fldCharType="separate"/>
            </w:r>
            <w:r>
              <w:rPr>
                <w:noProof/>
                <w:webHidden/>
              </w:rPr>
              <w:t>31</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11" w:history="1">
            <w:r w:rsidRPr="00427ED2">
              <w:rPr>
                <w:rStyle w:val="Hyperlink"/>
                <w:noProof/>
              </w:rPr>
              <w:t>6.3 Main Competitors and Positioning</w:t>
            </w:r>
            <w:r>
              <w:rPr>
                <w:noProof/>
                <w:webHidden/>
              </w:rPr>
              <w:tab/>
            </w:r>
            <w:r>
              <w:rPr>
                <w:noProof/>
                <w:webHidden/>
              </w:rPr>
              <w:fldChar w:fldCharType="begin"/>
            </w:r>
            <w:r>
              <w:rPr>
                <w:noProof/>
                <w:webHidden/>
              </w:rPr>
              <w:instrText xml:space="preserve"> PAGEREF _Toc239460911 \h </w:instrText>
            </w:r>
            <w:r>
              <w:rPr>
                <w:noProof/>
                <w:webHidden/>
              </w:rPr>
            </w:r>
            <w:r>
              <w:rPr>
                <w:noProof/>
                <w:webHidden/>
              </w:rPr>
              <w:fldChar w:fldCharType="separate"/>
            </w:r>
            <w:r>
              <w:rPr>
                <w:noProof/>
                <w:webHidden/>
              </w:rPr>
              <w:t>32</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12" w:history="1">
            <w:r w:rsidRPr="00427ED2">
              <w:rPr>
                <w:rStyle w:val="Hyperlink"/>
                <w:noProof/>
              </w:rPr>
              <w:t>6.3.1 Competitor Analysis</w:t>
            </w:r>
            <w:r>
              <w:rPr>
                <w:noProof/>
                <w:webHidden/>
              </w:rPr>
              <w:tab/>
            </w:r>
            <w:r>
              <w:rPr>
                <w:noProof/>
                <w:webHidden/>
              </w:rPr>
              <w:fldChar w:fldCharType="begin"/>
            </w:r>
            <w:r>
              <w:rPr>
                <w:noProof/>
                <w:webHidden/>
              </w:rPr>
              <w:instrText xml:space="preserve"> PAGEREF _Toc239460912 \h </w:instrText>
            </w:r>
            <w:r>
              <w:rPr>
                <w:noProof/>
                <w:webHidden/>
              </w:rPr>
            </w:r>
            <w:r>
              <w:rPr>
                <w:noProof/>
                <w:webHidden/>
              </w:rPr>
              <w:fldChar w:fldCharType="separate"/>
            </w:r>
            <w:r>
              <w:rPr>
                <w:noProof/>
                <w:webHidden/>
              </w:rPr>
              <w:t>32</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13" w:history="1">
            <w:r w:rsidRPr="00427ED2">
              <w:rPr>
                <w:rStyle w:val="Hyperlink"/>
                <w:noProof/>
              </w:rPr>
              <w:t>6.3.2 Positioning Map</w:t>
            </w:r>
            <w:r>
              <w:rPr>
                <w:noProof/>
                <w:webHidden/>
              </w:rPr>
              <w:tab/>
            </w:r>
            <w:r>
              <w:rPr>
                <w:noProof/>
                <w:webHidden/>
              </w:rPr>
              <w:fldChar w:fldCharType="begin"/>
            </w:r>
            <w:r>
              <w:rPr>
                <w:noProof/>
                <w:webHidden/>
              </w:rPr>
              <w:instrText xml:space="preserve"> PAGEREF _Toc239460913 \h </w:instrText>
            </w:r>
            <w:r>
              <w:rPr>
                <w:noProof/>
                <w:webHidden/>
              </w:rPr>
            </w:r>
            <w:r>
              <w:rPr>
                <w:noProof/>
                <w:webHidden/>
              </w:rPr>
              <w:fldChar w:fldCharType="separate"/>
            </w:r>
            <w:r>
              <w:rPr>
                <w:noProof/>
                <w:webHidden/>
              </w:rPr>
              <w:t>33</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14" w:history="1">
            <w:r w:rsidRPr="00427ED2">
              <w:rPr>
                <w:rStyle w:val="Hyperlink"/>
                <w:noProof/>
              </w:rPr>
              <w:t>6.4 Porter’s Five Forces</w:t>
            </w:r>
            <w:r>
              <w:rPr>
                <w:noProof/>
                <w:webHidden/>
              </w:rPr>
              <w:tab/>
            </w:r>
            <w:r>
              <w:rPr>
                <w:noProof/>
                <w:webHidden/>
              </w:rPr>
              <w:fldChar w:fldCharType="begin"/>
            </w:r>
            <w:r>
              <w:rPr>
                <w:noProof/>
                <w:webHidden/>
              </w:rPr>
              <w:instrText xml:space="preserve"> PAGEREF _Toc239460914 \h </w:instrText>
            </w:r>
            <w:r>
              <w:rPr>
                <w:noProof/>
                <w:webHidden/>
              </w:rPr>
            </w:r>
            <w:r>
              <w:rPr>
                <w:noProof/>
                <w:webHidden/>
              </w:rPr>
              <w:fldChar w:fldCharType="separate"/>
            </w:r>
            <w:r>
              <w:rPr>
                <w:noProof/>
                <w:webHidden/>
              </w:rPr>
              <w:t>34</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15" w:history="1">
            <w:r w:rsidRPr="00427ED2">
              <w:rPr>
                <w:rStyle w:val="Hyperlink"/>
                <w:noProof/>
              </w:rPr>
              <w:t>6.5 PESTLE and External Change</w:t>
            </w:r>
            <w:r>
              <w:rPr>
                <w:noProof/>
                <w:webHidden/>
              </w:rPr>
              <w:tab/>
            </w:r>
            <w:r>
              <w:rPr>
                <w:noProof/>
                <w:webHidden/>
              </w:rPr>
              <w:fldChar w:fldCharType="begin"/>
            </w:r>
            <w:r>
              <w:rPr>
                <w:noProof/>
                <w:webHidden/>
              </w:rPr>
              <w:instrText xml:space="preserve"> PAGEREF _Toc239460915 \h </w:instrText>
            </w:r>
            <w:r>
              <w:rPr>
                <w:noProof/>
                <w:webHidden/>
              </w:rPr>
            </w:r>
            <w:r>
              <w:rPr>
                <w:noProof/>
                <w:webHidden/>
              </w:rPr>
              <w:fldChar w:fldCharType="separate"/>
            </w:r>
            <w:r>
              <w:rPr>
                <w:noProof/>
                <w:webHidden/>
              </w:rPr>
              <w:t>35</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16" w:history="1">
            <w:r w:rsidRPr="00427ED2">
              <w:rPr>
                <w:rStyle w:val="Hyperlink"/>
                <w:noProof/>
              </w:rPr>
              <w:t>6.6 Industry Attractiveness, Market Gaps and Synthesis</w:t>
            </w:r>
            <w:r>
              <w:rPr>
                <w:noProof/>
                <w:webHidden/>
              </w:rPr>
              <w:tab/>
            </w:r>
            <w:r>
              <w:rPr>
                <w:noProof/>
                <w:webHidden/>
              </w:rPr>
              <w:fldChar w:fldCharType="begin"/>
            </w:r>
            <w:r>
              <w:rPr>
                <w:noProof/>
                <w:webHidden/>
              </w:rPr>
              <w:instrText xml:space="preserve"> PAGEREF _Toc239460916 \h </w:instrText>
            </w:r>
            <w:r>
              <w:rPr>
                <w:noProof/>
                <w:webHidden/>
              </w:rPr>
            </w:r>
            <w:r>
              <w:rPr>
                <w:noProof/>
                <w:webHidden/>
              </w:rPr>
              <w:fldChar w:fldCharType="separate"/>
            </w:r>
            <w:r>
              <w:rPr>
                <w:noProof/>
                <w:webHidden/>
              </w:rPr>
              <w:t>36</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17" w:history="1">
            <w:r w:rsidRPr="00427ED2">
              <w:rPr>
                <w:rStyle w:val="Hyperlink"/>
                <w:noProof/>
              </w:rPr>
              <w:t>6.7 Chapter Summary</w:t>
            </w:r>
            <w:r>
              <w:rPr>
                <w:noProof/>
                <w:webHidden/>
              </w:rPr>
              <w:tab/>
            </w:r>
            <w:r>
              <w:rPr>
                <w:noProof/>
                <w:webHidden/>
              </w:rPr>
              <w:fldChar w:fldCharType="begin"/>
            </w:r>
            <w:r>
              <w:rPr>
                <w:noProof/>
                <w:webHidden/>
              </w:rPr>
              <w:instrText xml:space="preserve"> PAGEREF _Toc239460917 \h </w:instrText>
            </w:r>
            <w:r>
              <w:rPr>
                <w:noProof/>
                <w:webHidden/>
              </w:rPr>
            </w:r>
            <w:r>
              <w:rPr>
                <w:noProof/>
                <w:webHidden/>
              </w:rPr>
              <w:fldChar w:fldCharType="separate"/>
            </w:r>
            <w:r>
              <w:rPr>
                <w:noProof/>
                <w:webHidden/>
              </w:rPr>
              <w:t>37</w:t>
            </w:r>
            <w:r>
              <w:rPr>
                <w:noProof/>
                <w:webHidden/>
              </w:rPr>
              <w:fldChar w:fldCharType="end"/>
            </w:r>
          </w:hyperlink>
        </w:p>
        <w:p w:rsidR="008C37A4" w:rsidRDefault="008C37A4">
          <w:pPr>
            <w:pStyle w:val="TOC1"/>
            <w:tabs>
              <w:tab w:val="right" w:leader="dot" w:pos="9350"/>
            </w:tabs>
            <w:rPr>
              <w:rFonts w:asciiTheme="minorHAnsi" w:eastAsiaTheme="minorEastAsia" w:hAnsiTheme="minorHAnsi" w:cstheme="minorBidi"/>
              <w:noProof/>
              <w:sz w:val="22"/>
              <w:szCs w:val="22"/>
              <w:lang w:eastAsia="en-US"/>
            </w:rPr>
          </w:pPr>
          <w:hyperlink w:anchor="_Toc239460918" w:history="1">
            <w:r w:rsidRPr="00427ED2">
              <w:rPr>
                <w:rStyle w:val="Hyperlink"/>
                <w:noProof/>
              </w:rPr>
              <w:t>Chapter 7. Business Strategy</w:t>
            </w:r>
            <w:r>
              <w:rPr>
                <w:noProof/>
                <w:webHidden/>
              </w:rPr>
              <w:tab/>
            </w:r>
            <w:r>
              <w:rPr>
                <w:noProof/>
                <w:webHidden/>
              </w:rPr>
              <w:fldChar w:fldCharType="begin"/>
            </w:r>
            <w:r>
              <w:rPr>
                <w:noProof/>
                <w:webHidden/>
              </w:rPr>
              <w:instrText xml:space="preserve"> PAGEREF _Toc239460918 \h </w:instrText>
            </w:r>
            <w:r>
              <w:rPr>
                <w:noProof/>
                <w:webHidden/>
              </w:rPr>
            </w:r>
            <w:r>
              <w:rPr>
                <w:noProof/>
                <w:webHidden/>
              </w:rPr>
              <w:fldChar w:fldCharType="separate"/>
            </w:r>
            <w:r>
              <w:rPr>
                <w:noProof/>
                <w:webHidden/>
              </w:rPr>
              <w:t>38</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19" w:history="1">
            <w:r w:rsidRPr="00427ED2">
              <w:rPr>
                <w:rStyle w:val="Hyperlink"/>
                <w:noProof/>
              </w:rPr>
              <w:t>7.1 Strategic Introduction</w:t>
            </w:r>
            <w:r>
              <w:rPr>
                <w:noProof/>
                <w:webHidden/>
              </w:rPr>
              <w:tab/>
            </w:r>
            <w:r>
              <w:rPr>
                <w:noProof/>
                <w:webHidden/>
              </w:rPr>
              <w:fldChar w:fldCharType="begin"/>
            </w:r>
            <w:r>
              <w:rPr>
                <w:noProof/>
                <w:webHidden/>
              </w:rPr>
              <w:instrText xml:space="preserve"> PAGEREF _Toc239460919 \h </w:instrText>
            </w:r>
            <w:r>
              <w:rPr>
                <w:noProof/>
                <w:webHidden/>
              </w:rPr>
            </w:r>
            <w:r>
              <w:rPr>
                <w:noProof/>
                <w:webHidden/>
              </w:rPr>
              <w:fldChar w:fldCharType="separate"/>
            </w:r>
            <w:r>
              <w:rPr>
                <w:noProof/>
                <w:webHidden/>
              </w:rPr>
              <w:t>38</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20" w:history="1">
            <w:r w:rsidRPr="00427ED2">
              <w:rPr>
                <w:rStyle w:val="Hyperlink"/>
                <w:noProof/>
              </w:rPr>
              <w:t>7.2 External Strategic Analysis</w:t>
            </w:r>
            <w:r>
              <w:rPr>
                <w:noProof/>
                <w:webHidden/>
              </w:rPr>
              <w:tab/>
            </w:r>
            <w:r>
              <w:rPr>
                <w:noProof/>
                <w:webHidden/>
              </w:rPr>
              <w:fldChar w:fldCharType="begin"/>
            </w:r>
            <w:r>
              <w:rPr>
                <w:noProof/>
                <w:webHidden/>
              </w:rPr>
              <w:instrText xml:space="preserve"> PAGEREF _Toc239460920 \h </w:instrText>
            </w:r>
            <w:r>
              <w:rPr>
                <w:noProof/>
                <w:webHidden/>
              </w:rPr>
            </w:r>
            <w:r>
              <w:rPr>
                <w:noProof/>
                <w:webHidden/>
              </w:rPr>
              <w:fldChar w:fldCharType="separate"/>
            </w:r>
            <w:r>
              <w:rPr>
                <w:noProof/>
                <w:webHidden/>
              </w:rPr>
              <w:t>38</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21" w:history="1">
            <w:r w:rsidRPr="00427ED2">
              <w:rPr>
                <w:rStyle w:val="Hyperlink"/>
                <w:noProof/>
              </w:rPr>
              <w:t>7.3 Internal Analysis: VRIO</w:t>
            </w:r>
            <w:r>
              <w:rPr>
                <w:noProof/>
                <w:webHidden/>
              </w:rPr>
              <w:tab/>
            </w:r>
            <w:r>
              <w:rPr>
                <w:noProof/>
                <w:webHidden/>
              </w:rPr>
              <w:fldChar w:fldCharType="begin"/>
            </w:r>
            <w:r>
              <w:rPr>
                <w:noProof/>
                <w:webHidden/>
              </w:rPr>
              <w:instrText xml:space="preserve"> PAGEREF _Toc239460921 \h </w:instrText>
            </w:r>
            <w:r>
              <w:rPr>
                <w:noProof/>
                <w:webHidden/>
              </w:rPr>
            </w:r>
            <w:r>
              <w:rPr>
                <w:noProof/>
                <w:webHidden/>
              </w:rPr>
              <w:fldChar w:fldCharType="separate"/>
            </w:r>
            <w:r>
              <w:rPr>
                <w:noProof/>
                <w:webHidden/>
              </w:rPr>
              <w:t>40</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22" w:history="1">
            <w:r w:rsidRPr="00427ED2">
              <w:rPr>
                <w:rStyle w:val="Hyperlink"/>
                <w:noProof/>
              </w:rPr>
              <w:t>7.4 SWOT and Strategic Implications</w:t>
            </w:r>
            <w:r>
              <w:rPr>
                <w:noProof/>
                <w:webHidden/>
              </w:rPr>
              <w:tab/>
            </w:r>
            <w:r>
              <w:rPr>
                <w:noProof/>
                <w:webHidden/>
              </w:rPr>
              <w:fldChar w:fldCharType="begin"/>
            </w:r>
            <w:r>
              <w:rPr>
                <w:noProof/>
                <w:webHidden/>
              </w:rPr>
              <w:instrText xml:space="preserve"> PAGEREF _Toc239460922 \h </w:instrText>
            </w:r>
            <w:r>
              <w:rPr>
                <w:noProof/>
                <w:webHidden/>
              </w:rPr>
            </w:r>
            <w:r>
              <w:rPr>
                <w:noProof/>
                <w:webHidden/>
              </w:rPr>
              <w:fldChar w:fldCharType="separate"/>
            </w:r>
            <w:r>
              <w:rPr>
                <w:noProof/>
                <w:webHidden/>
              </w:rPr>
              <w:t>42</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23" w:history="1">
            <w:r w:rsidRPr="00427ED2">
              <w:rPr>
                <w:rStyle w:val="Hyperlink"/>
                <w:noProof/>
              </w:rPr>
              <w:t>7.5 Strategic Choice</w:t>
            </w:r>
            <w:r>
              <w:rPr>
                <w:noProof/>
                <w:webHidden/>
              </w:rPr>
              <w:tab/>
            </w:r>
            <w:r>
              <w:rPr>
                <w:noProof/>
                <w:webHidden/>
              </w:rPr>
              <w:fldChar w:fldCharType="begin"/>
            </w:r>
            <w:r>
              <w:rPr>
                <w:noProof/>
                <w:webHidden/>
              </w:rPr>
              <w:instrText xml:space="preserve"> PAGEREF _Toc239460923 \h </w:instrText>
            </w:r>
            <w:r>
              <w:rPr>
                <w:noProof/>
                <w:webHidden/>
              </w:rPr>
            </w:r>
            <w:r>
              <w:rPr>
                <w:noProof/>
                <w:webHidden/>
              </w:rPr>
              <w:fldChar w:fldCharType="separate"/>
            </w:r>
            <w:r>
              <w:rPr>
                <w:noProof/>
                <w:webHidden/>
              </w:rPr>
              <w:t>43</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24" w:history="1">
            <w:r w:rsidRPr="00427ED2">
              <w:rPr>
                <w:rStyle w:val="Hyperlink"/>
                <w:noProof/>
              </w:rPr>
              <w:t>7.6 USP and Value Proposition</w:t>
            </w:r>
            <w:r>
              <w:rPr>
                <w:noProof/>
                <w:webHidden/>
              </w:rPr>
              <w:tab/>
            </w:r>
            <w:r>
              <w:rPr>
                <w:noProof/>
                <w:webHidden/>
              </w:rPr>
              <w:fldChar w:fldCharType="begin"/>
            </w:r>
            <w:r>
              <w:rPr>
                <w:noProof/>
                <w:webHidden/>
              </w:rPr>
              <w:instrText xml:space="preserve"> PAGEREF _Toc239460924 \h </w:instrText>
            </w:r>
            <w:r>
              <w:rPr>
                <w:noProof/>
                <w:webHidden/>
              </w:rPr>
            </w:r>
            <w:r>
              <w:rPr>
                <w:noProof/>
                <w:webHidden/>
              </w:rPr>
              <w:fldChar w:fldCharType="separate"/>
            </w:r>
            <w:r>
              <w:rPr>
                <w:noProof/>
                <w:webHidden/>
              </w:rPr>
              <w:t>44</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25" w:history="1">
            <w:r w:rsidRPr="00427ED2">
              <w:rPr>
                <w:rStyle w:val="Hyperlink"/>
                <w:noProof/>
              </w:rPr>
              <w:t>7.7 Competitive Advantage</w:t>
            </w:r>
            <w:r>
              <w:rPr>
                <w:noProof/>
                <w:webHidden/>
              </w:rPr>
              <w:tab/>
            </w:r>
            <w:r>
              <w:rPr>
                <w:noProof/>
                <w:webHidden/>
              </w:rPr>
              <w:fldChar w:fldCharType="begin"/>
            </w:r>
            <w:r>
              <w:rPr>
                <w:noProof/>
                <w:webHidden/>
              </w:rPr>
              <w:instrText xml:space="preserve"> PAGEREF _Toc239460925 \h </w:instrText>
            </w:r>
            <w:r>
              <w:rPr>
                <w:noProof/>
                <w:webHidden/>
              </w:rPr>
            </w:r>
            <w:r>
              <w:rPr>
                <w:noProof/>
                <w:webHidden/>
              </w:rPr>
              <w:fldChar w:fldCharType="separate"/>
            </w:r>
            <w:r>
              <w:rPr>
                <w:noProof/>
                <w:webHidden/>
              </w:rPr>
              <w:t>45</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26" w:history="1">
            <w:r w:rsidRPr="00427ED2">
              <w:rPr>
                <w:rStyle w:val="Hyperlink"/>
                <w:noProof/>
              </w:rPr>
              <w:t>7.8 Key Success Factors</w:t>
            </w:r>
            <w:r>
              <w:rPr>
                <w:noProof/>
                <w:webHidden/>
              </w:rPr>
              <w:tab/>
            </w:r>
            <w:r>
              <w:rPr>
                <w:noProof/>
                <w:webHidden/>
              </w:rPr>
              <w:fldChar w:fldCharType="begin"/>
            </w:r>
            <w:r>
              <w:rPr>
                <w:noProof/>
                <w:webHidden/>
              </w:rPr>
              <w:instrText xml:space="preserve"> PAGEREF _Toc239460926 \h </w:instrText>
            </w:r>
            <w:r>
              <w:rPr>
                <w:noProof/>
                <w:webHidden/>
              </w:rPr>
            </w:r>
            <w:r>
              <w:rPr>
                <w:noProof/>
                <w:webHidden/>
              </w:rPr>
              <w:fldChar w:fldCharType="separate"/>
            </w:r>
            <w:r>
              <w:rPr>
                <w:noProof/>
                <w:webHidden/>
              </w:rPr>
              <w:t>45</w:t>
            </w:r>
            <w:r>
              <w:rPr>
                <w:noProof/>
                <w:webHidden/>
              </w:rPr>
              <w:fldChar w:fldCharType="end"/>
            </w:r>
          </w:hyperlink>
        </w:p>
        <w:p w:rsidR="008C37A4" w:rsidRDefault="008C37A4">
          <w:pPr>
            <w:pStyle w:val="TOC1"/>
            <w:tabs>
              <w:tab w:val="right" w:leader="dot" w:pos="9350"/>
            </w:tabs>
            <w:rPr>
              <w:rFonts w:asciiTheme="minorHAnsi" w:eastAsiaTheme="minorEastAsia" w:hAnsiTheme="minorHAnsi" w:cstheme="minorBidi"/>
              <w:noProof/>
              <w:sz w:val="22"/>
              <w:szCs w:val="22"/>
              <w:lang w:eastAsia="en-US"/>
            </w:rPr>
          </w:pPr>
          <w:hyperlink w:anchor="_Toc239460927" w:history="1">
            <w:r w:rsidRPr="00427ED2">
              <w:rPr>
                <w:rStyle w:val="Hyperlink"/>
                <w:noProof/>
              </w:rPr>
              <w:t>Chapter 8. Business Model Canvas</w:t>
            </w:r>
            <w:r>
              <w:rPr>
                <w:noProof/>
                <w:webHidden/>
              </w:rPr>
              <w:tab/>
            </w:r>
            <w:r>
              <w:rPr>
                <w:noProof/>
                <w:webHidden/>
              </w:rPr>
              <w:fldChar w:fldCharType="begin"/>
            </w:r>
            <w:r>
              <w:rPr>
                <w:noProof/>
                <w:webHidden/>
              </w:rPr>
              <w:instrText xml:space="preserve"> PAGEREF _Toc239460927 \h </w:instrText>
            </w:r>
            <w:r>
              <w:rPr>
                <w:noProof/>
                <w:webHidden/>
              </w:rPr>
            </w:r>
            <w:r>
              <w:rPr>
                <w:noProof/>
                <w:webHidden/>
              </w:rPr>
              <w:fldChar w:fldCharType="separate"/>
            </w:r>
            <w:r>
              <w:rPr>
                <w:noProof/>
                <w:webHidden/>
              </w:rPr>
              <w:t>46</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28" w:history="1">
            <w:r w:rsidRPr="00427ED2">
              <w:rPr>
                <w:rStyle w:val="Hyperlink"/>
                <w:noProof/>
              </w:rPr>
              <w:t>8.1 BMC Introduction</w:t>
            </w:r>
            <w:r>
              <w:rPr>
                <w:noProof/>
                <w:webHidden/>
              </w:rPr>
              <w:tab/>
            </w:r>
            <w:r>
              <w:rPr>
                <w:noProof/>
                <w:webHidden/>
              </w:rPr>
              <w:fldChar w:fldCharType="begin"/>
            </w:r>
            <w:r>
              <w:rPr>
                <w:noProof/>
                <w:webHidden/>
              </w:rPr>
              <w:instrText xml:space="preserve"> PAGEREF _Toc239460928 \h </w:instrText>
            </w:r>
            <w:r>
              <w:rPr>
                <w:noProof/>
                <w:webHidden/>
              </w:rPr>
            </w:r>
            <w:r>
              <w:rPr>
                <w:noProof/>
                <w:webHidden/>
              </w:rPr>
              <w:fldChar w:fldCharType="separate"/>
            </w:r>
            <w:r>
              <w:rPr>
                <w:noProof/>
                <w:webHidden/>
              </w:rPr>
              <w:t>46</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29" w:history="1">
            <w:r w:rsidRPr="00427ED2">
              <w:rPr>
                <w:rStyle w:val="Hyperlink"/>
                <w:noProof/>
              </w:rPr>
              <w:t>8.2 Customer Segments</w:t>
            </w:r>
            <w:r>
              <w:rPr>
                <w:noProof/>
                <w:webHidden/>
              </w:rPr>
              <w:tab/>
            </w:r>
            <w:r>
              <w:rPr>
                <w:noProof/>
                <w:webHidden/>
              </w:rPr>
              <w:fldChar w:fldCharType="begin"/>
            </w:r>
            <w:r>
              <w:rPr>
                <w:noProof/>
                <w:webHidden/>
              </w:rPr>
              <w:instrText xml:space="preserve"> PAGEREF _Toc239460929 \h </w:instrText>
            </w:r>
            <w:r>
              <w:rPr>
                <w:noProof/>
                <w:webHidden/>
              </w:rPr>
            </w:r>
            <w:r>
              <w:rPr>
                <w:noProof/>
                <w:webHidden/>
              </w:rPr>
              <w:fldChar w:fldCharType="separate"/>
            </w:r>
            <w:r>
              <w:rPr>
                <w:noProof/>
                <w:webHidden/>
              </w:rPr>
              <w:t>46</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30" w:history="1">
            <w:r w:rsidRPr="00427ED2">
              <w:rPr>
                <w:rStyle w:val="Hyperlink"/>
                <w:noProof/>
              </w:rPr>
              <w:t>8.3 Value Proposition</w:t>
            </w:r>
            <w:r>
              <w:rPr>
                <w:noProof/>
                <w:webHidden/>
              </w:rPr>
              <w:tab/>
            </w:r>
            <w:r>
              <w:rPr>
                <w:noProof/>
                <w:webHidden/>
              </w:rPr>
              <w:fldChar w:fldCharType="begin"/>
            </w:r>
            <w:r>
              <w:rPr>
                <w:noProof/>
                <w:webHidden/>
              </w:rPr>
              <w:instrText xml:space="preserve"> PAGEREF _Toc239460930 \h </w:instrText>
            </w:r>
            <w:r>
              <w:rPr>
                <w:noProof/>
                <w:webHidden/>
              </w:rPr>
            </w:r>
            <w:r>
              <w:rPr>
                <w:noProof/>
                <w:webHidden/>
              </w:rPr>
              <w:fldChar w:fldCharType="separate"/>
            </w:r>
            <w:r>
              <w:rPr>
                <w:noProof/>
                <w:webHidden/>
              </w:rPr>
              <w:t>46</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31" w:history="1">
            <w:r w:rsidRPr="00427ED2">
              <w:rPr>
                <w:rStyle w:val="Hyperlink"/>
                <w:noProof/>
              </w:rPr>
              <w:t>8.4 Channels</w:t>
            </w:r>
            <w:r>
              <w:rPr>
                <w:noProof/>
                <w:webHidden/>
              </w:rPr>
              <w:tab/>
            </w:r>
            <w:r>
              <w:rPr>
                <w:noProof/>
                <w:webHidden/>
              </w:rPr>
              <w:fldChar w:fldCharType="begin"/>
            </w:r>
            <w:r>
              <w:rPr>
                <w:noProof/>
                <w:webHidden/>
              </w:rPr>
              <w:instrText xml:space="preserve"> PAGEREF _Toc239460931 \h </w:instrText>
            </w:r>
            <w:r>
              <w:rPr>
                <w:noProof/>
                <w:webHidden/>
              </w:rPr>
            </w:r>
            <w:r>
              <w:rPr>
                <w:noProof/>
                <w:webHidden/>
              </w:rPr>
              <w:fldChar w:fldCharType="separate"/>
            </w:r>
            <w:r>
              <w:rPr>
                <w:noProof/>
                <w:webHidden/>
              </w:rPr>
              <w:t>47</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32" w:history="1">
            <w:r w:rsidRPr="00427ED2">
              <w:rPr>
                <w:rStyle w:val="Hyperlink"/>
                <w:noProof/>
              </w:rPr>
              <w:t>8.5 Customer Relationships</w:t>
            </w:r>
            <w:r>
              <w:rPr>
                <w:noProof/>
                <w:webHidden/>
              </w:rPr>
              <w:tab/>
            </w:r>
            <w:r>
              <w:rPr>
                <w:noProof/>
                <w:webHidden/>
              </w:rPr>
              <w:fldChar w:fldCharType="begin"/>
            </w:r>
            <w:r>
              <w:rPr>
                <w:noProof/>
                <w:webHidden/>
              </w:rPr>
              <w:instrText xml:space="preserve"> PAGEREF _Toc239460932 \h </w:instrText>
            </w:r>
            <w:r>
              <w:rPr>
                <w:noProof/>
                <w:webHidden/>
              </w:rPr>
            </w:r>
            <w:r>
              <w:rPr>
                <w:noProof/>
                <w:webHidden/>
              </w:rPr>
              <w:fldChar w:fldCharType="separate"/>
            </w:r>
            <w:r>
              <w:rPr>
                <w:noProof/>
                <w:webHidden/>
              </w:rPr>
              <w:t>47</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33" w:history="1">
            <w:r w:rsidRPr="00427ED2">
              <w:rPr>
                <w:rStyle w:val="Hyperlink"/>
                <w:noProof/>
              </w:rPr>
              <w:t>8.6 Revenue Streams</w:t>
            </w:r>
            <w:r>
              <w:rPr>
                <w:noProof/>
                <w:webHidden/>
              </w:rPr>
              <w:tab/>
            </w:r>
            <w:r>
              <w:rPr>
                <w:noProof/>
                <w:webHidden/>
              </w:rPr>
              <w:fldChar w:fldCharType="begin"/>
            </w:r>
            <w:r>
              <w:rPr>
                <w:noProof/>
                <w:webHidden/>
              </w:rPr>
              <w:instrText xml:space="preserve"> PAGEREF _Toc239460933 \h </w:instrText>
            </w:r>
            <w:r>
              <w:rPr>
                <w:noProof/>
                <w:webHidden/>
              </w:rPr>
            </w:r>
            <w:r>
              <w:rPr>
                <w:noProof/>
                <w:webHidden/>
              </w:rPr>
              <w:fldChar w:fldCharType="separate"/>
            </w:r>
            <w:r>
              <w:rPr>
                <w:noProof/>
                <w:webHidden/>
              </w:rPr>
              <w:t>47</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34" w:history="1">
            <w:r w:rsidRPr="00427ED2">
              <w:rPr>
                <w:rStyle w:val="Hyperlink"/>
                <w:noProof/>
              </w:rPr>
              <w:t>8.7 Key Resources</w:t>
            </w:r>
            <w:r>
              <w:rPr>
                <w:noProof/>
                <w:webHidden/>
              </w:rPr>
              <w:tab/>
            </w:r>
            <w:r>
              <w:rPr>
                <w:noProof/>
                <w:webHidden/>
              </w:rPr>
              <w:fldChar w:fldCharType="begin"/>
            </w:r>
            <w:r>
              <w:rPr>
                <w:noProof/>
                <w:webHidden/>
              </w:rPr>
              <w:instrText xml:space="preserve"> PAGEREF _Toc239460934 \h </w:instrText>
            </w:r>
            <w:r>
              <w:rPr>
                <w:noProof/>
                <w:webHidden/>
              </w:rPr>
            </w:r>
            <w:r>
              <w:rPr>
                <w:noProof/>
                <w:webHidden/>
              </w:rPr>
              <w:fldChar w:fldCharType="separate"/>
            </w:r>
            <w:r>
              <w:rPr>
                <w:noProof/>
                <w:webHidden/>
              </w:rPr>
              <w:t>48</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35" w:history="1">
            <w:r w:rsidRPr="00427ED2">
              <w:rPr>
                <w:rStyle w:val="Hyperlink"/>
                <w:noProof/>
              </w:rPr>
              <w:t>8.8 Key Activities</w:t>
            </w:r>
            <w:r>
              <w:rPr>
                <w:noProof/>
                <w:webHidden/>
              </w:rPr>
              <w:tab/>
            </w:r>
            <w:r>
              <w:rPr>
                <w:noProof/>
                <w:webHidden/>
              </w:rPr>
              <w:fldChar w:fldCharType="begin"/>
            </w:r>
            <w:r>
              <w:rPr>
                <w:noProof/>
                <w:webHidden/>
              </w:rPr>
              <w:instrText xml:space="preserve"> PAGEREF _Toc239460935 \h </w:instrText>
            </w:r>
            <w:r>
              <w:rPr>
                <w:noProof/>
                <w:webHidden/>
              </w:rPr>
            </w:r>
            <w:r>
              <w:rPr>
                <w:noProof/>
                <w:webHidden/>
              </w:rPr>
              <w:fldChar w:fldCharType="separate"/>
            </w:r>
            <w:r>
              <w:rPr>
                <w:noProof/>
                <w:webHidden/>
              </w:rPr>
              <w:t>48</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36" w:history="1">
            <w:r w:rsidRPr="00427ED2">
              <w:rPr>
                <w:rStyle w:val="Hyperlink"/>
                <w:noProof/>
              </w:rPr>
              <w:t>8.9 Key Partnerships</w:t>
            </w:r>
            <w:r>
              <w:rPr>
                <w:noProof/>
                <w:webHidden/>
              </w:rPr>
              <w:tab/>
            </w:r>
            <w:r>
              <w:rPr>
                <w:noProof/>
                <w:webHidden/>
              </w:rPr>
              <w:fldChar w:fldCharType="begin"/>
            </w:r>
            <w:r>
              <w:rPr>
                <w:noProof/>
                <w:webHidden/>
              </w:rPr>
              <w:instrText xml:space="preserve"> PAGEREF _Toc239460936 \h </w:instrText>
            </w:r>
            <w:r>
              <w:rPr>
                <w:noProof/>
                <w:webHidden/>
              </w:rPr>
            </w:r>
            <w:r>
              <w:rPr>
                <w:noProof/>
                <w:webHidden/>
              </w:rPr>
              <w:fldChar w:fldCharType="separate"/>
            </w:r>
            <w:r>
              <w:rPr>
                <w:noProof/>
                <w:webHidden/>
              </w:rPr>
              <w:t>48</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37" w:history="1">
            <w:r w:rsidRPr="00427ED2">
              <w:rPr>
                <w:rStyle w:val="Hyperlink"/>
                <w:noProof/>
              </w:rPr>
              <w:t>8.10 Cost Structure</w:t>
            </w:r>
            <w:r>
              <w:rPr>
                <w:noProof/>
                <w:webHidden/>
              </w:rPr>
              <w:tab/>
            </w:r>
            <w:r>
              <w:rPr>
                <w:noProof/>
                <w:webHidden/>
              </w:rPr>
              <w:fldChar w:fldCharType="begin"/>
            </w:r>
            <w:r>
              <w:rPr>
                <w:noProof/>
                <w:webHidden/>
              </w:rPr>
              <w:instrText xml:space="preserve"> PAGEREF _Toc239460937 \h </w:instrText>
            </w:r>
            <w:r>
              <w:rPr>
                <w:noProof/>
                <w:webHidden/>
              </w:rPr>
            </w:r>
            <w:r>
              <w:rPr>
                <w:noProof/>
                <w:webHidden/>
              </w:rPr>
              <w:fldChar w:fldCharType="separate"/>
            </w:r>
            <w:r>
              <w:rPr>
                <w:noProof/>
                <w:webHidden/>
              </w:rPr>
              <w:t>49</w:t>
            </w:r>
            <w:r>
              <w:rPr>
                <w:noProof/>
                <w:webHidden/>
              </w:rPr>
              <w:fldChar w:fldCharType="end"/>
            </w:r>
          </w:hyperlink>
        </w:p>
        <w:p w:rsidR="008C37A4" w:rsidRDefault="008C37A4">
          <w:pPr>
            <w:pStyle w:val="TOC1"/>
            <w:tabs>
              <w:tab w:val="right" w:leader="dot" w:pos="9350"/>
            </w:tabs>
            <w:rPr>
              <w:rFonts w:asciiTheme="minorHAnsi" w:eastAsiaTheme="minorEastAsia" w:hAnsiTheme="minorHAnsi" w:cstheme="minorBidi"/>
              <w:noProof/>
              <w:sz w:val="22"/>
              <w:szCs w:val="22"/>
              <w:lang w:eastAsia="en-US"/>
            </w:rPr>
          </w:pPr>
          <w:hyperlink w:anchor="_Toc239460938" w:history="1">
            <w:r w:rsidRPr="00427ED2">
              <w:rPr>
                <w:rStyle w:val="Hyperlink"/>
                <w:noProof/>
              </w:rPr>
              <w:t>Chapter 9. Financial, Marketing &amp; Human Capital Management Plan</w:t>
            </w:r>
            <w:r>
              <w:rPr>
                <w:noProof/>
                <w:webHidden/>
              </w:rPr>
              <w:tab/>
            </w:r>
            <w:r>
              <w:rPr>
                <w:noProof/>
                <w:webHidden/>
              </w:rPr>
              <w:fldChar w:fldCharType="begin"/>
            </w:r>
            <w:r>
              <w:rPr>
                <w:noProof/>
                <w:webHidden/>
              </w:rPr>
              <w:instrText xml:space="preserve"> PAGEREF _Toc239460938 \h </w:instrText>
            </w:r>
            <w:r>
              <w:rPr>
                <w:noProof/>
                <w:webHidden/>
              </w:rPr>
            </w:r>
            <w:r>
              <w:rPr>
                <w:noProof/>
                <w:webHidden/>
              </w:rPr>
              <w:fldChar w:fldCharType="separate"/>
            </w:r>
            <w:r>
              <w:rPr>
                <w:noProof/>
                <w:webHidden/>
              </w:rPr>
              <w:t>49</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39" w:history="1">
            <w:r w:rsidRPr="00427ED2">
              <w:rPr>
                <w:rStyle w:val="Hyperlink"/>
                <w:noProof/>
              </w:rPr>
              <w:t>9.1 Financial Plan</w:t>
            </w:r>
            <w:r>
              <w:rPr>
                <w:noProof/>
                <w:webHidden/>
              </w:rPr>
              <w:tab/>
            </w:r>
            <w:r>
              <w:rPr>
                <w:noProof/>
                <w:webHidden/>
              </w:rPr>
              <w:fldChar w:fldCharType="begin"/>
            </w:r>
            <w:r>
              <w:rPr>
                <w:noProof/>
                <w:webHidden/>
              </w:rPr>
              <w:instrText xml:space="preserve"> PAGEREF _Toc239460939 \h </w:instrText>
            </w:r>
            <w:r>
              <w:rPr>
                <w:noProof/>
                <w:webHidden/>
              </w:rPr>
            </w:r>
            <w:r>
              <w:rPr>
                <w:noProof/>
                <w:webHidden/>
              </w:rPr>
              <w:fldChar w:fldCharType="separate"/>
            </w:r>
            <w:r>
              <w:rPr>
                <w:noProof/>
                <w:webHidden/>
              </w:rPr>
              <w:t>49</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40" w:history="1">
            <w:r w:rsidRPr="00427ED2">
              <w:rPr>
                <w:rStyle w:val="Hyperlink"/>
                <w:noProof/>
              </w:rPr>
              <w:t>9.1.1 Financial Strategy</w:t>
            </w:r>
            <w:r>
              <w:rPr>
                <w:noProof/>
                <w:webHidden/>
              </w:rPr>
              <w:tab/>
            </w:r>
            <w:r>
              <w:rPr>
                <w:noProof/>
                <w:webHidden/>
              </w:rPr>
              <w:fldChar w:fldCharType="begin"/>
            </w:r>
            <w:r>
              <w:rPr>
                <w:noProof/>
                <w:webHidden/>
              </w:rPr>
              <w:instrText xml:space="preserve"> PAGEREF _Toc239460940 \h </w:instrText>
            </w:r>
            <w:r>
              <w:rPr>
                <w:noProof/>
                <w:webHidden/>
              </w:rPr>
            </w:r>
            <w:r>
              <w:rPr>
                <w:noProof/>
                <w:webHidden/>
              </w:rPr>
              <w:fldChar w:fldCharType="separate"/>
            </w:r>
            <w:r>
              <w:rPr>
                <w:noProof/>
                <w:webHidden/>
              </w:rPr>
              <w:t>49</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41" w:history="1">
            <w:r w:rsidRPr="00427ED2">
              <w:rPr>
                <w:rStyle w:val="Hyperlink"/>
                <w:noProof/>
              </w:rPr>
              <w:t>9.1.2 Start-Up Costs</w:t>
            </w:r>
            <w:r>
              <w:rPr>
                <w:noProof/>
                <w:webHidden/>
              </w:rPr>
              <w:tab/>
            </w:r>
            <w:r>
              <w:rPr>
                <w:noProof/>
                <w:webHidden/>
              </w:rPr>
              <w:fldChar w:fldCharType="begin"/>
            </w:r>
            <w:r>
              <w:rPr>
                <w:noProof/>
                <w:webHidden/>
              </w:rPr>
              <w:instrText xml:space="preserve"> PAGEREF _Toc239460941 \h </w:instrText>
            </w:r>
            <w:r>
              <w:rPr>
                <w:noProof/>
                <w:webHidden/>
              </w:rPr>
            </w:r>
            <w:r>
              <w:rPr>
                <w:noProof/>
                <w:webHidden/>
              </w:rPr>
              <w:fldChar w:fldCharType="separate"/>
            </w:r>
            <w:r>
              <w:rPr>
                <w:noProof/>
                <w:webHidden/>
              </w:rPr>
              <w:t>50</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42" w:history="1">
            <w:r w:rsidRPr="00427ED2">
              <w:rPr>
                <w:rStyle w:val="Hyperlink"/>
                <w:noProof/>
              </w:rPr>
              <w:t>9.1.3 Revenue Model</w:t>
            </w:r>
            <w:r>
              <w:rPr>
                <w:noProof/>
                <w:webHidden/>
              </w:rPr>
              <w:tab/>
            </w:r>
            <w:r>
              <w:rPr>
                <w:noProof/>
                <w:webHidden/>
              </w:rPr>
              <w:fldChar w:fldCharType="begin"/>
            </w:r>
            <w:r>
              <w:rPr>
                <w:noProof/>
                <w:webHidden/>
              </w:rPr>
              <w:instrText xml:space="preserve"> PAGEREF _Toc239460942 \h </w:instrText>
            </w:r>
            <w:r>
              <w:rPr>
                <w:noProof/>
                <w:webHidden/>
              </w:rPr>
            </w:r>
            <w:r>
              <w:rPr>
                <w:noProof/>
                <w:webHidden/>
              </w:rPr>
              <w:fldChar w:fldCharType="separate"/>
            </w:r>
            <w:r>
              <w:rPr>
                <w:noProof/>
                <w:webHidden/>
              </w:rPr>
              <w:t>51</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43" w:history="1">
            <w:r w:rsidRPr="00427ED2">
              <w:rPr>
                <w:rStyle w:val="Hyperlink"/>
                <w:noProof/>
              </w:rPr>
              <w:t>9.1.4 Pricing Strategy</w:t>
            </w:r>
            <w:r>
              <w:rPr>
                <w:noProof/>
                <w:webHidden/>
              </w:rPr>
              <w:tab/>
            </w:r>
            <w:r>
              <w:rPr>
                <w:noProof/>
                <w:webHidden/>
              </w:rPr>
              <w:fldChar w:fldCharType="begin"/>
            </w:r>
            <w:r>
              <w:rPr>
                <w:noProof/>
                <w:webHidden/>
              </w:rPr>
              <w:instrText xml:space="preserve"> PAGEREF _Toc239460943 \h </w:instrText>
            </w:r>
            <w:r>
              <w:rPr>
                <w:noProof/>
                <w:webHidden/>
              </w:rPr>
            </w:r>
            <w:r>
              <w:rPr>
                <w:noProof/>
                <w:webHidden/>
              </w:rPr>
              <w:fldChar w:fldCharType="separate"/>
            </w:r>
            <w:r>
              <w:rPr>
                <w:noProof/>
                <w:webHidden/>
              </w:rPr>
              <w:t>52</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44" w:history="1">
            <w:r w:rsidRPr="00427ED2">
              <w:rPr>
                <w:rStyle w:val="Hyperlink"/>
                <w:noProof/>
              </w:rPr>
              <w:t>9.1.5 Three-to-Five-Year Financial Forecast</w:t>
            </w:r>
            <w:r>
              <w:rPr>
                <w:noProof/>
                <w:webHidden/>
              </w:rPr>
              <w:tab/>
            </w:r>
            <w:r>
              <w:rPr>
                <w:noProof/>
                <w:webHidden/>
              </w:rPr>
              <w:fldChar w:fldCharType="begin"/>
            </w:r>
            <w:r>
              <w:rPr>
                <w:noProof/>
                <w:webHidden/>
              </w:rPr>
              <w:instrText xml:space="preserve"> PAGEREF _Toc239460944 \h </w:instrText>
            </w:r>
            <w:r>
              <w:rPr>
                <w:noProof/>
                <w:webHidden/>
              </w:rPr>
            </w:r>
            <w:r>
              <w:rPr>
                <w:noProof/>
                <w:webHidden/>
              </w:rPr>
              <w:fldChar w:fldCharType="separate"/>
            </w:r>
            <w:r>
              <w:rPr>
                <w:noProof/>
                <w:webHidden/>
              </w:rPr>
              <w:t>52</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45" w:history="1">
            <w:r w:rsidRPr="00427ED2">
              <w:rPr>
                <w:rStyle w:val="Hyperlink"/>
                <w:noProof/>
              </w:rPr>
              <w:t>9.1.6 Break-Even Analysis</w:t>
            </w:r>
            <w:r>
              <w:rPr>
                <w:noProof/>
                <w:webHidden/>
              </w:rPr>
              <w:tab/>
            </w:r>
            <w:r>
              <w:rPr>
                <w:noProof/>
                <w:webHidden/>
              </w:rPr>
              <w:fldChar w:fldCharType="begin"/>
            </w:r>
            <w:r>
              <w:rPr>
                <w:noProof/>
                <w:webHidden/>
              </w:rPr>
              <w:instrText xml:space="preserve"> PAGEREF _Toc239460945 \h </w:instrText>
            </w:r>
            <w:r>
              <w:rPr>
                <w:noProof/>
                <w:webHidden/>
              </w:rPr>
            </w:r>
            <w:r>
              <w:rPr>
                <w:noProof/>
                <w:webHidden/>
              </w:rPr>
              <w:fldChar w:fldCharType="separate"/>
            </w:r>
            <w:r>
              <w:rPr>
                <w:noProof/>
                <w:webHidden/>
              </w:rPr>
              <w:t>53</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46" w:history="1">
            <w:r w:rsidRPr="00427ED2">
              <w:rPr>
                <w:rStyle w:val="Hyperlink"/>
                <w:noProof/>
              </w:rPr>
              <w:t>9.1.7 Sensitivity Analysis</w:t>
            </w:r>
            <w:r>
              <w:rPr>
                <w:noProof/>
                <w:webHidden/>
              </w:rPr>
              <w:tab/>
            </w:r>
            <w:r>
              <w:rPr>
                <w:noProof/>
                <w:webHidden/>
              </w:rPr>
              <w:fldChar w:fldCharType="begin"/>
            </w:r>
            <w:r>
              <w:rPr>
                <w:noProof/>
                <w:webHidden/>
              </w:rPr>
              <w:instrText xml:space="preserve"> PAGEREF _Toc239460946 \h </w:instrText>
            </w:r>
            <w:r>
              <w:rPr>
                <w:noProof/>
                <w:webHidden/>
              </w:rPr>
            </w:r>
            <w:r>
              <w:rPr>
                <w:noProof/>
                <w:webHidden/>
              </w:rPr>
              <w:fldChar w:fldCharType="separate"/>
            </w:r>
            <w:r>
              <w:rPr>
                <w:noProof/>
                <w:webHidden/>
              </w:rPr>
              <w:t>53</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47" w:history="1">
            <w:r w:rsidRPr="00427ED2">
              <w:rPr>
                <w:rStyle w:val="Hyperlink"/>
                <w:noProof/>
              </w:rPr>
              <w:t>9.2 Marketing Plan</w:t>
            </w:r>
            <w:r>
              <w:rPr>
                <w:noProof/>
                <w:webHidden/>
              </w:rPr>
              <w:tab/>
            </w:r>
            <w:r>
              <w:rPr>
                <w:noProof/>
                <w:webHidden/>
              </w:rPr>
              <w:fldChar w:fldCharType="begin"/>
            </w:r>
            <w:r>
              <w:rPr>
                <w:noProof/>
                <w:webHidden/>
              </w:rPr>
              <w:instrText xml:space="preserve"> PAGEREF _Toc239460947 \h </w:instrText>
            </w:r>
            <w:r>
              <w:rPr>
                <w:noProof/>
                <w:webHidden/>
              </w:rPr>
            </w:r>
            <w:r>
              <w:rPr>
                <w:noProof/>
                <w:webHidden/>
              </w:rPr>
              <w:fldChar w:fldCharType="separate"/>
            </w:r>
            <w:r>
              <w:rPr>
                <w:noProof/>
                <w:webHidden/>
              </w:rPr>
              <w:t>54</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48" w:history="1">
            <w:r w:rsidRPr="00427ED2">
              <w:rPr>
                <w:rStyle w:val="Hyperlink"/>
                <w:noProof/>
              </w:rPr>
              <w:t>9.2.1 SMART Marketing Objectives</w:t>
            </w:r>
            <w:r>
              <w:rPr>
                <w:noProof/>
                <w:webHidden/>
              </w:rPr>
              <w:tab/>
            </w:r>
            <w:r>
              <w:rPr>
                <w:noProof/>
                <w:webHidden/>
              </w:rPr>
              <w:fldChar w:fldCharType="begin"/>
            </w:r>
            <w:r>
              <w:rPr>
                <w:noProof/>
                <w:webHidden/>
              </w:rPr>
              <w:instrText xml:space="preserve"> PAGEREF _Toc239460948 \h </w:instrText>
            </w:r>
            <w:r>
              <w:rPr>
                <w:noProof/>
                <w:webHidden/>
              </w:rPr>
            </w:r>
            <w:r>
              <w:rPr>
                <w:noProof/>
                <w:webHidden/>
              </w:rPr>
              <w:fldChar w:fldCharType="separate"/>
            </w:r>
            <w:r>
              <w:rPr>
                <w:noProof/>
                <w:webHidden/>
              </w:rPr>
              <w:t>54</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49" w:history="1">
            <w:r w:rsidRPr="00427ED2">
              <w:rPr>
                <w:rStyle w:val="Hyperlink"/>
                <w:noProof/>
              </w:rPr>
              <w:t>9.2.2 Segmentation, Targeting and Positioning</w:t>
            </w:r>
            <w:r>
              <w:rPr>
                <w:noProof/>
                <w:webHidden/>
              </w:rPr>
              <w:tab/>
            </w:r>
            <w:r>
              <w:rPr>
                <w:noProof/>
                <w:webHidden/>
              </w:rPr>
              <w:fldChar w:fldCharType="begin"/>
            </w:r>
            <w:r>
              <w:rPr>
                <w:noProof/>
                <w:webHidden/>
              </w:rPr>
              <w:instrText xml:space="preserve"> PAGEREF _Toc239460949 \h </w:instrText>
            </w:r>
            <w:r>
              <w:rPr>
                <w:noProof/>
                <w:webHidden/>
              </w:rPr>
            </w:r>
            <w:r>
              <w:rPr>
                <w:noProof/>
                <w:webHidden/>
              </w:rPr>
              <w:fldChar w:fldCharType="separate"/>
            </w:r>
            <w:r>
              <w:rPr>
                <w:noProof/>
                <w:webHidden/>
              </w:rPr>
              <w:t>54</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50" w:history="1">
            <w:r w:rsidRPr="00427ED2">
              <w:rPr>
                <w:rStyle w:val="Hyperlink"/>
                <w:noProof/>
              </w:rPr>
              <w:t>9.2.3 Marketing Mix</w:t>
            </w:r>
            <w:r>
              <w:rPr>
                <w:noProof/>
                <w:webHidden/>
              </w:rPr>
              <w:tab/>
            </w:r>
            <w:r>
              <w:rPr>
                <w:noProof/>
                <w:webHidden/>
              </w:rPr>
              <w:fldChar w:fldCharType="begin"/>
            </w:r>
            <w:r>
              <w:rPr>
                <w:noProof/>
                <w:webHidden/>
              </w:rPr>
              <w:instrText xml:space="preserve"> PAGEREF _Toc239460950 \h </w:instrText>
            </w:r>
            <w:r>
              <w:rPr>
                <w:noProof/>
                <w:webHidden/>
              </w:rPr>
            </w:r>
            <w:r>
              <w:rPr>
                <w:noProof/>
                <w:webHidden/>
              </w:rPr>
              <w:fldChar w:fldCharType="separate"/>
            </w:r>
            <w:r>
              <w:rPr>
                <w:noProof/>
                <w:webHidden/>
              </w:rPr>
              <w:t>57</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51" w:history="1">
            <w:r w:rsidRPr="00427ED2">
              <w:rPr>
                <w:rStyle w:val="Hyperlink"/>
                <w:noProof/>
              </w:rPr>
              <w:t>9.2.4 Customer Acquisition Funnel</w:t>
            </w:r>
            <w:r>
              <w:rPr>
                <w:noProof/>
                <w:webHidden/>
              </w:rPr>
              <w:tab/>
            </w:r>
            <w:r>
              <w:rPr>
                <w:noProof/>
                <w:webHidden/>
              </w:rPr>
              <w:fldChar w:fldCharType="begin"/>
            </w:r>
            <w:r>
              <w:rPr>
                <w:noProof/>
                <w:webHidden/>
              </w:rPr>
              <w:instrText xml:space="preserve"> PAGEREF _Toc239460951 \h </w:instrText>
            </w:r>
            <w:r>
              <w:rPr>
                <w:noProof/>
                <w:webHidden/>
              </w:rPr>
            </w:r>
            <w:r>
              <w:rPr>
                <w:noProof/>
                <w:webHidden/>
              </w:rPr>
              <w:fldChar w:fldCharType="separate"/>
            </w:r>
            <w:r>
              <w:rPr>
                <w:noProof/>
                <w:webHidden/>
              </w:rPr>
              <w:t>58</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52" w:history="1">
            <w:r w:rsidRPr="00427ED2">
              <w:rPr>
                <w:rStyle w:val="Hyperlink"/>
                <w:noProof/>
              </w:rPr>
              <w:t>9.2.5 Marketing Budget and KPIs</w:t>
            </w:r>
            <w:r>
              <w:rPr>
                <w:noProof/>
                <w:webHidden/>
              </w:rPr>
              <w:tab/>
            </w:r>
            <w:r>
              <w:rPr>
                <w:noProof/>
                <w:webHidden/>
              </w:rPr>
              <w:fldChar w:fldCharType="begin"/>
            </w:r>
            <w:r>
              <w:rPr>
                <w:noProof/>
                <w:webHidden/>
              </w:rPr>
              <w:instrText xml:space="preserve"> PAGEREF _Toc239460952 \h </w:instrText>
            </w:r>
            <w:r>
              <w:rPr>
                <w:noProof/>
                <w:webHidden/>
              </w:rPr>
            </w:r>
            <w:r>
              <w:rPr>
                <w:noProof/>
                <w:webHidden/>
              </w:rPr>
              <w:fldChar w:fldCharType="separate"/>
            </w:r>
            <w:r>
              <w:rPr>
                <w:noProof/>
                <w:webHidden/>
              </w:rPr>
              <w:t>59</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53" w:history="1">
            <w:r w:rsidRPr="00427ED2">
              <w:rPr>
                <w:rStyle w:val="Hyperlink"/>
                <w:noProof/>
              </w:rPr>
              <w:t>9.3 Human Capital Management Plan</w:t>
            </w:r>
            <w:r>
              <w:rPr>
                <w:noProof/>
                <w:webHidden/>
              </w:rPr>
              <w:tab/>
            </w:r>
            <w:r>
              <w:rPr>
                <w:noProof/>
                <w:webHidden/>
              </w:rPr>
              <w:fldChar w:fldCharType="begin"/>
            </w:r>
            <w:r>
              <w:rPr>
                <w:noProof/>
                <w:webHidden/>
              </w:rPr>
              <w:instrText xml:space="preserve"> PAGEREF _Toc239460953 \h </w:instrText>
            </w:r>
            <w:r>
              <w:rPr>
                <w:noProof/>
                <w:webHidden/>
              </w:rPr>
            </w:r>
            <w:r>
              <w:rPr>
                <w:noProof/>
                <w:webHidden/>
              </w:rPr>
              <w:fldChar w:fldCharType="separate"/>
            </w:r>
            <w:r>
              <w:rPr>
                <w:noProof/>
                <w:webHidden/>
              </w:rPr>
              <w:t>60</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54" w:history="1">
            <w:r w:rsidRPr="00427ED2">
              <w:rPr>
                <w:rStyle w:val="Hyperlink"/>
                <w:noProof/>
              </w:rPr>
              <w:t>9.3.1 Organisational Structure</w:t>
            </w:r>
            <w:r>
              <w:rPr>
                <w:noProof/>
                <w:webHidden/>
              </w:rPr>
              <w:tab/>
            </w:r>
            <w:r>
              <w:rPr>
                <w:noProof/>
                <w:webHidden/>
              </w:rPr>
              <w:fldChar w:fldCharType="begin"/>
            </w:r>
            <w:r>
              <w:rPr>
                <w:noProof/>
                <w:webHidden/>
              </w:rPr>
              <w:instrText xml:space="preserve"> PAGEREF _Toc239460954 \h </w:instrText>
            </w:r>
            <w:r>
              <w:rPr>
                <w:noProof/>
                <w:webHidden/>
              </w:rPr>
            </w:r>
            <w:r>
              <w:rPr>
                <w:noProof/>
                <w:webHidden/>
              </w:rPr>
              <w:fldChar w:fldCharType="separate"/>
            </w:r>
            <w:r>
              <w:rPr>
                <w:noProof/>
                <w:webHidden/>
              </w:rPr>
              <w:t>60</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55" w:history="1">
            <w:r w:rsidRPr="00427ED2">
              <w:rPr>
                <w:rStyle w:val="Hyperlink"/>
                <w:noProof/>
              </w:rPr>
              <w:t>9.3.2 Staffing Requirements</w:t>
            </w:r>
            <w:r>
              <w:rPr>
                <w:noProof/>
                <w:webHidden/>
              </w:rPr>
              <w:tab/>
            </w:r>
            <w:r>
              <w:rPr>
                <w:noProof/>
                <w:webHidden/>
              </w:rPr>
              <w:fldChar w:fldCharType="begin"/>
            </w:r>
            <w:r>
              <w:rPr>
                <w:noProof/>
                <w:webHidden/>
              </w:rPr>
              <w:instrText xml:space="preserve"> PAGEREF _Toc239460955 \h </w:instrText>
            </w:r>
            <w:r>
              <w:rPr>
                <w:noProof/>
                <w:webHidden/>
              </w:rPr>
            </w:r>
            <w:r>
              <w:rPr>
                <w:noProof/>
                <w:webHidden/>
              </w:rPr>
              <w:fldChar w:fldCharType="separate"/>
            </w:r>
            <w:r>
              <w:rPr>
                <w:noProof/>
                <w:webHidden/>
              </w:rPr>
              <w:t>60</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56" w:history="1">
            <w:r w:rsidRPr="00427ED2">
              <w:rPr>
                <w:rStyle w:val="Hyperlink"/>
                <w:noProof/>
              </w:rPr>
              <w:t>9.3.3 Recruitment and Selection</w:t>
            </w:r>
            <w:r>
              <w:rPr>
                <w:noProof/>
                <w:webHidden/>
              </w:rPr>
              <w:tab/>
            </w:r>
            <w:r>
              <w:rPr>
                <w:noProof/>
                <w:webHidden/>
              </w:rPr>
              <w:fldChar w:fldCharType="begin"/>
            </w:r>
            <w:r>
              <w:rPr>
                <w:noProof/>
                <w:webHidden/>
              </w:rPr>
              <w:instrText xml:space="preserve"> PAGEREF _Toc239460956 \h </w:instrText>
            </w:r>
            <w:r>
              <w:rPr>
                <w:noProof/>
                <w:webHidden/>
              </w:rPr>
            </w:r>
            <w:r>
              <w:rPr>
                <w:noProof/>
                <w:webHidden/>
              </w:rPr>
              <w:fldChar w:fldCharType="separate"/>
            </w:r>
            <w:r>
              <w:rPr>
                <w:noProof/>
                <w:webHidden/>
              </w:rPr>
              <w:t>60</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57" w:history="1">
            <w:r w:rsidRPr="00427ED2">
              <w:rPr>
                <w:rStyle w:val="Hyperlink"/>
                <w:noProof/>
              </w:rPr>
              <w:t>9.3.4 Training and Development</w:t>
            </w:r>
            <w:r>
              <w:rPr>
                <w:noProof/>
                <w:webHidden/>
              </w:rPr>
              <w:tab/>
            </w:r>
            <w:r>
              <w:rPr>
                <w:noProof/>
                <w:webHidden/>
              </w:rPr>
              <w:fldChar w:fldCharType="begin"/>
            </w:r>
            <w:r>
              <w:rPr>
                <w:noProof/>
                <w:webHidden/>
              </w:rPr>
              <w:instrText xml:space="preserve"> PAGEREF _Toc239460957 \h </w:instrText>
            </w:r>
            <w:r>
              <w:rPr>
                <w:noProof/>
                <w:webHidden/>
              </w:rPr>
            </w:r>
            <w:r>
              <w:rPr>
                <w:noProof/>
                <w:webHidden/>
              </w:rPr>
              <w:fldChar w:fldCharType="separate"/>
            </w:r>
            <w:r>
              <w:rPr>
                <w:noProof/>
                <w:webHidden/>
              </w:rPr>
              <w:t>60</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58" w:history="1">
            <w:r w:rsidRPr="00427ED2">
              <w:rPr>
                <w:rStyle w:val="Hyperlink"/>
                <w:noProof/>
              </w:rPr>
              <w:t>9.3.5 Compensation and Labour Costs</w:t>
            </w:r>
            <w:r>
              <w:rPr>
                <w:noProof/>
                <w:webHidden/>
              </w:rPr>
              <w:tab/>
            </w:r>
            <w:r>
              <w:rPr>
                <w:noProof/>
                <w:webHidden/>
              </w:rPr>
              <w:fldChar w:fldCharType="begin"/>
            </w:r>
            <w:r>
              <w:rPr>
                <w:noProof/>
                <w:webHidden/>
              </w:rPr>
              <w:instrText xml:space="preserve"> PAGEREF _Toc239460958 \h </w:instrText>
            </w:r>
            <w:r>
              <w:rPr>
                <w:noProof/>
                <w:webHidden/>
              </w:rPr>
            </w:r>
            <w:r>
              <w:rPr>
                <w:noProof/>
                <w:webHidden/>
              </w:rPr>
              <w:fldChar w:fldCharType="separate"/>
            </w:r>
            <w:r>
              <w:rPr>
                <w:noProof/>
                <w:webHidden/>
              </w:rPr>
              <w:t>61</w:t>
            </w:r>
            <w:r>
              <w:rPr>
                <w:noProof/>
                <w:webHidden/>
              </w:rPr>
              <w:fldChar w:fldCharType="end"/>
            </w:r>
          </w:hyperlink>
        </w:p>
        <w:p w:rsidR="008C37A4" w:rsidRDefault="008C37A4">
          <w:pPr>
            <w:pStyle w:val="TOC3"/>
            <w:tabs>
              <w:tab w:val="right" w:leader="dot" w:pos="9350"/>
            </w:tabs>
            <w:rPr>
              <w:rFonts w:asciiTheme="minorHAnsi" w:eastAsiaTheme="minorEastAsia" w:hAnsiTheme="minorHAnsi" w:cstheme="minorBidi"/>
              <w:noProof/>
              <w:sz w:val="22"/>
              <w:szCs w:val="22"/>
              <w:lang w:eastAsia="en-US"/>
            </w:rPr>
          </w:pPr>
          <w:hyperlink w:anchor="_Toc239460959" w:history="1">
            <w:r w:rsidRPr="00427ED2">
              <w:rPr>
                <w:rStyle w:val="Hyperlink"/>
                <w:noProof/>
              </w:rPr>
              <w:t>9.3.6 HR Policies and Compliance</w:t>
            </w:r>
            <w:r>
              <w:rPr>
                <w:noProof/>
                <w:webHidden/>
              </w:rPr>
              <w:tab/>
            </w:r>
            <w:r>
              <w:rPr>
                <w:noProof/>
                <w:webHidden/>
              </w:rPr>
              <w:fldChar w:fldCharType="begin"/>
            </w:r>
            <w:r>
              <w:rPr>
                <w:noProof/>
                <w:webHidden/>
              </w:rPr>
              <w:instrText xml:space="preserve"> PAGEREF _Toc239460959 \h </w:instrText>
            </w:r>
            <w:r>
              <w:rPr>
                <w:noProof/>
                <w:webHidden/>
              </w:rPr>
            </w:r>
            <w:r>
              <w:rPr>
                <w:noProof/>
                <w:webHidden/>
              </w:rPr>
              <w:fldChar w:fldCharType="separate"/>
            </w:r>
            <w:r>
              <w:rPr>
                <w:noProof/>
                <w:webHidden/>
              </w:rPr>
              <w:t>61</w:t>
            </w:r>
            <w:r>
              <w:rPr>
                <w:noProof/>
                <w:webHidden/>
              </w:rPr>
              <w:fldChar w:fldCharType="end"/>
            </w:r>
          </w:hyperlink>
        </w:p>
        <w:p w:rsidR="008C37A4" w:rsidRDefault="008C37A4">
          <w:pPr>
            <w:pStyle w:val="TOC1"/>
            <w:tabs>
              <w:tab w:val="right" w:leader="dot" w:pos="9350"/>
            </w:tabs>
            <w:rPr>
              <w:rFonts w:asciiTheme="minorHAnsi" w:eastAsiaTheme="minorEastAsia" w:hAnsiTheme="minorHAnsi" w:cstheme="minorBidi"/>
              <w:noProof/>
              <w:sz w:val="22"/>
              <w:szCs w:val="22"/>
              <w:lang w:eastAsia="en-US"/>
            </w:rPr>
          </w:pPr>
          <w:hyperlink w:anchor="_Toc239460960" w:history="1">
            <w:r w:rsidRPr="00427ED2">
              <w:rPr>
                <w:rStyle w:val="Hyperlink"/>
                <w:noProof/>
              </w:rPr>
              <w:t>Chapter 10. Operations Plan</w:t>
            </w:r>
            <w:r>
              <w:rPr>
                <w:noProof/>
                <w:webHidden/>
              </w:rPr>
              <w:tab/>
            </w:r>
            <w:r>
              <w:rPr>
                <w:noProof/>
                <w:webHidden/>
              </w:rPr>
              <w:fldChar w:fldCharType="begin"/>
            </w:r>
            <w:r>
              <w:rPr>
                <w:noProof/>
                <w:webHidden/>
              </w:rPr>
              <w:instrText xml:space="preserve"> PAGEREF _Toc239460960 \h </w:instrText>
            </w:r>
            <w:r>
              <w:rPr>
                <w:noProof/>
                <w:webHidden/>
              </w:rPr>
            </w:r>
            <w:r>
              <w:rPr>
                <w:noProof/>
                <w:webHidden/>
              </w:rPr>
              <w:fldChar w:fldCharType="separate"/>
            </w:r>
            <w:r>
              <w:rPr>
                <w:noProof/>
                <w:webHidden/>
              </w:rPr>
              <w:t>62</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61" w:history="1">
            <w:r w:rsidRPr="00427ED2">
              <w:rPr>
                <w:rStyle w:val="Hyperlink"/>
                <w:noProof/>
              </w:rPr>
              <w:t>10.1 Operations Strategy</w:t>
            </w:r>
            <w:r>
              <w:rPr>
                <w:noProof/>
                <w:webHidden/>
              </w:rPr>
              <w:tab/>
            </w:r>
            <w:r>
              <w:rPr>
                <w:noProof/>
                <w:webHidden/>
              </w:rPr>
              <w:fldChar w:fldCharType="begin"/>
            </w:r>
            <w:r>
              <w:rPr>
                <w:noProof/>
                <w:webHidden/>
              </w:rPr>
              <w:instrText xml:space="preserve"> PAGEREF _Toc239460961 \h </w:instrText>
            </w:r>
            <w:r>
              <w:rPr>
                <w:noProof/>
                <w:webHidden/>
              </w:rPr>
            </w:r>
            <w:r>
              <w:rPr>
                <w:noProof/>
                <w:webHidden/>
              </w:rPr>
              <w:fldChar w:fldCharType="separate"/>
            </w:r>
            <w:r>
              <w:rPr>
                <w:noProof/>
                <w:webHidden/>
              </w:rPr>
              <w:t>62</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62" w:history="1">
            <w:r w:rsidRPr="00427ED2">
              <w:rPr>
                <w:rStyle w:val="Hyperlink"/>
                <w:noProof/>
              </w:rPr>
              <w:t>10.2 End-to-End Operational Workflow</w:t>
            </w:r>
            <w:r>
              <w:rPr>
                <w:noProof/>
                <w:webHidden/>
              </w:rPr>
              <w:tab/>
            </w:r>
            <w:r>
              <w:rPr>
                <w:noProof/>
                <w:webHidden/>
              </w:rPr>
              <w:fldChar w:fldCharType="begin"/>
            </w:r>
            <w:r>
              <w:rPr>
                <w:noProof/>
                <w:webHidden/>
              </w:rPr>
              <w:instrText xml:space="preserve"> PAGEREF _Toc239460962 \h </w:instrText>
            </w:r>
            <w:r>
              <w:rPr>
                <w:noProof/>
                <w:webHidden/>
              </w:rPr>
            </w:r>
            <w:r>
              <w:rPr>
                <w:noProof/>
                <w:webHidden/>
              </w:rPr>
              <w:fldChar w:fldCharType="separate"/>
            </w:r>
            <w:r>
              <w:rPr>
                <w:noProof/>
                <w:webHidden/>
              </w:rPr>
              <w:t>62</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63" w:history="1">
            <w:r w:rsidRPr="00427ED2">
              <w:rPr>
                <w:rStyle w:val="Hyperlink"/>
                <w:noProof/>
              </w:rPr>
              <w:t>10.3 Location Strategy</w:t>
            </w:r>
            <w:r>
              <w:rPr>
                <w:noProof/>
                <w:webHidden/>
              </w:rPr>
              <w:tab/>
            </w:r>
            <w:r>
              <w:rPr>
                <w:noProof/>
                <w:webHidden/>
              </w:rPr>
              <w:fldChar w:fldCharType="begin"/>
            </w:r>
            <w:r>
              <w:rPr>
                <w:noProof/>
                <w:webHidden/>
              </w:rPr>
              <w:instrText xml:space="preserve"> PAGEREF _Toc239460963 \h </w:instrText>
            </w:r>
            <w:r>
              <w:rPr>
                <w:noProof/>
                <w:webHidden/>
              </w:rPr>
            </w:r>
            <w:r>
              <w:rPr>
                <w:noProof/>
                <w:webHidden/>
              </w:rPr>
              <w:fldChar w:fldCharType="separate"/>
            </w:r>
            <w:r>
              <w:rPr>
                <w:noProof/>
                <w:webHidden/>
              </w:rPr>
              <w:t>63</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64" w:history="1">
            <w:r w:rsidRPr="00427ED2">
              <w:rPr>
                <w:rStyle w:val="Hyperlink"/>
                <w:noProof/>
              </w:rPr>
              <w:t>10.4 Supply Chain and Procurement</w:t>
            </w:r>
            <w:r>
              <w:rPr>
                <w:noProof/>
                <w:webHidden/>
              </w:rPr>
              <w:tab/>
            </w:r>
            <w:r>
              <w:rPr>
                <w:noProof/>
                <w:webHidden/>
              </w:rPr>
              <w:fldChar w:fldCharType="begin"/>
            </w:r>
            <w:r>
              <w:rPr>
                <w:noProof/>
                <w:webHidden/>
              </w:rPr>
              <w:instrText xml:space="preserve"> PAGEREF _Toc239460964 \h </w:instrText>
            </w:r>
            <w:r>
              <w:rPr>
                <w:noProof/>
                <w:webHidden/>
              </w:rPr>
            </w:r>
            <w:r>
              <w:rPr>
                <w:noProof/>
                <w:webHidden/>
              </w:rPr>
              <w:fldChar w:fldCharType="separate"/>
            </w:r>
            <w:r>
              <w:rPr>
                <w:noProof/>
                <w:webHidden/>
              </w:rPr>
              <w:t>64</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65" w:history="1">
            <w:r w:rsidRPr="00427ED2">
              <w:rPr>
                <w:rStyle w:val="Hyperlink"/>
                <w:noProof/>
              </w:rPr>
              <w:t>10.5 Inventory Management</w:t>
            </w:r>
            <w:r>
              <w:rPr>
                <w:noProof/>
                <w:webHidden/>
              </w:rPr>
              <w:tab/>
            </w:r>
            <w:r>
              <w:rPr>
                <w:noProof/>
                <w:webHidden/>
              </w:rPr>
              <w:fldChar w:fldCharType="begin"/>
            </w:r>
            <w:r>
              <w:rPr>
                <w:noProof/>
                <w:webHidden/>
              </w:rPr>
              <w:instrText xml:space="preserve"> PAGEREF _Toc239460965 \h </w:instrText>
            </w:r>
            <w:r>
              <w:rPr>
                <w:noProof/>
                <w:webHidden/>
              </w:rPr>
            </w:r>
            <w:r>
              <w:rPr>
                <w:noProof/>
                <w:webHidden/>
              </w:rPr>
              <w:fldChar w:fldCharType="separate"/>
            </w:r>
            <w:r>
              <w:rPr>
                <w:noProof/>
                <w:webHidden/>
              </w:rPr>
              <w:t>64</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66" w:history="1">
            <w:r w:rsidRPr="00427ED2">
              <w:rPr>
                <w:rStyle w:val="Hyperlink"/>
                <w:noProof/>
              </w:rPr>
              <w:t>10.6 Technology Systems</w:t>
            </w:r>
            <w:r>
              <w:rPr>
                <w:noProof/>
                <w:webHidden/>
              </w:rPr>
              <w:tab/>
            </w:r>
            <w:r>
              <w:rPr>
                <w:noProof/>
                <w:webHidden/>
              </w:rPr>
              <w:fldChar w:fldCharType="begin"/>
            </w:r>
            <w:r>
              <w:rPr>
                <w:noProof/>
                <w:webHidden/>
              </w:rPr>
              <w:instrText xml:space="preserve"> PAGEREF _Toc239460966 \h </w:instrText>
            </w:r>
            <w:r>
              <w:rPr>
                <w:noProof/>
                <w:webHidden/>
              </w:rPr>
            </w:r>
            <w:r>
              <w:rPr>
                <w:noProof/>
                <w:webHidden/>
              </w:rPr>
              <w:fldChar w:fldCharType="separate"/>
            </w:r>
            <w:r>
              <w:rPr>
                <w:noProof/>
                <w:webHidden/>
              </w:rPr>
              <w:t>64</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67" w:history="1">
            <w:r w:rsidRPr="00427ED2">
              <w:rPr>
                <w:rStyle w:val="Hyperlink"/>
                <w:noProof/>
              </w:rPr>
              <w:t>10.7 Quality Control</w:t>
            </w:r>
            <w:r>
              <w:rPr>
                <w:noProof/>
                <w:webHidden/>
              </w:rPr>
              <w:tab/>
            </w:r>
            <w:r>
              <w:rPr>
                <w:noProof/>
                <w:webHidden/>
              </w:rPr>
              <w:fldChar w:fldCharType="begin"/>
            </w:r>
            <w:r>
              <w:rPr>
                <w:noProof/>
                <w:webHidden/>
              </w:rPr>
              <w:instrText xml:space="preserve"> PAGEREF _Toc239460967 \h </w:instrText>
            </w:r>
            <w:r>
              <w:rPr>
                <w:noProof/>
                <w:webHidden/>
              </w:rPr>
            </w:r>
            <w:r>
              <w:rPr>
                <w:noProof/>
                <w:webHidden/>
              </w:rPr>
              <w:fldChar w:fldCharType="separate"/>
            </w:r>
            <w:r>
              <w:rPr>
                <w:noProof/>
                <w:webHidden/>
              </w:rPr>
              <w:t>65</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68" w:history="1">
            <w:r w:rsidRPr="00427ED2">
              <w:rPr>
                <w:rStyle w:val="Hyperlink"/>
                <w:noProof/>
              </w:rPr>
              <w:t>10.8 Logistics and Distribution</w:t>
            </w:r>
            <w:r>
              <w:rPr>
                <w:noProof/>
                <w:webHidden/>
              </w:rPr>
              <w:tab/>
            </w:r>
            <w:r>
              <w:rPr>
                <w:noProof/>
                <w:webHidden/>
              </w:rPr>
              <w:fldChar w:fldCharType="begin"/>
            </w:r>
            <w:r>
              <w:rPr>
                <w:noProof/>
                <w:webHidden/>
              </w:rPr>
              <w:instrText xml:space="preserve"> PAGEREF _Toc239460968 \h </w:instrText>
            </w:r>
            <w:r>
              <w:rPr>
                <w:noProof/>
                <w:webHidden/>
              </w:rPr>
            </w:r>
            <w:r>
              <w:rPr>
                <w:noProof/>
                <w:webHidden/>
              </w:rPr>
              <w:fldChar w:fldCharType="separate"/>
            </w:r>
            <w:r>
              <w:rPr>
                <w:noProof/>
                <w:webHidden/>
              </w:rPr>
              <w:t>65</w:t>
            </w:r>
            <w:r>
              <w:rPr>
                <w:noProof/>
                <w:webHidden/>
              </w:rPr>
              <w:fldChar w:fldCharType="end"/>
            </w:r>
          </w:hyperlink>
        </w:p>
        <w:p w:rsidR="008C37A4" w:rsidRDefault="008C37A4">
          <w:pPr>
            <w:pStyle w:val="TOC2"/>
            <w:tabs>
              <w:tab w:val="right" w:leader="dot" w:pos="9350"/>
            </w:tabs>
            <w:rPr>
              <w:rFonts w:asciiTheme="minorHAnsi" w:eastAsiaTheme="minorEastAsia" w:hAnsiTheme="minorHAnsi" w:cstheme="minorBidi"/>
              <w:noProof/>
              <w:sz w:val="22"/>
              <w:szCs w:val="22"/>
              <w:lang w:eastAsia="en-US"/>
            </w:rPr>
          </w:pPr>
          <w:hyperlink w:anchor="_Toc239460969" w:history="1">
            <w:r w:rsidRPr="00427ED2">
              <w:rPr>
                <w:rStyle w:val="Hyperlink"/>
                <w:noProof/>
              </w:rPr>
              <w:t>10.9 Legal and Regulatory Considerations</w:t>
            </w:r>
            <w:r>
              <w:rPr>
                <w:noProof/>
                <w:webHidden/>
              </w:rPr>
              <w:tab/>
            </w:r>
            <w:r>
              <w:rPr>
                <w:noProof/>
                <w:webHidden/>
              </w:rPr>
              <w:fldChar w:fldCharType="begin"/>
            </w:r>
            <w:r>
              <w:rPr>
                <w:noProof/>
                <w:webHidden/>
              </w:rPr>
              <w:instrText xml:space="preserve"> PAGEREF _Toc239460969 \h </w:instrText>
            </w:r>
            <w:r>
              <w:rPr>
                <w:noProof/>
                <w:webHidden/>
              </w:rPr>
            </w:r>
            <w:r>
              <w:rPr>
                <w:noProof/>
                <w:webHidden/>
              </w:rPr>
              <w:fldChar w:fldCharType="separate"/>
            </w:r>
            <w:r>
              <w:rPr>
                <w:noProof/>
                <w:webHidden/>
              </w:rPr>
              <w:t>66</w:t>
            </w:r>
            <w:r>
              <w:rPr>
                <w:noProof/>
                <w:webHidden/>
              </w:rPr>
              <w:fldChar w:fldCharType="end"/>
            </w:r>
          </w:hyperlink>
        </w:p>
        <w:p w:rsidR="008C37A4" w:rsidRDefault="008C37A4">
          <w:pPr>
            <w:pStyle w:val="TOC1"/>
            <w:tabs>
              <w:tab w:val="right" w:leader="dot" w:pos="9350"/>
            </w:tabs>
            <w:rPr>
              <w:rFonts w:asciiTheme="minorHAnsi" w:eastAsiaTheme="minorEastAsia" w:hAnsiTheme="minorHAnsi" w:cstheme="minorBidi"/>
              <w:noProof/>
              <w:sz w:val="22"/>
              <w:szCs w:val="22"/>
              <w:lang w:eastAsia="en-US"/>
            </w:rPr>
          </w:pPr>
          <w:hyperlink w:anchor="_Toc239460970" w:history="1">
            <w:r w:rsidRPr="00427ED2">
              <w:rPr>
                <w:rStyle w:val="Hyperlink"/>
                <w:noProof/>
              </w:rPr>
              <w:t>References</w:t>
            </w:r>
            <w:r>
              <w:rPr>
                <w:noProof/>
                <w:webHidden/>
              </w:rPr>
              <w:tab/>
            </w:r>
            <w:r>
              <w:rPr>
                <w:noProof/>
                <w:webHidden/>
              </w:rPr>
              <w:fldChar w:fldCharType="begin"/>
            </w:r>
            <w:r>
              <w:rPr>
                <w:noProof/>
                <w:webHidden/>
              </w:rPr>
              <w:instrText xml:space="preserve"> PAGEREF _Toc239460970 \h </w:instrText>
            </w:r>
            <w:r>
              <w:rPr>
                <w:noProof/>
                <w:webHidden/>
              </w:rPr>
            </w:r>
            <w:r>
              <w:rPr>
                <w:noProof/>
                <w:webHidden/>
              </w:rPr>
              <w:fldChar w:fldCharType="separate"/>
            </w:r>
            <w:r>
              <w:rPr>
                <w:noProof/>
                <w:webHidden/>
              </w:rPr>
              <w:t>67</w:t>
            </w:r>
            <w:r>
              <w:rPr>
                <w:noProof/>
                <w:webHidden/>
              </w:rPr>
              <w:fldChar w:fldCharType="end"/>
            </w:r>
          </w:hyperlink>
        </w:p>
        <w:p w:rsidR="004F6403" w:rsidRDefault="00FE617C">
          <w:r>
            <w:fldChar w:fldCharType="end"/>
          </w:r>
        </w:p>
      </w:sdtContent>
    </w:sdt>
    <w:p w:rsidR="002C2BC8" w:rsidRDefault="002C2BC8">
      <w:pPr>
        <w:pStyle w:val="Heading1"/>
        <w:keepNext w:val="0"/>
        <w:keepLines w:val="0"/>
      </w:pPr>
    </w:p>
    <w:p w:rsidR="002C2BC8" w:rsidRDefault="00FC2205">
      <w:pPr>
        <w:pStyle w:val="Heading1"/>
        <w:keepNext w:val="0"/>
        <w:keepLines w:val="0"/>
      </w:pPr>
      <w:bookmarkStart w:id="7" w:name="_heading=h.sgphu611uu83" w:colFirst="0" w:colLast="0"/>
      <w:bookmarkEnd w:id="7"/>
      <w:r>
        <w:br w:type="page"/>
      </w:r>
    </w:p>
    <w:p w:rsidR="002C2BC8" w:rsidRDefault="00FC2205" w:rsidP="002043AA">
      <w:pPr>
        <w:pStyle w:val="Heading1"/>
        <w:keepNext w:val="0"/>
        <w:keepLines w:val="0"/>
        <w:numPr>
          <w:ilvl w:val="0"/>
          <w:numId w:val="11"/>
        </w:numPr>
      </w:pPr>
      <w:bookmarkStart w:id="8" w:name="_Toc239460872"/>
      <w:r>
        <w:lastRenderedPageBreak/>
        <w:t>Introduction</w:t>
      </w:r>
      <w:bookmarkEnd w:id="8"/>
    </w:p>
    <w:p w:rsidR="002043AA" w:rsidRDefault="002043AA" w:rsidP="002043AA">
      <w:pPr>
        <w:pStyle w:val="Heading2"/>
        <w:keepNext w:val="0"/>
        <w:keepLines w:val="0"/>
      </w:pPr>
      <w:bookmarkStart w:id="9" w:name="_Toc239460873"/>
      <w:r>
        <w:t>1.1 Background / Context</w:t>
      </w:r>
      <w:bookmarkEnd w:id="9"/>
    </w:p>
    <w:p w:rsidR="002043AA" w:rsidRDefault="002043AA" w:rsidP="002043AA">
      <w:r>
        <w:t>Hybrid working, pressure on costs and sustainability demands are changing the face of the UK's workplace. Rather, ONS, (2023) reports that the percentage of working adults who hybrid worked between January and March 2025 was 28 percent of working adults in Great Britain, where the requirements in the workplace are no longer fixed. EcoLoop's subscription service could mean that businesses can change out furniture without having to buy it multiple times.</w:t>
      </w:r>
    </w:p>
    <w:p w:rsidR="002043AA" w:rsidRDefault="002043AA" w:rsidP="002043AA">
      <w:pPr>
        <w:jc w:val="center"/>
        <w:rPr>
          <w:b/>
          <w:bCs/>
          <w:i/>
          <w:iCs/>
        </w:rPr>
      </w:pPr>
      <w:r>
        <w:rPr>
          <w:b/>
          <w:bCs/>
          <w:i/>
          <w:iCs/>
          <w:noProof/>
          <w:lang w:eastAsia="en-US"/>
        </w:rPr>
        <w:drawing>
          <wp:inline distT="114300" distB="114300" distL="114300" distR="114300">
            <wp:extent cx="4829175" cy="2878931"/>
            <wp:effectExtent l="12700" t="12700" r="12700" b="127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cstate="print"/>
                    <a:srcRect/>
                    <a:stretch>
                      <a:fillRect/>
                    </a:stretch>
                  </pic:blipFill>
                  <pic:spPr>
                    <a:xfrm>
                      <a:off x="0" y="0"/>
                      <a:ext cx="4829175" cy="2878931"/>
                    </a:xfrm>
                    <a:prstGeom prst="rect">
                      <a:avLst/>
                    </a:prstGeom>
                    <a:ln w="12700">
                      <a:solidFill>
                        <a:srgbClr val="000000"/>
                      </a:solidFill>
                      <a:prstDash val="solid"/>
                    </a:ln>
                  </pic:spPr>
                </pic:pic>
              </a:graphicData>
            </a:graphic>
          </wp:inline>
        </w:drawing>
      </w:r>
    </w:p>
    <w:p w:rsidR="002043AA" w:rsidRDefault="002043AA" w:rsidP="002043AA">
      <w:pPr>
        <w:jc w:val="center"/>
        <w:rPr>
          <w:b/>
          <w:bCs/>
          <w:i/>
          <w:iCs/>
        </w:rPr>
      </w:pPr>
      <w:r>
        <w:rPr>
          <w:b/>
          <w:bCs/>
          <w:i/>
          <w:iCs/>
        </w:rPr>
        <w:t>Figure 2 : Working from Home Statistics UK (2025)</w:t>
      </w:r>
    </w:p>
    <w:p w:rsidR="002043AA" w:rsidRDefault="002043AA" w:rsidP="002043AA">
      <w:pPr>
        <w:jc w:val="center"/>
        <w:rPr>
          <w:b/>
          <w:bCs/>
          <w:i/>
          <w:iCs/>
        </w:rPr>
      </w:pPr>
      <w:r>
        <w:rPr>
          <w:b/>
          <w:bCs/>
          <w:i/>
          <w:iCs/>
        </w:rPr>
        <w:t>Source:(Dalton, 2025)</w:t>
      </w:r>
    </w:p>
    <w:p w:rsidR="002043AA" w:rsidRDefault="002043AA" w:rsidP="002043AA">
      <w:r>
        <w:t>Technology has the potential to enhance the opportunity by aligning subscriptions, inventory, maintenance, replacement and ESG reporting. Policy is another motivator. There is clear evidence that sustainability is becoming part of the standards for furniture and textiles procurement, with UK government guidelines covering both materials. Furniture and textiles are both covered by UK government procurement standards, making sustainability an ever-</w:t>
      </w:r>
      <w:r>
        <w:lastRenderedPageBreak/>
        <w:t>increasing part of the purchasing criteria. However, regulation can make things more complicated for the operators without necessarily creating demand.</w:t>
      </w:r>
    </w:p>
    <w:p w:rsidR="002043AA" w:rsidRPr="002043AA" w:rsidRDefault="002043AA" w:rsidP="002043AA"/>
    <w:p w:rsidR="002C2BC8" w:rsidRDefault="009644E8">
      <w:pPr>
        <w:pStyle w:val="Heading2"/>
        <w:keepNext w:val="0"/>
        <w:keepLines w:val="0"/>
      </w:pPr>
      <w:bookmarkStart w:id="10" w:name="_Toc239460874"/>
      <w:r>
        <w:t>1</w:t>
      </w:r>
      <w:r w:rsidR="002043AA">
        <w:t>.2</w:t>
      </w:r>
      <w:r w:rsidR="00FC2205">
        <w:t xml:space="preserve"> Problem / Opportunity Statement</w:t>
      </w:r>
      <w:bookmarkEnd w:id="10"/>
    </w:p>
    <w:p w:rsidR="002C2BC8" w:rsidRDefault="00FC2205">
      <w:r>
        <w:t xml:space="preserve">Businesses in the UK are increasingly facing fluctuating office needs, but the furniture business model doesn't match the needs, as furniture purchases are usually made as a fixed asset.EcoLoop Office is a response to a gap in the UK corporate furniture industry, as businesses often buy furniture as a fixed asset in the face of ever-changing work environments. Furniture that may still be useful, but has been left under-used or thrown out due to relocation, downsizing, refurbishment and redesign. This is important as London is cited as the world's second highest office fit-out cost market, with a focus on reducing head-investment (Consultancy UK, 2026). </w:t>
      </w:r>
    </w:p>
    <w:p w:rsidR="002C2BC8" w:rsidRDefault="00FC2205">
      <w:pPr>
        <w:jc w:val="center"/>
        <w:rPr>
          <w:b/>
          <w:bCs/>
          <w:i/>
          <w:iCs/>
        </w:rPr>
      </w:pPr>
      <w:r>
        <w:rPr>
          <w:b/>
          <w:bCs/>
          <w:i/>
          <w:iCs/>
          <w:noProof/>
          <w:lang w:eastAsia="en-US"/>
        </w:rPr>
        <w:drawing>
          <wp:inline distT="114300" distB="114300" distL="114300" distR="114300">
            <wp:extent cx="4041775" cy="3523599"/>
            <wp:effectExtent l="12700" t="12700" r="12700" b="12700"/>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t="11086" b="17705"/>
                    <a:stretch>
                      <a:fillRect/>
                    </a:stretch>
                  </pic:blipFill>
                  <pic:spPr>
                    <a:xfrm>
                      <a:off x="0" y="0"/>
                      <a:ext cx="4041775" cy="3523599"/>
                    </a:xfrm>
                    <a:prstGeom prst="rect">
                      <a:avLst/>
                    </a:prstGeom>
                    <a:ln w="12700">
                      <a:solidFill>
                        <a:srgbClr val="000000"/>
                      </a:solidFill>
                      <a:prstDash val="solid"/>
                    </a:ln>
                  </pic:spPr>
                </pic:pic>
              </a:graphicData>
            </a:graphic>
          </wp:inline>
        </w:drawing>
      </w:r>
    </w:p>
    <w:p w:rsidR="002C2BC8" w:rsidRDefault="00FC2205">
      <w:pPr>
        <w:jc w:val="center"/>
        <w:rPr>
          <w:b/>
          <w:bCs/>
          <w:i/>
          <w:iCs/>
        </w:rPr>
      </w:pPr>
      <w:r>
        <w:rPr>
          <w:b/>
          <w:bCs/>
          <w:i/>
          <w:iCs/>
        </w:rPr>
        <w:t>Figure 1 : The number of VAT and/or PAYE businesses in the UK increased by 0.4% in the past year</w:t>
      </w:r>
    </w:p>
    <w:p w:rsidR="002C2BC8" w:rsidRDefault="00FC2205">
      <w:pPr>
        <w:jc w:val="center"/>
        <w:rPr>
          <w:b/>
          <w:bCs/>
          <w:i/>
          <w:iCs/>
        </w:rPr>
      </w:pPr>
      <w:r>
        <w:rPr>
          <w:b/>
          <w:bCs/>
          <w:i/>
          <w:iCs/>
        </w:rPr>
        <w:lastRenderedPageBreak/>
        <w:t>Source: (Business Registers Strategy and Outputs team, 2025)</w:t>
      </w:r>
    </w:p>
    <w:p w:rsidR="002C2BC8" w:rsidRDefault="00FC2205" w:rsidP="002043AA">
      <w:r>
        <w:t xml:space="preserve">There were also 2.73 million VAT and/or PAYE businesses in the UK in March 2025, which suggests a significant potential ON organising customer base (ONS, 2025). But, for sustainability to be a benefit, the costs of reverse logistics, storage, maintenance and quality control need to be less than the benefits. This separation is key as it's possible to achieve circularity and save on materials without also cutting down on service fees. Therefore, for commercial scalability to be assumed, there is a need to have evidence of repeat demand, acceptable price, high asset utilisation, and dependable refurbishment quality, for EcoLoop. </w:t>
      </w:r>
    </w:p>
    <w:p w:rsidR="002C2BC8" w:rsidRDefault="009644E8">
      <w:pPr>
        <w:pStyle w:val="Heading2"/>
        <w:keepNext w:val="0"/>
        <w:keepLines w:val="0"/>
      </w:pPr>
      <w:bookmarkStart w:id="11" w:name="_Toc239460875"/>
      <w:r>
        <w:t>1</w:t>
      </w:r>
      <w:r w:rsidR="00FC2205">
        <w:t>.3 Initial Observation of Demand</w:t>
      </w:r>
      <w:bookmarkEnd w:id="11"/>
    </w:p>
    <w:p w:rsidR="002C2BC8" w:rsidRDefault="00FC2205">
      <w:r>
        <w:t>SMEs and scale-ups, corporate tenants and flexible-workspace operators identified in the proposal are showing early signs of demand. The potential for reuse in the public sector is illustrated in practice by the following figures: In 2024/25, Homes England diverted 21 tonnes of office furniture from disposal and redistributed 543 furniture and office-asset items during office moves and floor-space rationalisation (Homes England, 2025). But this is only proof of their willingness to pay for subscriptions. Customer adoption is still unclear, especially if customers feel that the refurbished furniture is less good than the original, or owning it means that they have control over it.</w:t>
      </w:r>
    </w:p>
    <w:p w:rsidR="009644E8" w:rsidRDefault="009644E8" w:rsidP="009644E8">
      <w:pPr>
        <w:pStyle w:val="Heading2"/>
        <w:keepNext w:val="0"/>
        <w:keepLines w:val="0"/>
      </w:pPr>
      <w:bookmarkStart w:id="12" w:name="_Toc239460876"/>
      <w:r>
        <w:t>1</w:t>
      </w:r>
      <w:r w:rsidR="00FC2205">
        <w:t xml:space="preserve">.4 </w:t>
      </w:r>
      <w:r>
        <w:t>Aim ,Objectives and Research Questions</w:t>
      </w:r>
      <w:bookmarkEnd w:id="12"/>
    </w:p>
    <w:p w:rsidR="009644E8" w:rsidRDefault="009644E8" w:rsidP="009644E8">
      <w:pPr>
        <w:pStyle w:val="Heading2"/>
        <w:keepNext w:val="0"/>
        <w:keepLines w:val="0"/>
      </w:pPr>
      <w:bookmarkStart w:id="13" w:name="_Toc237818461"/>
      <w:r>
        <w:t xml:space="preserve"> </w:t>
      </w:r>
      <w:bookmarkStart w:id="14" w:name="_Toc238052221"/>
      <w:bookmarkStart w:id="15" w:name="_Toc239460877"/>
      <w:r>
        <w:t>Research Aim</w:t>
      </w:r>
      <w:bookmarkEnd w:id="13"/>
      <w:bookmarkEnd w:id="14"/>
      <w:bookmarkEnd w:id="15"/>
    </w:p>
    <w:p w:rsidR="009644E8" w:rsidRDefault="009644E8" w:rsidP="009644E8">
      <w:r>
        <w:t>This research will be used to determine the market viability and commercial feasibility of EcoLoop Office as a viable circular furniture subscription and refurbishment platform for the UK.</w:t>
      </w:r>
    </w:p>
    <w:p w:rsidR="009644E8" w:rsidRDefault="009644E8" w:rsidP="009644E8">
      <w:pPr>
        <w:pStyle w:val="Heading2"/>
        <w:keepNext w:val="0"/>
        <w:keepLines w:val="0"/>
      </w:pPr>
      <w:bookmarkStart w:id="16" w:name="_tpdcyutfwscu" w:colFirst="0" w:colLast="0"/>
      <w:bookmarkStart w:id="17" w:name="_Toc237818462"/>
      <w:bookmarkEnd w:id="16"/>
      <w:r>
        <w:t xml:space="preserve"> </w:t>
      </w:r>
      <w:bookmarkStart w:id="18" w:name="_Toc238052222"/>
    </w:p>
    <w:p w:rsidR="009644E8" w:rsidRDefault="009644E8" w:rsidP="009644E8">
      <w:pPr>
        <w:pStyle w:val="Heading2"/>
        <w:keepNext w:val="0"/>
        <w:keepLines w:val="0"/>
      </w:pPr>
      <w:bookmarkStart w:id="19" w:name="_Toc239460878"/>
      <w:r>
        <w:t>Research Objectives</w:t>
      </w:r>
      <w:bookmarkEnd w:id="17"/>
      <w:bookmarkEnd w:id="18"/>
      <w:bookmarkEnd w:id="19"/>
    </w:p>
    <w:p w:rsidR="009644E8" w:rsidRDefault="009644E8" w:rsidP="009644E8">
      <w:pPr>
        <w:numPr>
          <w:ilvl w:val="0"/>
          <w:numId w:val="9"/>
        </w:numPr>
        <w:spacing w:after="0"/>
        <w:jc w:val="left"/>
      </w:pPr>
      <w:r>
        <w:lastRenderedPageBreak/>
        <w:t>To assess the demand (subscriptions) for office furniture in the UK and the market conditions.</w:t>
      </w:r>
    </w:p>
    <w:p w:rsidR="009644E8" w:rsidRDefault="009644E8" w:rsidP="009644E8">
      <w:pPr>
        <w:numPr>
          <w:ilvl w:val="0"/>
          <w:numId w:val="9"/>
        </w:numPr>
        <w:spacing w:before="0" w:after="0"/>
        <w:jc w:val="left"/>
      </w:pPr>
      <w:r>
        <w:t>To evaluate furniture renting and refurbishing benefits, compared to cost flexibility, and ESG dimension.</w:t>
      </w:r>
    </w:p>
    <w:p w:rsidR="009644E8" w:rsidRDefault="009644E8" w:rsidP="009644E8">
      <w:pPr>
        <w:numPr>
          <w:ilvl w:val="0"/>
          <w:numId w:val="9"/>
        </w:numPr>
        <w:spacing w:before="0" w:after="0"/>
        <w:jc w:val="left"/>
      </w:pPr>
      <w:r>
        <w:t>To see how EcoLoop Office could be viable in the marketplace, and investigate its operating model, its cost and value-added proposition.</w:t>
      </w:r>
    </w:p>
    <w:p w:rsidR="009644E8" w:rsidRDefault="009644E8" w:rsidP="009644E8">
      <w:pPr>
        <w:numPr>
          <w:ilvl w:val="0"/>
          <w:numId w:val="9"/>
        </w:numPr>
        <w:spacing w:before="0"/>
        <w:jc w:val="left"/>
      </w:pPr>
      <w:r>
        <w:t>To identify Key opportunities for UK circular office furniture platforms to be identified, as well as competitive pressures, regulatory factors and barriers.</w:t>
      </w:r>
    </w:p>
    <w:p w:rsidR="009644E8" w:rsidRDefault="009644E8" w:rsidP="009644E8">
      <w:pPr>
        <w:pStyle w:val="Heading2"/>
        <w:keepNext w:val="0"/>
        <w:keepLines w:val="0"/>
      </w:pPr>
      <w:bookmarkStart w:id="20" w:name="_79c7ct832o6x" w:colFirst="0" w:colLast="0"/>
      <w:bookmarkStart w:id="21" w:name="_Toc237818463"/>
      <w:bookmarkEnd w:id="20"/>
      <w:r>
        <w:t xml:space="preserve"> </w:t>
      </w:r>
      <w:bookmarkStart w:id="22" w:name="_Toc238052223"/>
      <w:bookmarkStart w:id="23" w:name="_Toc239460879"/>
      <w:r>
        <w:t>Research Questions</w:t>
      </w:r>
      <w:bookmarkEnd w:id="21"/>
      <w:bookmarkEnd w:id="22"/>
      <w:bookmarkEnd w:id="23"/>
    </w:p>
    <w:p w:rsidR="009644E8" w:rsidRDefault="009644E8" w:rsidP="009644E8">
      <w:pPr>
        <w:numPr>
          <w:ilvl w:val="0"/>
          <w:numId w:val="10"/>
        </w:numPr>
        <w:spacing w:after="0"/>
        <w:jc w:val="left"/>
      </w:pPr>
      <w:r>
        <w:t>How much of a market exists for subscription furniture in the UK Office Fit-out Industry?</w:t>
      </w:r>
    </w:p>
    <w:p w:rsidR="009644E8" w:rsidRDefault="009644E8" w:rsidP="009644E8">
      <w:pPr>
        <w:numPr>
          <w:ilvl w:val="0"/>
          <w:numId w:val="10"/>
        </w:numPr>
        <w:spacing w:before="0" w:after="0"/>
        <w:jc w:val="left"/>
      </w:pPr>
      <w:r>
        <w:t>What is the business case for furniture subscription and refurbishment, offering cost and value flexibility for UK businesses in terms of ESG value?</w:t>
      </w:r>
    </w:p>
    <w:p w:rsidR="002C2BC8" w:rsidRDefault="002C2BC8">
      <w:pPr>
        <w:pStyle w:val="Heading2"/>
        <w:keepNext w:val="0"/>
        <w:keepLines w:val="0"/>
      </w:pPr>
    </w:p>
    <w:p w:rsidR="009644E8" w:rsidRDefault="009644E8" w:rsidP="009644E8">
      <w:pPr>
        <w:pStyle w:val="Heading2"/>
        <w:keepNext w:val="0"/>
        <w:keepLines w:val="0"/>
      </w:pPr>
      <w:bookmarkStart w:id="24" w:name="_Toc239460880"/>
      <w:r>
        <w:t>1</w:t>
      </w:r>
      <w:r w:rsidR="00FC2205">
        <w:t xml:space="preserve">.5 </w:t>
      </w:r>
      <w:r>
        <w:t>Scope of Analysis</w:t>
      </w:r>
      <w:bookmarkEnd w:id="24"/>
    </w:p>
    <w:p w:rsidR="009644E8" w:rsidRDefault="009644E8" w:rsidP="009644E8">
      <w:pPr>
        <w:pStyle w:val="normal0"/>
      </w:pPr>
      <w:r>
        <w:t xml:space="preserve">The analysis concentrates on the UK corporate office fit-out and refurbishment market, specifically looking at demand, customer value, competition, cost flexibility, ESG value, regulation and commercial viability of EcoLoop Office. It does not include consumer markets that are not primary, related to the house and interviews/surveys that are not primary. The study is based mainly on secondary evidence, which is in accordance with the proposal. </w:t>
      </w:r>
    </w:p>
    <w:p w:rsidR="002C2BC8" w:rsidRDefault="002C2BC8">
      <w:pPr>
        <w:pStyle w:val="Heading2"/>
        <w:keepNext w:val="0"/>
        <w:keepLines w:val="0"/>
      </w:pPr>
    </w:p>
    <w:p w:rsidR="002C2BC8" w:rsidRDefault="009644E8">
      <w:pPr>
        <w:pStyle w:val="Heading2"/>
        <w:keepNext w:val="0"/>
        <w:keepLines w:val="0"/>
      </w:pPr>
      <w:bookmarkStart w:id="25" w:name="_Toc239460881"/>
      <w:r>
        <w:t>1</w:t>
      </w:r>
      <w:r w:rsidR="00FC2205">
        <w:t>.6 Structure of the Report</w:t>
      </w:r>
      <w:bookmarkEnd w:id="25"/>
    </w:p>
    <w:p w:rsidR="002C2BC8" w:rsidRDefault="00FC2205">
      <w:r>
        <w:t xml:space="preserve">This introduction is followed by a critical review of relevant literature and theories, an explanation of the secondary research method, an assessment of market opportunity and </w:t>
      </w:r>
      <w:r>
        <w:lastRenderedPageBreak/>
        <w:t>assessment of the external environment, findings analysis, business model and commercial feasibility analysis, all leading to evidence based recommendations.</w:t>
      </w:r>
    </w:p>
    <w:p w:rsidR="002C2BC8" w:rsidRDefault="008230A6">
      <w:pPr>
        <w:pStyle w:val="Heading1"/>
        <w:keepNext w:val="0"/>
        <w:keepLines w:val="0"/>
      </w:pPr>
      <w:bookmarkStart w:id="26" w:name="_Toc239460882"/>
      <w:r>
        <w:t>2</w:t>
      </w:r>
      <w:r w:rsidR="00FC2205">
        <w:t>. Company Description</w:t>
      </w:r>
      <w:bookmarkEnd w:id="26"/>
    </w:p>
    <w:p w:rsidR="002C2BC8" w:rsidRDefault="008230A6">
      <w:pPr>
        <w:pStyle w:val="Heading2"/>
        <w:keepNext w:val="0"/>
        <w:keepLines w:val="0"/>
      </w:pPr>
      <w:bookmarkStart w:id="27" w:name="_Toc239460883"/>
      <w:r>
        <w:t>2</w:t>
      </w:r>
      <w:r w:rsidR="00FC2205">
        <w:t xml:space="preserve">.1 Business Identity, </w:t>
      </w:r>
      <w:r w:rsidR="002043AA">
        <w:t xml:space="preserve">Legal </w:t>
      </w:r>
      <w:r w:rsidR="00FC2205">
        <w:t>Structure</w:t>
      </w:r>
      <w:bookmarkEnd w:id="27"/>
      <w:r w:rsidR="00FC2205">
        <w:t xml:space="preserve"> </w:t>
      </w:r>
    </w:p>
    <w:p w:rsidR="002C2BC8" w:rsidRDefault="00FC2205">
      <w:r>
        <w:t xml:space="preserve">EcoLoop Office is a proposed business-to-business, circular furniture platform in the UK, which facilitates access over the ownership of office furniture. EcoLoop does not identify an existing incorporated entity, so it is important to consider the possibility of a proposed private limited company (Ltd), with headquarters initially in London, with UK-wide digital reach and logistics partnerships. </w:t>
      </w:r>
    </w:p>
    <w:p w:rsidR="002C2BC8" w:rsidRDefault="00FC2205">
      <w:pPr>
        <w:jc w:val="center"/>
        <w:rPr>
          <w:b/>
          <w:bCs/>
          <w:i/>
          <w:iCs/>
        </w:rPr>
      </w:pPr>
      <w:r>
        <w:rPr>
          <w:b/>
          <w:bCs/>
          <w:i/>
          <w:iCs/>
          <w:noProof/>
          <w:lang w:eastAsia="en-US"/>
        </w:rPr>
        <w:drawing>
          <wp:inline distT="114300" distB="114300" distL="114300" distR="114300">
            <wp:extent cx="4929188" cy="3286125"/>
            <wp:effectExtent l="12700" t="12700" r="12700" b="12700"/>
            <wp:docPr id="2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cstate="print"/>
                    <a:srcRect/>
                    <a:stretch>
                      <a:fillRect/>
                    </a:stretch>
                  </pic:blipFill>
                  <pic:spPr>
                    <a:xfrm>
                      <a:off x="0" y="0"/>
                      <a:ext cx="4929188" cy="3286125"/>
                    </a:xfrm>
                    <a:prstGeom prst="rect">
                      <a:avLst/>
                    </a:prstGeom>
                    <a:ln w="12700">
                      <a:solidFill>
                        <a:srgbClr val="000000"/>
                      </a:solidFill>
                      <a:prstDash val="solid"/>
                    </a:ln>
                  </pic:spPr>
                </pic:pic>
              </a:graphicData>
            </a:graphic>
          </wp:inline>
        </w:drawing>
      </w:r>
    </w:p>
    <w:p w:rsidR="002C2BC8" w:rsidRDefault="00FC2205">
      <w:pPr>
        <w:jc w:val="center"/>
        <w:rPr>
          <w:b/>
          <w:bCs/>
          <w:i/>
          <w:iCs/>
        </w:rPr>
      </w:pPr>
      <w:r>
        <w:rPr>
          <w:b/>
          <w:bCs/>
          <w:i/>
          <w:iCs/>
        </w:rPr>
        <w:t>Figure 3: Ecoloop</w:t>
      </w:r>
    </w:p>
    <w:p w:rsidR="002C2BC8" w:rsidRDefault="00FC2205">
      <w:pPr>
        <w:jc w:val="center"/>
        <w:rPr>
          <w:b/>
          <w:bCs/>
          <w:i/>
          <w:iCs/>
        </w:rPr>
      </w:pPr>
      <w:r>
        <w:rPr>
          <w:b/>
          <w:bCs/>
          <w:i/>
          <w:iCs/>
        </w:rPr>
        <w:t>Source: Self-developed</w:t>
      </w:r>
    </w:p>
    <w:p w:rsidR="002C2BC8" w:rsidRDefault="00FC2205">
      <w:r>
        <w:t xml:space="preserve">This is an adequate structure to meet the needs of the model, which need investment in inventory, refurbishment costs, technology and working capital, and where founders also have </w:t>
      </w:r>
      <w:r>
        <w:lastRenderedPageBreak/>
        <w:t>limited personal liability. It aims to be more flexible, affordable and circular in the world of office furniture and aspires to be a scalable platform for furniture-as-a-service in the UK. Core values are circularity, affordability, reliability, transparency and customer flexibility.</w:t>
      </w:r>
    </w:p>
    <w:p w:rsidR="002C2BC8" w:rsidRDefault="008230A6">
      <w:pPr>
        <w:pStyle w:val="Heading2"/>
        <w:keepNext w:val="0"/>
        <w:keepLines w:val="0"/>
      </w:pPr>
      <w:bookmarkStart w:id="28" w:name="_Toc239460884"/>
      <w:r>
        <w:t>2</w:t>
      </w:r>
      <w:r w:rsidR="00FC2205">
        <w:t>.2 Product/Service and Problem Solved</w:t>
      </w:r>
      <w:bookmarkEnd w:id="28"/>
    </w:p>
    <w:p w:rsidR="002C2BC8" w:rsidRDefault="00FC2205">
      <w:r>
        <w:t>EcoLoop Office provides the following furniture subscription solutions: delivery &amp; installation, maintenance, refurbishment, flexible swap out, take back, resale and ESG impact reporting. The model thus transforms furniture from an asset to a service. This directly tackles the issue of high initial costs of procurement, excess furniture as a result of relocation or downsizing, and the disposal process of the excess furniture. The potential is huge – the UK discards approximately 1.2m desks and 1.8m chairs each year, and 17% of desks are recyclable (WRAP, 2025). This is why it is commercially relevant but EcoLoop cannot guarantee that the environment's needs are equivalent to customer demand, therefore, the quality, hygiene, availability and monthly prices need to be competitive.</w:t>
      </w:r>
    </w:p>
    <w:p w:rsidR="002C2BC8" w:rsidRDefault="008230A6">
      <w:pPr>
        <w:pStyle w:val="Heading2"/>
        <w:keepNext w:val="0"/>
        <w:keepLines w:val="0"/>
      </w:pPr>
      <w:bookmarkStart w:id="29" w:name="_Toc239460885"/>
      <w:r>
        <w:t>2</w:t>
      </w:r>
      <w:r w:rsidR="00FC2205">
        <w:t>.3</w:t>
      </w:r>
      <w:r w:rsidR="00FF2D7A">
        <w:t xml:space="preserve"> </w:t>
      </w:r>
      <w:r w:rsidR="00FC2205">
        <w:t>Founding Idea</w:t>
      </w:r>
      <w:r w:rsidR="00FF2D7A">
        <w:t xml:space="preserve"> and History</w:t>
      </w:r>
      <w:bookmarkEnd w:id="29"/>
    </w:p>
    <w:p w:rsidR="002C2BC8" w:rsidRDefault="00FC2205">
      <w:r>
        <w:t xml:space="preserve">EcoLoop Office is not a company; it is a proposed new venture and a founder biography and operating history is not provided. The founding concept is based on the identified gap of the conventional furniture purchase-use-dispose cycle and furniture circular management. The idea is a mix of subscription model and refurbishment, re-use, replacement and lifecycle reporting. </w:t>
      </w:r>
    </w:p>
    <w:p w:rsidR="002C2BC8" w:rsidRDefault="00FC2205">
      <w:pPr>
        <w:jc w:val="center"/>
        <w:rPr>
          <w:b/>
          <w:bCs/>
          <w:i/>
          <w:iCs/>
        </w:rPr>
      </w:pPr>
      <w:r>
        <w:rPr>
          <w:b/>
          <w:bCs/>
          <w:i/>
          <w:iCs/>
          <w:noProof/>
          <w:lang w:eastAsia="en-US"/>
        </w:rPr>
        <w:lastRenderedPageBreak/>
        <w:drawing>
          <wp:inline distT="114300" distB="114300" distL="114300" distR="114300">
            <wp:extent cx="5943600" cy="2765310"/>
            <wp:effectExtent l="12700" t="12700" r="12700" b="12700"/>
            <wp:docPr id="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t="8639" b="8732"/>
                    <a:stretch>
                      <a:fillRect/>
                    </a:stretch>
                  </pic:blipFill>
                  <pic:spPr>
                    <a:xfrm>
                      <a:off x="0" y="0"/>
                      <a:ext cx="5943600" cy="2765310"/>
                    </a:xfrm>
                    <a:prstGeom prst="rect">
                      <a:avLst/>
                    </a:prstGeom>
                    <a:ln w="12700">
                      <a:solidFill>
                        <a:srgbClr val="000000"/>
                      </a:solidFill>
                      <a:prstDash val="solid"/>
                    </a:ln>
                  </pic:spPr>
                </pic:pic>
              </a:graphicData>
            </a:graphic>
          </wp:inline>
        </w:drawing>
      </w:r>
    </w:p>
    <w:p w:rsidR="002C2BC8" w:rsidRDefault="00FC2205">
      <w:pPr>
        <w:jc w:val="center"/>
        <w:rPr>
          <w:b/>
          <w:bCs/>
          <w:i/>
          <w:iCs/>
        </w:rPr>
      </w:pPr>
      <w:r>
        <w:rPr>
          <w:b/>
          <w:bCs/>
          <w:i/>
          <w:iCs/>
        </w:rPr>
        <w:t>Figure 4: UK Eco-friendly Furniture Market Size &amp; Outlook, 2033</w:t>
      </w:r>
    </w:p>
    <w:p w:rsidR="002C2BC8" w:rsidRDefault="00FC2205">
      <w:pPr>
        <w:jc w:val="center"/>
        <w:rPr>
          <w:b/>
          <w:bCs/>
          <w:i/>
          <w:iCs/>
        </w:rPr>
      </w:pPr>
      <w:r>
        <w:rPr>
          <w:b/>
          <w:bCs/>
          <w:i/>
          <w:iCs/>
        </w:rPr>
        <w:t>Source: (Grand View Research, 2024)</w:t>
      </w:r>
    </w:p>
    <w:p w:rsidR="002C2BC8" w:rsidRDefault="00FC2205">
      <w:r>
        <w:t>This is timely as the UK procurement market is becoming more circular with a 2025 sustainable-furniture framework having specific lots for refurbishment/repair and redistribution/re-use estimated at £250m (excluding VAT) for the office-furniture sector (Find a Tender, 2025). However, the evidence suggests that circular procurement has been adopted at the institutions, though not necessarily at a large enough scale for commercial success in implementing a subscription model.</w:t>
      </w:r>
    </w:p>
    <w:p w:rsidR="002C2BC8" w:rsidRDefault="008230A6">
      <w:pPr>
        <w:pStyle w:val="Heading2"/>
        <w:keepNext w:val="0"/>
        <w:keepLines w:val="0"/>
      </w:pPr>
      <w:bookmarkStart w:id="30" w:name="_Toc239460886"/>
      <w:r>
        <w:t>2</w:t>
      </w:r>
      <w:r w:rsidR="00FC2205">
        <w:t>.4 SMART Business Objectives and Goals</w:t>
      </w:r>
      <w:bookmarkEnd w:id="30"/>
    </w:p>
    <w:p w:rsidR="002C2BC8" w:rsidRDefault="00FC2205">
      <w:r>
        <w:t>EcoLoop needs to articulate its idea in concrete goals. In the first 12 months after launch, recruit 50 paying business customers from the UK, using direct sales and partnerships. Secondly, make sure to get 70% average utilisation of subscription furniture inventory within month 18, with minimal idle assets and storage costs. Third: in 24 months, make sure at least 80% of the furniture returned are reused or refurbished; and not disposed of. Fourth, gain a minimum of 75% of customers by the end of year two. These are suggested SMART goals and not the results of the past—results from the feasibility analysis will be needed to validate.</w:t>
      </w:r>
    </w:p>
    <w:p w:rsidR="002C2BC8" w:rsidRDefault="008230A6">
      <w:pPr>
        <w:pStyle w:val="Heading2"/>
        <w:keepNext w:val="0"/>
        <w:keepLines w:val="0"/>
      </w:pPr>
      <w:bookmarkStart w:id="31" w:name="_Toc239460887"/>
      <w:r>
        <w:lastRenderedPageBreak/>
        <w:t>2</w:t>
      </w:r>
      <w:r w:rsidR="00FC2205">
        <w:t>.5 Core Values and Trend Alignment</w:t>
      </w:r>
      <w:bookmarkEnd w:id="31"/>
    </w:p>
    <w:p w:rsidR="002C2BC8" w:rsidRDefault="00FC2205">
      <w:r>
        <w:t>EcoLoop philosophy resonates well with the concept of the circular economy and flexibility of workplaces. Two in every three working adults hybrid worked throughout January to March 2025, further supporting the argument for the need of flexible workplace resources (ONS 2025). Government modelling also suggests the policies for furniture resource-efficiency could result in a reduction of territorial greenhouse-gas emissions in the UK of 4 MtCO2e from 2021 to 2050 (Department for Environment, Food and Rural Affairs, 2023). EcoLoop therefore combines value for the environment with operational flexibility. Its differentiation, however, has to be proven through measurable cost savings, utilisation, re-use, and reliability of service, and not just the sustainability claims. As such, operational measurement becomes a key element of credibility and a successful long-term commercial positioning.</w:t>
      </w:r>
    </w:p>
    <w:p w:rsidR="002C2BC8" w:rsidRDefault="008230A6">
      <w:pPr>
        <w:pStyle w:val="Heading1"/>
        <w:keepNext w:val="0"/>
        <w:keepLines w:val="0"/>
      </w:pPr>
      <w:bookmarkStart w:id="32" w:name="_Toc239460888"/>
      <w:r>
        <w:t>3</w:t>
      </w:r>
      <w:r w:rsidR="00FC2205">
        <w:t>. Literature Review</w:t>
      </w:r>
      <w:bookmarkEnd w:id="32"/>
    </w:p>
    <w:p w:rsidR="002C2BC8" w:rsidRDefault="008230A6">
      <w:pPr>
        <w:pStyle w:val="Heading2"/>
        <w:keepNext w:val="0"/>
        <w:keepLines w:val="0"/>
      </w:pPr>
      <w:bookmarkStart w:id="33" w:name="_Toc239460889"/>
      <w:r>
        <w:t>3</w:t>
      </w:r>
      <w:r w:rsidR="00FC2205">
        <w:t>.1 UK Office Fit-Out and Furniture Market</w:t>
      </w:r>
      <w:bookmarkEnd w:id="33"/>
    </w:p>
    <w:p w:rsidR="002C2BC8" w:rsidRDefault="00FC2205">
      <w:r>
        <w:t>Flexible working, changing configurations, cost pressures and sustainability pressures are driving the UK office fit-out and furniture market to change. Sustainable commercial refurbishment is highlighted by McAllister and Nase (2023) and increased flexibility is linked to post-COVID workplaces by Surma</w:t>
      </w:r>
      <w:r w:rsidR="00596FD4" w:rsidRPr="00596FD4">
        <w:rPr>
          <w:i/>
          <w:iCs/>
        </w:rPr>
        <w:t>et al</w:t>
      </w:r>
      <w:r>
        <w:rPr>
          <w:i/>
          <w:iCs/>
        </w:rPr>
        <w:t xml:space="preserve">. </w:t>
      </w:r>
      <w:r>
        <w:t>(2021). These shifts make mobility a requirement for furniture.These shifts mean that furniture that can be moved, replaced or reconfigured is in demand. But flexibility doesn't necessarily mean that there's a demand for subscriptions. NjølstadSlotsvik, Gould and Hayes (2025) highlight procurement reliability issues in the context of organisational change, and Pei, Italia and Melazzini (2024) demonstrate how circular design can help to increase the lifetime of furniture. Having</w:t>
      </w:r>
      <w:r w:rsidR="00596FD4" w:rsidRPr="00596FD4">
        <w:rPr>
          <w:i/>
          <w:iCs/>
        </w:rPr>
        <w:t>et al</w:t>
      </w:r>
      <w:r>
        <w:rPr>
          <w:i/>
          <w:iCs/>
        </w:rPr>
        <w:t>.</w:t>
      </w:r>
      <w:r>
        <w:t xml:space="preserve"> (2019) and Bennett and Mayouf (2021) agree that whole-life value management is a solution, and flexible design is a solution, according to Daglio</w:t>
      </w:r>
      <w:r w:rsidR="00596FD4" w:rsidRPr="00596FD4">
        <w:rPr>
          <w:i/>
          <w:iCs/>
        </w:rPr>
        <w:t>et al</w:t>
      </w:r>
      <w:r>
        <w:rPr>
          <w:i/>
          <w:iCs/>
        </w:rPr>
        <w:t>.</w:t>
      </w:r>
      <w:r>
        <w:t xml:space="preserve"> (2023). Measurable outcomes are also becoming a growing element of ESG pressures, as noted by Halat</w:t>
      </w:r>
      <w:r w:rsidR="00596FD4" w:rsidRPr="00596FD4">
        <w:rPr>
          <w:i/>
          <w:iCs/>
        </w:rPr>
        <w:t>et al</w:t>
      </w:r>
      <w:r>
        <w:t>. (2026) in their consideration of Scope 3 pressures. EcoLoop's opportunity is therefore based on measurable value to the community that is financial, operational and environmental.</w:t>
      </w:r>
    </w:p>
    <w:p w:rsidR="002C2BC8" w:rsidRDefault="008230A6">
      <w:pPr>
        <w:pStyle w:val="Heading2"/>
        <w:keepNext w:val="0"/>
        <w:keepLines w:val="0"/>
      </w:pPr>
      <w:bookmarkStart w:id="34" w:name="_Toc239460890"/>
      <w:r>
        <w:lastRenderedPageBreak/>
        <w:t>3</w:t>
      </w:r>
      <w:r w:rsidR="00FC2205">
        <w:t>.2 Circular Economy Theory</w:t>
      </w:r>
      <w:bookmarkEnd w:id="34"/>
    </w:p>
    <w:p w:rsidR="002C2BC8" w:rsidRDefault="00FC2205">
      <w:r>
        <w:t>EcoLoop is based on Circular Economy (CE) Theory, which is grounded in the principles of reducing, reusing and recycling, by keeping products, value and materials in use for longer than they are currently in use. Morseletto (2023) considers circularity to be a transition and Milios (2021) defines product-life extension as an intervention in the business. Thus, the refurbishment, re-use, maintenance, swapping and selling of the items that EcoLoop does is in line with the CE principles. But, circularity doesn't equal recycling or environmental claims. Among the indicators of circularity, Kusumo</w:t>
      </w:r>
      <w:r w:rsidR="00596FD4" w:rsidRPr="00596FD4">
        <w:rPr>
          <w:i/>
          <w:iCs/>
        </w:rPr>
        <w:t>et al</w:t>
      </w:r>
      <w:r>
        <w:rPr>
          <w:i/>
          <w:iCs/>
        </w:rPr>
        <w:t>.</w:t>
      </w:r>
      <w:r>
        <w:t xml:space="preserve"> (2022) and Cisinaro</w:t>
      </w:r>
      <w:r w:rsidR="00596FD4" w:rsidRPr="00596FD4">
        <w:rPr>
          <w:i/>
          <w:iCs/>
        </w:rPr>
        <w:t>et al</w:t>
      </w:r>
      <w:r>
        <w:rPr>
          <w:i/>
          <w:iCs/>
        </w:rPr>
        <w:t xml:space="preserve">. </w:t>
      </w:r>
      <w:r>
        <w:t xml:space="preserve">(2022) emphasise indicators of circularity. Kans and HettiArachchige and Paulin (2024) agree that re-use and prolonging the value of furniture is possible, provided the furniture has to be durable, there are collection systems in place, and the quality of refurbishment and customers' acceptance. </w:t>
      </w:r>
    </w:p>
    <w:p w:rsidR="002C2BC8" w:rsidRDefault="00FC2205">
      <w:pPr>
        <w:jc w:val="center"/>
        <w:rPr>
          <w:b/>
          <w:bCs/>
          <w:i/>
          <w:iCs/>
        </w:rPr>
      </w:pPr>
      <w:r>
        <w:rPr>
          <w:b/>
          <w:bCs/>
          <w:i/>
          <w:iCs/>
          <w:noProof/>
          <w:lang w:eastAsia="en-US"/>
        </w:rPr>
        <w:drawing>
          <wp:inline distT="114300" distB="114300" distL="114300" distR="114300">
            <wp:extent cx="4711700" cy="3981450"/>
            <wp:effectExtent l="12700" t="12700" r="12700" b="12700"/>
            <wp:docPr id="2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l="6197" t="14573" r="4513" b="9921"/>
                    <a:stretch>
                      <a:fillRect/>
                    </a:stretch>
                  </pic:blipFill>
                  <pic:spPr>
                    <a:xfrm>
                      <a:off x="0" y="0"/>
                      <a:ext cx="4711700" cy="3981450"/>
                    </a:xfrm>
                    <a:prstGeom prst="rect">
                      <a:avLst/>
                    </a:prstGeom>
                    <a:ln w="12700">
                      <a:solidFill>
                        <a:srgbClr val="000000"/>
                      </a:solidFill>
                      <a:prstDash val="solid"/>
                    </a:ln>
                  </pic:spPr>
                </pic:pic>
              </a:graphicData>
            </a:graphic>
          </wp:inline>
        </w:drawing>
      </w:r>
    </w:p>
    <w:p w:rsidR="002C2BC8" w:rsidRDefault="00FC2205">
      <w:pPr>
        <w:jc w:val="center"/>
        <w:rPr>
          <w:b/>
          <w:bCs/>
          <w:i/>
          <w:iCs/>
        </w:rPr>
      </w:pPr>
      <w:r>
        <w:rPr>
          <w:b/>
          <w:bCs/>
          <w:i/>
          <w:iCs/>
        </w:rPr>
        <w:t>Figure 5: The Circular Economy</w:t>
      </w:r>
    </w:p>
    <w:p w:rsidR="002C2BC8" w:rsidRDefault="00FC2205">
      <w:pPr>
        <w:jc w:val="center"/>
        <w:rPr>
          <w:b/>
          <w:bCs/>
          <w:i/>
          <w:iCs/>
        </w:rPr>
      </w:pPr>
      <w:r>
        <w:rPr>
          <w:b/>
          <w:bCs/>
          <w:i/>
          <w:iCs/>
        </w:rPr>
        <w:lastRenderedPageBreak/>
        <w:t>Source: (Bio-powder.com, 2023)</w:t>
      </w:r>
    </w:p>
    <w:p w:rsidR="002C2BC8" w:rsidRDefault="00FC2205">
      <w:r>
        <w:t xml:space="preserve">Product-as-a-service and access-based consumption as a strategy for circular transitions is suggested by Hidalgo-Crespo </w:t>
      </w:r>
      <w:r w:rsidR="00596FD4" w:rsidRPr="00596FD4">
        <w:rPr>
          <w:i/>
          <w:iCs/>
        </w:rPr>
        <w:t>et al</w:t>
      </w:r>
      <w:r>
        <w:rPr>
          <w:i/>
          <w:iCs/>
        </w:rPr>
        <w:t xml:space="preserve">. </w:t>
      </w:r>
      <w:r>
        <w:t>(2024) and Baden and Frei (2021). HoweverBressanelli, Saccani and Perona (2022) demonstrate that adoption may be limited by user acceptance and business potential. In addition, coordinated activities within a circular service model are highlighted by Alcayaga and Hansen (2025). CE thus carries environmental reasoning as a driver behind EcoLoop but without evidence on pricing, utilisation and logistics, CE does not have the ability to create commercial viability.</w:t>
      </w:r>
    </w:p>
    <w:p w:rsidR="002C2BC8" w:rsidRDefault="008230A6">
      <w:pPr>
        <w:pStyle w:val="Heading2"/>
      </w:pPr>
      <w:bookmarkStart w:id="35" w:name="_Toc239460891"/>
      <w:r>
        <w:t>3</w:t>
      </w:r>
      <w:r w:rsidR="00FC2205">
        <w:t>.3 Sustainable Business Model Innovation</w:t>
      </w:r>
      <w:bookmarkEnd w:id="35"/>
    </w:p>
    <w:p w:rsidR="002C2BC8" w:rsidRDefault="00FC2205">
      <w:r>
        <w:t>Sustainable Business Model Innovation (SBMI) takes sustainable development into value creation, delivery and capture. The authors of the two papers cited above, as well as the authors of the articles, are convinced that companies need to rethink their business logic, and that other business models can include sustainability. Böttcher</w:t>
      </w:r>
      <w:r w:rsidR="00596FD4" w:rsidRPr="00596FD4">
        <w:rPr>
          <w:i/>
          <w:iCs/>
        </w:rPr>
        <w:t>et al</w:t>
      </w:r>
      <w:r>
        <w:rPr>
          <w:i/>
          <w:iCs/>
        </w:rPr>
        <w:t>.</w:t>
      </w:r>
      <w:r>
        <w:t xml:space="preserve"> (2024) point to digital technology as a facilitator of sustainable business models. </w:t>
      </w:r>
    </w:p>
    <w:p w:rsidR="002C2BC8" w:rsidRDefault="00FC2205">
      <w:pPr>
        <w:jc w:val="center"/>
        <w:rPr>
          <w:b/>
          <w:bCs/>
          <w:i/>
          <w:iCs/>
        </w:rPr>
      </w:pPr>
      <w:r>
        <w:rPr>
          <w:b/>
          <w:bCs/>
          <w:i/>
          <w:iCs/>
          <w:noProof/>
          <w:lang w:eastAsia="en-US"/>
        </w:rPr>
        <w:lastRenderedPageBreak/>
        <w:drawing>
          <wp:inline distT="114300" distB="114300" distL="114300" distR="114300">
            <wp:extent cx="5943600" cy="3987800"/>
            <wp:effectExtent l="12700" t="12700" r="12700" b="12700"/>
            <wp:docPr id="2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943600" cy="3987800"/>
                    </a:xfrm>
                    <a:prstGeom prst="rect">
                      <a:avLst/>
                    </a:prstGeom>
                    <a:ln w="12700">
                      <a:solidFill>
                        <a:srgbClr val="000000"/>
                      </a:solidFill>
                      <a:prstDash val="solid"/>
                    </a:ln>
                  </pic:spPr>
                </pic:pic>
              </a:graphicData>
            </a:graphic>
          </wp:inline>
        </w:drawing>
      </w:r>
    </w:p>
    <w:p w:rsidR="002C2BC8" w:rsidRDefault="00FC2205">
      <w:pPr>
        <w:jc w:val="center"/>
        <w:rPr>
          <w:b/>
          <w:bCs/>
          <w:i/>
          <w:iCs/>
        </w:rPr>
      </w:pPr>
      <w:r>
        <w:rPr>
          <w:b/>
          <w:bCs/>
          <w:i/>
          <w:iCs/>
        </w:rPr>
        <w:t>Figure 6 : A Sustainable Business Model</w:t>
      </w:r>
    </w:p>
    <w:p w:rsidR="002C2BC8" w:rsidRDefault="00FC2205">
      <w:pPr>
        <w:jc w:val="center"/>
        <w:rPr>
          <w:b/>
          <w:bCs/>
          <w:i/>
          <w:iCs/>
        </w:rPr>
      </w:pPr>
      <w:r>
        <w:rPr>
          <w:b/>
          <w:bCs/>
          <w:i/>
          <w:iCs/>
        </w:rPr>
        <w:t>Source: (Briggs, 2023)</w:t>
      </w:r>
    </w:p>
    <w:p w:rsidR="002C2BC8" w:rsidRDefault="00FC2205">
      <w:r>
        <w:t xml:space="preserve">For EcoLoop, SBMI translates to a furniture subscription replacing the one-off furniture sale, maintenance, refurbishment, swapping-out and resale. Poldner, Overdiek and Evangelista (2022), and Su </w:t>
      </w:r>
      <w:r w:rsidR="00596FD4" w:rsidRPr="00596FD4">
        <w:rPr>
          <w:i/>
          <w:iCs/>
        </w:rPr>
        <w:t>et al</w:t>
      </w:r>
      <w:r>
        <w:rPr>
          <w:i/>
          <w:iCs/>
        </w:rPr>
        <w:t xml:space="preserve">. </w:t>
      </w:r>
      <w:r>
        <w:t>(2025) provide examples of how product-service models can drive the change in consumption from ownership to access. However, there could be a rise in the expenses incurred in warehousing, refurbishment, reverse-logistics, and maintenance, as in the case of sustainable innovation. Smiley and Bocken (2022) thus suggest that the ecosystem effects should be taken into account. EcoLoop will be testing the viability of recurring revenue and lifecycle control to overcome the operational complexity.</w:t>
      </w:r>
    </w:p>
    <w:p w:rsidR="00FD1741" w:rsidRDefault="00FD1741">
      <w:pPr>
        <w:pStyle w:val="Heading2"/>
        <w:keepNext w:val="0"/>
        <w:keepLines w:val="0"/>
      </w:pPr>
    </w:p>
    <w:p w:rsidR="002C2BC8" w:rsidRDefault="008230A6">
      <w:pPr>
        <w:pStyle w:val="Heading2"/>
        <w:keepNext w:val="0"/>
        <w:keepLines w:val="0"/>
      </w:pPr>
      <w:bookmarkStart w:id="36" w:name="_Toc239460892"/>
      <w:r>
        <w:lastRenderedPageBreak/>
        <w:t>3</w:t>
      </w:r>
      <w:r w:rsidR="00FC2205">
        <w:t>.4 Strategic Frameworks for Business Development</w:t>
      </w:r>
      <w:bookmarkEnd w:id="36"/>
    </w:p>
    <w:p w:rsidR="002C2BC8" w:rsidRDefault="00FC2205">
      <w:r>
        <w:t>Jobs to be done (JTBD) uncovers customer needs for furnishing, moving in and out, growing and shrinking, and reveals issues with ownership, cleanliness and remanufactured quality. But it is not able to evaluate broader market conditions. PESTLE therefore looks at the external factors which are likely to affect the business and not at competitive strength.</w:t>
      </w:r>
    </w:p>
    <w:p w:rsidR="002C2BC8" w:rsidRDefault="00FC2205">
      <w:r>
        <w:t>Porter's Five Forces are concerned with competitive feasibility, considering competition, buyer power, supplier power, new entrants and substitutes. The price and flexibility expectations are emphasized by Andersen and Kreye (2023) and the availability and warehousing costs are emphasized by Pratiwi</w:t>
      </w:r>
      <w:r w:rsidR="00596FD4" w:rsidRPr="00596FD4">
        <w:rPr>
          <w:i/>
          <w:iCs/>
        </w:rPr>
        <w:t>et al</w:t>
      </w:r>
      <w:r>
        <w:rPr>
          <w:i/>
          <w:iCs/>
        </w:rPr>
        <w:t>.</w:t>
      </w:r>
      <w:r>
        <w:t xml:space="preserve"> (2025). Therefore, Porter is used to seeing if EcoLoop's customer proposition is going to be competitive.</w:t>
      </w:r>
    </w:p>
    <w:p w:rsidR="002C2BC8" w:rsidRDefault="00FC2205">
      <w:r>
        <w:t>The Business Model Canvas (BMC) looks at the operational and financial viability, including the mapping of the partners, activities, resources, costs and revenues. The Value Proposition Canvas (VPC) on the other hand verifies the fit of a value proposition: customer gains and pains, and flexibility, the cost of service and refurbishment, and the reporting of ESG benefits are assessed. Then STP looks at the market focus - priority segments and positioning EcoLoop against alternatives.</w:t>
      </w:r>
    </w:p>
    <w:p w:rsidR="002C2BC8" w:rsidRDefault="00FC2205">
      <w:r>
        <w:t>So, these frameworks are not duplicated analysis, but complementary. JTBD is used to find out what the customer needs, PESTLE is used to study external factors, Porter is used to study competition, VPC is used to assess value fit, BMC is used to study the business-model logic, and STP is used to determine positioning in the target market. When used in combination, these applications allow for a more comprehensive evaluation of EcoLoop across the customer demand, environmental conditions, competitive pressures, value creation, role in the operational design and market positioning, which strengthens the basis for evaluating the overall commercial feasibility.</w:t>
      </w:r>
    </w:p>
    <w:p w:rsidR="002C2BC8" w:rsidRDefault="008230A6">
      <w:pPr>
        <w:pStyle w:val="Heading2"/>
        <w:keepNext w:val="0"/>
        <w:keepLines w:val="0"/>
      </w:pPr>
      <w:bookmarkStart w:id="37" w:name="_Toc239460893"/>
      <w:r>
        <w:t>3</w:t>
      </w:r>
      <w:r w:rsidR="00FC2205">
        <w:t>.5 Synthesis and Research Gap</w:t>
      </w:r>
      <w:bookmarkEnd w:id="37"/>
    </w:p>
    <w:p w:rsidR="002C2BC8" w:rsidRDefault="00FC2205">
      <w:r>
        <w:t xml:space="preserve">Theories supporting circular furniture and sustainable service models are fragmented in the literature, ranging from CE to SBMI, acceptance and strategic analysis. The real question isn't if </w:t>
      </w:r>
      <w:r>
        <w:lastRenderedPageBreak/>
        <w:t>circularity is good or bad, it's whether subscription furniture can be commercially viable in the context of UK office fit-out. The existing evidence is not as well connected as it could be to include market demand, customer value, cost flexibility, refurbishment economics, ESG benefits, competition and regulation. EcoLoop fills this void by integrating CE Theory, SBMI with the principles of JTBD, PESTLE, Porter's Five Forces, BMC and VPC and STP. This holistic process is an analysis of customer issues, external factors, competition, value creation and revenue logic. Most importantly, the frameworks should stimulate, rather than dictate, the outcome: EcoLoop needs to prove that sustainability can be customer value and marketable processes.</w:t>
      </w:r>
    </w:p>
    <w:p w:rsidR="002C2BC8" w:rsidRDefault="008230A6">
      <w:pPr>
        <w:pStyle w:val="Heading1"/>
        <w:keepNext w:val="0"/>
        <w:keepLines w:val="0"/>
      </w:pPr>
      <w:bookmarkStart w:id="38" w:name="_Toc239460894"/>
      <w:r>
        <w:t>4</w:t>
      </w:r>
      <w:r w:rsidR="00FC2205">
        <w:t>. Methodology</w:t>
      </w:r>
      <w:bookmarkEnd w:id="38"/>
    </w:p>
    <w:p w:rsidR="002C2BC8" w:rsidRDefault="008230A6">
      <w:pPr>
        <w:pStyle w:val="Heading2"/>
        <w:keepNext w:val="0"/>
        <w:keepLines w:val="0"/>
      </w:pPr>
      <w:bookmarkStart w:id="39" w:name="_Toc239460895"/>
      <w:r>
        <w:t>4</w:t>
      </w:r>
      <w:r w:rsidR="00FC2205">
        <w:t>.1 Methodological Approach to Opportunity Identification</w:t>
      </w:r>
      <w:bookmarkEnd w:id="39"/>
    </w:p>
    <w:p w:rsidR="002C2BC8" w:rsidRDefault="00FC2205">
      <w:r>
        <w:t>For the methodology, it takes a secondary investigation approach, but in accordance with the approved scope of the EcoLoop Office proposal. They are not conducting surveys, interviews or customer conversations or other research involving human participants, but rather systematically gathering, screening and comparing academic, government and industry evidence. It centres on the UK corporate office furniture, fit-out and refurbishment market and events from 2021 to 2026, with older seminal events kept if required. This is suitable since it is not the aim to obtain primary behavioural data but to evaluate if the product is commercially viable. The opportunity is defined by four related issues: Workplace needs are evolving, Furniture purchasing cost is on the rise, Furniture waste, and Rising ESG expectations.</w:t>
      </w:r>
    </w:p>
    <w:p w:rsidR="002C2BC8" w:rsidRDefault="008230A6">
      <w:pPr>
        <w:pStyle w:val="Heading2"/>
        <w:keepNext w:val="0"/>
        <w:keepLines w:val="0"/>
      </w:pPr>
      <w:bookmarkStart w:id="40" w:name="_Toc239460896"/>
      <w:r>
        <w:t>4</w:t>
      </w:r>
      <w:r w:rsidR="00FC2205">
        <w:t>.2 Market Insight Collection</w:t>
      </w:r>
      <w:bookmarkEnd w:id="40"/>
    </w:p>
    <w:p w:rsidR="002C2BC8" w:rsidRDefault="00FC2205">
      <w:r>
        <w:t xml:space="preserve">The information gathered from the market to create insights is not from the actual customers but from reputable secondary sources. Sources are peer-reviewed journal articles, UK Government publication, Office for National Statistics datasets and industry reports, procurement notices and business sources (Liu </w:t>
      </w:r>
      <w:r w:rsidR="00596FD4" w:rsidRPr="00596FD4">
        <w:rPr>
          <w:i/>
          <w:iCs/>
        </w:rPr>
        <w:t>et al</w:t>
      </w:r>
      <w:r>
        <w:rPr>
          <w:i/>
          <w:iCs/>
        </w:rPr>
        <w:t>.</w:t>
      </w:r>
      <w:r>
        <w:t xml:space="preserve">, 2026). The sources are chosen based on their relevance to the UK furniture market for offices, their approach to circular economy, refurbishment, flexible working, procurement, regulation, competition and sustainability. Evidence is documented by source, </w:t>
      </w:r>
      <w:r>
        <w:lastRenderedPageBreak/>
        <w:t>publication year, market relevance, numerical evidence/implications for EcoLoop Office. This establishes a process that can be replicated to evaluate evidence that is in opposition to the proposal objectives.</w:t>
      </w:r>
    </w:p>
    <w:p w:rsidR="002C2BC8" w:rsidRDefault="00FC2205">
      <w:r>
        <w:t>Importantly, the proposal excludes activities like customer conversations, store visits and mystery shopping, as the design clearly calls for the collection of secondary data and there are no human subjects involved. Competitor benchmarking is therefore carried out on publicly available data on existing providers, such as their service propositions, positioning with regard to circularity, subscription or rental models and customer-facing offerings (Stabler</w:t>
      </w:r>
      <w:r w:rsidR="00596FD4" w:rsidRPr="00596FD4">
        <w:rPr>
          <w:i/>
          <w:iCs/>
        </w:rPr>
        <w:t>et al</w:t>
      </w:r>
      <w:r>
        <w:rPr>
          <w:i/>
          <w:iCs/>
        </w:rPr>
        <w:t>.</w:t>
      </w:r>
      <w:r>
        <w:t>, 2024). This reduces the number of uninformed inferences about competitor performance.</w:t>
      </w:r>
    </w:p>
    <w:p w:rsidR="002C2BC8" w:rsidRDefault="008230A6">
      <w:pPr>
        <w:pStyle w:val="Heading2"/>
        <w:keepNext w:val="0"/>
        <w:keepLines w:val="0"/>
      </w:pPr>
      <w:bookmarkStart w:id="41" w:name="_Toc239460897"/>
      <w:r>
        <w:t>4</w:t>
      </w:r>
      <w:r w:rsidR="00FC2205">
        <w:t>.3 Market Data Gathering</w:t>
      </w:r>
      <w:bookmarkEnd w:id="41"/>
    </w:p>
    <w:p w:rsidR="002C2BC8" w:rsidRDefault="00FC2205">
      <w:r>
        <w:t>The study uses a secondary data collection of quantitative and qualitative types. Examples of quantitative data are market-size estimates, business statistics, patterns of office working, procurement values, public pricing, furniture-waste indicators and demand signals. Academic evidence, Policy statements, Industry commentary, Competitor propositions and documented customer needs. Authoritative data sources (such as ONS and publications by the UK government) are prioritised, with peer reviewed literature and industry evidence used to support this.</w:t>
      </w:r>
    </w:p>
    <w:p w:rsidR="002C2BC8" w:rsidRDefault="00FC2205">
      <w:r>
        <w:t>Data are obtained from searching academic and public and industry sources. The evidence is then organised into the five areas of market demand, customer value, cost, ESG, regulation, competition and operational feasibility (Dauerer, 2025). This classification directly reflects the research objectives and it does not allow irrelevant evidence to affect the business decision.</w:t>
      </w:r>
    </w:p>
    <w:p w:rsidR="008230A6" w:rsidRDefault="008230A6">
      <w:pPr>
        <w:pStyle w:val="Heading2"/>
        <w:keepNext w:val="0"/>
        <w:keepLines w:val="0"/>
      </w:pPr>
    </w:p>
    <w:p w:rsidR="002C2BC8" w:rsidRDefault="008230A6">
      <w:pPr>
        <w:pStyle w:val="Heading2"/>
        <w:keepNext w:val="0"/>
        <w:keepLines w:val="0"/>
      </w:pPr>
      <w:bookmarkStart w:id="42" w:name="_Toc239460898"/>
      <w:r>
        <w:t>4</w:t>
      </w:r>
      <w:r w:rsidR="00FC2205">
        <w:t>.4 Data Analysis</w:t>
      </w:r>
      <w:bookmarkEnd w:id="42"/>
    </w:p>
    <w:p w:rsidR="002C2BC8" w:rsidRDefault="00FC2205">
      <w:r>
        <w:t xml:space="preserve">Analysis is mostly in the thematic and comparative style and not in the statistical hypothesis testing style. Thematic analysis detects comparable themes/patterns in the secondary evidence, such as cost flexibility, adaptability in the workplace, refurbishment, reuse, ESG reporting, </w:t>
      </w:r>
      <w:r>
        <w:lastRenderedPageBreak/>
        <w:t>quality aspects, operational issues. The comparison of ownership versus subscription, new furniture versus refurbished furniture and EcoLoop versus competing and comparable products. No regression analysis is performed as there is no primary respondent dataset in the study, numerical indications are used in a descriptive manner to establish market scale, signals of demand, cost pressure and environmental significance.</w:t>
      </w:r>
    </w:p>
    <w:p w:rsidR="002C2BC8" w:rsidRDefault="00FC2205">
      <w:r>
        <w:t>The evidence is assessed by weighing up the findings in favour of the evidence against it. This is important as sustainability benefits are not quantitative enough to ensure profitability. For instance, while furniture can last longer if they are reused, storage, refitting and maintenance can lead to higher operation costs. The assessment takes into account opportunity strength and risk.</w:t>
      </w:r>
    </w:p>
    <w:p w:rsidR="002C2BC8" w:rsidRDefault="008230A6">
      <w:pPr>
        <w:pStyle w:val="Heading2"/>
        <w:keepNext w:val="0"/>
        <w:keepLines w:val="0"/>
      </w:pPr>
      <w:bookmarkStart w:id="43" w:name="_Toc239460899"/>
      <w:r>
        <w:t>4</w:t>
      </w:r>
      <w:r w:rsidR="00FC2205">
        <w:t>.5 Models and Frameworks</w:t>
      </w:r>
      <w:bookmarkEnd w:id="43"/>
    </w:p>
    <w:p w:rsidR="002C2BC8" w:rsidRDefault="00FC2205">
      <w:r>
        <w:t>The frameworks used in the literature review are used as complimentary analysis tools. Jobs-to-be-Done focuses on real world issues customers need to have addressed, like furniture and moving out, expansion and downsizing (Kalbach</w:t>
      </w:r>
      <w:r w:rsidR="00596FD4" w:rsidRPr="00596FD4">
        <w:rPr>
          <w:i/>
          <w:iCs/>
        </w:rPr>
        <w:t>et al</w:t>
      </w:r>
      <w:r>
        <w:rPr>
          <w:i/>
          <w:iCs/>
        </w:rPr>
        <w:t>.,</w:t>
      </w:r>
      <w:r>
        <w:t xml:space="preserve"> 2024). PESTLE considers political, economic, social, technological, legal and environmental factors impacting the opportunity. Porter's 5 Forces analysis looks at buyer power, supplier power, rivalry, substitutes and entry barriers. The Business Model Canvas visualizes the following elements: partners, activities, resources, value proposition, customer segments, channels, relationships, costs and revenues. The Value Proposition Canvas is used to check if the advantages EcoLoop offers customers meet their jobs, pains and gains. Then, STP transforms the evidence into segments, customer personas and positioning. The theoretical background for the interpretation of the proposed model that will create sustainability and business value is provided by Circular Economy Theory and Sustainable Business Model Innovation. These tools can be combined to allow for triangulation of market, customer, competitive and business-model evidence.</w:t>
      </w:r>
    </w:p>
    <w:p w:rsidR="002C2BC8" w:rsidRDefault="008230A6">
      <w:pPr>
        <w:pStyle w:val="Heading2"/>
        <w:keepNext w:val="0"/>
        <w:keepLines w:val="0"/>
      </w:pPr>
      <w:bookmarkStart w:id="44" w:name="_Toc239460900"/>
      <w:r>
        <w:t>4</w:t>
      </w:r>
      <w:r w:rsidR="00FC2205">
        <w:t>.6 Limitations and Ethical Considerations</w:t>
      </w:r>
      <w:bookmarkEnd w:id="44"/>
    </w:p>
    <w:p w:rsidR="002C2BC8" w:rsidRDefault="00FC2205">
      <w:r>
        <w:t xml:space="preserve">The primary constraint is reliance on secondary information, which can be incomplete, inconsistent and/or commercially sensitive. Commercial estimates may also be less accurate because public pricing and customers' demand data may be inadequate. Competitor claims may </w:t>
      </w:r>
      <w:r>
        <w:lastRenderedPageBreak/>
        <w:t>include promotion bias and datasets may have varying definitions. It is therefore not based on a single data source, but rather findings are triangulated across multiple credible sources (Fu, Nicholson and Easton, 2024).</w:t>
      </w:r>
    </w:p>
    <w:p w:rsidR="002C2BC8" w:rsidRDefault="00FC2205">
      <w:r>
        <w:t>Ethically the study does not involve human beings, personal information and confidential organisational information. Sources are represented accurately, referenced and interpreted without manipulating evidence to support EcoLoop Office. The methodology is transparent and is repeatable and consistent with the secondary-research boundary of the proposal where commercially appropriate.</w:t>
      </w:r>
      <w:r>
        <w:br w:type="page"/>
      </w:r>
    </w:p>
    <w:p w:rsidR="002C2BC8" w:rsidRDefault="008230A6">
      <w:pPr>
        <w:pStyle w:val="Heading1"/>
      </w:pPr>
      <w:bookmarkStart w:id="45" w:name="_heading=h.u0rhiczi2trm" w:colFirst="0" w:colLast="0"/>
      <w:bookmarkStart w:id="46" w:name="_Toc239460901"/>
      <w:bookmarkEnd w:id="45"/>
      <w:r>
        <w:lastRenderedPageBreak/>
        <w:t>Chapter 5</w:t>
      </w:r>
      <w:r w:rsidR="00FC2205">
        <w:t>: Market Opportunity Analysis</w:t>
      </w:r>
      <w:bookmarkEnd w:id="46"/>
    </w:p>
    <w:p w:rsidR="002C2BC8" w:rsidRDefault="008230A6">
      <w:pPr>
        <w:pStyle w:val="Heading2"/>
      </w:pPr>
      <w:bookmarkStart w:id="47" w:name="_heading=h.87tql0lxfwwb" w:colFirst="0" w:colLast="0"/>
      <w:bookmarkStart w:id="48" w:name="_Toc239460902"/>
      <w:bookmarkEnd w:id="47"/>
      <w:r>
        <w:t>5</w:t>
      </w:r>
      <w:r w:rsidR="00FC2205">
        <w:t>.1 Scope and Market Definition</w:t>
      </w:r>
      <w:bookmarkEnd w:id="48"/>
    </w:p>
    <w:p w:rsidR="002C2BC8" w:rsidRDefault="00FC2205">
      <w:r>
        <w:t>EcoLoop Office is a component of the UK B2B office furniture circular economy market, providing furniture on a subscription basis instead of traditional ownership along with delivery services, furniture maintenance, swap-out, take back, refurbishment, re-sale and ESG reporting. The relevant customers are customers who have varying needs in their work area, particularly the customers of SMEs, scale-ups and flexible workspace operators (Zahari</w:t>
      </w:r>
      <w:r w:rsidR="00596FD4" w:rsidRPr="00596FD4">
        <w:rPr>
          <w:i/>
        </w:rPr>
        <w:t>et al</w:t>
      </w:r>
      <w:r>
        <w:t>., 2023). Current evidence has been used for the analysis of the UK market, along with contractual direct distribution channels focusing on B2B distribution arrangements. This is relevant because the office-furniture industry is much bigger than a market that a subscription scheme would possibly be able to penetrate. Thus, this chapter reviews not just the demand for a product, but if the demand is great enough, accessible and commercially viable for the EcoLoop.</w:t>
      </w:r>
    </w:p>
    <w:p w:rsidR="002C2BC8" w:rsidRDefault="008230A6">
      <w:pPr>
        <w:pStyle w:val="Heading2"/>
      </w:pPr>
      <w:bookmarkStart w:id="49" w:name="_heading=h.2txalrhrm7ig" w:colFirst="0" w:colLast="0"/>
      <w:bookmarkStart w:id="50" w:name="_Toc239460903"/>
      <w:bookmarkEnd w:id="49"/>
      <w:r>
        <w:t>5</w:t>
      </w:r>
      <w:r w:rsidR="00FC2205">
        <w:t>.2 Market Size and Growth</w:t>
      </w:r>
      <w:bookmarkEnd w:id="50"/>
    </w:p>
    <w:p w:rsidR="002C2BC8" w:rsidRDefault="00FC2205">
      <w:r>
        <w:t>Boasting a significant customer base of around 2.73 million VAT and/or PAYE businesses (Government of UK, 2025), the UK is home to a significant B2B market. This number should not be taken as a measure of EcoLoop's addressable market, though. Many businesses could actually have a lower likelihood of needing to move their offices, regular furniture layouts, or not be interested in procurement through subscriptions (Ma and Chang, 2024). This definition of the relevant market thus needs to be limited from the overall business sector to those enterprises that are interested in acquiring office furniture, are undergoing establishment or restructuring of the office space, and have a reasonable basis for considering flexibility.</w:t>
      </w:r>
    </w:p>
    <w:p w:rsidR="002C2BC8" w:rsidRDefault="00FC2205">
      <w:r>
        <w:t>There is compelling evidence that around 1.2 million desks and 1.8 million chairs are thrown away every year (Gorecka, 2025), which is supported by the circular opportunity. This points to large amounts of furniture that is available to be reused and refurbished, but does not show a demand for subscription. In fact, furniture waste and furniture demand are two entirely different indicators: the former represents an underused asset pool, the latter a company's demand for breaking the laws of access to furniture. (Pei, Italia and Melazzini, 2024).</w:t>
      </w:r>
    </w:p>
    <w:tbl>
      <w:tblPr>
        <w:tblStyle w:val="a"/>
        <w:tblW w:w="9045" w:type="dxa"/>
        <w:tblInd w:w="0" w:type="dxa"/>
        <w:tblBorders>
          <w:top w:val="nil"/>
          <w:left w:val="nil"/>
          <w:bottom w:val="nil"/>
          <w:right w:val="nil"/>
          <w:insideH w:val="nil"/>
          <w:insideV w:val="nil"/>
        </w:tblBorders>
        <w:tblLayout w:type="fixed"/>
        <w:tblLook w:val="0600"/>
      </w:tblPr>
      <w:tblGrid>
        <w:gridCol w:w="5115"/>
        <w:gridCol w:w="3930"/>
      </w:tblGrid>
      <w:tr w:rsidR="002C2BC8">
        <w:trPr>
          <w:trHeight w:val="515"/>
        </w:trPr>
        <w:tc>
          <w:tcPr>
            <w:tcW w:w="5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lastRenderedPageBreak/>
              <w:t>Market level</w:t>
            </w:r>
          </w:p>
        </w:tc>
        <w:tc>
          <w:tcPr>
            <w:tcW w:w="3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Relevance to EcoLoop</w:t>
            </w:r>
          </w:p>
        </w:tc>
      </w:tr>
      <w:tr w:rsidR="002C2BC8">
        <w:trPr>
          <w:trHeight w:val="515"/>
        </w:trPr>
        <w:tc>
          <w:tcPr>
            <w:tcW w:w="5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Total UK businesses</w:t>
            </w:r>
          </w:p>
        </w:tc>
        <w:tc>
          <w:tcPr>
            <w:tcW w:w="3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Broad potential population</w:t>
            </w:r>
          </w:p>
        </w:tc>
      </w:tr>
      <w:tr w:rsidR="002C2BC8">
        <w:trPr>
          <w:trHeight w:val="515"/>
        </w:trPr>
        <w:tc>
          <w:tcPr>
            <w:tcW w:w="5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Businesses with offices</w:t>
            </w:r>
          </w:p>
        </w:tc>
        <w:tc>
          <w:tcPr>
            <w:tcW w:w="3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Relevant customer pool</w:t>
            </w:r>
          </w:p>
        </w:tc>
      </w:tr>
      <w:tr w:rsidR="002C2BC8">
        <w:trPr>
          <w:trHeight w:val="515"/>
        </w:trPr>
        <w:tc>
          <w:tcPr>
            <w:tcW w:w="5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Businesses with changing requirements</w:t>
            </w:r>
          </w:p>
        </w:tc>
        <w:tc>
          <w:tcPr>
            <w:tcW w:w="3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More realistic potential market</w:t>
            </w:r>
          </w:p>
        </w:tc>
      </w:tr>
      <w:tr w:rsidR="002C2BC8">
        <w:trPr>
          <w:trHeight w:val="515"/>
        </w:trPr>
        <w:tc>
          <w:tcPr>
            <w:tcW w:w="5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Businesses receptive to flexible access</w:t>
            </w:r>
          </w:p>
        </w:tc>
        <w:tc>
          <w:tcPr>
            <w:tcW w:w="3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Serviceable market</w:t>
            </w:r>
          </w:p>
        </w:tc>
      </w:tr>
      <w:tr w:rsidR="002C2BC8">
        <w:trPr>
          <w:trHeight w:val="515"/>
        </w:trPr>
        <w:tc>
          <w:tcPr>
            <w:tcW w:w="5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SMEs/scale-ups and flexible workspaces</w:t>
            </w:r>
          </w:p>
        </w:tc>
        <w:tc>
          <w:tcPr>
            <w:tcW w:w="3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Priority initial target</w:t>
            </w:r>
          </w:p>
        </w:tc>
      </w:tr>
    </w:tbl>
    <w:p w:rsidR="002C2BC8" w:rsidRDefault="00FC2205">
      <w:r>
        <w:t>The direction of the market is also not clear. Climate change, changing occupancy, and redesigning offices can drive up the need for flexibility and are an impetus for reusing space through hybrid working. Alternatively, the response can be for organisations to keep existing furniture or reduce space (e.g. through downsizing) or buy modular furniture products (Mokhtar, Xifeng and Wenming, 2025). So overall trends are good in the workplace, which translates to a need for adaptability, but not growth in the particular subscription space. The experience of a single consumer in the office-furniture sector makes it difficult to determine how consumers feel and what they are willing to pay for subscription relationships.</w:t>
      </w:r>
    </w:p>
    <w:p w:rsidR="002C2BC8" w:rsidRDefault="008230A6">
      <w:pPr>
        <w:pStyle w:val="Heading2"/>
      </w:pPr>
      <w:bookmarkStart w:id="51" w:name="_heading=h.r6qib2sanun1" w:colFirst="0" w:colLast="0"/>
      <w:bookmarkStart w:id="52" w:name="_Toc239460904"/>
      <w:bookmarkEnd w:id="51"/>
      <w:r>
        <w:t>5</w:t>
      </w:r>
      <w:r w:rsidR="00FC2205">
        <w:t>.3 Segmentation and Target Customer</w:t>
      </w:r>
      <w:bookmarkEnd w:id="52"/>
    </w:p>
    <w:p w:rsidR="002C2BC8" w:rsidRDefault="00FC2205">
      <w:r>
        <w:t>EcoLoop's segmentation should be based on factors influencing need, affordability, frequency of exchange and willingness to apply flexible procurement; and not be limited to only those businesses that are potential customers. Firmographic features like size and growth rate are especially significant, and behavioural attributes like relocations, expansions, furniture turnover and environmental, social and economic (ESG) considerations for purchasing furniture bear particular relevance for the identification of genuine prospects (Kaluvilla, Mulla and Zahidi, 2025).</w:t>
      </w:r>
    </w:p>
    <w:p w:rsidR="002C2BC8" w:rsidRDefault="00FC2205">
      <w:r>
        <w:lastRenderedPageBreak/>
        <w:t>SMEs and scale-ups are appealing as growing and shrinking cottages/relocating can render ownership relatively inflexible. While some might find this appealing, cost constraints could make it more appealing for them to buy a copy than to subscribe (Amasino, Dolgin and Huettel, 2023). While there are greater purchasing power and ESG benefits from corporate tenants, there are increased challenges regarding procurement and arrangements from suppliers, due to established supplier relationships. Among the various types of flex workplaces, the flexible-workspace operators seem to have greater appeal, as tenants typically move in and out of the flexible workspace, reconfiguring, replacing or relocating the furniture on each occasion (Flexible Workspace, 2015). However, their buying power could also lead to a good negotiating price. Environments where sustainability alignment exists may be less accessible in public-sector organisations as this might require formal procurement.</w:t>
      </w:r>
    </w:p>
    <w:p w:rsidR="002C2BC8" w:rsidRDefault="00FC2205">
      <w:pPr>
        <w:rPr>
          <w:b/>
          <w:bCs/>
        </w:rPr>
      </w:pPr>
      <w:r>
        <w:rPr>
          <w:b/>
          <w:bCs/>
        </w:rPr>
        <w:t>Table. Segmentaion</w:t>
      </w:r>
    </w:p>
    <w:tbl>
      <w:tblPr>
        <w:tblStyle w:val="a0"/>
        <w:tblW w:w="9235" w:type="dxa"/>
        <w:tblInd w:w="0" w:type="dxa"/>
        <w:tblBorders>
          <w:top w:val="nil"/>
          <w:left w:val="nil"/>
          <w:bottom w:val="nil"/>
          <w:right w:val="nil"/>
          <w:insideH w:val="nil"/>
          <w:insideV w:val="nil"/>
        </w:tblBorders>
        <w:tblLayout w:type="fixed"/>
        <w:tblLook w:val="0600"/>
      </w:tblPr>
      <w:tblGrid>
        <w:gridCol w:w="2645"/>
        <w:gridCol w:w="6590"/>
      </w:tblGrid>
      <w:tr w:rsidR="002C2BC8">
        <w:trPr>
          <w:trHeight w:val="800"/>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Segmentation Dimension</w:t>
            </w:r>
          </w:p>
        </w:tc>
        <w:tc>
          <w:tcPr>
            <w:tcW w:w="6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Analysis</w:t>
            </w:r>
          </w:p>
        </w:tc>
      </w:tr>
      <w:tr w:rsidR="002C2BC8">
        <w:trPr>
          <w:trHeight w:val="800"/>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Demographic</w:t>
            </w:r>
          </w:p>
        </w:tc>
        <w:tc>
          <w:tcPr>
            <w:tcW w:w="6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SMEs, corporates, flexible-workspace operators and public organisations.</w:t>
            </w:r>
          </w:p>
        </w:tc>
      </w:tr>
      <w:tr w:rsidR="002C2BC8">
        <w:trPr>
          <w:trHeight w:val="515"/>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Geographic</w:t>
            </w:r>
          </w:p>
        </w:tc>
        <w:tc>
          <w:tcPr>
            <w:tcW w:w="6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UK commercial centres with strong office activity.</w:t>
            </w:r>
          </w:p>
        </w:tc>
      </w:tr>
      <w:tr w:rsidR="002C2BC8">
        <w:trPr>
          <w:trHeight w:val="515"/>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Psychographic</w:t>
            </w:r>
          </w:p>
        </w:tc>
        <w:tc>
          <w:tcPr>
            <w:tcW w:w="6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Cost-conscious, flexibility- and sustainability-oriented.</w:t>
            </w:r>
          </w:p>
        </w:tc>
      </w:tr>
      <w:tr w:rsidR="002C2BC8">
        <w:trPr>
          <w:trHeight w:val="515"/>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Behavioural</w:t>
            </w:r>
          </w:p>
        </w:tc>
        <w:tc>
          <w:tcPr>
            <w:tcW w:w="6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Relocation, expansion, downsizing and refurbishment.</w:t>
            </w:r>
          </w:p>
        </w:tc>
      </w:tr>
      <w:tr w:rsidR="002C2BC8">
        <w:trPr>
          <w:trHeight w:val="515"/>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Economic</w:t>
            </w:r>
          </w:p>
        </w:tc>
        <w:tc>
          <w:tcPr>
            <w:tcW w:w="6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Varying purchasing capacity and price sensitivity.</w:t>
            </w:r>
          </w:p>
        </w:tc>
      </w:tr>
      <w:tr w:rsidR="002C2BC8">
        <w:trPr>
          <w:trHeight w:val="515"/>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Overall</w:t>
            </w:r>
          </w:p>
        </w:tc>
        <w:tc>
          <w:tcPr>
            <w:tcW w:w="6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Strongest fit: SMEs/scale-ups and flexible workspaces.</w:t>
            </w:r>
          </w:p>
        </w:tc>
      </w:tr>
    </w:tbl>
    <w:p w:rsidR="008230A6" w:rsidRDefault="008230A6">
      <w:pPr>
        <w:spacing w:before="280" w:after="80"/>
        <w:rPr>
          <w:b/>
          <w:bCs/>
        </w:rPr>
      </w:pPr>
    </w:p>
    <w:p w:rsidR="008230A6" w:rsidRDefault="008230A6">
      <w:pPr>
        <w:spacing w:before="280" w:after="80"/>
        <w:rPr>
          <w:b/>
          <w:bCs/>
        </w:rPr>
      </w:pPr>
    </w:p>
    <w:p w:rsidR="002C2BC8" w:rsidRDefault="00FC2205">
      <w:pPr>
        <w:spacing w:before="280" w:after="80"/>
        <w:rPr>
          <w:b/>
          <w:bCs/>
        </w:rPr>
      </w:pPr>
      <w:r>
        <w:rPr>
          <w:b/>
          <w:bCs/>
        </w:rPr>
        <w:lastRenderedPageBreak/>
        <w:t>Table 2. Customer Persona 1</w:t>
      </w:r>
    </w:p>
    <w:sdt>
      <w:sdtPr>
        <w:tag w:val="goog_rdk_0"/>
        <w:id w:val="2077180295"/>
        <w:lock w:val="contentLocked"/>
      </w:sdtPr>
      <w:sdtContent>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2C2BC8">
            <w:tc>
              <w:tcPr>
                <w:tcW w:w="4680" w:type="dxa"/>
                <w:shd w:val="clear" w:color="auto" w:fill="F4CCCC"/>
                <w:tcMar>
                  <w:top w:w="100" w:type="dxa"/>
                  <w:left w:w="100" w:type="dxa"/>
                  <w:bottom w:w="100" w:type="dxa"/>
                  <w:right w:w="100" w:type="dxa"/>
                </w:tcMar>
              </w:tcPr>
              <w:p w:rsidR="002C2BC8" w:rsidRDefault="00FC2205">
                <w:pPr>
                  <w:widowControl w:val="0"/>
                  <w:pBdr>
                    <w:top w:val="nil"/>
                    <w:left w:val="nil"/>
                    <w:bottom w:val="nil"/>
                    <w:right w:val="nil"/>
                    <w:between w:val="nil"/>
                  </w:pBdr>
                  <w:spacing w:before="0" w:after="0" w:line="240" w:lineRule="auto"/>
                </w:pPr>
                <w:r>
                  <w:rPr>
                    <w:noProof/>
                    <w:lang w:eastAsia="en-US"/>
                  </w:rPr>
                  <w:drawing>
                    <wp:inline distT="114300" distB="114300" distL="114300" distR="114300">
                      <wp:extent cx="2838450" cy="1892300"/>
                      <wp:effectExtent l="12700" t="12700" r="12700" b="1270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cstate="print"/>
                              <a:srcRect/>
                              <a:stretch>
                                <a:fillRect/>
                              </a:stretch>
                            </pic:blipFill>
                            <pic:spPr>
                              <a:xfrm>
                                <a:off x="0" y="0"/>
                                <a:ext cx="2838450" cy="1892300"/>
                              </a:xfrm>
                              <a:prstGeom prst="rect">
                                <a:avLst/>
                              </a:prstGeom>
                              <a:ln w="12700">
                                <a:solidFill>
                                  <a:srgbClr val="000000"/>
                                </a:solidFill>
                                <a:prstDash val="solid"/>
                              </a:ln>
                            </pic:spPr>
                          </pic:pic>
                        </a:graphicData>
                      </a:graphic>
                    </wp:inline>
                  </w:drawing>
                </w:r>
              </w:p>
            </w:tc>
            <w:tc>
              <w:tcPr>
                <w:tcW w:w="4680" w:type="dxa"/>
                <w:shd w:val="clear" w:color="auto" w:fill="F4CCCC"/>
                <w:tcMar>
                  <w:top w:w="100" w:type="dxa"/>
                  <w:left w:w="100" w:type="dxa"/>
                  <w:bottom w:w="100" w:type="dxa"/>
                  <w:right w:w="100" w:type="dxa"/>
                </w:tcMar>
              </w:tcPr>
              <w:p w:rsidR="002C2BC8" w:rsidRDefault="00FC2205">
                <w:pPr>
                  <w:widowControl w:val="0"/>
                  <w:pBdr>
                    <w:top w:val="nil"/>
                    <w:left w:val="nil"/>
                    <w:bottom w:val="nil"/>
                    <w:right w:val="nil"/>
                    <w:between w:val="nil"/>
                  </w:pBdr>
                  <w:spacing w:before="0" w:after="0" w:line="240" w:lineRule="auto"/>
                </w:pPr>
                <w:r>
                  <w:t>Works for a large company with dynamic growth who have fluctuating office space needs - staff of 80+ He appreciates cost containment, flexibility and convenience, and does not want to buy items of furniture when he understands that he will be able to avoid an excess after expansion or relocation.</w:t>
                </w:r>
              </w:p>
            </w:tc>
          </w:tr>
          <w:tr w:rsidR="002C2BC8">
            <w:tc>
              <w:tcPr>
                <w:tcW w:w="4680" w:type="dxa"/>
                <w:shd w:val="clear" w:color="auto" w:fill="F4CCCC"/>
                <w:tcMar>
                  <w:top w:w="100" w:type="dxa"/>
                  <w:left w:w="100" w:type="dxa"/>
                  <w:bottom w:w="100" w:type="dxa"/>
                  <w:right w:w="100" w:type="dxa"/>
                </w:tcMar>
              </w:tcPr>
              <w:p w:rsidR="002C2BC8" w:rsidRDefault="00FC2205">
                <w:pPr>
                  <w:widowControl w:val="0"/>
                  <w:pBdr>
                    <w:top w:val="nil"/>
                    <w:left w:val="nil"/>
                    <w:bottom w:val="nil"/>
                    <w:right w:val="nil"/>
                    <w:between w:val="nil"/>
                  </w:pBdr>
                  <w:spacing w:before="0" w:after="0" w:line="240" w:lineRule="auto"/>
                  <w:rPr>
                    <w:b/>
                    <w:bCs/>
                  </w:rPr>
                </w:pPr>
                <w:r>
                  <w:rPr>
                    <w:b/>
                    <w:bCs/>
                  </w:rPr>
                  <w:t>Name: James Wilson</w:t>
                </w:r>
              </w:p>
              <w:p w:rsidR="002C2BC8" w:rsidRDefault="00FC2205">
                <w:pPr>
                  <w:widowControl w:val="0"/>
                  <w:pBdr>
                    <w:top w:val="nil"/>
                    <w:left w:val="nil"/>
                    <w:bottom w:val="nil"/>
                    <w:right w:val="nil"/>
                    <w:between w:val="nil"/>
                  </w:pBdr>
                  <w:spacing w:before="0" w:after="0" w:line="240" w:lineRule="auto"/>
                </w:pPr>
                <w:r>
                  <w:t>Age: 34</w:t>
                </w:r>
              </w:p>
              <w:p w:rsidR="002C2BC8" w:rsidRDefault="00FC2205">
                <w:pPr>
                  <w:widowControl w:val="0"/>
                  <w:pBdr>
                    <w:top w:val="nil"/>
                    <w:left w:val="nil"/>
                    <w:bottom w:val="nil"/>
                    <w:right w:val="nil"/>
                    <w:between w:val="nil"/>
                  </w:pBdr>
                  <w:spacing w:before="0" w:after="0" w:line="240" w:lineRule="auto"/>
                </w:pPr>
                <w:r>
                  <w:t>Location: London</w:t>
                </w:r>
              </w:p>
              <w:p w:rsidR="002C2BC8" w:rsidRDefault="00FC2205">
                <w:pPr>
                  <w:widowControl w:val="0"/>
                  <w:pBdr>
                    <w:top w:val="nil"/>
                    <w:left w:val="nil"/>
                    <w:bottom w:val="nil"/>
                    <w:right w:val="nil"/>
                    <w:between w:val="nil"/>
                  </w:pBdr>
                  <w:spacing w:before="0" w:after="0" w:line="240" w:lineRule="auto"/>
                </w:pPr>
                <w:r>
                  <w:t>Role: Operations Manager – Growth-Stage SME</w:t>
                </w:r>
              </w:p>
            </w:tc>
            <w:tc>
              <w:tcPr>
                <w:tcW w:w="4680" w:type="dxa"/>
                <w:shd w:val="clear" w:color="auto" w:fill="F4CCCC"/>
                <w:tcMar>
                  <w:top w:w="100" w:type="dxa"/>
                  <w:left w:w="100" w:type="dxa"/>
                  <w:bottom w:w="100" w:type="dxa"/>
                  <w:right w:w="100" w:type="dxa"/>
                </w:tcMar>
              </w:tcPr>
              <w:p w:rsidR="002C2BC8" w:rsidRDefault="00FC2205">
                <w:pPr>
                  <w:widowControl w:val="0"/>
                  <w:pBdr>
                    <w:top w:val="nil"/>
                    <w:left w:val="nil"/>
                    <w:bottom w:val="nil"/>
                    <w:right w:val="nil"/>
                    <w:between w:val="nil"/>
                  </w:pBdr>
                  <w:spacing w:before="0" w:after="0" w:line="240" w:lineRule="auto"/>
                </w:pPr>
                <w:r>
                  <w:t>Work style</w:t>
                </w:r>
              </w:p>
              <w:p w:rsidR="002C2BC8" w:rsidRDefault="00FC2205">
                <w:pPr>
                  <w:widowControl w:val="0"/>
                  <w:numPr>
                    <w:ilvl w:val="0"/>
                    <w:numId w:val="1"/>
                  </w:numPr>
                  <w:pBdr>
                    <w:top w:val="nil"/>
                    <w:left w:val="nil"/>
                    <w:bottom w:val="nil"/>
                    <w:right w:val="nil"/>
                    <w:between w:val="nil"/>
                  </w:pBdr>
                  <w:spacing w:before="0" w:after="0" w:line="240" w:lineRule="auto"/>
                </w:pPr>
                <w:r>
                  <w:t>Hybrid</w:t>
                </w:r>
              </w:p>
              <w:p w:rsidR="002C2BC8" w:rsidRDefault="00FC2205">
                <w:pPr>
                  <w:widowControl w:val="0"/>
                  <w:numPr>
                    <w:ilvl w:val="0"/>
                    <w:numId w:val="1"/>
                  </w:numPr>
                  <w:pBdr>
                    <w:top w:val="nil"/>
                    <w:left w:val="nil"/>
                    <w:bottom w:val="nil"/>
                    <w:right w:val="nil"/>
                    <w:between w:val="nil"/>
                  </w:pBdr>
                  <w:spacing w:before="0" w:after="0" w:line="240" w:lineRule="auto"/>
                </w:pPr>
                <w:r>
                  <w:t>Rapidly expanding</w:t>
                </w:r>
              </w:p>
            </w:tc>
          </w:tr>
          <w:tr w:rsidR="002C2BC8">
            <w:tc>
              <w:tcPr>
                <w:tcW w:w="4680" w:type="dxa"/>
                <w:shd w:val="clear" w:color="auto" w:fill="F4CCCC"/>
                <w:tcMar>
                  <w:top w:w="100" w:type="dxa"/>
                  <w:left w:w="100" w:type="dxa"/>
                  <w:bottom w:w="100" w:type="dxa"/>
                  <w:right w:w="100" w:type="dxa"/>
                </w:tcMar>
              </w:tcPr>
              <w:p w:rsidR="002C2BC8" w:rsidRDefault="00FC2205">
                <w:pPr>
                  <w:widowControl w:val="0"/>
                  <w:pBdr>
                    <w:top w:val="nil"/>
                    <w:left w:val="nil"/>
                    <w:bottom w:val="nil"/>
                    <w:right w:val="nil"/>
                    <w:between w:val="nil"/>
                  </w:pBdr>
                  <w:spacing w:before="0" w:after="0" w:line="240" w:lineRule="auto"/>
                  <w:rPr>
                    <w:b/>
                    <w:bCs/>
                  </w:rPr>
                </w:pPr>
                <w:r>
                  <w:rPr>
                    <w:b/>
                    <w:bCs/>
                  </w:rPr>
                  <w:t>Goal</w:t>
                </w:r>
              </w:p>
              <w:p w:rsidR="002C2BC8" w:rsidRDefault="00FC2205">
                <w:pPr>
                  <w:widowControl w:val="0"/>
                  <w:numPr>
                    <w:ilvl w:val="0"/>
                    <w:numId w:val="3"/>
                  </w:numPr>
                  <w:pBdr>
                    <w:top w:val="nil"/>
                    <w:left w:val="nil"/>
                    <w:bottom w:val="nil"/>
                    <w:right w:val="nil"/>
                    <w:between w:val="nil"/>
                  </w:pBdr>
                  <w:spacing w:before="0" w:after="0" w:line="240" w:lineRule="auto"/>
                </w:pPr>
                <w:r>
                  <w:t xml:space="preserve">Reduce upfront furniture expenditure </w:t>
                </w:r>
              </w:p>
            </w:tc>
            <w:tc>
              <w:tcPr>
                <w:tcW w:w="4680" w:type="dxa"/>
                <w:shd w:val="clear" w:color="auto" w:fill="F4CCCC"/>
                <w:tcMar>
                  <w:top w:w="100" w:type="dxa"/>
                  <w:left w:w="100" w:type="dxa"/>
                  <w:bottom w:w="100" w:type="dxa"/>
                  <w:right w:w="100" w:type="dxa"/>
                </w:tcMar>
              </w:tcPr>
              <w:p w:rsidR="002C2BC8" w:rsidRDefault="00FC2205">
                <w:pPr>
                  <w:widowControl w:val="0"/>
                  <w:pBdr>
                    <w:top w:val="nil"/>
                    <w:left w:val="nil"/>
                    <w:bottom w:val="nil"/>
                    <w:right w:val="nil"/>
                    <w:between w:val="nil"/>
                  </w:pBdr>
                  <w:spacing w:before="0" w:after="0" w:line="240" w:lineRule="auto"/>
                  <w:rPr>
                    <w:b/>
                    <w:bCs/>
                  </w:rPr>
                </w:pPr>
                <w:r>
                  <w:rPr>
                    <w:b/>
                    <w:bCs/>
                  </w:rPr>
                  <w:t>Need</w:t>
                </w:r>
              </w:p>
              <w:p w:rsidR="002C2BC8" w:rsidRDefault="00FC2205">
                <w:pPr>
                  <w:widowControl w:val="0"/>
                  <w:numPr>
                    <w:ilvl w:val="0"/>
                    <w:numId w:val="2"/>
                  </w:numPr>
                  <w:pBdr>
                    <w:top w:val="nil"/>
                    <w:left w:val="nil"/>
                    <w:bottom w:val="nil"/>
                    <w:right w:val="nil"/>
                    <w:between w:val="nil"/>
                  </w:pBdr>
                  <w:spacing w:before="0" w:after="0" w:line="240" w:lineRule="auto"/>
                </w:pPr>
                <w:r>
                  <w:t>Flexible furniture for expansion</w:t>
                </w:r>
              </w:p>
              <w:p w:rsidR="002C2BC8" w:rsidRDefault="00FC2205">
                <w:pPr>
                  <w:widowControl w:val="0"/>
                  <w:numPr>
                    <w:ilvl w:val="0"/>
                    <w:numId w:val="2"/>
                  </w:numPr>
                  <w:pBdr>
                    <w:top w:val="nil"/>
                    <w:left w:val="nil"/>
                    <w:bottom w:val="nil"/>
                    <w:right w:val="nil"/>
                    <w:between w:val="nil"/>
                  </w:pBdr>
                  <w:spacing w:before="0" w:after="0" w:line="240" w:lineRule="auto"/>
                </w:pPr>
                <w:r>
                  <w:t xml:space="preserve">Relocation </w:t>
                </w:r>
              </w:p>
            </w:tc>
          </w:tr>
          <w:tr w:rsidR="002C2BC8">
            <w:trPr>
              <w:trHeight w:val="440"/>
            </w:trPr>
            <w:tc>
              <w:tcPr>
                <w:tcW w:w="9360" w:type="dxa"/>
                <w:gridSpan w:val="2"/>
                <w:shd w:val="clear" w:color="auto" w:fill="D0E0E3"/>
                <w:tcMar>
                  <w:top w:w="100" w:type="dxa"/>
                  <w:left w:w="100" w:type="dxa"/>
                  <w:bottom w:w="100" w:type="dxa"/>
                  <w:right w:w="100" w:type="dxa"/>
                </w:tcMar>
              </w:tcPr>
              <w:p w:rsidR="002C2BC8" w:rsidRDefault="00FC2205">
                <w:pPr>
                  <w:widowControl w:val="0"/>
                  <w:pBdr>
                    <w:top w:val="nil"/>
                    <w:left w:val="nil"/>
                    <w:bottom w:val="nil"/>
                    <w:right w:val="nil"/>
                    <w:between w:val="nil"/>
                  </w:pBdr>
                  <w:spacing w:before="0" w:after="0" w:line="240" w:lineRule="auto"/>
                  <w:rPr>
                    <w:b/>
                    <w:bCs/>
                  </w:rPr>
                </w:pPr>
                <w:r>
                  <w:rPr>
                    <w:b/>
                    <w:bCs/>
                  </w:rPr>
                  <w:t>Pain points</w:t>
                </w:r>
              </w:p>
              <w:p w:rsidR="002C2BC8" w:rsidRDefault="00FC2205">
                <w:pPr>
                  <w:widowControl w:val="0"/>
                  <w:numPr>
                    <w:ilvl w:val="0"/>
                    <w:numId w:val="4"/>
                  </w:numPr>
                  <w:pBdr>
                    <w:top w:val="nil"/>
                    <w:left w:val="nil"/>
                    <w:bottom w:val="nil"/>
                    <w:right w:val="nil"/>
                    <w:between w:val="nil"/>
                  </w:pBdr>
                  <w:spacing w:before="0" w:after="0" w:line="240" w:lineRule="auto"/>
                </w:pPr>
                <w:r>
                  <w:t>Storage</w:t>
                </w:r>
              </w:p>
              <w:p w:rsidR="002C2BC8" w:rsidRDefault="00FC2205">
                <w:pPr>
                  <w:widowControl w:val="0"/>
                  <w:numPr>
                    <w:ilvl w:val="0"/>
                    <w:numId w:val="4"/>
                  </w:numPr>
                  <w:pBdr>
                    <w:top w:val="nil"/>
                    <w:left w:val="nil"/>
                    <w:bottom w:val="nil"/>
                    <w:right w:val="nil"/>
                    <w:between w:val="nil"/>
                  </w:pBdr>
                  <w:spacing w:before="0" w:after="0" w:line="240" w:lineRule="auto"/>
                </w:pPr>
                <w:r>
                  <w:t>Disposal</w:t>
                </w:r>
              </w:p>
              <w:p w:rsidR="002C2BC8" w:rsidRDefault="00FC2205">
                <w:pPr>
                  <w:widowControl w:val="0"/>
                  <w:numPr>
                    <w:ilvl w:val="0"/>
                    <w:numId w:val="4"/>
                  </w:numPr>
                  <w:pBdr>
                    <w:top w:val="nil"/>
                    <w:left w:val="nil"/>
                    <w:bottom w:val="nil"/>
                    <w:right w:val="nil"/>
                    <w:between w:val="nil"/>
                  </w:pBdr>
                  <w:spacing w:before="0" w:after="0" w:line="240" w:lineRule="auto"/>
                </w:pPr>
                <w:r>
                  <w:t xml:space="preserve">Stranded furniture </w:t>
                </w:r>
              </w:p>
            </w:tc>
          </w:tr>
        </w:tbl>
      </w:sdtContent>
    </w:sdt>
    <w:p w:rsidR="002C2BC8" w:rsidRDefault="00FC2205">
      <w:pPr>
        <w:rPr>
          <w:b/>
          <w:bCs/>
        </w:rPr>
      </w:pPr>
      <w:r>
        <w:rPr>
          <w:b/>
          <w:bCs/>
        </w:rPr>
        <w:t>Table. Customer Persona 2</w:t>
      </w:r>
    </w:p>
    <w:sdt>
      <w:sdtPr>
        <w:tag w:val="goog_rdk_1"/>
        <w:id w:val="373724744"/>
        <w:lock w:val="contentLocked"/>
      </w:sdtPr>
      <w:sdtContent>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2C2BC8">
            <w:tc>
              <w:tcPr>
                <w:tcW w:w="4680" w:type="dxa"/>
                <w:shd w:val="clear" w:color="auto" w:fill="B6D7A8"/>
                <w:tcMar>
                  <w:top w:w="100" w:type="dxa"/>
                  <w:left w:w="100" w:type="dxa"/>
                  <w:bottom w:w="100" w:type="dxa"/>
                  <w:right w:w="100" w:type="dxa"/>
                </w:tcMar>
              </w:tcPr>
              <w:p w:rsidR="002C2BC8" w:rsidRDefault="00FC2205">
                <w:pPr>
                  <w:widowControl w:val="0"/>
                  <w:pBdr>
                    <w:top w:val="nil"/>
                    <w:left w:val="nil"/>
                    <w:bottom w:val="nil"/>
                    <w:right w:val="nil"/>
                    <w:between w:val="nil"/>
                  </w:pBdr>
                  <w:spacing w:before="0" w:after="0" w:line="240" w:lineRule="auto"/>
                </w:pPr>
                <w:r>
                  <w:rPr>
                    <w:noProof/>
                    <w:lang w:eastAsia="en-US"/>
                  </w:rPr>
                  <w:drawing>
                    <wp:inline distT="114300" distB="114300" distL="114300" distR="114300">
                      <wp:extent cx="2838450" cy="1892300"/>
                      <wp:effectExtent l="12700" t="12700" r="12700" b="1270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cstate="print"/>
                              <a:srcRect/>
                              <a:stretch>
                                <a:fillRect/>
                              </a:stretch>
                            </pic:blipFill>
                            <pic:spPr>
                              <a:xfrm>
                                <a:off x="0" y="0"/>
                                <a:ext cx="2838450" cy="1892300"/>
                              </a:xfrm>
                              <a:prstGeom prst="rect">
                                <a:avLst/>
                              </a:prstGeom>
                              <a:ln w="12700">
                                <a:solidFill>
                                  <a:srgbClr val="000000"/>
                                </a:solidFill>
                                <a:prstDash val="solid"/>
                              </a:ln>
                            </pic:spPr>
                          </pic:pic>
                        </a:graphicData>
                      </a:graphic>
                    </wp:inline>
                  </w:drawing>
                </w:r>
              </w:p>
            </w:tc>
            <w:tc>
              <w:tcPr>
                <w:tcW w:w="4680" w:type="dxa"/>
                <w:shd w:val="clear" w:color="auto" w:fill="B6D7A8"/>
                <w:tcMar>
                  <w:top w:w="100" w:type="dxa"/>
                  <w:left w:w="100" w:type="dxa"/>
                  <w:bottom w:w="100" w:type="dxa"/>
                  <w:right w:w="100" w:type="dxa"/>
                </w:tcMar>
              </w:tcPr>
              <w:p w:rsidR="002C2BC8" w:rsidRDefault="00FC2205">
                <w:pPr>
                  <w:widowControl w:val="0"/>
                  <w:pBdr>
                    <w:top w:val="nil"/>
                    <w:left w:val="nil"/>
                    <w:bottom w:val="nil"/>
                    <w:right w:val="nil"/>
                    <w:between w:val="nil"/>
                  </w:pBdr>
                  <w:spacing w:before="0" w:after="0" w:line="240" w:lineRule="auto"/>
                </w:pPr>
                <w:r>
                  <w:t>Supervises a multi-tenant workspace that is subject to turnover and needs to have furniture often reconfigured and replaced quickly. Chemistry is her key focus, where she values: being available, service reliability, operational flexibility.</w:t>
                </w:r>
              </w:p>
            </w:tc>
          </w:tr>
          <w:tr w:rsidR="002C2BC8">
            <w:tc>
              <w:tcPr>
                <w:tcW w:w="4680" w:type="dxa"/>
                <w:shd w:val="clear" w:color="auto" w:fill="FFE599"/>
                <w:tcMar>
                  <w:top w:w="100" w:type="dxa"/>
                  <w:left w:w="100" w:type="dxa"/>
                  <w:bottom w:w="100" w:type="dxa"/>
                  <w:right w:w="100" w:type="dxa"/>
                </w:tcMar>
              </w:tcPr>
              <w:p w:rsidR="002C2BC8" w:rsidRDefault="00FC2205">
                <w:pPr>
                  <w:widowControl w:val="0"/>
                  <w:pBdr>
                    <w:top w:val="nil"/>
                    <w:left w:val="nil"/>
                    <w:bottom w:val="nil"/>
                    <w:right w:val="nil"/>
                    <w:between w:val="nil"/>
                  </w:pBdr>
                  <w:spacing w:before="0" w:after="0" w:line="240" w:lineRule="auto"/>
                  <w:rPr>
                    <w:b/>
                    <w:bCs/>
                  </w:rPr>
                </w:pPr>
                <w:r>
                  <w:rPr>
                    <w:b/>
                    <w:bCs/>
                  </w:rPr>
                  <w:t>Name: Sarah Patel</w:t>
                </w:r>
              </w:p>
              <w:p w:rsidR="002C2BC8" w:rsidRDefault="00FC2205">
                <w:pPr>
                  <w:widowControl w:val="0"/>
                  <w:pBdr>
                    <w:top w:val="nil"/>
                    <w:left w:val="nil"/>
                    <w:bottom w:val="nil"/>
                    <w:right w:val="nil"/>
                    <w:between w:val="nil"/>
                  </w:pBdr>
                  <w:spacing w:before="0" w:after="0" w:line="240" w:lineRule="auto"/>
                </w:pPr>
                <w:r>
                  <w:lastRenderedPageBreak/>
                  <w:t>Age: 41</w:t>
                </w:r>
              </w:p>
              <w:p w:rsidR="002C2BC8" w:rsidRDefault="00FC2205">
                <w:pPr>
                  <w:widowControl w:val="0"/>
                  <w:pBdr>
                    <w:top w:val="nil"/>
                    <w:left w:val="nil"/>
                    <w:bottom w:val="nil"/>
                    <w:right w:val="nil"/>
                    <w:between w:val="nil"/>
                  </w:pBdr>
                  <w:spacing w:before="0" w:after="0" w:line="240" w:lineRule="auto"/>
                </w:pPr>
                <w:r>
                  <w:t>Job: Workplace Manager</w:t>
                </w:r>
              </w:p>
              <w:p w:rsidR="002C2BC8" w:rsidRDefault="00FC2205">
                <w:pPr>
                  <w:widowControl w:val="0"/>
                  <w:pBdr>
                    <w:top w:val="nil"/>
                    <w:left w:val="nil"/>
                    <w:bottom w:val="nil"/>
                    <w:right w:val="nil"/>
                    <w:between w:val="nil"/>
                  </w:pBdr>
                  <w:spacing w:before="0" w:after="0" w:line="240" w:lineRule="auto"/>
                </w:pPr>
                <w:r>
                  <w:t>Location: UK</w:t>
                </w:r>
              </w:p>
            </w:tc>
            <w:tc>
              <w:tcPr>
                <w:tcW w:w="4680" w:type="dxa"/>
                <w:shd w:val="clear" w:color="auto" w:fill="B6D7A8"/>
                <w:tcMar>
                  <w:top w:w="100" w:type="dxa"/>
                  <w:left w:w="100" w:type="dxa"/>
                  <w:bottom w:w="100" w:type="dxa"/>
                  <w:right w:w="100" w:type="dxa"/>
                </w:tcMar>
              </w:tcPr>
              <w:p w:rsidR="002C2BC8" w:rsidRDefault="00FC2205">
                <w:pPr>
                  <w:widowControl w:val="0"/>
                  <w:pBdr>
                    <w:top w:val="nil"/>
                    <w:left w:val="nil"/>
                    <w:bottom w:val="nil"/>
                    <w:right w:val="nil"/>
                    <w:between w:val="nil"/>
                  </w:pBdr>
                  <w:spacing w:before="0" w:after="0" w:line="240" w:lineRule="auto"/>
                  <w:rPr>
                    <w:b/>
                    <w:bCs/>
                  </w:rPr>
                </w:pPr>
                <w:r>
                  <w:rPr>
                    <w:b/>
                    <w:bCs/>
                  </w:rPr>
                  <w:lastRenderedPageBreak/>
                  <w:t>Personality</w:t>
                </w:r>
              </w:p>
              <w:p w:rsidR="002C2BC8" w:rsidRDefault="00FC2205">
                <w:pPr>
                  <w:widowControl w:val="0"/>
                  <w:numPr>
                    <w:ilvl w:val="0"/>
                    <w:numId w:val="6"/>
                  </w:numPr>
                  <w:pBdr>
                    <w:top w:val="nil"/>
                    <w:left w:val="nil"/>
                    <w:bottom w:val="nil"/>
                    <w:right w:val="nil"/>
                    <w:between w:val="nil"/>
                  </w:pBdr>
                  <w:spacing w:before="0" w:after="0" w:line="240" w:lineRule="auto"/>
                </w:pPr>
                <w:r>
                  <w:lastRenderedPageBreak/>
                  <w:t>Adaptability</w:t>
                </w:r>
              </w:p>
              <w:p w:rsidR="002C2BC8" w:rsidRDefault="00FC2205">
                <w:pPr>
                  <w:widowControl w:val="0"/>
                  <w:numPr>
                    <w:ilvl w:val="0"/>
                    <w:numId w:val="6"/>
                  </w:numPr>
                  <w:pBdr>
                    <w:top w:val="nil"/>
                    <w:left w:val="nil"/>
                    <w:bottom w:val="nil"/>
                    <w:right w:val="nil"/>
                    <w:between w:val="nil"/>
                  </w:pBdr>
                  <w:spacing w:before="0" w:after="0" w:line="240" w:lineRule="auto"/>
                </w:pPr>
                <w:r>
                  <w:t>Efficiency-focused</w:t>
                </w:r>
              </w:p>
            </w:tc>
          </w:tr>
          <w:tr w:rsidR="002C2BC8">
            <w:tc>
              <w:tcPr>
                <w:tcW w:w="4680" w:type="dxa"/>
                <w:shd w:val="clear" w:color="auto" w:fill="B6D7A8"/>
                <w:tcMar>
                  <w:top w:w="100" w:type="dxa"/>
                  <w:left w:w="100" w:type="dxa"/>
                  <w:bottom w:w="100" w:type="dxa"/>
                  <w:right w:w="100" w:type="dxa"/>
                </w:tcMar>
              </w:tcPr>
              <w:p w:rsidR="002C2BC8" w:rsidRDefault="00FC2205">
                <w:pPr>
                  <w:widowControl w:val="0"/>
                  <w:pBdr>
                    <w:top w:val="nil"/>
                    <w:left w:val="nil"/>
                    <w:bottom w:val="nil"/>
                    <w:right w:val="nil"/>
                    <w:between w:val="nil"/>
                  </w:pBdr>
                  <w:spacing w:before="0" w:after="0" w:line="240" w:lineRule="auto"/>
                  <w:rPr>
                    <w:b/>
                    <w:bCs/>
                  </w:rPr>
                </w:pPr>
                <w:r>
                  <w:rPr>
                    <w:b/>
                    <w:bCs/>
                  </w:rPr>
                  <w:lastRenderedPageBreak/>
                  <w:t>Goal</w:t>
                </w:r>
              </w:p>
              <w:p w:rsidR="002C2BC8" w:rsidRDefault="00FC2205">
                <w:pPr>
                  <w:widowControl w:val="0"/>
                  <w:numPr>
                    <w:ilvl w:val="0"/>
                    <w:numId w:val="5"/>
                  </w:numPr>
                  <w:pBdr>
                    <w:top w:val="nil"/>
                    <w:left w:val="nil"/>
                    <w:bottom w:val="nil"/>
                    <w:right w:val="nil"/>
                    <w:between w:val="nil"/>
                  </w:pBdr>
                  <w:spacing w:before="0" w:after="0" w:line="240" w:lineRule="auto"/>
                </w:pPr>
                <w:r>
                  <w:t>Reconfigure workspaces quickly</w:t>
                </w:r>
              </w:p>
            </w:tc>
            <w:tc>
              <w:tcPr>
                <w:tcW w:w="4680" w:type="dxa"/>
                <w:shd w:val="clear" w:color="auto" w:fill="FFE599"/>
                <w:tcMar>
                  <w:top w:w="100" w:type="dxa"/>
                  <w:left w:w="100" w:type="dxa"/>
                  <w:bottom w:w="100" w:type="dxa"/>
                  <w:right w:w="100" w:type="dxa"/>
                </w:tcMar>
              </w:tcPr>
              <w:p w:rsidR="002C2BC8" w:rsidRDefault="00FC2205">
                <w:pPr>
                  <w:widowControl w:val="0"/>
                  <w:spacing w:before="0" w:after="0" w:line="240" w:lineRule="auto"/>
                  <w:rPr>
                    <w:b/>
                    <w:bCs/>
                  </w:rPr>
                </w:pPr>
                <w:r>
                  <w:rPr>
                    <w:b/>
                    <w:bCs/>
                  </w:rPr>
                  <w:t>Need</w:t>
                </w:r>
              </w:p>
              <w:p w:rsidR="002C2BC8" w:rsidRDefault="00FC2205">
                <w:pPr>
                  <w:widowControl w:val="0"/>
                  <w:numPr>
                    <w:ilvl w:val="0"/>
                    <w:numId w:val="8"/>
                  </w:numPr>
                  <w:spacing w:before="0" w:after="0" w:line="240" w:lineRule="auto"/>
                </w:pPr>
                <w:r>
                  <w:t>Reliable furniture availability</w:t>
                </w:r>
              </w:p>
              <w:p w:rsidR="002C2BC8" w:rsidRDefault="00FC2205">
                <w:pPr>
                  <w:widowControl w:val="0"/>
                  <w:numPr>
                    <w:ilvl w:val="0"/>
                    <w:numId w:val="8"/>
                  </w:numPr>
                  <w:spacing w:before="0" w:after="0" w:line="240" w:lineRule="auto"/>
                </w:pPr>
                <w:r>
                  <w:t>Replacement</w:t>
                </w:r>
              </w:p>
            </w:tc>
          </w:tr>
          <w:tr w:rsidR="002C2BC8">
            <w:trPr>
              <w:trHeight w:val="440"/>
            </w:trPr>
            <w:tc>
              <w:tcPr>
                <w:tcW w:w="9360" w:type="dxa"/>
                <w:gridSpan w:val="2"/>
                <w:shd w:val="clear" w:color="auto" w:fill="B6D7A8"/>
                <w:tcMar>
                  <w:top w:w="100" w:type="dxa"/>
                  <w:left w:w="100" w:type="dxa"/>
                  <w:bottom w:w="100" w:type="dxa"/>
                  <w:right w:w="100" w:type="dxa"/>
                </w:tcMar>
              </w:tcPr>
              <w:p w:rsidR="002C2BC8" w:rsidRDefault="00FC2205">
                <w:pPr>
                  <w:widowControl w:val="0"/>
                  <w:spacing w:before="0" w:after="0" w:line="240" w:lineRule="auto"/>
                  <w:rPr>
                    <w:b/>
                    <w:bCs/>
                  </w:rPr>
                </w:pPr>
                <w:r>
                  <w:rPr>
                    <w:b/>
                    <w:bCs/>
                  </w:rPr>
                  <w:t>Pain points</w:t>
                </w:r>
              </w:p>
              <w:p w:rsidR="002C2BC8" w:rsidRDefault="00FC2205">
                <w:pPr>
                  <w:widowControl w:val="0"/>
                  <w:numPr>
                    <w:ilvl w:val="0"/>
                    <w:numId w:val="7"/>
                  </w:numPr>
                  <w:spacing w:before="0" w:after="0" w:line="240" w:lineRule="auto"/>
                </w:pPr>
                <w:r>
                  <w:t>Turnover</w:t>
                </w:r>
              </w:p>
              <w:p w:rsidR="002C2BC8" w:rsidRDefault="00FC2205">
                <w:pPr>
                  <w:widowControl w:val="0"/>
                  <w:numPr>
                    <w:ilvl w:val="0"/>
                    <w:numId w:val="7"/>
                  </w:numPr>
                  <w:spacing w:before="0" w:after="0" w:line="240" w:lineRule="auto"/>
                </w:pPr>
                <w:r>
                  <w:t>Storage</w:t>
                </w:r>
              </w:p>
              <w:p w:rsidR="002C2BC8" w:rsidRDefault="00FC2205">
                <w:pPr>
                  <w:widowControl w:val="0"/>
                  <w:numPr>
                    <w:ilvl w:val="0"/>
                    <w:numId w:val="7"/>
                  </w:numPr>
                  <w:spacing w:before="0" w:after="0" w:line="240" w:lineRule="auto"/>
                </w:pPr>
                <w:r>
                  <w:t>Downtime</w:t>
                </w:r>
              </w:p>
            </w:tc>
          </w:tr>
        </w:tbl>
      </w:sdtContent>
    </w:sdt>
    <w:p w:rsidR="002C2BC8" w:rsidRDefault="008230A6">
      <w:pPr>
        <w:pStyle w:val="Heading2"/>
        <w:keepNext w:val="0"/>
        <w:keepLines w:val="0"/>
      </w:pPr>
      <w:bookmarkStart w:id="53" w:name="_heading=h.mmdptskjzc7z" w:colFirst="0" w:colLast="0"/>
      <w:bookmarkStart w:id="54" w:name="_Toc239460905"/>
      <w:bookmarkEnd w:id="53"/>
      <w:r>
        <w:t>5</w:t>
      </w:r>
      <w:r w:rsidR="00FC2205">
        <w:t>.4 Pain Points, Unmet Needs and Demand</w:t>
      </w:r>
      <w:bookmarkEnd w:id="54"/>
    </w:p>
    <w:p w:rsidR="002C2BC8" w:rsidRDefault="00FC2205">
      <w:r>
        <w:t>The primary problem is that office furniture is costly, but office furniture that fits that office's needs is a problem that's inefficiently solved by ownership. In the event of relocation, expansion, downsizing and refurbishment, organisations may have surplus separation and disposal responsibilities, storage costs (Öngel, Gonçalves and da Silva, 2025) and assets to manage and maintain. One method of overcoming this rigidity with EcoLoop is by implementing a subscription service, second-life use and swapping out batteries, and take-back. All of these problems, though, do not create demand for EcoLoop's solution.</w:t>
      </w:r>
    </w:p>
    <w:p w:rsidR="002C2BC8" w:rsidRDefault="00FC2205">
      <w:r>
        <w:t>Customers are also provided with an option to buy assets (new or second-hand), rent assets, own existing assets or repair existing assets. This can be beneficial if these options appear more familiar, more controlled or have perceived less risk. Likewise, hybrid work might require more flexibility in the workplace, and correspondingly, companies may need to cut down on office space and not subscribe to furniture (Alfieri, Mariotti and Rossi 2025). The preferences for sustainability don't necessarily take precedence over issues of quality, ownership, and long-term cost.</w:t>
      </w:r>
    </w:p>
    <w:p w:rsidR="002C2BC8" w:rsidRDefault="00FC2205">
      <w:r>
        <w:t xml:space="preserve">Thus, there is likely to be a difference in demand depending on how often furniture is being changed, how price sensitive, the switching costs, and the perceived risk. The advantage of subscription is greater when organisations are required to frequently reconfigure their furniture arrangements, as well as have limited capital. On the other hand, owning furniture may be </w:t>
      </w:r>
      <w:r>
        <w:lastRenderedPageBreak/>
        <w:t>advantageous for organisations in which furniture is expected to last for a long time (Pourrahimian</w:t>
      </w:r>
      <w:r w:rsidR="00596FD4" w:rsidRPr="00596FD4">
        <w:rPr>
          <w:i/>
        </w:rPr>
        <w:t>et al</w:t>
      </w:r>
      <w:r>
        <w:t>., 2026). The limiting factor is willingness to pay. Without primary evidence from the customers, they can only be potential customers; actual purchasing behaviour cannot be determined. Thus, EcoLoop has found a valid unmet opportunity, which has yet to be validated in terms of commercial need.</w:t>
      </w:r>
    </w:p>
    <w:p w:rsidR="002C2BC8" w:rsidRDefault="008230A6">
      <w:pPr>
        <w:pStyle w:val="Heading2"/>
      </w:pPr>
      <w:bookmarkStart w:id="55" w:name="_heading=h.ycd53uyptxw" w:colFirst="0" w:colLast="0"/>
      <w:bookmarkStart w:id="56" w:name="_Toc239460906"/>
      <w:bookmarkEnd w:id="55"/>
      <w:r>
        <w:t>5</w:t>
      </w:r>
      <w:r w:rsidR="00FC2205">
        <w:t>.5 Economic and Geographic Conditions</w:t>
      </w:r>
      <w:bookmarkEnd w:id="56"/>
    </w:p>
    <w:p w:rsidR="002C2BC8" w:rsidRDefault="00FC2205">
      <w:r>
        <w:t>Economic conditions are counterintuitive for EcoLoop. It can be favourable to avoid heavy initial investment as the cost of fit-out and procurement of office furniture can be high. Subscription can also help in terms of predictability of expenditures and lower financial risk of adaptive response to the changing needs in the work environment (Markiewicz and Ziobrowska-Sztuczka, 2026). However, regular repayments are an agreement which may cost more than owning in the long term.</w:t>
      </w:r>
    </w:p>
    <w:p w:rsidR="002C2BC8" w:rsidRDefault="00FC2205">
      <w:r>
        <w:t>This tension exists due to inflation too. This may lead to a higher awareness of furniture costs and procurement costs, which can enhance refurbishment and cost-flexible methods, but can also eat into businesses' budgets. SMEs might appreciate flexibility and may therefore delay the expenditure, or even make no expenses. Likewise, higher financing rates can make it less attractive to have a large investment, but it doesn't necessarily mean that people will opt for subscriptions (Elarabi and Khalifa, 2025).</w:t>
      </w:r>
    </w:p>
    <w:tbl>
      <w:tblPr>
        <w:tblStyle w:val="a3"/>
        <w:tblW w:w="9210" w:type="dxa"/>
        <w:tblInd w:w="0" w:type="dxa"/>
        <w:tblBorders>
          <w:top w:val="nil"/>
          <w:left w:val="nil"/>
          <w:bottom w:val="nil"/>
          <w:right w:val="nil"/>
          <w:insideH w:val="nil"/>
          <w:insideV w:val="nil"/>
        </w:tblBorders>
        <w:tblLayout w:type="fixed"/>
        <w:tblLook w:val="0600"/>
      </w:tblPr>
      <w:tblGrid>
        <w:gridCol w:w="2565"/>
        <w:gridCol w:w="3360"/>
        <w:gridCol w:w="3285"/>
      </w:tblGrid>
      <w:tr w:rsidR="002C2BC8">
        <w:trPr>
          <w:trHeight w:val="515"/>
        </w:trPr>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Economic condition</w:t>
            </w:r>
          </w:p>
        </w:tc>
        <w:tc>
          <w:tcPr>
            <w:tcW w:w="3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Potential opportunity</w:t>
            </w:r>
          </w:p>
        </w:tc>
        <w:tc>
          <w:tcPr>
            <w:tcW w:w="32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Counter-effect</w:t>
            </w:r>
          </w:p>
        </w:tc>
      </w:tr>
      <w:tr w:rsidR="002C2BC8">
        <w:trPr>
          <w:trHeight w:val="515"/>
        </w:trPr>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Inflation</w:t>
            </w:r>
          </w:p>
        </w:tc>
        <w:tc>
          <w:tcPr>
            <w:tcW w:w="3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Greater interest in reuse</w:t>
            </w:r>
          </w:p>
        </w:tc>
        <w:tc>
          <w:tcPr>
            <w:tcW w:w="32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Lower business budgets</w:t>
            </w:r>
          </w:p>
        </w:tc>
      </w:tr>
      <w:tr w:rsidR="002C2BC8">
        <w:trPr>
          <w:trHeight w:val="515"/>
        </w:trPr>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High fit-out costs</w:t>
            </w:r>
          </w:p>
        </w:tc>
        <w:tc>
          <w:tcPr>
            <w:tcW w:w="3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Lower upfront commitment</w:t>
            </w:r>
          </w:p>
        </w:tc>
        <w:tc>
          <w:tcPr>
            <w:tcW w:w="32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Investment postponement</w:t>
            </w:r>
          </w:p>
        </w:tc>
      </w:tr>
      <w:tr w:rsidR="002C2BC8">
        <w:trPr>
          <w:trHeight w:val="515"/>
        </w:trPr>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Financing pressure</w:t>
            </w:r>
          </w:p>
        </w:tc>
        <w:tc>
          <w:tcPr>
            <w:tcW w:w="3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Access instead of ownership</w:t>
            </w:r>
          </w:p>
        </w:tc>
        <w:tc>
          <w:tcPr>
            <w:tcW w:w="32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Recurring payments remain</w:t>
            </w:r>
          </w:p>
        </w:tc>
      </w:tr>
      <w:tr w:rsidR="002C2BC8">
        <w:trPr>
          <w:trHeight w:val="515"/>
        </w:trPr>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Business uncertainty</w:t>
            </w:r>
          </w:p>
        </w:tc>
        <w:tc>
          <w:tcPr>
            <w:tcW w:w="3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Greater value of flexibility</w:t>
            </w:r>
          </w:p>
        </w:tc>
        <w:tc>
          <w:tcPr>
            <w:tcW w:w="32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Lower overall spending</w:t>
            </w:r>
          </w:p>
        </w:tc>
      </w:tr>
    </w:tbl>
    <w:p w:rsidR="002C2BC8" w:rsidRDefault="00FC2205">
      <w:r>
        <w:lastRenderedPageBreak/>
        <w:t>As a geographical viewpoint, EcoLoop should target geographical areas where there is a high density of businesses, which have a significant amount of office activities as well as practical facility access. Working out of the main commercial hubs and London might have more demand as the value of flexibility also rises due to workplace costs, and more organisations are complex. But the attribute of geographical attractiveness is to be balanced with delivery/collection costs, storage and refurbishment costs (Mohri</w:t>
      </w:r>
      <w:r w:rsidR="00596FD4" w:rsidRPr="00596FD4">
        <w:rPr>
          <w:i/>
        </w:rPr>
        <w:t>et al</w:t>
      </w:r>
      <w:r>
        <w:t>., 2024) Although geographically dense markets may yield greater demand, poor margins can also result when there are high reverse logistics costs. As a result, in addition to influencing customer acquisition, geography plays a role in the economics of the circular model as well.</w:t>
      </w:r>
    </w:p>
    <w:p w:rsidR="002C2BC8" w:rsidRDefault="008230A6">
      <w:pPr>
        <w:pStyle w:val="Heading2"/>
      </w:pPr>
      <w:bookmarkStart w:id="57" w:name="_heading=h.gv1vogf10whr" w:colFirst="0" w:colLast="0"/>
      <w:bookmarkStart w:id="58" w:name="_Toc239460907"/>
      <w:bookmarkEnd w:id="57"/>
      <w:r>
        <w:t>5</w:t>
      </w:r>
      <w:r w:rsidR="00FC2205">
        <w:t>.6 Research Findings and Opportunity Synthesis</w:t>
      </w:r>
      <w:bookmarkEnd w:id="58"/>
    </w:p>
    <w:p w:rsidR="002C2BC8" w:rsidRDefault="00FC2205">
      <w:r>
        <w:t>There is evidence that there may be a commercially attractive market opportunity for Weben, although it is not an established high-growth market.</w:t>
      </w:r>
    </w:p>
    <w:tbl>
      <w:tblPr>
        <w:tblStyle w:val="a4"/>
        <w:tblW w:w="9360" w:type="dxa"/>
        <w:tblInd w:w="0" w:type="dxa"/>
        <w:tblBorders>
          <w:top w:val="nil"/>
          <w:left w:val="nil"/>
          <w:bottom w:val="nil"/>
          <w:right w:val="nil"/>
          <w:insideH w:val="nil"/>
          <w:insideV w:val="nil"/>
        </w:tblBorders>
        <w:tblLayout w:type="fixed"/>
        <w:tblLook w:val="0600"/>
      </w:tblPr>
      <w:tblGrid>
        <w:gridCol w:w="2103"/>
        <w:gridCol w:w="1775"/>
        <w:gridCol w:w="5482"/>
      </w:tblGrid>
      <w:tr w:rsidR="002C2BC8">
        <w:trPr>
          <w:trHeight w:val="515"/>
        </w:trPr>
        <w:tc>
          <w:tcPr>
            <w:tcW w:w="2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Criterion</w:t>
            </w:r>
          </w:p>
        </w:tc>
        <w:tc>
          <w:tcPr>
            <w:tcW w:w="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Assessment</w:t>
            </w:r>
          </w:p>
        </w:tc>
        <w:tc>
          <w:tcPr>
            <w:tcW w:w="54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Critical judgement</w:t>
            </w:r>
          </w:p>
        </w:tc>
      </w:tr>
      <w:tr w:rsidR="002C2BC8">
        <w:trPr>
          <w:trHeight w:val="800"/>
        </w:trPr>
        <w:tc>
          <w:tcPr>
            <w:tcW w:w="2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Need strength</w:t>
            </w:r>
          </w:p>
        </w:tc>
        <w:tc>
          <w:tcPr>
            <w:tcW w:w="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Strong</w:t>
            </w:r>
          </w:p>
        </w:tc>
        <w:tc>
          <w:tcPr>
            <w:tcW w:w="54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Change in the workplace and surplus furniture are real issues</w:t>
            </w:r>
          </w:p>
        </w:tc>
      </w:tr>
      <w:tr w:rsidR="002C2BC8">
        <w:trPr>
          <w:trHeight w:val="800"/>
        </w:trPr>
        <w:tc>
          <w:tcPr>
            <w:tcW w:w="2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Market scale</w:t>
            </w:r>
          </w:p>
        </w:tc>
        <w:tc>
          <w:tcPr>
            <w:tcW w:w="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Strong</w:t>
            </w:r>
          </w:p>
        </w:tc>
        <w:tc>
          <w:tcPr>
            <w:tcW w:w="54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A lot of lines for B2B – but half of them are not realistic numbers that can be targeted.</w:t>
            </w:r>
          </w:p>
        </w:tc>
      </w:tr>
      <w:tr w:rsidR="002C2BC8">
        <w:trPr>
          <w:trHeight w:val="800"/>
        </w:trPr>
        <w:tc>
          <w:tcPr>
            <w:tcW w:w="2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Target accessibility</w:t>
            </w:r>
          </w:p>
        </w:tc>
        <w:tc>
          <w:tcPr>
            <w:tcW w:w="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Moderate–Strong</w:t>
            </w:r>
          </w:p>
        </w:tc>
        <w:tc>
          <w:tcPr>
            <w:tcW w:w="54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It is beneficial to SMEs and flexible spaces, but needs to be validated.</w:t>
            </w:r>
          </w:p>
        </w:tc>
      </w:tr>
      <w:tr w:rsidR="002C2BC8">
        <w:trPr>
          <w:trHeight w:val="800"/>
        </w:trPr>
        <w:tc>
          <w:tcPr>
            <w:tcW w:w="2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Demand quality</w:t>
            </w:r>
          </w:p>
        </w:tc>
        <w:tc>
          <w:tcPr>
            <w:tcW w:w="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Moderate</w:t>
            </w:r>
          </w:p>
        </w:tc>
        <w:tc>
          <w:tcPr>
            <w:tcW w:w="54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There is a need, but it is not clear if it will be adopted in a subscription.</w:t>
            </w:r>
          </w:p>
        </w:tc>
      </w:tr>
      <w:tr w:rsidR="002C2BC8">
        <w:trPr>
          <w:trHeight w:val="800"/>
        </w:trPr>
        <w:tc>
          <w:tcPr>
            <w:tcW w:w="2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Economic resilience</w:t>
            </w:r>
          </w:p>
        </w:tc>
        <w:tc>
          <w:tcPr>
            <w:tcW w:w="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Moderate</w:t>
            </w:r>
          </w:p>
        </w:tc>
        <w:tc>
          <w:tcPr>
            <w:tcW w:w="54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Fewer will be able to afford as much flexibility as before, and budgets will shrink.</w:t>
            </w:r>
          </w:p>
        </w:tc>
      </w:tr>
      <w:tr w:rsidR="002C2BC8">
        <w:trPr>
          <w:trHeight w:val="800"/>
        </w:trPr>
        <w:tc>
          <w:tcPr>
            <w:tcW w:w="2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lastRenderedPageBreak/>
              <w:t>Evidence confidence</w:t>
            </w:r>
          </w:p>
        </w:tc>
        <w:tc>
          <w:tcPr>
            <w:tcW w:w="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Moderate</w:t>
            </w:r>
          </w:p>
        </w:tc>
        <w:tc>
          <w:tcPr>
            <w:tcW w:w="54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Customer willingness is untried and customer usefulness is helpful.</w:t>
            </w:r>
          </w:p>
        </w:tc>
      </w:tr>
    </w:tbl>
    <w:p w:rsidR="002C2BC8" w:rsidRDefault="00FC2205">
      <w:r>
        <w:t>Put simply, the synergy of hybrid working, evolving space needs, waste from office furniture, sustainability considerations and a need for multi-functionality and working capital freedom enhance EcoLoop's value. Those are elements which create retail conditions, but do not ensure sales. The biggest ambiguities are those of willingness to pay, customer switching, customer retention, acceptance of refurbished furniture, and reverse logistics costs.</w:t>
      </w:r>
    </w:p>
    <w:p w:rsidR="002C2BC8" w:rsidRDefault="00FC2205">
      <w:r>
        <w:t>This is because the opportunity is best realised when there are customers who undergo changes in their workplace/practice, or high furniture turnover, and SMEs/scale-ups as well as operators of flexible workspaces seem to be ideal first players (Hokmabadi, Rezvani and de Matos, 2024). A subscription pricing-controlled pilot needs to be performed before scaling out, assessing asset utilisation, customer retention and refurbishment costs, and evaluating collection economics (Kowalkowski and Ulaga, 2024). This would make the existing hypothesis on the opportunity hypothesis "evidence-based" into "commercial evidence. The final result on the other hand, is a conditional one, as EcoLoop also provides solutions to potentially valid market issues, and will need to be shown to deliver the value of flexibility to customers at a profitable price. But with no primary research sources, the willingness to pay is yet unknown and pricey forecasts for subscription and switching rates are accepted. This reduces the certainty in the ability of market attractiveness to be translated into commercial forecasts. It is also essential that the proposed circular model can be shown to increase the marginal costs of collection, storage, refurbishment, and re-distribution without causing the subscription revenues to decline.</w:t>
      </w:r>
    </w:p>
    <w:p w:rsidR="002C2BC8" w:rsidRDefault="008230A6">
      <w:pPr>
        <w:pStyle w:val="Heading1"/>
      </w:pPr>
      <w:bookmarkStart w:id="59" w:name="_heading=h.usnfr23we6nm" w:colFirst="0" w:colLast="0"/>
      <w:bookmarkStart w:id="60" w:name="_Toc239460908"/>
      <w:bookmarkEnd w:id="59"/>
      <w:r>
        <w:t>Chapter 6</w:t>
      </w:r>
      <w:r w:rsidR="00FC2205">
        <w:t>: Competitive Environment Analysis</w:t>
      </w:r>
      <w:bookmarkEnd w:id="60"/>
    </w:p>
    <w:p w:rsidR="002C2BC8" w:rsidRDefault="008230A6">
      <w:pPr>
        <w:pStyle w:val="Heading2"/>
        <w:keepNext w:val="0"/>
        <w:keepLines w:val="0"/>
      </w:pPr>
      <w:bookmarkStart w:id="61" w:name="_heading=h.5thj80i70ung" w:colFirst="0" w:colLast="0"/>
      <w:bookmarkStart w:id="62" w:name="_Toc239460909"/>
      <w:bookmarkEnd w:id="61"/>
      <w:r>
        <w:t>6</w:t>
      </w:r>
      <w:r w:rsidR="00FC2205">
        <w:t>.1 Scope, Frameworks and Competitive Set</w:t>
      </w:r>
      <w:bookmarkEnd w:id="62"/>
    </w:p>
    <w:p w:rsidR="002C2BC8" w:rsidRDefault="00FC2205">
      <w:r>
        <w:t xml:space="preserve">While the UK-based EcoLoop is active in the corporate office furniture/workplace solutions market, the challenge it faces is not just from traditional office furniture suppliers. The requirements can be met in the same way by another party through ownership, refurbishment, </w:t>
      </w:r>
      <w:r>
        <w:lastRenderedPageBreak/>
        <w:t>letting, repairs, and retaining the assets (Dao, Cooper and Watkins, 2026). But it is not only on the product availability that a competition will be conducted; it also relies on price/value, flexibility, quality, reliability, ease of use and sustainability. Traditional furniture vendors are best known for furniture ownership-based requirements, whereas refurbished, hire and circular providers make better business model comparisons. The substitutes are existing furniture or those who fix/alter the old furniture, while established suppliers that are coming into the furniture-as-service model are potential entrants. As per the research methodology, analysis of the competitors is then done through positioning and key success factors and then through Porter's five forces and PESTLE.</w:t>
      </w:r>
    </w:p>
    <w:p w:rsidR="002C2BC8" w:rsidRDefault="008230A6">
      <w:pPr>
        <w:pStyle w:val="Heading2"/>
      </w:pPr>
      <w:bookmarkStart w:id="63" w:name="_heading=h.2iieftkyawjg" w:colFirst="0" w:colLast="0"/>
      <w:bookmarkStart w:id="64" w:name="_Toc239460910"/>
      <w:bookmarkEnd w:id="63"/>
      <w:r>
        <w:t>6</w:t>
      </w:r>
      <w:r w:rsidR="00FC2205">
        <w:t>.2 Key Success Factors</w:t>
      </w:r>
      <w:bookmarkEnd w:id="64"/>
    </w:p>
    <w:p w:rsidR="002C2BC8" w:rsidRDefault="00FC2205">
      <w:r>
        <w:t>Service reliability and availability are more important to EcoLoop than it is to traditional ownership models, as the customer relies on the service provider for delivery, installation, maintenance, and replacement. Traditional suppliers can provide more robust service structures while EcoLoop's service structure needs to be demonstrated as equally strong in a more complicated lifecycle model.</w:t>
      </w:r>
    </w:p>
    <w:p w:rsidR="002C2BC8" w:rsidRDefault="00FC2205">
      <w:r>
        <w:t xml:space="preserve">Another key consideration is price – value performance. Both conventional and EcoLoop buying have their advantages and disadvantages, with conventional putting in more money up front but yielding ownership, and EcoLoop saving money in the long run but committing to less ownership. Hence, subscription revenues need to exhibit an outstanding life cycle value, not just high upfront revenues (Liu </w:t>
      </w:r>
      <w:r w:rsidR="00596FD4" w:rsidRPr="00596FD4">
        <w:rPr>
          <w:i/>
        </w:rPr>
        <w:t>et al</w:t>
      </w:r>
      <w:r>
        <w:t>., 2025).</w:t>
      </w:r>
    </w:p>
    <w:p w:rsidR="002C2BC8" w:rsidRDefault="00FC2205">
      <w:r>
        <w:t>Circular and refurbishment capability could be one of the indications of the difference between circular and linear providers. Take-back, reuse, refurbishment and resale increase the value of the asset; however, quality and hygiene as well as durability are expectations for refurbished furniture. Despite the fact that there are communication companies that achieve remarkable sustainability results, their weak product performance may not be enough to offset it (p. 410, Pérez-Sánchez, Velasco-Fernández and Giampietro, 2022).</w:t>
      </w:r>
    </w:p>
    <w:p w:rsidR="002C2BC8" w:rsidRDefault="00FC2205">
      <w:r>
        <w:lastRenderedPageBreak/>
        <w:t>Access to improved operating efficiency can make a profit. Storage, reverse logistics, maintenance and inventory can be potential threats to EcoLoop's recurring revenue. While conventional suppliers have an advantage in their one-way business, companies have an advantage in terms of reaching high asset utilisation values necessary to make circularity commercially viable (Kudrenko</w:t>
      </w:r>
      <w:r w:rsidR="00596FD4" w:rsidRPr="00596FD4">
        <w:rPr>
          <w:i/>
        </w:rPr>
        <w:t>et al</w:t>
      </w:r>
      <w:r>
        <w:t>., 2025). The research specifies some key conditions such as logistics, utilisation quality and refurbishment quality.</w:t>
      </w:r>
    </w:p>
    <w:p w:rsidR="002C2BC8" w:rsidRDefault="00FC2205">
      <w:r>
        <w:t>Last but not least, trust and the credibility of ESG. EcoLoop has the potential to provide more than just potential systems; it can provide measurable reuse and ESG reporting, unlike suppliers that may not have as integrated sustainability information. However, the claims do only make the cut when backed up by clear-cut proof.</w:t>
      </w:r>
    </w:p>
    <w:p w:rsidR="002C2BC8" w:rsidRDefault="008230A6">
      <w:pPr>
        <w:pStyle w:val="Heading2"/>
        <w:keepNext w:val="0"/>
        <w:keepLines w:val="0"/>
        <w:spacing w:before="360"/>
      </w:pPr>
      <w:bookmarkStart w:id="65" w:name="_heading=h.g7i55534ku4t" w:colFirst="0" w:colLast="0"/>
      <w:bookmarkStart w:id="66" w:name="_Toc239460911"/>
      <w:bookmarkEnd w:id="65"/>
      <w:r>
        <w:t>6</w:t>
      </w:r>
      <w:r w:rsidR="00FC2205">
        <w:t>.3 Main Competitors and Positioning</w:t>
      </w:r>
      <w:bookmarkEnd w:id="66"/>
    </w:p>
    <w:p w:rsidR="002C2BC8" w:rsidRDefault="008230A6">
      <w:pPr>
        <w:pStyle w:val="Heading3"/>
      </w:pPr>
      <w:bookmarkStart w:id="67" w:name="_heading=h.6iazy6smaul3" w:colFirst="0" w:colLast="0"/>
      <w:bookmarkStart w:id="68" w:name="_Toc239460912"/>
      <w:bookmarkEnd w:id="67"/>
      <w:r>
        <w:t>6</w:t>
      </w:r>
      <w:r w:rsidR="00FC2205">
        <w:t>.3.1 Competitor Analysis</w:t>
      </w:r>
      <w:bookmarkEnd w:id="68"/>
    </w:p>
    <w:tbl>
      <w:tblPr>
        <w:tblStyle w:val="a5"/>
        <w:tblW w:w="9360" w:type="dxa"/>
        <w:tblInd w:w="0" w:type="dxa"/>
        <w:tblBorders>
          <w:top w:val="nil"/>
          <w:left w:val="nil"/>
          <w:bottom w:val="nil"/>
          <w:right w:val="nil"/>
          <w:insideH w:val="nil"/>
          <w:insideV w:val="nil"/>
        </w:tblBorders>
        <w:tblLayout w:type="fixed"/>
        <w:tblLook w:val="0600"/>
      </w:tblPr>
      <w:tblGrid>
        <w:gridCol w:w="1924"/>
        <w:gridCol w:w="4142"/>
        <w:gridCol w:w="3294"/>
      </w:tblGrid>
      <w:tr w:rsidR="002C2BC8">
        <w:trPr>
          <w:trHeight w:val="800"/>
        </w:trPr>
        <w:tc>
          <w:tcPr>
            <w:tcW w:w="1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Competitor</w:t>
            </w:r>
          </w:p>
        </w:tc>
        <w:tc>
          <w:tcPr>
            <w:tcW w:w="41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Strength</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EcoLoop Competitive Gap/Threat</w:t>
            </w:r>
          </w:p>
        </w:tc>
      </w:tr>
      <w:tr w:rsidR="002C2BC8">
        <w:trPr>
          <w:trHeight w:val="800"/>
        </w:trPr>
        <w:tc>
          <w:tcPr>
            <w:tcW w:w="1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Traditional suppliers</w:t>
            </w:r>
          </w:p>
        </w:tc>
        <w:tc>
          <w:tcPr>
            <w:tcW w:w="41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Product range, reliability, procurement relationships</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Limited flexibility; strong incumbent advantage</w:t>
            </w:r>
          </w:p>
        </w:tc>
      </w:tr>
      <w:tr w:rsidR="002C2BC8">
        <w:trPr>
          <w:trHeight w:val="800"/>
        </w:trPr>
        <w:tc>
          <w:tcPr>
            <w:tcW w:w="1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Refurbished providers</w:t>
            </w:r>
          </w:p>
        </w:tc>
        <w:tc>
          <w:tcPr>
            <w:tcW w:w="41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Lower prices, reuse, circularity</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Mainly ownership-based</w:t>
            </w:r>
          </w:p>
        </w:tc>
      </w:tr>
      <w:tr w:rsidR="002C2BC8">
        <w:trPr>
          <w:trHeight w:val="515"/>
        </w:trPr>
        <w:tc>
          <w:tcPr>
            <w:tcW w:w="1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Rental providers</w:t>
            </w:r>
          </w:p>
        </w:tc>
        <w:tc>
          <w:tcPr>
            <w:tcW w:w="41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Access, flexibility, lower upfront cost</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Circular integration varies</w:t>
            </w:r>
          </w:p>
        </w:tc>
      </w:tr>
      <w:tr w:rsidR="002C2BC8">
        <w:trPr>
          <w:trHeight w:val="800"/>
        </w:trPr>
        <w:tc>
          <w:tcPr>
            <w:tcW w:w="1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Circular providers</w:t>
            </w:r>
          </w:p>
        </w:tc>
        <w:tc>
          <w:tcPr>
            <w:tcW w:w="41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Refurbishment, reuse, lifecycle services</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Increasingly similar proposition</w:t>
            </w:r>
          </w:p>
        </w:tc>
      </w:tr>
      <w:tr w:rsidR="002C2BC8">
        <w:trPr>
          <w:trHeight w:val="800"/>
        </w:trPr>
        <w:tc>
          <w:tcPr>
            <w:tcW w:w="1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EcoLoop</w:t>
            </w:r>
          </w:p>
        </w:tc>
        <w:tc>
          <w:tcPr>
            <w:tcW w:w="41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Subscription, take-back, refurbishment, maintenance and ESG</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New entrant; high logistics and validation risks</w:t>
            </w:r>
          </w:p>
        </w:tc>
      </w:tr>
    </w:tbl>
    <w:p w:rsidR="002C2BC8" w:rsidRDefault="00FC2205">
      <w:r>
        <w:lastRenderedPageBreak/>
        <w:t>This analysis reveals that in addition to not having a single competitor, EcoLoop actually competes with several different types of business models. Scale and reliability are the advantage of traditional suppliers, and affordability and circularity can be competitive options of refurbished suppliers. Flexibility is facilitated by rental providers and circular companies are increasingly executing reuse in combination with lifecycle services (Stabler</w:t>
      </w:r>
      <w:r w:rsidR="00596FD4" w:rsidRPr="00596FD4">
        <w:rPr>
          <w:i/>
        </w:rPr>
        <w:t>et al</w:t>
      </w:r>
      <w:r>
        <w:t>., 2024). Namely, because of its newness, the complexity of logistics and the lack of validated acceptance by customers, the integrated subscription model has the potential to differentiate but cannot be defended. It's not merely positioning for sustainability that will win you competitive advantage, but also the execution of your operations.</w:t>
      </w:r>
    </w:p>
    <w:p w:rsidR="002C2BC8" w:rsidRDefault="008230A6">
      <w:pPr>
        <w:pStyle w:val="Heading3"/>
      </w:pPr>
      <w:bookmarkStart w:id="69" w:name="_heading=h.wn6idg1poh0m" w:colFirst="0" w:colLast="0"/>
      <w:bookmarkStart w:id="70" w:name="_Toc239460913"/>
      <w:bookmarkEnd w:id="69"/>
      <w:r>
        <w:t>6</w:t>
      </w:r>
      <w:r w:rsidR="00FC2205">
        <w:t>.3.2 Positioning Map</w:t>
      </w:r>
      <w:bookmarkEnd w:id="70"/>
    </w:p>
    <w:p w:rsidR="002C2BC8" w:rsidRDefault="00FC2205">
      <w:pPr>
        <w:rPr>
          <w:b/>
          <w:bCs/>
        </w:rPr>
      </w:pPr>
      <w:r>
        <w:rPr>
          <w:b/>
          <w:bCs/>
        </w:rPr>
        <w:t>Figure. Positioning Map</w:t>
      </w:r>
    </w:p>
    <w:p w:rsidR="002C2BC8" w:rsidRDefault="00FC2205">
      <w:r>
        <w:rPr>
          <w:noProof/>
          <w:lang w:eastAsia="en-US"/>
        </w:rPr>
        <w:drawing>
          <wp:inline distT="114300" distB="114300" distL="114300" distR="114300">
            <wp:extent cx="5943600" cy="3865178"/>
            <wp:effectExtent l="12700" t="12700" r="12700" b="1270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cstate="print"/>
                    <a:srcRect t="13292"/>
                    <a:stretch>
                      <a:fillRect/>
                    </a:stretch>
                  </pic:blipFill>
                  <pic:spPr>
                    <a:xfrm>
                      <a:off x="0" y="0"/>
                      <a:ext cx="5943600" cy="3865178"/>
                    </a:xfrm>
                    <a:prstGeom prst="rect">
                      <a:avLst/>
                    </a:prstGeom>
                    <a:ln w="12700">
                      <a:solidFill>
                        <a:srgbClr val="000000"/>
                      </a:solidFill>
                      <a:prstDash val="solid"/>
                    </a:ln>
                  </pic:spPr>
                </pic:pic>
              </a:graphicData>
            </a:graphic>
          </wp:inline>
        </w:drawing>
      </w:r>
    </w:p>
    <w:p w:rsidR="002C2BC8" w:rsidRDefault="00FC2205">
      <w:r>
        <w:t xml:space="preserve">As identified through the positioning map, the position of EcoLoop is potentially attractive regarding 'high use of eligibility – high use of circularity' that is associated with 'subscription – </w:t>
      </w:r>
      <w:r>
        <w:lastRenderedPageBreak/>
        <w:t>lifecycle management'. Fluid is flexible religious and secular clothing is acceptable but doesn't look as round, and Coggin looks more round, although less flexible. While differentiated, not unique, Circular Office Group is the closest strategic competitor to EcoLoop. So, while positioning is important, it is only a matter of 'how' rather than 'where'. It is what counts are asset utilisation, quality of refurbishment and measured ESG performance, as well as reliability of the service itself.</w:t>
      </w:r>
    </w:p>
    <w:p w:rsidR="002C2BC8" w:rsidRDefault="008230A6">
      <w:pPr>
        <w:pStyle w:val="Heading2"/>
      </w:pPr>
      <w:bookmarkStart w:id="71" w:name="_heading=h.8yse92d6mz0w" w:colFirst="0" w:colLast="0"/>
      <w:bookmarkStart w:id="72" w:name="_Toc239460914"/>
      <w:bookmarkEnd w:id="71"/>
      <w:r>
        <w:t>6</w:t>
      </w:r>
      <w:r w:rsidR="00FC2205">
        <w:t>.4 Porter’s Five Forces</w:t>
      </w:r>
      <w:bookmarkEnd w:id="72"/>
    </w:p>
    <w:p w:rsidR="002C2BC8" w:rsidRDefault="00FC2205">
      <w:pPr>
        <w:rPr>
          <w:b/>
          <w:bCs/>
        </w:rPr>
      </w:pPr>
      <w:r>
        <w:rPr>
          <w:b/>
          <w:bCs/>
        </w:rPr>
        <w:t>Table. Porter’s Five Forces Analysis</w:t>
      </w:r>
    </w:p>
    <w:tbl>
      <w:tblPr>
        <w:tblStyle w:val="a6"/>
        <w:tblW w:w="9360" w:type="dxa"/>
        <w:tblInd w:w="0" w:type="dxa"/>
        <w:tblBorders>
          <w:top w:val="nil"/>
          <w:left w:val="nil"/>
          <w:bottom w:val="nil"/>
          <w:right w:val="nil"/>
          <w:insideH w:val="nil"/>
          <w:insideV w:val="nil"/>
        </w:tblBorders>
        <w:tblLayout w:type="fixed"/>
        <w:tblLook w:val="0600"/>
      </w:tblPr>
      <w:tblGrid>
        <w:gridCol w:w="1701"/>
        <w:gridCol w:w="4857"/>
        <w:gridCol w:w="2802"/>
      </w:tblGrid>
      <w:tr w:rsidR="002C2BC8">
        <w:trPr>
          <w:trHeight w:val="515"/>
        </w:trPr>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Force / Factor</w:t>
            </w:r>
          </w:p>
        </w:tc>
        <w:tc>
          <w:tcPr>
            <w:tcW w:w="4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Analysis</w:t>
            </w:r>
          </w:p>
        </w:tc>
        <w:tc>
          <w:tcPr>
            <w:tcW w:w="2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Impact on EcoLoop</w:t>
            </w:r>
          </w:p>
        </w:tc>
      </w:tr>
      <w:tr w:rsidR="002C2BC8">
        <w:trPr>
          <w:trHeight w:val="1085"/>
        </w:trPr>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Competitive rivalry</w:t>
            </w:r>
          </w:p>
        </w:tc>
        <w:tc>
          <w:tcPr>
            <w:tcW w:w="4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There are overlaps between established, refurbished, rental and circular business models that are possible to 'imitate' (Davis and Charter, 2025).</w:t>
            </w:r>
          </w:p>
        </w:tc>
        <w:tc>
          <w:tcPr>
            <w:tcW w:w="2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Low: pricing and differentiation pressure.</w:t>
            </w:r>
          </w:p>
        </w:tc>
      </w:tr>
      <w:tr w:rsidR="002C2BC8">
        <w:trPr>
          <w:trHeight w:val="1085"/>
        </w:trPr>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Buyer power</w:t>
            </w:r>
          </w:p>
        </w:tc>
        <w:tc>
          <w:tcPr>
            <w:tcW w:w="4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Corporate buyers can choose between several different suppliers, can discuss and negotiate contracts, and can switch between purchasing, renting and refurbishing equipment (Budler, Quiroga and Trkman, 2023).</w:t>
            </w:r>
          </w:p>
        </w:tc>
        <w:tc>
          <w:tcPr>
            <w:tcW w:w="2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High: limits pricing power.</w:t>
            </w:r>
          </w:p>
        </w:tc>
      </w:tr>
      <w:tr w:rsidR="002C2BC8">
        <w:trPr>
          <w:trHeight w:val="1085"/>
        </w:trPr>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Supplier power</w:t>
            </w:r>
          </w:p>
        </w:tc>
        <w:tc>
          <w:tcPr>
            <w:tcW w:w="4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An essential element for EcoLoop is manufacturers and refurbishment partners, quality used stock, as well as logistics services.</w:t>
            </w:r>
          </w:p>
        </w:tc>
        <w:tc>
          <w:tcPr>
            <w:tcW w:w="2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Medium: availability and logistics may affect margins.</w:t>
            </w:r>
          </w:p>
        </w:tc>
      </w:tr>
      <w:tr w:rsidR="002C2BC8">
        <w:trPr>
          <w:trHeight w:val="800"/>
        </w:trPr>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Substitutes</w:t>
            </w:r>
          </w:p>
        </w:tc>
        <w:tc>
          <w:tcPr>
            <w:tcW w:w="4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Furniture that is new or refurbished, rented, leased, repaired or retained could meet this need.</w:t>
            </w:r>
          </w:p>
        </w:tc>
        <w:tc>
          <w:tcPr>
            <w:tcW w:w="2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High: restricts demand and pricing freedom.</w:t>
            </w:r>
          </w:p>
        </w:tc>
      </w:tr>
      <w:tr w:rsidR="002C2BC8">
        <w:trPr>
          <w:trHeight w:val="1085"/>
        </w:trPr>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New entrants</w:t>
            </w:r>
          </w:p>
        </w:tc>
        <w:tc>
          <w:tcPr>
            <w:tcW w:w="4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t>Trust, capability to refurbish, logistics and inventory are still barriers and digital platforms have decreased entry barriers (Connor-Crabb, Hemingray and Toms, 2026).</w:t>
            </w:r>
          </w:p>
        </w:tc>
        <w:tc>
          <w:tcPr>
            <w:tcW w:w="2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line="240" w:lineRule="auto"/>
            </w:pPr>
            <w:r>
              <w:rPr>
                <w:b/>
                <w:bCs/>
              </w:rPr>
              <w:t>Medium: incumbents can also imitate subscriptions.</w:t>
            </w:r>
          </w:p>
        </w:tc>
      </w:tr>
    </w:tbl>
    <w:p w:rsidR="002C2BC8" w:rsidRDefault="00FC2205">
      <w:r>
        <w:t xml:space="preserve">The Five Forces shows a moderately attractive, but highly competitive industry. Buyer power and substitutes place the most pressure since the consumer has a number of substitutes, will </w:t>
      </w:r>
      <w:r>
        <w:lastRenderedPageBreak/>
        <w:t>negotiate for price and service. Then, rivalry becomes important as rivals merge flexibility and circularity in the hearts and minds of corporate buyers and contractors, according to Davis and Charter (2025). While supplier power and barriers to entry must be seen as being at a moderate level, issues related to logistics and inventory and refurbishment make scalability difficult. This means that margins of EcoLoop may come under pressure if it is unable to gain asset utilization and operational efficiencies. Therefore, its strategic freedom is restricted: If it is constrained to compete on price alone, it's more difficult, so the focus on the reliability of the service, its life value, and measurable circularity by that determinant could be more protected strategic elements.</w:t>
      </w:r>
    </w:p>
    <w:p w:rsidR="002C2BC8" w:rsidRDefault="008230A6">
      <w:pPr>
        <w:pStyle w:val="Heading2"/>
        <w:keepNext w:val="0"/>
        <w:keepLines w:val="0"/>
      </w:pPr>
      <w:bookmarkStart w:id="73" w:name="_heading=h.2f8r5rfxu7yt" w:colFirst="0" w:colLast="0"/>
      <w:bookmarkStart w:id="74" w:name="_Toc239460915"/>
      <w:bookmarkEnd w:id="73"/>
      <w:r>
        <w:t>6</w:t>
      </w:r>
      <w:r w:rsidR="00FC2205">
        <w:t>.5 PESTLE and External Change</w:t>
      </w:r>
      <w:bookmarkEnd w:id="74"/>
    </w:p>
    <w:p w:rsidR="002C2BC8" w:rsidRDefault="00FC2205">
      <w:pPr>
        <w:rPr>
          <w:b/>
          <w:bCs/>
        </w:rPr>
      </w:pPr>
      <w:r>
        <w:rPr>
          <w:b/>
          <w:bCs/>
        </w:rPr>
        <w:t>Table. PESTLE Analysis</w:t>
      </w:r>
    </w:p>
    <w:tbl>
      <w:tblPr>
        <w:tblStyle w:val="a7"/>
        <w:tblW w:w="9360" w:type="dxa"/>
        <w:tblInd w:w="0" w:type="dxa"/>
        <w:tblBorders>
          <w:top w:val="nil"/>
          <w:left w:val="nil"/>
          <w:bottom w:val="nil"/>
          <w:right w:val="nil"/>
          <w:insideH w:val="nil"/>
          <w:insideV w:val="nil"/>
        </w:tblBorders>
        <w:tblLayout w:type="fixed"/>
        <w:tblLook w:val="0600"/>
      </w:tblPr>
      <w:tblGrid>
        <w:gridCol w:w="1830"/>
        <w:gridCol w:w="4935"/>
        <w:gridCol w:w="2595"/>
      </w:tblGrid>
      <w:tr w:rsidR="002C2BC8">
        <w:trPr>
          <w:trHeight w:val="515"/>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Factor</w:t>
            </w:r>
          </w:p>
        </w:tc>
        <w:tc>
          <w:tcPr>
            <w:tcW w:w="4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UK Market Analysis</w:t>
            </w:r>
          </w:p>
        </w:tc>
        <w:tc>
          <w:tcPr>
            <w:tcW w:w="2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Impact</w:t>
            </w:r>
          </w:p>
        </w:tc>
      </w:tr>
      <w:tr w:rsidR="002C2BC8">
        <w:trPr>
          <w:trHeight w:val="80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Political</w:t>
            </w:r>
          </w:p>
        </w:tc>
        <w:tc>
          <w:tcPr>
            <w:tcW w:w="4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t>Reuse and circularity are more common elements of sustainable public procurement (Torkki</w:t>
            </w:r>
            <w:r w:rsidR="00596FD4" w:rsidRPr="00596FD4">
              <w:rPr>
                <w:i/>
              </w:rPr>
              <w:t>et al</w:t>
            </w:r>
            <w:r>
              <w:t>., 2024).</w:t>
            </w:r>
          </w:p>
        </w:tc>
        <w:tc>
          <w:tcPr>
            <w:tcW w:w="2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High: Strong procurement support</w:t>
            </w:r>
          </w:p>
        </w:tc>
      </w:tr>
      <w:tr w:rsidR="002C2BC8">
        <w:trPr>
          <w:trHeight w:val="515"/>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Economic</w:t>
            </w:r>
          </w:p>
        </w:tc>
        <w:tc>
          <w:tcPr>
            <w:tcW w:w="4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t>Business spending is affected by costs of inflation, financing and fit-out.</w:t>
            </w:r>
          </w:p>
        </w:tc>
        <w:tc>
          <w:tcPr>
            <w:tcW w:w="2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High: Significant cost pressures</w:t>
            </w:r>
          </w:p>
        </w:tc>
      </w:tr>
      <w:tr w:rsidR="002C2BC8">
        <w:trPr>
          <w:trHeight w:val="80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Social</w:t>
            </w:r>
          </w:p>
        </w:tc>
        <w:tc>
          <w:tcPr>
            <w:tcW w:w="4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t xml:space="preserve">Many factors can influence adoption, including hybrid working and attitudes to the refurbished furniture (Holman </w:t>
            </w:r>
            <w:r w:rsidR="00596FD4" w:rsidRPr="00596FD4">
              <w:rPr>
                <w:i/>
              </w:rPr>
              <w:t>et al</w:t>
            </w:r>
            <w:r>
              <w:t>., 2026).</w:t>
            </w:r>
          </w:p>
        </w:tc>
        <w:tc>
          <w:tcPr>
            <w:tcW w:w="2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High: Changing workplace behaviour</w:t>
            </w:r>
          </w:p>
        </w:tc>
      </w:tr>
      <w:tr w:rsidR="002C2BC8">
        <w:trPr>
          <w:trHeight w:val="80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Technological</w:t>
            </w:r>
          </w:p>
        </w:tc>
        <w:tc>
          <w:tcPr>
            <w:tcW w:w="4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t>Digital inventory, tracking and ESG solutions aid lifecycle management (Chen and Perry, 2026).</w:t>
            </w:r>
          </w:p>
        </w:tc>
        <w:tc>
          <w:tcPr>
            <w:tcW w:w="2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High: Improved operational efficiency</w:t>
            </w:r>
          </w:p>
        </w:tc>
      </w:tr>
      <w:tr w:rsidR="002C2BC8">
        <w:trPr>
          <w:trHeight w:val="80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Legal</w:t>
            </w:r>
          </w:p>
        </w:tc>
        <w:tc>
          <w:tcPr>
            <w:tcW w:w="4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t>Market participation driven by procurement and contractual and environmental requirements.</w:t>
            </w:r>
          </w:p>
        </w:tc>
        <w:tc>
          <w:tcPr>
            <w:tcW w:w="2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Low: Limited direct influence</w:t>
            </w:r>
          </w:p>
        </w:tc>
      </w:tr>
      <w:tr w:rsidR="002C2BC8">
        <w:trPr>
          <w:trHeight w:val="80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lastRenderedPageBreak/>
              <w:t>Environmental</w:t>
            </w:r>
          </w:p>
        </w:tc>
        <w:tc>
          <w:tcPr>
            <w:tcW w:w="4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t xml:space="preserve">There is a potential for reuse and refurbishment based on furniture waste and pressure of circular economy (Das </w:t>
            </w:r>
            <w:r w:rsidR="00596FD4" w:rsidRPr="00596FD4">
              <w:rPr>
                <w:i/>
              </w:rPr>
              <w:t>et al</w:t>
            </w:r>
            <w:r>
              <w:t>., 2025).</w:t>
            </w:r>
          </w:p>
        </w:tc>
        <w:tc>
          <w:tcPr>
            <w:tcW w:w="2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2BC8" w:rsidRDefault="00FC2205">
            <w:pPr>
              <w:spacing w:before="0" w:after="0"/>
            </w:pPr>
            <w:r>
              <w:rPr>
                <w:b/>
                <w:bCs/>
              </w:rPr>
              <w:t>High: Growing circular demand</w:t>
            </w:r>
          </w:p>
        </w:tc>
      </w:tr>
    </w:tbl>
    <w:p w:rsidR="002C2BC8" w:rsidRDefault="00FC2205">
      <w:r>
        <w:t>As shown by the PESTLE analysis, the factors of politics, economics, social, technology and environment are variously present with high impacts on EcoLoop. Circular procurement and re-use becomes strengthened by political and environmental pressures in favour of what EcoLoop proposes. Flexible models can be good in an economic uncertainty as cost pressure could lead to the use of flexible models, while high refurbishment and logistics costs could have a negative impact on margins. Social acceptance of areas where employees work of a blended (or used) nature is supportive of use but is somewhat uncertain. The technology brings advantages in stock management, subscription management and ESG reporting, but has the potential to open new possibilities for copycat clones of the EcoLoop business model. Legal is impactful, but with a low direct impact, and is a requirement for market participation.</w:t>
      </w:r>
    </w:p>
    <w:p w:rsidR="002C2BC8" w:rsidRDefault="008230A6">
      <w:pPr>
        <w:pStyle w:val="Heading2"/>
        <w:keepNext w:val="0"/>
        <w:keepLines w:val="0"/>
      </w:pPr>
      <w:bookmarkStart w:id="75" w:name="_heading=h.2o372ynpm0fu" w:colFirst="0" w:colLast="0"/>
      <w:bookmarkStart w:id="76" w:name="_Toc239460916"/>
      <w:bookmarkEnd w:id="75"/>
      <w:r>
        <w:t>6</w:t>
      </w:r>
      <w:r w:rsidR="00FC2205">
        <w:t>.6 Industry Attractiveness, Market Gaps and Synthesis</w:t>
      </w:r>
      <w:bookmarkEnd w:id="76"/>
    </w:p>
    <w:p w:rsidR="002C2BC8" w:rsidRDefault="00FC2205">
      <w:r>
        <w:t>EcoLoop is going to be a moderately interesting and competitive market. Competition is high, and buyer power is high, while there are substitutes which make price elasticity and switching costs low. Subscription and circular features can be emulated by established competitors, which involves a high operational challenge due to inventory, logistics, refurbishment and entry restrictions. Thus, it is necessary to make assets used more efficiently and provide reliable services for profitability.</w:t>
      </w:r>
    </w:p>
    <w:p w:rsidR="002C2BC8" w:rsidRDefault="00FC2205">
      <w:r>
        <w:t>The potential market opportunity is "access at will" along with circular life-cycle management and measurable ESG reporting (Telukdarie and Nyathi, 2026). It is a way of adding value to the customer, flexibility, and sustainability –but it is not actually an area of difference, as there are other forms of existing rental, refurbishment and circular models from which to choose that aid in our vision and aims for a more sustainable future. Payability of the customer continues to be important.</w:t>
      </w:r>
    </w:p>
    <w:p w:rsidR="002C2BC8" w:rsidRDefault="00FC2205">
      <w:r>
        <w:lastRenderedPageBreak/>
        <w:t>Structural conditions generally are improving according to competitor evidence, Five Forces and PESTLE evidence, but there is a high level of competition. This means that EcoLoop's line of thinking is promising, not defensive. Not only the concept of the subscription, but the execution is superior, the measurable environmental impact, and the superior service and life cycle cost savings, that will form the basis of sustainable differentiation.</w:t>
      </w:r>
    </w:p>
    <w:p w:rsidR="002C2BC8" w:rsidRDefault="008230A6">
      <w:pPr>
        <w:pStyle w:val="Heading2"/>
        <w:keepNext w:val="0"/>
        <w:keepLines w:val="0"/>
      </w:pPr>
      <w:bookmarkStart w:id="77" w:name="_heading=h.x7pydgnrken2" w:colFirst="0" w:colLast="0"/>
      <w:bookmarkStart w:id="78" w:name="_Toc239460917"/>
      <w:bookmarkEnd w:id="77"/>
      <w:r>
        <w:t>6</w:t>
      </w:r>
      <w:r w:rsidR="00FC2205">
        <w:t>.7 Chapter Summary</w:t>
      </w:r>
      <w:bookmarkEnd w:id="78"/>
    </w:p>
    <w:p w:rsidR="002C2BC8" w:rsidRDefault="00FC2205">
      <w:r>
        <w:t>The environment of EcoLoop is moderately good, however, is still highly competitive, where low bargaining power and substitute products and rivalry pose the biggest pressures on the market. Maintaining a high level of reliability and efficiency of asset usage, competitive lifecycle value, refurbishment capability and credible evidence of environmental, social and governance (ESG) is essential for success. One might suggest a market opportunity that combines "flexible access" and 'circular lifecycle management' and also measures sustainability impact, though the competitors could be able to build the same sorts of features. For this EcoLoop thus has a conditionally competitive advantage which it has to demonstrate and validate with customers. These conclusions are then translated into a business strategy and market entry approach in the next chapter.</w:t>
      </w:r>
    </w:p>
    <w:p w:rsidR="00942264" w:rsidRDefault="00942264"/>
    <w:p w:rsidR="00942264" w:rsidRDefault="00942264"/>
    <w:p w:rsidR="00942264" w:rsidRDefault="00942264" w:rsidP="00942264">
      <w:pPr>
        <w:pStyle w:val="Heading1"/>
      </w:pPr>
    </w:p>
    <w:p w:rsidR="00942264" w:rsidRDefault="00942264" w:rsidP="00942264">
      <w:pPr>
        <w:pStyle w:val="Heading1"/>
      </w:pPr>
    </w:p>
    <w:p w:rsidR="00942264" w:rsidRDefault="00942264" w:rsidP="00942264">
      <w:pPr>
        <w:pStyle w:val="Heading1"/>
      </w:pPr>
      <w:bookmarkStart w:id="79" w:name="_Toc239460918"/>
      <w:r>
        <w:t>Chapter 7. Business Strategy</w:t>
      </w:r>
      <w:bookmarkEnd w:id="79"/>
      <w:r>
        <w:t xml:space="preserve"> </w:t>
      </w:r>
    </w:p>
    <w:p w:rsidR="00942264" w:rsidRDefault="00942264" w:rsidP="00942264">
      <w:pPr>
        <w:pStyle w:val="Heading2"/>
      </w:pPr>
      <w:bookmarkStart w:id="80" w:name="_heading=h.6graucz6oy36" w:colFirst="0" w:colLast="0"/>
      <w:bookmarkStart w:id="81" w:name="_Toc239460919"/>
      <w:bookmarkEnd w:id="80"/>
      <w:r>
        <w:t>7.1 Strategic Introduction</w:t>
      </w:r>
      <w:bookmarkEnd w:id="81"/>
    </w:p>
    <w:p w:rsidR="00942264" w:rsidRDefault="00942264" w:rsidP="00942264">
      <w:pPr>
        <w:pStyle w:val="normal0"/>
      </w:pPr>
      <w:r>
        <w:t>EcoLoop Office's approach needs to be a viable, defensible commercial proposition that takes an achievable circular economy opportunity. In Chapter 6 and Chapter 7, I have set out the evidence that hybrid working, cost pressure, waste of resources and sustainability requirements are driving the transformation of UK office demand, but that at the same time – buyer power, multiple substitutes, operational complexity – are limiting profitability. The strategy then has a very clear 'golden thread', the external conditions are the opportunity, VRIO tests whether or not EcoLoop can come up with the strategy to exploit this, SWOT turns the evidence into strategic priorities, focused differentiation specifies the market position and the USP and capability system defines how the value will be defended. The goal is not sustainability for sustainability's sake, it is about customer value, reliability and economically viable circularity.</w:t>
      </w:r>
    </w:p>
    <w:p w:rsidR="00942264" w:rsidRDefault="00942264" w:rsidP="00942264">
      <w:pPr>
        <w:pStyle w:val="Heading2"/>
      </w:pPr>
      <w:bookmarkStart w:id="82" w:name="_heading=h.5zikzkvhueog" w:colFirst="0" w:colLast="0"/>
      <w:bookmarkStart w:id="83" w:name="_Toc239460920"/>
      <w:bookmarkEnd w:id="82"/>
      <w:r>
        <w:t>7.2 External Strategic Analysis</w:t>
      </w:r>
      <w:bookmarkEnd w:id="83"/>
    </w:p>
    <w:p w:rsidR="00942264" w:rsidRDefault="00942264" w:rsidP="00942264">
      <w:pPr>
        <w:pStyle w:val="normal0"/>
      </w:pPr>
      <w:r>
        <w:t>The evidence suggests that EcoLoop is making its way into a market in which sustainable expectations and flexible working are met, while economic expectations and compliance are limiting flexibility and strategic choices.</w:t>
      </w:r>
    </w:p>
    <w:p w:rsidR="00942264" w:rsidRDefault="00942264" w:rsidP="00942264">
      <w:pPr>
        <w:pStyle w:val="normal0"/>
        <w:rPr>
          <w:b/>
          <w:bCs/>
        </w:rPr>
      </w:pPr>
    </w:p>
    <w:p w:rsidR="00942264" w:rsidRDefault="00942264" w:rsidP="00942264">
      <w:pPr>
        <w:pStyle w:val="normal0"/>
        <w:rPr>
          <w:b/>
          <w:bCs/>
        </w:rPr>
      </w:pPr>
    </w:p>
    <w:p w:rsidR="00942264" w:rsidRDefault="00942264" w:rsidP="00942264">
      <w:pPr>
        <w:pStyle w:val="normal0"/>
        <w:rPr>
          <w:b/>
          <w:bCs/>
        </w:rPr>
      </w:pPr>
    </w:p>
    <w:p w:rsidR="00942264" w:rsidRDefault="00942264" w:rsidP="00942264">
      <w:pPr>
        <w:pStyle w:val="normal0"/>
        <w:rPr>
          <w:b/>
          <w:bCs/>
        </w:rPr>
      </w:pPr>
    </w:p>
    <w:p w:rsidR="00942264" w:rsidRDefault="00942264" w:rsidP="00942264">
      <w:pPr>
        <w:pStyle w:val="normal0"/>
        <w:rPr>
          <w:b/>
          <w:bCs/>
        </w:rPr>
      </w:pPr>
      <w:r>
        <w:rPr>
          <w:b/>
          <w:bCs/>
        </w:rPr>
        <w:lastRenderedPageBreak/>
        <w:t>Table 10: External Strategic Analysis</w:t>
      </w:r>
    </w:p>
    <w:tbl>
      <w:tblPr>
        <w:tblW w:w="11025" w:type="dxa"/>
        <w:tblInd w:w="-800" w:type="dxa"/>
        <w:tblBorders>
          <w:top w:val="nil"/>
          <w:left w:val="nil"/>
          <w:bottom w:val="nil"/>
          <w:right w:val="nil"/>
          <w:insideH w:val="nil"/>
          <w:insideV w:val="nil"/>
        </w:tblBorders>
        <w:tblLayout w:type="fixed"/>
        <w:tblLook w:val="0600"/>
      </w:tblPr>
      <w:tblGrid>
        <w:gridCol w:w="2610"/>
        <w:gridCol w:w="4575"/>
        <w:gridCol w:w="3840"/>
      </w:tblGrid>
      <w:tr w:rsidR="00942264" w:rsidTr="00105F69">
        <w:trPr>
          <w:cantSplit/>
          <w:trHeight w:val="500"/>
          <w:tblHeader/>
        </w:trPr>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jc w:val="center"/>
            </w:pPr>
            <w:r>
              <w:rPr>
                <w:b/>
                <w:bCs/>
              </w:rPr>
              <w:t>Factor</w:t>
            </w:r>
          </w:p>
        </w:tc>
        <w:tc>
          <w:tcPr>
            <w:tcW w:w="4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jc w:val="center"/>
            </w:pPr>
            <w:r>
              <w:rPr>
                <w:b/>
                <w:bCs/>
              </w:rPr>
              <w:t>Numerical/strategic evidence</w:t>
            </w:r>
          </w:p>
        </w:tc>
        <w:tc>
          <w:tcPr>
            <w:tcW w:w="3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jc w:val="center"/>
            </w:pPr>
            <w:r>
              <w:rPr>
                <w:b/>
                <w:bCs/>
              </w:rPr>
              <w:t>Implication for EcoLoop</w:t>
            </w:r>
          </w:p>
        </w:tc>
      </w:tr>
      <w:tr w:rsidR="00942264" w:rsidTr="00105F69">
        <w:trPr>
          <w:cantSplit/>
          <w:trHeight w:val="1310"/>
          <w:tblHeader/>
        </w:trPr>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Political</w:t>
            </w:r>
          </w:p>
        </w:tc>
        <w:tc>
          <w:tcPr>
            <w:tcW w:w="4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 xml:space="preserve">The 2025 Sustainable Furniture Solutions framework includes an office-furniture lot estimated at </w:t>
            </w:r>
            <w:r>
              <w:rPr>
                <w:b/>
                <w:bCs/>
              </w:rPr>
              <w:t>£250 million excluding VAT (Delta-esourcing.com, 2026)</w:t>
            </w:r>
            <w:r>
              <w:t>.</w:t>
            </w:r>
          </w:p>
        </w:tc>
        <w:tc>
          <w:tcPr>
            <w:tcW w:w="3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Opportunity: circular procurement has institutional legitimacy.</w:t>
            </w:r>
          </w:p>
        </w:tc>
      </w:tr>
      <w:tr w:rsidR="00942264" w:rsidTr="00105F69">
        <w:trPr>
          <w:cantSplit/>
          <w:trHeight w:val="1040"/>
          <w:tblHeader/>
        </w:trPr>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Economic</w:t>
            </w:r>
          </w:p>
        </w:tc>
        <w:tc>
          <w:tcPr>
            <w:tcW w:w="4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 xml:space="preserve">UK CPI was </w:t>
            </w:r>
            <w:r>
              <w:rPr>
                <w:b/>
                <w:bCs/>
              </w:rPr>
              <w:t>2.6% in June 2026 (Bankofengland.co.uk, 2026)</w:t>
            </w:r>
            <w:r>
              <w:t>.</w:t>
            </w:r>
          </w:p>
        </w:tc>
        <w:tc>
          <w:tcPr>
            <w:tcW w:w="3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Mixed: cost pressures may encourage flexibility but constrain SME budgets.</w:t>
            </w:r>
          </w:p>
        </w:tc>
      </w:tr>
      <w:tr w:rsidR="00942264" w:rsidTr="00105F69">
        <w:trPr>
          <w:cantSplit/>
          <w:trHeight w:val="1040"/>
          <w:tblHeader/>
        </w:trPr>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Social</w:t>
            </w:r>
          </w:p>
        </w:tc>
        <w:tc>
          <w:tcPr>
            <w:tcW w:w="4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rPr>
                <w:b/>
                <w:bCs/>
              </w:rPr>
              <w:t>28%</w:t>
            </w:r>
            <w:r>
              <w:t xml:space="preserve"> of working adults in Great Britain hybrid-worked between January and March 2025 (Public Policy and Economic Insights team, 2025).</w:t>
            </w:r>
          </w:p>
        </w:tc>
        <w:tc>
          <w:tcPr>
            <w:tcW w:w="3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Opportunity: changing workplace configurations strengthen demand for adaptability.</w:t>
            </w:r>
          </w:p>
        </w:tc>
      </w:tr>
      <w:tr w:rsidR="00942264" w:rsidTr="00105F69">
        <w:trPr>
          <w:cantSplit/>
          <w:trHeight w:val="1040"/>
          <w:tblHeader/>
        </w:trPr>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Technological</w:t>
            </w:r>
          </w:p>
        </w:tc>
        <w:tc>
          <w:tcPr>
            <w:tcW w:w="4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 xml:space="preserve">Digital inventory, QR/barcode tracking, dashboards and analytics can support traceability (Udvaros </w:t>
            </w:r>
            <w:r>
              <w:rPr>
                <w:i/>
                <w:iCs/>
              </w:rPr>
              <w:t>et al</w:t>
            </w:r>
            <w:r>
              <w:t>., 2024).</w:t>
            </w:r>
          </w:p>
        </w:tc>
        <w:tc>
          <w:tcPr>
            <w:tcW w:w="3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Opportunity: technology can improve transparency and reporting.</w:t>
            </w:r>
          </w:p>
        </w:tc>
      </w:tr>
      <w:tr w:rsidR="00942264" w:rsidTr="00105F69">
        <w:trPr>
          <w:cantSplit/>
          <w:trHeight w:val="1310"/>
          <w:tblHeader/>
        </w:trPr>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Environmental</w:t>
            </w:r>
          </w:p>
        </w:tc>
        <w:tc>
          <w:tcPr>
            <w:tcW w:w="4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 xml:space="preserve">England generated </w:t>
            </w:r>
            <w:r>
              <w:rPr>
                <w:b/>
                <w:bCs/>
              </w:rPr>
              <w:t>32.6 million tonnes</w:t>
            </w:r>
            <w:r>
              <w:t xml:space="preserve"> of commercial and industrial waste in 2023 (Department for Environment, Food &amp; Rural Affairs, 2022).</w:t>
            </w:r>
          </w:p>
        </w:tc>
        <w:tc>
          <w:tcPr>
            <w:tcW w:w="3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Opportunity: substantial resource-management problem, although waste volume does not prove subscription demand.</w:t>
            </w:r>
          </w:p>
        </w:tc>
      </w:tr>
      <w:tr w:rsidR="00942264" w:rsidTr="00105F69">
        <w:trPr>
          <w:cantSplit/>
          <w:trHeight w:val="1040"/>
          <w:tblHeader/>
        </w:trPr>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Legal</w:t>
            </w:r>
          </w:p>
        </w:tc>
        <w:tc>
          <w:tcPr>
            <w:tcW w:w="4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 xml:space="preserve">Non-hazardous waste-transfer documentation must generally be retained for </w:t>
            </w:r>
            <w:r>
              <w:rPr>
                <w:b/>
                <w:bCs/>
              </w:rPr>
              <w:t>2 years</w:t>
            </w:r>
            <w:r>
              <w:t>.</w:t>
            </w:r>
          </w:p>
        </w:tc>
        <w:tc>
          <w:tcPr>
            <w:tcW w:w="3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Threat: compliance increases process requirements and liability.</w:t>
            </w:r>
          </w:p>
        </w:tc>
      </w:tr>
    </w:tbl>
    <w:p w:rsidR="00942264" w:rsidRDefault="00942264" w:rsidP="00942264">
      <w:pPr>
        <w:pStyle w:val="normal0"/>
        <w:rPr>
          <w:i/>
          <w:iCs/>
        </w:rPr>
      </w:pPr>
      <w:r>
        <w:rPr>
          <w:i/>
          <w:iCs/>
        </w:rPr>
        <w:t xml:space="preserve">                                                 Source: Self -developed</w:t>
      </w:r>
    </w:p>
    <w:p w:rsidR="00942264" w:rsidRDefault="00942264" w:rsidP="00942264">
      <w:pPr>
        <w:pStyle w:val="normal0"/>
        <w:rPr>
          <w:b/>
          <w:bCs/>
        </w:rPr>
      </w:pPr>
    </w:p>
    <w:p w:rsidR="00942264" w:rsidRDefault="00942264" w:rsidP="00942264">
      <w:pPr>
        <w:pStyle w:val="normal0"/>
        <w:rPr>
          <w:b/>
          <w:bCs/>
        </w:rPr>
      </w:pPr>
      <w:r>
        <w:rPr>
          <w:b/>
          <w:bCs/>
        </w:rPr>
        <w:lastRenderedPageBreak/>
        <w:t xml:space="preserve">Critical analysis </w:t>
      </w:r>
    </w:p>
    <w:p w:rsidR="00942264" w:rsidRDefault="00942264" w:rsidP="00942264">
      <w:pPr>
        <w:pStyle w:val="normal0"/>
      </w:pPr>
      <w:r>
        <w:t>EcoLoop's external environment is supportive, yet strategically ambivalent as indicated in the table. The NEUPC (2026) procurement notice also shows that circular and sustainable furniture purchasing is more and more becoming a formal procurement opportunity, in turn bolstering the political argument for EcoLoop! This should not be taken as a given demand, however. As for the economy, the Bank of England (2026) identifies ongoing inflationary and cost pressures, which means that EcoLoop will have to continue to have controlled pricing and route efficiency. In terms of social, the Public Policy and Economic Insights team (2025) states that 28% of working adults hybrid-worked in January – March 2025, which backs the demand for flexible working options. However, the Office for National Statistics (2025) count of 2.73 million VAT/PAYE businesses is much greater than EcoLoop's realistic "potential market". Political and environmental pressures create opportunity, but it is commercial viability that is determined by willingness to pay, compliance costs and operational efficiency.</w:t>
      </w:r>
    </w:p>
    <w:p w:rsidR="00942264" w:rsidRDefault="00942264" w:rsidP="00942264">
      <w:pPr>
        <w:pStyle w:val="Heading2"/>
      </w:pPr>
      <w:bookmarkStart w:id="84" w:name="_heading=h.gp6046gge0wk" w:colFirst="0" w:colLast="0"/>
      <w:bookmarkStart w:id="85" w:name="_Toc239460921"/>
      <w:bookmarkEnd w:id="84"/>
      <w:r>
        <w:t>7.3 Internal Analysis: VRIO</w:t>
      </w:r>
      <w:bookmarkEnd w:id="85"/>
    </w:p>
    <w:p w:rsidR="00942264" w:rsidRDefault="00942264" w:rsidP="00942264">
      <w:pPr>
        <w:pStyle w:val="normal0"/>
      </w:pPr>
      <w:r>
        <w:t>EcoLoop's resources and capabilities should be evaluated based on their value, rarity, inimitability and effectiveness in organization. The analysis is significant as the company will be a new business with limited resources and no reputation.</w:t>
      </w:r>
    </w:p>
    <w:p w:rsidR="00942264" w:rsidRDefault="00942264" w:rsidP="00942264">
      <w:pPr>
        <w:pStyle w:val="normal0"/>
        <w:rPr>
          <w:b/>
          <w:bCs/>
        </w:rPr>
      </w:pPr>
      <w:r>
        <w:rPr>
          <w:b/>
          <w:bCs/>
        </w:rPr>
        <w:t>Table 11. VRIO Analysis</w:t>
      </w:r>
    </w:p>
    <w:tbl>
      <w:tblPr>
        <w:tblW w:w="10635" w:type="dxa"/>
        <w:tblInd w:w="-639" w:type="dxa"/>
        <w:tblBorders>
          <w:top w:val="nil"/>
          <w:left w:val="nil"/>
          <w:bottom w:val="nil"/>
          <w:right w:val="nil"/>
          <w:insideH w:val="nil"/>
          <w:insideV w:val="nil"/>
        </w:tblBorders>
        <w:tblLayout w:type="fixed"/>
        <w:tblLook w:val="0600"/>
      </w:tblPr>
      <w:tblGrid>
        <w:gridCol w:w="2986"/>
        <w:gridCol w:w="975"/>
        <w:gridCol w:w="919"/>
        <w:gridCol w:w="895"/>
        <w:gridCol w:w="960"/>
        <w:gridCol w:w="3900"/>
      </w:tblGrid>
      <w:tr w:rsidR="00942264" w:rsidTr="00105F69">
        <w:trPr>
          <w:cantSplit/>
          <w:trHeight w:val="500"/>
          <w:tblHeader/>
        </w:trPr>
        <w:tc>
          <w:tcPr>
            <w:tcW w:w="29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jc w:val="center"/>
            </w:pPr>
            <w:r>
              <w:rPr>
                <w:b/>
                <w:bCs/>
              </w:rPr>
              <w:t>Resource/Capability</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jc w:val="center"/>
            </w:pPr>
            <w:r>
              <w:rPr>
                <w:b/>
                <w:bCs/>
              </w:rPr>
              <w:t>V</w:t>
            </w:r>
          </w:p>
        </w:tc>
        <w:tc>
          <w:tcPr>
            <w:tcW w:w="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jc w:val="center"/>
            </w:pPr>
            <w:r>
              <w:rPr>
                <w:b/>
                <w:bCs/>
              </w:rPr>
              <w:t>R</w:t>
            </w:r>
          </w:p>
        </w:tc>
        <w:tc>
          <w:tcPr>
            <w:tcW w:w="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jc w:val="center"/>
            </w:pPr>
            <w:r>
              <w:rPr>
                <w:b/>
                <w:bCs/>
              </w:rPr>
              <w:t>I</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jc w:val="center"/>
            </w:pPr>
            <w:r>
              <w:rPr>
                <w:b/>
                <w:bCs/>
              </w:rPr>
              <w:t>O</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jc w:val="center"/>
            </w:pPr>
            <w:r>
              <w:rPr>
                <w:b/>
                <w:bCs/>
              </w:rPr>
              <w:t>Outcome</w:t>
            </w:r>
          </w:p>
        </w:tc>
      </w:tr>
      <w:tr w:rsidR="00942264" w:rsidTr="00105F69">
        <w:trPr>
          <w:cantSplit/>
          <w:trHeight w:val="545"/>
          <w:tblHeader/>
        </w:trPr>
        <w:tc>
          <w:tcPr>
            <w:tcW w:w="29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Circular office solution</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2"/>
                <w:id w:val="1277783268"/>
              </w:sdtPr>
              <w:sdtContent>
                <w:r w:rsidR="00942264">
                  <w:rPr>
                    <w:rFonts w:ascii="Arial Unicode MS" w:eastAsia="Arial Unicode MS" w:hAnsi="Arial Unicode MS" w:cs="Arial Unicode MS"/>
                  </w:rPr>
                  <w:t>✓</w:t>
                </w:r>
              </w:sdtContent>
            </w:sdt>
          </w:p>
        </w:tc>
        <w:tc>
          <w:tcPr>
            <w:tcW w:w="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3"/>
                <w:id w:val="781283557"/>
              </w:sdtPr>
              <w:sdtContent>
                <w:r w:rsidR="00942264">
                  <w:rPr>
                    <w:rFonts w:ascii="Arial Unicode MS" w:eastAsia="Arial Unicode MS" w:hAnsi="Arial Unicode MS" w:cs="Arial Unicode MS"/>
                  </w:rPr>
                  <w:t>✓</w:t>
                </w:r>
              </w:sdtContent>
            </w:sdt>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Competitive parity/potential temporary advantage</w:t>
            </w:r>
          </w:p>
        </w:tc>
      </w:tr>
      <w:tr w:rsidR="00942264" w:rsidTr="00105F69">
        <w:trPr>
          <w:cantSplit/>
          <w:trHeight w:val="545"/>
          <w:tblHeader/>
        </w:trPr>
        <w:tc>
          <w:tcPr>
            <w:tcW w:w="29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Digital tracking</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4"/>
                <w:id w:val="-2012015450"/>
              </w:sdtPr>
              <w:sdtContent>
                <w:r w:rsidR="00942264">
                  <w:rPr>
                    <w:rFonts w:ascii="Arial Unicode MS" w:eastAsia="Arial Unicode MS" w:hAnsi="Arial Unicode MS" w:cs="Arial Unicode MS"/>
                  </w:rPr>
                  <w:t>✓</w:t>
                </w:r>
              </w:sdtContent>
            </w:sdt>
          </w:p>
        </w:tc>
        <w:tc>
          <w:tcPr>
            <w:tcW w:w="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5"/>
                <w:id w:val="2000979299"/>
              </w:sdtPr>
              <w:sdtContent>
                <w:r w:rsidR="00942264">
                  <w:rPr>
                    <w:rFonts w:ascii="Arial Unicode MS" w:eastAsia="Arial Unicode MS" w:hAnsi="Arial Unicode MS" w:cs="Arial Unicode MS"/>
                  </w:rPr>
                  <w:t>✓</w:t>
                </w:r>
              </w:sdtContent>
            </w:sdt>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Competitive parity</w:t>
            </w:r>
          </w:p>
        </w:tc>
      </w:tr>
      <w:tr w:rsidR="00942264" w:rsidTr="00105F69">
        <w:trPr>
          <w:cantSplit/>
          <w:trHeight w:val="545"/>
          <w:tblHeader/>
        </w:trPr>
        <w:tc>
          <w:tcPr>
            <w:tcW w:w="29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Sustainability reporting</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6"/>
                <w:id w:val="1194230760"/>
              </w:sdtPr>
              <w:sdtContent>
                <w:r w:rsidR="00942264">
                  <w:rPr>
                    <w:rFonts w:ascii="Arial Unicode MS" w:eastAsia="Arial Unicode MS" w:hAnsi="Arial Unicode MS" w:cs="Arial Unicode MS"/>
                  </w:rPr>
                  <w:t>✓</w:t>
                </w:r>
              </w:sdtContent>
            </w:sdt>
          </w:p>
        </w:tc>
        <w:tc>
          <w:tcPr>
            <w:tcW w:w="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7"/>
                <w:id w:val="1906613834"/>
              </w:sdtPr>
              <w:sdtContent>
                <w:r w:rsidR="00942264">
                  <w:rPr>
                    <w:rFonts w:ascii="Arial Unicode MS" w:eastAsia="Arial Unicode MS" w:hAnsi="Arial Unicode MS" w:cs="Arial Unicode MS"/>
                  </w:rPr>
                  <w:t>✓</w:t>
                </w:r>
              </w:sdtContent>
            </w:sdt>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Competitive parity</w:t>
            </w:r>
          </w:p>
        </w:tc>
      </w:tr>
      <w:tr w:rsidR="00942264" w:rsidTr="00105F69">
        <w:trPr>
          <w:cantSplit/>
          <w:trHeight w:val="545"/>
          <w:tblHeader/>
        </w:trPr>
        <w:tc>
          <w:tcPr>
            <w:tcW w:w="29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lastRenderedPageBreak/>
              <w:t>Local collection network</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8"/>
                <w:id w:val="-90399367"/>
              </w:sdtPr>
              <w:sdtContent>
                <w:r w:rsidR="00942264">
                  <w:rPr>
                    <w:rFonts w:ascii="Arial Unicode MS" w:eastAsia="Arial Unicode MS" w:hAnsi="Arial Unicode MS" w:cs="Arial Unicode MS"/>
                  </w:rPr>
                  <w:t>✓</w:t>
                </w:r>
              </w:sdtContent>
            </w:sdt>
          </w:p>
        </w:tc>
        <w:tc>
          <w:tcPr>
            <w:tcW w:w="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9"/>
                <w:id w:val="-2055894829"/>
              </w:sdtPr>
              <w:sdtContent>
                <w:r w:rsidR="00942264">
                  <w:rPr>
                    <w:rFonts w:ascii="Arial Unicode MS" w:eastAsia="Arial Unicode MS" w:hAnsi="Arial Unicode MS" w:cs="Arial Unicode MS"/>
                  </w:rPr>
                  <w:t>✓</w:t>
                </w:r>
              </w:sdtContent>
            </w:sdt>
          </w:p>
        </w:tc>
        <w:tc>
          <w:tcPr>
            <w:tcW w:w="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Potential temporary advantage</w:t>
            </w:r>
          </w:p>
        </w:tc>
      </w:tr>
      <w:tr w:rsidR="00942264" w:rsidTr="00105F69">
        <w:trPr>
          <w:cantSplit/>
          <w:trHeight w:val="545"/>
          <w:tblHeader/>
        </w:trPr>
        <w:tc>
          <w:tcPr>
            <w:tcW w:w="29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Supplier relationships</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10"/>
                <w:id w:val="-1711681585"/>
              </w:sdtPr>
              <w:sdtContent>
                <w:r w:rsidR="00942264">
                  <w:rPr>
                    <w:rFonts w:ascii="Arial Unicode MS" w:eastAsia="Arial Unicode MS" w:hAnsi="Arial Unicode MS" w:cs="Arial Unicode MS"/>
                  </w:rPr>
                  <w:t>✓</w:t>
                </w:r>
              </w:sdtContent>
            </w:sdt>
          </w:p>
        </w:tc>
        <w:tc>
          <w:tcPr>
            <w:tcW w:w="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11"/>
                <w:id w:val="-1011383932"/>
              </w:sdtPr>
              <w:sdtContent>
                <w:r w:rsidR="00942264">
                  <w:rPr>
                    <w:rFonts w:ascii="Arial Unicode MS" w:eastAsia="Arial Unicode MS" w:hAnsi="Arial Unicode MS" w:cs="Arial Unicode MS"/>
                  </w:rPr>
                  <w:t>✓</w:t>
                </w:r>
              </w:sdtContent>
            </w:sdt>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Competitive parity</w:t>
            </w:r>
          </w:p>
        </w:tc>
      </w:tr>
      <w:tr w:rsidR="00942264" w:rsidTr="00105F69">
        <w:trPr>
          <w:cantSplit/>
          <w:trHeight w:val="545"/>
          <w:tblHeader/>
        </w:trPr>
        <w:tc>
          <w:tcPr>
            <w:tcW w:w="29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Sustainability expertise</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12"/>
                <w:id w:val="-774508883"/>
              </w:sdtPr>
              <w:sdtContent>
                <w:r w:rsidR="00942264">
                  <w:rPr>
                    <w:rFonts w:ascii="Arial Unicode MS" w:eastAsia="Arial Unicode MS" w:hAnsi="Arial Unicode MS" w:cs="Arial Unicode MS"/>
                  </w:rPr>
                  <w:t>✓</w:t>
                </w:r>
              </w:sdtContent>
            </w:sdt>
          </w:p>
        </w:tc>
        <w:tc>
          <w:tcPr>
            <w:tcW w:w="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13"/>
                <w:id w:val="1572624939"/>
              </w:sdtPr>
              <w:sdtContent>
                <w:r w:rsidR="00942264">
                  <w:rPr>
                    <w:rFonts w:ascii="Arial Unicode MS" w:eastAsia="Arial Unicode MS" w:hAnsi="Arial Unicode MS" w:cs="Arial Unicode MS"/>
                  </w:rPr>
                  <w:t>✓</w:t>
                </w:r>
              </w:sdtContent>
            </w:sdt>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Competitive parity</w:t>
            </w:r>
          </w:p>
        </w:tc>
      </w:tr>
      <w:tr w:rsidR="00942264" w:rsidTr="00105F69">
        <w:trPr>
          <w:cantSplit/>
          <w:trHeight w:val="545"/>
          <w:tblHeader/>
        </w:trPr>
        <w:tc>
          <w:tcPr>
            <w:tcW w:w="29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Customer relationships</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14"/>
                <w:id w:val="-999604273"/>
              </w:sdtPr>
              <w:sdtContent>
                <w:r w:rsidR="00942264">
                  <w:rPr>
                    <w:rFonts w:ascii="Arial Unicode MS" w:eastAsia="Arial Unicode MS" w:hAnsi="Arial Unicode MS" w:cs="Arial Unicode MS"/>
                  </w:rPr>
                  <w:t>✓</w:t>
                </w:r>
              </w:sdtContent>
            </w:sdt>
          </w:p>
        </w:tc>
        <w:tc>
          <w:tcPr>
            <w:tcW w:w="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Competitive parity</w:t>
            </w:r>
          </w:p>
        </w:tc>
      </w:tr>
      <w:tr w:rsidR="00942264" w:rsidTr="00105F69">
        <w:trPr>
          <w:cantSplit/>
          <w:trHeight w:val="545"/>
          <w:tblHeader/>
        </w:trPr>
        <w:tc>
          <w:tcPr>
            <w:tcW w:w="29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Brand reputation</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FE617C" w:rsidP="00105F69">
            <w:pPr>
              <w:pStyle w:val="normal0"/>
              <w:spacing w:before="0" w:after="0"/>
            </w:pPr>
            <w:sdt>
              <w:sdtPr>
                <w:tag w:val="goog_rdk_15"/>
                <w:id w:val="-1470286624"/>
              </w:sdtPr>
              <w:sdtContent>
                <w:r w:rsidR="00942264">
                  <w:rPr>
                    <w:rFonts w:ascii="Arial Unicode MS" w:eastAsia="Arial Unicode MS" w:hAnsi="Arial Unicode MS" w:cs="Arial Unicode MS"/>
                  </w:rPr>
                  <w:t>✓</w:t>
                </w:r>
              </w:sdtContent>
            </w:sdt>
          </w:p>
        </w:tc>
        <w:tc>
          <w:tcPr>
            <w:tcW w:w="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New-entry weakness</w:t>
            </w:r>
          </w:p>
        </w:tc>
      </w:tr>
    </w:tbl>
    <w:p w:rsidR="00942264" w:rsidRDefault="00942264" w:rsidP="00942264">
      <w:pPr>
        <w:pStyle w:val="normal0"/>
      </w:pPr>
      <w:r>
        <w:t xml:space="preserve">The proposed </w:t>
      </w:r>
      <w:r>
        <w:rPr>
          <w:b/>
          <w:bCs/>
        </w:rPr>
        <w:t>£75,000 start-up budget</w:t>
      </w:r>
      <w:r>
        <w:t xml:space="preserve"> further indicates that financial resources are constrained and must be allocated selectively.</w:t>
      </w:r>
    </w:p>
    <w:p w:rsidR="00942264" w:rsidRDefault="00942264" w:rsidP="00942264">
      <w:pPr>
        <w:pStyle w:val="normal0"/>
        <w:rPr>
          <w:b/>
          <w:bCs/>
        </w:rPr>
      </w:pPr>
      <w:r>
        <w:rPr>
          <w:b/>
          <w:bCs/>
        </w:rPr>
        <w:t xml:space="preserve">Critical analysis </w:t>
      </w:r>
    </w:p>
    <w:p w:rsidR="00942264" w:rsidRDefault="00942264" w:rsidP="00942264">
      <w:pPr>
        <w:pStyle w:val="normal0"/>
      </w:pPr>
      <w:r>
        <w:t xml:space="preserve">EcoLoop's internal resource base is currently greater than what is demonstrated. The £75,000 lean start-up budget is the limiting constraint on financial resources, which restricts the company's ability to build up the same level of assets, geographic reach or purchasing power as mature competitors. Human capital need to meld together logistics, customer service, sustainability and digital skills – not be split amongst specialist departments. The use of technology is a useful tool for traceability but is not uncommon and easy to copy as other companies are able to acquire similar technology (Khan </w:t>
      </w:r>
      <w:r>
        <w:rPr>
          <w:i/>
          <w:iCs/>
        </w:rPr>
        <w:t>et al</w:t>
      </w:r>
      <w:r>
        <w:t>., 2022). Partnerships are an important strategic approach and will lower capital cost, and also expand refurbishment and recycling capacity. Customer relationships can be beneficial due to the knowledge gained and reporting experiences gained, but this only comes after contracts are won. Thus, the best way to get temporary advantage is to have local collection capability and to have integrated operational knowledge. Proprietary customer data and trusted networks, plus consistently better execution (Franzè, Paolucci and Pessot, 2024) would be needed for sustained advantage. An important strategic objective is, therefore, the structuring of resources into a stable operating system and not just resources that can be used for advantage.</w:t>
      </w:r>
    </w:p>
    <w:p w:rsidR="00942264" w:rsidRDefault="00942264" w:rsidP="00942264">
      <w:pPr>
        <w:pStyle w:val="Heading2"/>
      </w:pPr>
      <w:bookmarkStart w:id="86" w:name="_heading=h.453xp0emdu2r" w:colFirst="0" w:colLast="0"/>
      <w:bookmarkStart w:id="87" w:name="_Toc239460922"/>
      <w:bookmarkEnd w:id="86"/>
      <w:r>
        <w:lastRenderedPageBreak/>
        <w:t>7.4 SWOT and Strategic Implications</w:t>
      </w:r>
      <w:bookmarkEnd w:id="87"/>
    </w:p>
    <w:p w:rsidR="00942264" w:rsidRDefault="00942264" w:rsidP="00942264">
      <w:pPr>
        <w:pStyle w:val="normal0"/>
      </w:pPr>
      <w:r>
        <w:t>SWOT consolidates the preceding external and internal evidence. Its value lies not simply in listing factors but in identifying strategic combinations that can guide resource allocation and risk control.</w:t>
      </w:r>
    </w:p>
    <w:p w:rsidR="00942264" w:rsidRDefault="00942264" w:rsidP="00942264">
      <w:pPr>
        <w:pStyle w:val="normal0"/>
        <w:rPr>
          <w:b/>
          <w:bCs/>
        </w:rPr>
      </w:pPr>
      <w:r>
        <w:rPr>
          <w:b/>
          <w:bCs/>
        </w:rPr>
        <w:t>Table 12. SWOT Analysis</w:t>
      </w:r>
    </w:p>
    <w:tbl>
      <w:tblPr>
        <w:tblW w:w="10740" w:type="dxa"/>
        <w:tblInd w:w="-599" w:type="dxa"/>
        <w:tblBorders>
          <w:top w:val="nil"/>
          <w:left w:val="nil"/>
          <w:bottom w:val="nil"/>
          <w:right w:val="nil"/>
          <w:insideH w:val="nil"/>
          <w:insideV w:val="nil"/>
        </w:tblBorders>
        <w:tblLayout w:type="fixed"/>
        <w:tblLook w:val="0600"/>
      </w:tblPr>
      <w:tblGrid>
        <w:gridCol w:w="2430"/>
        <w:gridCol w:w="8310"/>
      </w:tblGrid>
      <w:tr w:rsidR="00942264" w:rsidTr="00105F69">
        <w:trPr>
          <w:cantSplit/>
          <w:trHeight w:val="500"/>
          <w:tblHeader/>
        </w:trPr>
        <w:tc>
          <w:tcPr>
            <w:tcW w:w="24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jc w:val="center"/>
            </w:pPr>
            <w:r>
              <w:rPr>
                <w:b/>
                <w:bCs/>
              </w:rPr>
              <w:t>Category</w:t>
            </w:r>
          </w:p>
        </w:tc>
        <w:tc>
          <w:tcPr>
            <w:tcW w:w="8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jc w:val="center"/>
            </w:pPr>
            <w:r>
              <w:rPr>
                <w:b/>
                <w:bCs/>
              </w:rPr>
              <w:t>Key factors</w:t>
            </w:r>
          </w:p>
        </w:tc>
      </w:tr>
      <w:tr w:rsidR="00942264" w:rsidTr="00105F69">
        <w:trPr>
          <w:cantSplit/>
          <w:trHeight w:val="770"/>
          <w:tblHeader/>
        </w:trPr>
        <w:tc>
          <w:tcPr>
            <w:tcW w:w="24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rPr>
                <w:b/>
                <w:bCs/>
              </w:rPr>
              <w:t>Strengths</w:t>
            </w:r>
          </w:p>
        </w:tc>
        <w:tc>
          <w:tcPr>
            <w:tcW w:w="8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Proposition for sustainability; positioning as circular economy; potential for recurring revenues; digital tracking/reporting; flexible service model (Ogiemwonyi, 2025).</w:t>
            </w:r>
          </w:p>
        </w:tc>
      </w:tr>
      <w:tr w:rsidR="00942264" w:rsidTr="00105F69">
        <w:trPr>
          <w:cantSplit/>
          <w:trHeight w:val="1040"/>
          <w:tblHeader/>
        </w:trPr>
        <w:tc>
          <w:tcPr>
            <w:tcW w:w="24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rPr>
                <w:b/>
                <w:bCs/>
              </w:rPr>
              <w:t>Weaknesses</w:t>
            </w:r>
          </w:p>
        </w:tc>
        <w:tc>
          <w:tcPr>
            <w:tcW w:w="8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 xml:space="preserve">New entrant; limited initial resources; limited brand recognition; dependence on external reuse/recycling partners; initial technology and logistics costs (Kanda </w:t>
            </w:r>
            <w:r>
              <w:rPr>
                <w:i/>
                <w:iCs/>
              </w:rPr>
              <w:t>et al</w:t>
            </w:r>
            <w:r>
              <w:t>., 2024).</w:t>
            </w:r>
          </w:p>
        </w:tc>
      </w:tr>
      <w:tr w:rsidR="00942264" w:rsidTr="00105F69">
        <w:trPr>
          <w:cantSplit/>
          <w:trHeight w:val="1040"/>
          <w:tblHeader/>
        </w:trPr>
        <w:tc>
          <w:tcPr>
            <w:tcW w:w="24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rPr>
                <w:b/>
                <w:bCs/>
              </w:rPr>
              <w:t>Opportunities</w:t>
            </w:r>
          </w:p>
        </w:tc>
        <w:tc>
          <w:tcPr>
            <w:tcW w:w="8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Raising sustainability demands; SMEs' need to outsource sustainability solutions; circular procurement; corporate sustainability reporting; partnerships with offices and property managers (Cooper, 2024).</w:t>
            </w:r>
          </w:p>
        </w:tc>
      </w:tr>
      <w:tr w:rsidR="00942264" w:rsidTr="00105F69">
        <w:trPr>
          <w:cantSplit/>
          <w:trHeight w:val="1040"/>
          <w:tblHeader/>
        </w:trPr>
        <w:tc>
          <w:tcPr>
            <w:tcW w:w="24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rPr>
                <w:b/>
                <w:bCs/>
              </w:rPr>
              <w:t>Threats</w:t>
            </w:r>
          </w:p>
        </w:tc>
        <w:tc>
          <w:tcPr>
            <w:tcW w:w="8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 xml:space="preserve">Established waste-management firms; price competition; customer switching; regulatory changes; operational disruption; greenwashing concerns (Xu </w:t>
            </w:r>
            <w:r>
              <w:rPr>
                <w:i/>
                <w:iCs/>
              </w:rPr>
              <w:t>et al</w:t>
            </w:r>
            <w:r>
              <w:t>., 2025).</w:t>
            </w:r>
          </w:p>
        </w:tc>
      </w:tr>
      <w:tr w:rsidR="00942264" w:rsidTr="00105F69">
        <w:trPr>
          <w:cantSplit/>
          <w:trHeight w:val="500"/>
          <w:tblHeader/>
        </w:trPr>
        <w:tc>
          <w:tcPr>
            <w:tcW w:w="24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rPr>
                <w:b/>
                <w:bCs/>
              </w:rPr>
              <w:t>SO strategy</w:t>
            </w:r>
          </w:p>
        </w:tc>
        <w:tc>
          <w:tcPr>
            <w:tcW w:w="8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Combine sustainability expertise and technology to capture demand.</w:t>
            </w:r>
          </w:p>
        </w:tc>
      </w:tr>
      <w:tr w:rsidR="00942264" w:rsidTr="00105F69">
        <w:trPr>
          <w:cantSplit/>
          <w:trHeight w:val="500"/>
          <w:tblHeader/>
        </w:trPr>
        <w:tc>
          <w:tcPr>
            <w:tcW w:w="24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rPr>
                <w:b/>
                <w:bCs/>
              </w:rPr>
              <w:t>WO strategy</w:t>
            </w:r>
          </w:p>
        </w:tc>
        <w:tc>
          <w:tcPr>
            <w:tcW w:w="8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Use partnerships to overcome limited financial and operational resources.</w:t>
            </w:r>
          </w:p>
        </w:tc>
      </w:tr>
      <w:tr w:rsidR="00942264" w:rsidTr="00105F69">
        <w:trPr>
          <w:cantSplit/>
          <w:trHeight w:val="500"/>
          <w:tblHeader/>
        </w:trPr>
        <w:tc>
          <w:tcPr>
            <w:tcW w:w="24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rPr>
                <w:b/>
                <w:bCs/>
              </w:rPr>
              <w:t>ST strategy</w:t>
            </w:r>
          </w:p>
        </w:tc>
        <w:tc>
          <w:tcPr>
            <w:tcW w:w="8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Differentiate through service reliability and reporting rather than price.</w:t>
            </w:r>
          </w:p>
        </w:tc>
      </w:tr>
      <w:tr w:rsidR="00942264" w:rsidTr="00105F69">
        <w:trPr>
          <w:cantSplit/>
          <w:trHeight w:val="500"/>
          <w:tblHeader/>
        </w:trPr>
        <w:tc>
          <w:tcPr>
            <w:tcW w:w="24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rPr>
                <w:b/>
                <w:bCs/>
              </w:rPr>
              <w:t>WT strategy</w:t>
            </w:r>
          </w:p>
        </w:tc>
        <w:tc>
          <w:tcPr>
            <w:tcW w:w="8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42264" w:rsidRDefault="00942264" w:rsidP="00105F69">
            <w:pPr>
              <w:pStyle w:val="normal0"/>
              <w:spacing w:before="0" w:after="0"/>
            </w:pPr>
            <w:r>
              <w:t>Use a phased pilot to minimise financial and operational exposure.</w:t>
            </w:r>
          </w:p>
        </w:tc>
      </w:tr>
    </w:tbl>
    <w:p w:rsidR="00942264" w:rsidRDefault="00942264" w:rsidP="00942264">
      <w:pPr>
        <w:pStyle w:val="normal0"/>
        <w:rPr>
          <w:b/>
          <w:bCs/>
        </w:rPr>
      </w:pPr>
      <w:r>
        <w:rPr>
          <w:b/>
          <w:bCs/>
        </w:rPr>
        <w:lastRenderedPageBreak/>
        <w:t xml:space="preserve">Critical analysis </w:t>
      </w:r>
    </w:p>
    <w:p w:rsidR="00942264" w:rsidRDefault="00942264" w:rsidP="00942264">
      <w:pPr>
        <w:pStyle w:val="normal0"/>
      </w:pPr>
      <w:r>
        <w:t xml:space="preserve">The SWOT evidence shows that the best strategic fit for EcoLoop is a circular approach combined with digital transparency, but that potential benefit is limited by the small scale of use and a lack of recognition and trust of the brand with customers. While positioning as a circular economy can be a differentiator, sustainability is not enough to add value to customers (Ogiemwonyi 2025). Cooper (2024) also shows that integrating sustainability into procurement can enhance strategic alignment, but that does not mean that procurement commitment turns into adoption. Based on 70 circular new ventures identified, Kanda </w:t>
      </w:r>
      <w:r>
        <w:rPr>
          <w:i/>
          <w:iCs/>
        </w:rPr>
        <w:t>et al</w:t>
      </w:r>
      <w:r>
        <w:t xml:space="preserve">. (2024) point out the operational and commercial challenges encountered in the development of viable circular business models. EcoLoop should thus refrain from making significant fixed investments until the demand is confirmed. Relations with partners can overcome resource constraints by offering logistics, refurbishment and recycling services; a good service and reporting system can enhance the differentiation. What's more, Xu </w:t>
      </w:r>
      <w:r>
        <w:rPr>
          <w:i/>
          <w:iCs/>
        </w:rPr>
        <w:t>et al</w:t>
      </w:r>
      <w:r>
        <w:t>. (2025) point out that greenwashing has market implications, which further underscores the importance of credible environmental evidence. The willingness to pay, retention, collection economics and operational reliability should therefore be tested through a phased pilot before scaling.</w:t>
      </w:r>
    </w:p>
    <w:p w:rsidR="00942264" w:rsidRDefault="00942264" w:rsidP="00942264">
      <w:pPr>
        <w:pStyle w:val="Heading2"/>
      </w:pPr>
      <w:bookmarkStart w:id="88" w:name="_heading=h.fkq73p8gv8nu" w:colFirst="0" w:colLast="0"/>
      <w:bookmarkStart w:id="89" w:name="_Toc239460923"/>
      <w:bookmarkEnd w:id="88"/>
      <w:r>
        <w:t>7.5 Strategic Choice</w:t>
      </w:r>
      <w:bookmarkEnd w:id="89"/>
    </w:p>
    <w:p w:rsidR="00942264" w:rsidRDefault="00942264" w:rsidP="00942264">
      <w:pPr>
        <w:pStyle w:val="normal0"/>
      </w:pPr>
      <w:r>
        <w:t>The most logical strategic option is focused differentiation, as there is no need for a cost-leading strategy when a circular strategy is not scalable for EcoLoop, but it can be measured and attainable through specialist service design. It is recommended that the initial segment be SMEs and medium sized organisations rather than the total population of businesses, who have varying office needs. This focus is strategically warranted because of the widespread adoption of hybrid working, and the fact that ONS has identified 2.73M VAT/PAYE businesses, which are broad but do not necessarily represent demand that can be addressed (Business Registers Strategy and Outputs team, 2025). EcoLoop should therefore focus on companies undergoing a change in ownership, such as relocations, expansions, downsizing, and refurbishment, as there may be stranded assets and disposal requirements.</w:t>
      </w:r>
    </w:p>
    <w:p w:rsidR="00942264" w:rsidRDefault="00942264" w:rsidP="00942264">
      <w:pPr>
        <w:pStyle w:val="normal0"/>
      </w:pPr>
      <w:r>
        <w:lastRenderedPageBreak/>
        <w:t>The differentiation should be based on a comprehensive proposition that covers collection, reuse and refurbishment/recycling coordination, digital traceability, maintenance and sustainability reporting. The goal is to go on lifecycle value, not lowest price. The concept of cost leadership seems to be structurally impossible as the established operators have large-scale, strong procurement influence, logistics, and a loyal customer base (Pesce and Neirotti, 2023). Rather than adding switching value, EcoLoop should focus on providing convenient services, reliable service, transparency and commitment to providing reporting to the customer based on their specific needs.</w:t>
      </w:r>
    </w:p>
    <w:p w:rsidR="00942264" w:rsidRDefault="00942264" w:rsidP="00942264">
      <w:pPr>
        <w:pStyle w:val="normal0"/>
      </w:pPr>
      <w:r>
        <w:t>The strategy should also be regionally focused. This is suitable for a London-led pilot as it is identified that there is good office activity and fit out pressures, however, there is no automatic right to expand due to geographic density. However, reverse logistics can negatively impact the margins if the distances traveled for collecting, cost of storage and processing increase (Jenkins, 2024). Pilot, validate, standardise and scale, then, is therefore the recommended sequence. The pilot should evaluate customer acquisition, retention, contribution margin and collection reliability and resource utilisation, before a significant fixed investment is committed.</w:t>
      </w:r>
    </w:p>
    <w:p w:rsidR="00942264" w:rsidRDefault="00942264" w:rsidP="00942264">
      <w:pPr>
        <w:pStyle w:val="Heading2"/>
      </w:pPr>
      <w:bookmarkStart w:id="90" w:name="_heading=h.75g2io9epfxs" w:colFirst="0" w:colLast="0"/>
      <w:bookmarkStart w:id="91" w:name="_Toc239460924"/>
      <w:bookmarkEnd w:id="90"/>
      <w:r>
        <w:t>7.6 USP and Value Proposition</w:t>
      </w:r>
      <w:bookmarkEnd w:id="91"/>
    </w:p>
    <w:p w:rsidR="00942264" w:rsidRDefault="00942264" w:rsidP="00942264">
      <w:pPr>
        <w:pStyle w:val="normal0"/>
      </w:pPr>
      <w:r>
        <w:t xml:space="preserve">EcoLoop's proposed USP is: “The convenient collection of office resources, multi-purpose re-use, recycling and measurable sustainability reporting.” The proposition is a mixture of four types of value. The functional value is created by Collection, Sorting, Reuse, Recycling and Digital Monitoring. Economic value can be derived from better use of resources, potential savings on waste and sustainability management costs (outsourcing) (Sala-Garrido </w:t>
      </w:r>
      <w:r>
        <w:rPr>
          <w:i/>
          <w:iCs/>
        </w:rPr>
        <w:t>et al</w:t>
      </w:r>
      <w:r>
        <w:t>, 2024). Environmental value is related to the diversion of material from the disposal stream and to the increase of the lifespan of resources, reputational value is related to evidence-based sustainability reporting.</w:t>
      </w:r>
    </w:p>
    <w:p w:rsidR="00942264" w:rsidRDefault="00942264" w:rsidP="00942264">
      <w:pPr>
        <w:pStyle w:val="normal0"/>
      </w:pPr>
      <w:r>
        <w:t xml:space="preserve">The proposition is a solution to a significant problem of resource management. The scale of the challenge is demonstrated by the amount of commercial and industrial waste that England produced in 2023, which was 32.6 million tonnes, but is not indicative of demand for EcoLoop (Government of UK, 2024). As of March 2025, there were 2.73 million VAT and/or PAYE </w:t>
      </w:r>
      <w:r>
        <w:lastRenderedPageBreak/>
        <w:t>businesses in the UK, which is not the UK's addressable market for EcoLoop (ONS, 2025). Thus the USP needs to be targeted at actual customer results instead of the general sustainability statements.</w:t>
      </w:r>
    </w:p>
    <w:p w:rsidR="00942264" w:rsidRDefault="00942264" w:rsidP="00942264">
      <w:pPr>
        <w:pStyle w:val="normal0"/>
      </w:pPr>
      <w:r>
        <w:t xml:space="preserve">However, sustainability alone is not defensible since other people can copy circular services and customers can choose to buy goods instead of repair, rent or refurbish or to switch to incumbent waste-management contracts (Huis </w:t>
      </w:r>
      <w:r>
        <w:rPr>
          <w:i/>
          <w:iCs/>
        </w:rPr>
        <w:t>et al</w:t>
      </w:r>
      <w:r>
        <w:t>., 2026). Convenience, technology, and measurable data should be a part of EcoLoop. Customers should have the option to make collections, monitor the outcome of the usage of resources and receive credible impact reports. Collection reliability, reuse, satisfaction, retention, cost per collection should be used for validating the USP.</w:t>
      </w:r>
    </w:p>
    <w:p w:rsidR="00942264" w:rsidRDefault="00942264" w:rsidP="00942264">
      <w:pPr>
        <w:pStyle w:val="Heading2"/>
      </w:pPr>
      <w:bookmarkStart w:id="92" w:name="_heading=h.mdyztjfrg9lb" w:colFirst="0" w:colLast="0"/>
      <w:bookmarkStart w:id="93" w:name="_Toc239460925"/>
      <w:bookmarkEnd w:id="92"/>
      <w:r>
        <w:t>7.7 Competitive Advantage</w:t>
      </w:r>
      <w:bookmarkEnd w:id="93"/>
    </w:p>
    <w:p w:rsidR="00942264" w:rsidRDefault="00942264" w:rsidP="00942264">
      <w:pPr>
        <w:pStyle w:val="normal0"/>
      </w:pPr>
      <w:r>
        <w:t>EcoLoop's competitive edge should come from six capabilities that are interrelated: integrated circular service delivery, digital tracking, sustainability-impact reporting, flexible SME packages, local partnerships and customer specific recommendations. None is not necessarily rare on its own; competitors can do similar features. What is good is the way they are "packaged" together into a service system. Digital records enhance the reporting process, partnerships increase the potential for reuse, while customer data helps to provide customised recommendations (Wang, Wang and Liu, 2025). This makes it harder to imitate, but doesn't necessarily secure the advantage. So, competitive advantage will only be achieved if the operations are reliable, knowledge of customers is built up and they are executed at a low cost.</w:t>
      </w:r>
    </w:p>
    <w:p w:rsidR="00942264" w:rsidRDefault="00942264" w:rsidP="00942264">
      <w:pPr>
        <w:pStyle w:val="Heading2"/>
      </w:pPr>
      <w:bookmarkStart w:id="94" w:name="_heading=h.xx5njd9px4fl" w:colFirst="0" w:colLast="0"/>
      <w:bookmarkStart w:id="95" w:name="_Toc239460926"/>
      <w:bookmarkEnd w:id="94"/>
      <w:r>
        <w:t>7.8 Key Success Factors</w:t>
      </w:r>
      <w:bookmarkEnd w:id="95"/>
    </w:p>
    <w:p w:rsidR="00942264" w:rsidRDefault="00942264" w:rsidP="00942264">
      <w:pPr>
        <w:pStyle w:val="normal0"/>
      </w:pPr>
      <w:r>
        <w:t>The key to success is having reliable collections, competitive pricing, customer acquisition and retention, strong reuse/recycling partnerships, reliable technology, capable employees, measurable environmental outcomes, customer satisfaction, and positive cash flow. These should be made operational KPIs and linked directly to the Business Model Canvas, financial plan and operations plan and implementation programme. The test of the strategy is straightforward: EcoLoop has to prove that circularity enhances customer value while leaving the economics of logistics, processing and servicing intact.</w:t>
      </w:r>
    </w:p>
    <w:p w:rsidR="00942264" w:rsidRDefault="00942264" w:rsidP="00942264">
      <w:pPr>
        <w:pStyle w:val="Heading1"/>
      </w:pPr>
      <w:bookmarkStart w:id="96" w:name="_Toc239460927"/>
      <w:r>
        <w:lastRenderedPageBreak/>
        <w:t>Chapter 8. Business Model Canvas</w:t>
      </w:r>
      <w:bookmarkEnd w:id="96"/>
    </w:p>
    <w:p w:rsidR="00942264" w:rsidRDefault="00942264" w:rsidP="00942264">
      <w:pPr>
        <w:pStyle w:val="Heading2"/>
        <w:keepNext w:val="0"/>
        <w:keepLines w:val="0"/>
      </w:pPr>
      <w:bookmarkStart w:id="97" w:name="_heading=h.5d4wf8okxyn" w:colFirst="0" w:colLast="0"/>
      <w:bookmarkStart w:id="98" w:name="_Toc239460928"/>
      <w:bookmarkEnd w:id="97"/>
      <w:r>
        <w:t>8.1 BMC Introduction</w:t>
      </w:r>
      <w:bookmarkEnd w:id="98"/>
    </w:p>
    <w:p w:rsidR="00942264" w:rsidRDefault="00942264" w:rsidP="00942264">
      <w:pPr>
        <w:pStyle w:val="normal0"/>
      </w:pPr>
      <w:r>
        <w:t>The EcoLoop Office approach to focus-differentiation has been presented in the Business Model Canvas (BMC) which portrays the integrated creation, delivery and capture of value. It brings together the customer's problem (inefficient office resource and waste management) and collection, reuse, recycling and digital reporting. In 2023, England produced approximately 32.6 million tonnes of commercial and industrial waste, which presents a significant challenge for the management of resources. (Government of UK, 2024c) The BMC thus establishes commercial viability for all the 9 components against environmental value.</w:t>
      </w:r>
    </w:p>
    <w:p w:rsidR="00942264" w:rsidRDefault="00942264" w:rsidP="00942264">
      <w:pPr>
        <w:pStyle w:val="Heading2"/>
        <w:keepNext w:val="0"/>
        <w:keepLines w:val="0"/>
      </w:pPr>
      <w:bookmarkStart w:id="99" w:name="_heading=h.bz94iqv31zng" w:colFirst="0" w:colLast="0"/>
      <w:bookmarkStart w:id="100" w:name="_Toc239460929"/>
      <w:bookmarkEnd w:id="99"/>
      <w:r>
        <w:t>8.2 Customer Segments</w:t>
      </w:r>
      <w:bookmarkEnd w:id="100"/>
    </w:p>
    <w:p w:rsidR="00942264" w:rsidRDefault="00942264" w:rsidP="00942264">
      <w:pPr>
        <w:pStyle w:val="normal0"/>
      </w:pPr>
      <w:r>
        <w:t>EcoLoop should focus on SMEs and medium sized offices as this is a large market segment with the possibility of unmet demand for standardised waste services. As at the beginning of 2024, there were some 5.49 million SMEs in the UK, which comprised nearly 99.8% of private-sector businesses, though SMEs in the UK accounted for about 60% of private-sector employment and 52% of turnover (Government of UK, 2024a). But 74% of businesses were owned by business people only, and those that reported having employees other than business people were far less frequently smaller businesses. Higher numbers of smaller businesses were found in hotels and motels, driving services, and manufacturing, while gaming and retail trade had the fewest, (OECD, 2026). EcoLoop should thus adopt the strategy of engaging organisations. Other secondary segments comprise co-working spaces, educational organisations, professional-services firms and office/property managers.</w:t>
      </w:r>
    </w:p>
    <w:p w:rsidR="00942264" w:rsidRDefault="00942264" w:rsidP="00942264">
      <w:pPr>
        <w:pStyle w:val="Heading2"/>
        <w:keepNext w:val="0"/>
        <w:keepLines w:val="0"/>
      </w:pPr>
      <w:bookmarkStart w:id="101" w:name="_heading=h.uks3rhervje8" w:colFirst="0" w:colLast="0"/>
      <w:bookmarkStart w:id="102" w:name="_Toc239460930"/>
      <w:bookmarkEnd w:id="101"/>
      <w:r>
        <w:t>8.3 Value Proposition</w:t>
      </w:r>
      <w:bookmarkEnd w:id="102"/>
    </w:p>
    <w:p w:rsidR="00942264" w:rsidRDefault="00942264" w:rsidP="00942264">
      <w:pPr>
        <w:pStyle w:val="normal0"/>
      </w:pPr>
      <w:r>
        <w:t xml:space="preserve">The offer from EcoLoop need not be limited to “recycling,” but also integrated circular-office service. Customers enjoy convenient collection and reuse/recycling, digital tracking and sustainability reporting (Eslamipoor 2026). It will create functional value as it will decrease administrative burden and information value from collection activities by collecting them in </w:t>
      </w:r>
      <w:r>
        <w:lastRenderedPageBreak/>
        <w:t>measurable sustainability data. The UK recycling rate for household waste remains at 44.6% for 2023, and the commercial and institutional waste is still a significant amount (Green Space Innovations, 2025). By identifying what happens to resources after collection, EcoLoop can differentiate by demonstrating what is happening to the resources themselves after they leave the collection system. An environmental claim can however not be targeted, but substantiated with evidence, or else it risks becoming "green washed.</w:t>
      </w:r>
    </w:p>
    <w:p w:rsidR="00942264" w:rsidRDefault="00942264" w:rsidP="00942264">
      <w:pPr>
        <w:pStyle w:val="Heading2"/>
        <w:keepNext w:val="0"/>
        <w:keepLines w:val="0"/>
      </w:pPr>
      <w:bookmarkStart w:id="103" w:name="_heading=h.6bkvqke54qk3" w:colFirst="0" w:colLast="0"/>
      <w:bookmarkStart w:id="104" w:name="_Toc239460931"/>
      <w:bookmarkEnd w:id="103"/>
      <w:r>
        <w:t>8.4 Channels</w:t>
      </w:r>
      <w:bookmarkEnd w:id="104"/>
    </w:p>
    <w:p w:rsidR="00942264" w:rsidRDefault="00942264" w:rsidP="00942264">
      <w:pPr>
        <w:pStyle w:val="normal0"/>
      </w:pPr>
      <w:r>
        <w:t>Selling major items through a digitized and a B2B route (Shonubi, 2025) should be favored for the adoption of EcoLoop. Direct sales will be able to recognize the position, which has an appropriate amount of waste, and the website will help answer questions, sustainability evaluation and offer quotations (Shonubi, 2025). Target Office Managers, Operations Managers, Sustainability Decision makers – with Linkedin and Email marketing. Credibility can be won by holding sustainability events and operating networks of businesses.</w:t>
      </w:r>
      <w:r w:rsidR="00105F69">
        <w:t xml:space="preserve"> </w:t>
      </w:r>
      <w:r>
        <w:t>Credibility can be garnered from the hosting of sustainability events and networks of businesses. This is the better way to do things instead of digital advertising alone due to the need for trust during operational change.</w:t>
      </w:r>
    </w:p>
    <w:p w:rsidR="00942264" w:rsidRDefault="00942264" w:rsidP="00942264">
      <w:pPr>
        <w:pStyle w:val="Heading2"/>
        <w:keepNext w:val="0"/>
        <w:keepLines w:val="0"/>
      </w:pPr>
      <w:bookmarkStart w:id="105" w:name="_heading=h.8srxno93xboc" w:colFirst="0" w:colLast="0"/>
      <w:bookmarkStart w:id="106" w:name="_Toc239460932"/>
      <w:bookmarkEnd w:id="105"/>
      <w:r>
        <w:t>8.5 Customer Relationships</w:t>
      </w:r>
      <w:bookmarkEnd w:id="106"/>
    </w:p>
    <w:p w:rsidR="00942264" w:rsidRDefault="00942264" w:rsidP="00942264">
      <w:pPr>
        <w:pStyle w:val="normal0"/>
      </w:pPr>
      <w:r>
        <w:t>Relationships should be consultative and not transactional. EcoLoop should start by conducting an office sustainability assessment, to be followed by onboarding, regular collections, ongoing account management and regular impact reporting to the European Commission (2026). Outcomes of collection volumes and re-use and re-cycling can be reported on a dashboard. This can help bolster retention via amassed service records and reports. What should be at the core of the renewal process is not the environmental message. It should be all about reliability and the actual value to the customer.</w:t>
      </w:r>
    </w:p>
    <w:p w:rsidR="00942264" w:rsidRDefault="00942264" w:rsidP="00942264">
      <w:pPr>
        <w:pStyle w:val="Heading2"/>
        <w:keepNext w:val="0"/>
        <w:keepLines w:val="0"/>
      </w:pPr>
      <w:bookmarkStart w:id="107" w:name="_heading=h.nulwwqomma10" w:colFirst="0" w:colLast="0"/>
      <w:bookmarkStart w:id="108" w:name="_Toc239460933"/>
      <w:bookmarkEnd w:id="107"/>
      <w:r>
        <w:t>8.6 Revenue Streams</w:t>
      </w:r>
      <w:bookmarkEnd w:id="108"/>
    </w:p>
    <w:p w:rsidR="00942264" w:rsidRDefault="00942264" w:rsidP="00942264">
      <w:pPr>
        <w:pStyle w:val="normal0"/>
      </w:pPr>
      <w:r>
        <w:t xml:space="preserve">The revenue model should bring in periodic revenues, usage and value added revenues. Predictable monthly recurring revenue to invest in collection infrastructure, technology and staff. </w:t>
      </w:r>
      <w:r>
        <w:lastRenderedPageBreak/>
        <w:t xml:space="preserve">There are various ways to determine the collection fees; fees can be lower or higher depending on the volume, or based on the frequency of collection, similar to the cost of the operation (Lamichhane, Lama and Lopchan, 2024). Delivers options like premium sustainability analytics for customers that need to provide detailed reports, or consultancy that can convert office audits and improvement plans (PwC, 2025). Corporate contracts are available in larger companies. </w:t>
      </w:r>
    </w:p>
    <w:p w:rsidR="00942264" w:rsidRDefault="00942264" w:rsidP="00942264">
      <w:pPr>
        <w:pStyle w:val="Heading2"/>
        <w:keepNext w:val="0"/>
        <w:keepLines w:val="0"/>
      </w:pPr>
      <w:bookmarkStart w:id="109" w:name="_heading=h.6wgvcnukipcu" w:colFirst="0" w:colLast="0"/>
      <w:bookmarkStart w:id="110" w:name="_Toc239460934"/>
      <w:bookmarkEnd w:id="109"/>
      <w:r>
        <w:t>8.7 Key Resources</w:t>
      </w:r>
      <w:bookmarkEnd w:id="110"/>
    </w:p>
    <w:p w:rsidR="00942264" w:rsidRDefault="00942264" w:rsidP="00942264">
      <w:pPr>
        <w:pStyle w:val="normal0"/>
      </w:pPr>
      <w:r>
        <w:t xml:space="preserve">The human resources, Digital Platform, Collection Systems, Logistics Capacity, Customer Data, Brand Reputation, Supply Chain and Sustainability expertise are the key resources (Kam </w:t>
      </w:r>
      <w:r>
        <w:rPr>
          <w:i/>
          <w:iCs/>
        </w:rPr>
        <w:t>et al</w:t>
      </w:r>
      <w:r>
        <w:t>., 2026). A sustained competitive advantage won't necessarily be obtained through technology as similar technologies are possible to buy from a competitor. Therefore, EcoLoop needs to put technology together with business know-how, and together with the knowledge of customers and partnerships.</w:t>
      </w:r>
    </w:p>
    <w:p w:rsidR="00942264" w:rsidRDefault="00942264" w:rsidP="00942264">
      <w:pPr>
        <w:pStyle w:val="Heading2"/>
        <w:keepNext w:val="0"/>
        <w:keepLines w:val="0"/>
      </w:pPr>
      <w:bookmarkStart w:id="111" w:name="_heading=h.sf6tuebf27m" w:colFirst="0" w:colLast="0"/>
      <w:bookmarkStart w:id="112" w:name="_Toc239460935"/>
      <w:bookmarkEnd w:id="111"/>
      <w:r>
        <w:t>8.8 Key Activities</w:t>
      </w:r>
      <w:bookmarkEnd w:id="112"/>
    </w:p>
    <w:p w:rsidR="00942264" w:rsidRDefault="00942264" w:rsidP="00942264">
      <w:pPr>
        <w:pStyle w:val="normal0"/>
      </w:pPr>
      <w:r>
        <w:t xml:space="preserve">Core activities are: (i) Customer acquisition, (ii) Office and resource assessment, (iii) Collection, (iv) Sorting, (v) Coordination for reuse and recycling, (vi) Data management and (vii) Reporting of impacts and maintenance of good customer service (Petropoulos </w:t>
      </w:r>
      <w:r>
        <w:rPr>
          <w:i/>
          <w:iCs/>
        </w:rPr>
        <w:t>et al</w:t>
      </w:r>
      <w:r>
        <w:t>., 2025). If the activities are involved they need to be reinforcing the value proposition. Inaccurate data capture is especially significant since this impacts customer loyalty and segmentation if data is generated inaccurately.</w:t>
      </w:r>
    </w:p>
    <w:p w:rsidR="00942264" w:rsidRDefault="00942264" w:rsidP="00942264">
      <w:pPr>
        <w:pStyle w:val="Heading2"/>
        <w:keepNext w:val="0"/>
        <w:keepLines w:val="0"/>
      </w:pPr>
      <w:bookmarkStart w:id="113" w:name="_heading=h.cu65e4bdcdi3" w:colFirst="0" w:colLast="0"/>
      <w:bookmarkStart w:id="114" w:name="_Toc239460936"/>
      <w:bookmarkEnd w:id="113"/>
      <w:r>
        <w:t>8.9 Key Partnerships</w:t>
      </w:r>
      <w:bookmarkEnd w:id="114"/>
    </w:p>
    <w:p w:rsidR="00942264" w:rsidRDefault="00942264" w:rsidP="00942264">
      <w:pPr>
        <w:pStyle w:val="normal0"/>
      </w:pPr>
      <w:r>
        <w:t xml:space="preserve">By forming partnerships with recycling partners, reuse/refurbishment partners, logistics providers, technology suppliers, office landlords and sustainability specialists, EcoLoop enjoys access to capabilities without owning the entire value chain supply (Bals </w:t>
      </w:r>
      <w:r>
        <w:rPr>
          <w:i/>
          <w:iCs/>
        </w:rPr>
        <w:t>et al</w:t>
      </w:r>
      <w:r>
        <w:t>., 2024). Nigeria should therefore seek to assess its critical suppliers for reliability, compliance, environmental performance and cost, and find alternative suppliers if it can.</w:t>
      </w:r>
    </w:p>
    <w:p w:rsidR="00105F69" w:rsidRDefault="00105F69" w:rsidP="00942264">
      <w:pPr>
        <w:pStyle w:val="Heading2"/>
        <w:keepNext w:val="0"/>
        <w:keepLines w:val="0"/>
      </w:pPr>
      <w:bookmarkStart w:id="115" w:name="_heading=h.jnrs93dious" w:colFirst="0" w:colLast="0"/>
      <w:bookmarkEnd w:id="115"/>
    </w:p>
    <w:p w:rsidR="00942264" w:rsidRDefault="00942264" w:rsidP="00942264">
      <w:pPr>
        <w:pStyle w:val="Heading2"/>
        <w:keepNext w:val="0"/>
        <w:keepLines w:val="0"/>
      </w:pPr>
      <w:bookmarkStart w:id="116" w:name="_Toc239460937"/>
      <w:r>
        <w:lastRenderedPageBreak/>
        <w:t>8.10 Cost Structure</w:t>
      </w:r>
      <w:bookmarkEnd w:id="116"/>
    </w:p>
    <w:p w:rsidR="00942264" w:rsidRDefault="00942264" w:rsidP="00942264">
      <w:pPr>
        <w:pStyle w:val="normal0"/>
      </w:pPr>
      <w:r>
        <w:t>The fixed costs should include the salaries, technology, insurance, administration and storage costs, while the variable costs should involve logistics, processing, packaging costs, and fees paid to partners and costs of acquiring customers (Mostafa, Moustafa and Elshaer, 2023). The pilot needs to keep a core, low fixed cost initial base and build up variable capacity based on customers. This will help keep your cash flow intact and remain scalable with a differentiated service.</w:t>
      </w:r>
    </w:p>
    <w:p w:rsidR="003D562E" w:rsidRDefault="003D562E" w:rsidP="00942264">
      <w:pPr>
        <w:pStyle w:val="normal0"/>
      </w:pPr>
    </w:p>
    <w:p w:rsidR="003D562E" w:rsidRDefault="003D562E" w:rsidP="003D562E">
      <w:pPr>
        <w:pStyle w:val="Heading1"/>
      </w:pPr>
    </w:p>
    <w:p w:rsidR="003D562E" w:rsidRDefault="003D562E" w:rsidP="003D562E">
      <w:pPr>
        <w:pStyle w:val="Heading1"/>
      </w:pPr>
    </w:p>
    <w:p w:rsidR="003D562E" w:rsidRDefault="003D562E" w:rsidP="003D562E">
      <w:pPr>
        <w:pStyle w:val="Heading1"/>
      </w:pPr>
    </w:p>
    <w:p w:rsidR="003D562E" w:rsidRDefault="003D562E" w:rsidP="003D562E">
      <w:pPr>
        <w:pStyle w:val="Heading1"/>
      </w:pPr>
      <w:bookmarkStart w:id="117" w:name="_Toc239460938"/>
      <w:r>
        <w:t>Chapter 9. Financial, Marketing &amp; Human Capital Management Plan</w:t>
      </w:r>
      <w:bookmarkEnd w:id="117"/>
    </w:p>
    <w:p w:rsidR="003D562E" w:rsidRDefault="003D562E" w:rsidP="003D562E">
      <w:pPr>
        <w:pStyle w:val="Heading2"/>
      </w:pPr>
      <w:bookmarkStart w:id="118" w:name="_heading=h.kkx7vwk9pyng" w:colFirst="0" w:colLast="0"/>
      <w:bookmarkStart w:id="119" w:name="_Toc239460939"/>
      <w:bookmarkEnd w:id="118"/>
      <w:r>
        <w:t>9.1 Financial Plan</w:t>
      </w:r>
      <w:bookmarkEnd w:id="119"/>
    </w:p>
    <w:p w:rsidR="003D562E" w:rsidRDefault="003D562E" w:rsidP="003D562E">
      <w:pPr>
        <w:pStyle w:val="Heading3"/>
      </w:pPr>
      <w:bookmarkStart w:id="120" w:name="_heading=h.irfhljrnnauq" w:colFirst="0" w:colLast="0"/>
      <w:bookmarkStart w:id="121" w:name="_Toc239460940"/>
      <w:bookmarkEnd w:id="120"/>
      <w:r>
        <w:t>9.1.1 Financial Strategy</w:t>
      </w:r>
      <w:bookmarkEnd w:id="121"/>
    </w:p>
    <w:p w:rsidR="003D562E" w:rsidRDefault="003D562E" w:rsidP="003D562E">
      <w:pPr>
        <w:pStyle w:val="normal0"/>
      </w:pPr>
      <w:r>
        <w:t>EcoLoop Office's financial approach should be to maintain steady growth while minimizing the chance of undue fixed cost exposure for the first time in the market. The opportunity for business is remarkable; in the UK there were 5.69 million private sector businesses at the beginning of 2025, 99.85% of these were SMEs and 60% of employment was done by SMEs (Buckley, 2023). However, most of the firms are non-employers and it would be better to focus not on the entire SME population but on the employer businesses. In 2023, within England alone, 32.6 million tonnes of commercial and industrial waste were produced (Market Data Forecast, 2024).</w:t>
      </w:r>
    </w:p>
    <w:p w:rsidR="003D562E" w:rsidRDefault="003D562E" w:rsidP="003D562E">
      <w:pPr>
        <w:pStyle w:val="Heading3"/>
      </w:pPr>
      <w:bookmarkStart w:id="122" w:name="_heading=h.2uucpwhzqfsz" w:colFirst="0" w:colLast="0"/>
      <w:bookmarkEnd w:id="122"/>
    </w:p>
    <w:p w:rsidR="003D562E" w:rsidRDefault="003D562E" w:rsidP="003D562E">
      <w:pPr>
        <w:pStyle w:val="Heading3"/>
      </w:pPr>
    </w:p>
    <w:p w:rsidR="003D562E" w:rsidRDefault="003D562E" w:rsidP="003D562E">
      <w:pPr>
        <w:pStyle w:val="Heading3"/>
      </w:pPr>
      <w:bookmarkStart w:id="123" w:name="_Toc239460941"/>
      <w:r>
        <w:t>9.1.2 Start-Up Costs</w:t>
      </w:r>
      <w:bookmarkEnd w:id="123"/>
    </w:p>
    <w:p w:rsidR="003D562E" w:rsidRDefault="003D562E" w:rsidP="003D562E">
      <w:pPr>
        <w:pStyle w:val="normal0"/>
      </w:pPr>
      <w:r>
        <w:t xml:space="preserve">A lean launch budget of approximately </w:t>
      </w:r>
      <w:r>
        <w:rPr>
          <w:b/>
          <w:bCs/>
        </w:rPr>
        <w:t>£75,000</w:t>
      </w:r>
      <w:r>
        <w:t xml:space="preserve"> is proposed. These are planning assumptions rather than supplier quotations and should be validated during the pilot.</w:t>
      </w:r>
    </w:p>
    <w:p w:rsidR="003D562E" w:rsidRDefault="003D562E" w:rsidP="003D562E">
      <w:pPr>
        <w:pStyle w:val="normal0"/>
        <w:rPr>
          <w:b/>
          <w:bCs/>
        </w:rPr>
      </w:pPr>
    </w:p>
    <w:p w:rsidR="003D562E" w:rsidRDefault="003D562E" w:rsidP="003D562E">
      <w:pPr>
        <w:pStyle w:val="normal0"/>
        <w:rPr>
          <w:b/>
          <w:bCs/>
        </w:rPr>
      </w:pPr>
    </w:p>
    <w:p w:rsidR="003D562E" w:rsidRDefault="003D562E" w:rsidP="003D562E">
      <w:pPr>
        <w:pStyle w:val="normal0"/>
        <w:rPr>
          <w:b/>
          <w:bCs/>
        </w:rPr>
      </w:pPr>
      <w:r>
        <w:rPr>
          <w:b/>
          <w:bCs/>
        </w:rPr>
        <w:t xml:space="preserve">    Table 13. Start-up Costs</w:t>
      </w:r>
    </w:p>
    <w:tbl>
      <w:tblPr>
        <w:tblW w:w="4900" w:type="dxa"/>
        <w:tblInd w:w="2236" w:type="dxa"/>
        <w:tblBorders>
          <w:top w:val="nil"/>
          <w:left w:val="nil"/>
          <w:bottom w:val="nil"/>
          <w:right w:val="nil"/>
          <w:insideH w:val="nil"/>
          <w:insideV w:val="nil"/>
        </w:tblBorders>
        <w:tblLayout w:type="fixed"/>
        <w:tblLook w:val="0600"/>
      </w:tblPr>
      <w:tblGrid>
        <w:gridCol w:w="3170"/>
        <w:gridCol w:w="1730"/>
      </w:tblGrid>
      <w:tr w:rsidR="003D562E" w:rsidTr="003D562E">
        <w:trPr>
          <w:cantSplit/>
          <w:trHeight w:val="515"/>
          <w:tblHeader/>
        </w:trPr>
        <w:tc>
          <w:tcPr>
            <w:tcW w:w="3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Item</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Estimated cost</w:t>
            </w:r>
          </w:p>
        </w:tc>
      </w:tr>
      <w:tr w:rsidR="003D562E" w:rsidTr="003D562E">
        <w:trPr>
          <w:cantSplit/>
          <w:trHeight w:val="515"/>
          <w:tblHeader/>
        </w:trPr>
        <w:tc>
          <w:tcPr>
            <w:tcW w:w="3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Digital platform/CRM</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£12,000</w:t>
            </w:r>
          </w:p>
        </w:tc>
      </w:tr>
      <w:tr w:rsidR="003D562E" w:rsidTr="003D562E">
        <w:trPr>
          <w:cantSplit/>
          <w:trHeight w:val="515"/>
          <w:tblHeader/>
        </w:trPr>
        <w:tc>
          <w:tcPr>
            <w:tcW w:w="3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Website/e-commerce</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£4,000</w:t>
            </w:r>
          </w:p>
        </w:tc>
      </w:tr>
      <w:tr w:rsidR="003D562E" w:rsidTr="003D562E">
        <w:trPr>
          <w:cantSplit/>
          <w:trHeight w:val="515"/>
          <w:tblHeader/>
        </w:trPr>
        <w:tc>
          <w:tcPr>
            <w:tcW w:w="3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Collection equipment</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£8,000</w:t>
            </w:r>
          </w:p>
        </w:tc>
      </w:tr>
      <w:tr w:rsidR="003D562E" w:rsidTr="003D562E">
        <w:trPr>
          <w:cantSplit/>
          <w:trHeight w:val="515"/>
          <w:tblHeader/>
        </w:trPr>
        <w:tc>
          <w:tcPr>
            <w:tcW w:w="3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Vehicle/logistics setup</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£18,000</w:t>
            </w:r>
          </w:p>
        </w:tc>
      </w:tr>
      <w:tr w:rsidR="003D562E" w:rsidTr="003D562E">
        <w:trPr>
          <w:cantSplit/>
          <w:trHeight w:val="515"/>
          <w:tblHeader/>
        </w:trPr>
        <w:tc>
          <w:tcPr>
            <w:tcW w:w="3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Branding and launch materials</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£3,500</w:t>
            </w:r>
          </w:p>
        </w:tc>
      </w:tr>
      <w:tr w:rsidR="003D562E" w:rsidTr="003D562E">
        <w:trPr>
          <w:cantSplit/>
          <w:trHeight w:val="515"/>
          <w:tblHeader/>
        </w:trPr>
        <w:tc>
          <w:tcPr>
            <w:tcW w:w="3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Insurance and compliance</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£4,500</w:t>
            </w:r>
          </w:p>
        </w:tc>
      </w:tr>
      <w:tr w:rsidR="003D562E" w:rsidTr="003D562E">
        <w:trPr>
          <w:cantSplit/>
          <w:trHeight w:val="515"/>
          <w:tblHeader/>
        </w:trPr>
        <w:tc>
          <w:tcPr>
            <w:tcW w:w="3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Legal/accounting</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£3,000</w:t>
            </w:r>
          </w:p>
        </w:tc>
      </w:tr>
      <w:tr w:rsidR="003D562E" w:rsidTr="003D562E">
        <w:trPr>
          <w:cantSplit/>
          <w:trHeight w:val="515"/>
          <w:tblHeader/>
        </w:trPr>
        <w:tc>
          <w:tcPr>
            <w:tcW w:w="3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Initial marketing</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£7,000</w:t>
            </w:r>
          </w:p>
        </w:tc>
      </w:tr>
      <w:tr w:rsidR="003D562E" w:rsidTr="003D562E">
        <w:trPr>
          <w:cantSplit/>
          <w:trHeight w:val="515"/>
          <w:tblHeader/>
        </w:trPr>
        <w:tc>
          <w:tcPr>
            <w:tcW w:w="3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Working capital</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£15,000</w:t>
            </w:r>
          </w:p>
        </w:tc>
      </w:tr>
      <w:tr w:rsidR="003D562E" w:rsidTr="003D562E">
        <w:trPr>
          <w:cantSplit/>
          <w:trHeight w:val="515"/>
          <w:tblHeader/>
        </w:trPr>
        <w:tc>
          <w:tcPr>
            <w:tcW w:w="3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lastRenderedPageBreak/>
              <w:t>Total</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£75,000</w:t>
            </w:r>
          </w:p>
        </w:tc>
      </w:tr>
    </w:tbl>
    <w:p w:rsidR="003D562E" w:rsidRDefault="003D562E" w:rsidP="003D562E">
      <w:pPr>
        <w:pStyle w:val="normal0"/>
      </w:pPr>
      <w:r>
        <w:t xml:space="preserve">                                                      Source: Self-Created</w:t>
      </w:r>
    </w:p>
    <w:p w:rsidR="003D562E" w:rsidRDefault="003D562E" w:rsidP="003D562E">
      <w:pPr>
        <w:pStyle w:val="normal0"/>
      </w:pPr>
      <w:r>
        <w:t>The relatively high allocation for logistics is in fact because the physical collection becomes the pivot of the value proposition, and working capital is a buffer to the likelihood of delays in the receipt of B2B payments and variability in earnings from the B2B side. This means cost assumptions should also account for contingency because UK CPI is currently at 2.6% and these costs are constantly changing, not static (Office for National Statistics, 2026).</w:t>
      </w:r>
    </w:p>
    <w:p w:rsidR="003D562E" w:rsidRDefault="003D562E" w:rsidP="003D562E">
      <w:pPr>
        <w:pStyle w:val="Heading3"/>
      </w:pPr>
      <w:bookmarkStart w:id="124" w:name="_heading=h.gku3i2406xd5" w:colFirst="0" w:colLast="0"/>
      <w:bookmarkStart w:id="125" w:name="_Toc239460942"/>
      <w:bookmarkEnd w:id="124"/>
      <w:r>
        <w:t>9.1.3 Revenue Model</w:t>
      </w:r>
      <w:bookmarkEnd w:id="125"/>
    </w:p>
    <w:p w:rsidR="003D562E" w:rsidRDefault="003D562E" w:rsidP="003D562E">
      <w:pPr>
        <w:pStyle w:val="normal0"/>
      </w:pPr>
      <w:r>
        <w:t>The proposed model combines predictable subscription income with usage-based and higher-margin services.</w:t>
      </w:r>
    </w:p>
    <w:p w:rsidR="003D562E" w:rsidRDefault="003D562E" w:rsidP="003D562E">
      <w:pPr>
        <w:pStyle w:val="normal0"/>
        <w:rPr>
          <w:b/>
          <w:bCs/>
        </w:rPr>
      </w:pPr>
      <w:r>
        <w:rPr>
          <w:b/>
          <w:bCs/>
        </w:rPr>
        <w:t>Table 14. Revenue Model</w:t>
      </w:r>
    </w:p>
    <w:tbl>
      <w:tblPr>
        <w:tblW w:w="8190" w:type="dxa"/>
        <w:tblBorders>
          <w:top w:val="nil"/>
          <w:left w:val="nil"/>
          <w:bottom w:val="nil"/>
          <w:right w:val="nil"/>
          <w:insideH w:val="nil"/>
          <w:insideV w:val="nil"/>
        </w:tblBorders>
        <w:tblLayout w:type="fixed"/>
        <w:tblLook w:val="0600"/>
      </w:tblPr>
      <w:tblGrid>
        <w:gridCol w:w="1530"/>
        <w:gridCol w:w="3360"/>
        <w:gridCol w:w="3300"/>
      </w:tblGrid>
      <w:tr w:rsidR="003D562E" w:rsidTr="001E68C1">
        <w:trPr>
          <w:cantSplit/>
          <w:trHeight w:val="515"/>
          <w:tblHeader/>
        </w:trPr>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Package</w:t>
            </w:r>
          </w:p>
        </w:tc>
        <w:tc>
          <w:tcPr>
            <w:tcW w:w="3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Target</w:t>
            </w:r>
          </w:p>
        </w:tc>
        <w:tc>
          <w:tcPr>
            <w:tcW w:w="3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Indicative price/month</w:t>
            </w:r>
          </w:p>
        </w:tc>
      </w:tr>
      <w:tr w:rsidR="003D562E" w:rsidTr="001E68C1">
        <w:trPr>
          <w:cantSplit/>
          <w:trHeight w:val="515"/>
          <w:tblHeader/>
        </w:trPr>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EcoBasic</w:t>
            </w:r>
          </w:p>
        </w:tc>
        <w:tc>
          <w:tcPr>
            <w:tcW w:w="3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Small offices</w:t>
            </w:r>
          </w:p>
        </w:tc>
        <w:tc>
          <w:tcPr>
            <w:tcW w:w="3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£199</w:t>
            </w:r>
          </w:p>
        </w:tc>
      </w:tr>
      <w:tr w:rsidR="003D562E" w:rsidTr="001E68C1">
        <w:trPr>
          <w:cantSplit/>
          <w:trHeight w:val="515"/>
          <w:tblHeader/>
        </w:trPr>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EcoPlus</w:t>
            </w:r>
          </w:p>
        </w:tc>
        <w:tc>
          <w:tcPr>
            <w:tcW w:w="3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Medium offices</w:t>
            </w:r>
          </w:p>
        </w:tc>
        <w:tc>
          <w:tcPr>
            <w:tcW w:w="3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£399</w:t>
            </w:r>
          </w:p>
        </w:tc>
      </w:tr>
      <w:tr w:rsidR="003D562E" w:rsidTr="001E68C1">
        <w:trPr>
          <w:cantSplit/>
          <w:trHeight w:val="515"/>
          <w:tblHeader/>
        </w:trPr>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EcoPro</w:t>
            </w:r>
          </w:p>
        </w:tc>
        <w:tc>
          <w:tcPr>
            <w:tcW w:w="3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Larger organisations</w:t>
            </w:r>
          </w:p>
        </w:tc>
        <w:tc>
          <w:tcPr>
            <w:tcW w:w="3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£799+</w:t>
            </w:r>
          </w:p>
        </w:tc>
      </w:tr>
    </w:tbl>
    <w:p w:rsidR="003D562E" w:rsidRDefault="003D562E" w:rsidP="003D562E">
      <w:pPr>
        <w:pStyle w:val="normal0"/>
      </w:pPr>
      <w:r>
        <w:t xml:space="preserve">                                     Source: Self-Created</w:t>
      </w:r>
    </w:p>
    <w:p w:rsidR="003D562E" w:rsidRDefault="003D562E" w:rsidP="003D562E">
      <w:pPr>
        <w:pStyle w:val="normal0"/>
      </w:pPr>
      <w:r>
        <w:t>EcoBasic, reporting: EcoPlus, bespoke circularity and analytics: EcoPro. These prices are forward-looking estimates and not bids or offers. Diversified revenue structure lessens dependence on a single income source and periodic subscription procedures make revenues more transparent and facilitates investment in operational capacity.</w:t>
      </w:r>
    </w:p>
    <w:p w:rsidR="003D562E" w:rsidRDefault="003D562E" w:rsidP="003D562E">
      <w:pPr>
        <w:pStyle w:val="Heading3"/>
        <w:keepNext w:val="0"/>
        <w:keepLines w:val="0"/>
      </w:pPr>
      <w:bookmarkStart w:id="126" w:name="_heading=h.snuqkdkk8u7t" w:colFirst="0" w:colLast="0"/>
      <w:bookmarkEnd w:id="126"/>
    </w:p>
    <w:p w:rsidR="003D562E" w:rsidRDefault="003D562E" w:rsidP="003D562E">
      <w:pPr>
        <w:pStyle w:val="Heading3"/>
        <w:keepNext w:val="0"/>
        <w:keepLines w:val="0"/>
      </w:pPr>
      <w:bookmarkStart w:id="127" w:name="_Toc239460943"/>
      <w:r>
        <w:lastRenderedPageBreak/>
        <w:t>9.1.4 Pricing Strategy</w:t>
      </w:r>
      <w:bookmarkEnd w:id="127"/>
    </w:p>
    <w:p w:rsidR="003D562E" w:rsidRDefault="003D562E" w:rsidP="003D562E">
      <w:pPr>
        <w:pStyle w:val="normal0"/>
      </w:pPr>
      <w:r>
        <w:t>EcoLoop must apply a value approach to pricing with cost floors and competitor pricing considerations. The value of data and reporting may be undervalued by cost-plus; on the other hand, a premium price that is not substantiated could lead to a lack of uptake (Guerreiro and Amaral, 2018). Volume discounts should be used for increased frequency of collection and pilot discounts should be used for the pilot customers. Thus the focused-differentiation strategy can be supported in a moderate premium if it has the qualities of convenience, measurable impact and reporting value like EcoLoop shows.</w:t>
      </w:r>
    </w:p>
    <w:p w:rsidR="003D562E" w:rsidRDefault="003D562E" w:rsidP="003D562E">
      <w:pPr>
        <w:pStyle w:val="Heading3"/>
      </w:pPr>
      <w:bookmarkStart w:id="128" w:name="_heading=h.w6xlx5i1051k" w:colFirst="0" w:colLast="0"/>
      <w:bookmarkStart w:id="129" w:name="_Toc239460944"/>
      <w:bookmarkEnd w:id="128"/>
      <w:r>
        <w:t>9.1.5 Three-to-Five-Year Financial Forecast</w:t>
      </w:r>
      <w:bookmarkEnd w:id="129"/>
    </w:p>
    <w:p w:rsidR="003D562E" w:rsidRDefault="003D562E" w:rsidP="003D562E">
      <w:pPr>
        <w:pStyle w:val="normal0"/>
      </w:pPr>
      <w:r>
        <w:t>The following base-case forecast assumes gradual customer acquisition and increasing service utilisation.</w:t>
      </w:r>
    </w:p>
    <w:p w:rsidR="003D562E" w:rsidRDefault="003D562E" w:rsidP="003D562E">
      <w:pPr>
        <w:pStyle w:val="normal0"/>
        <w:rPr>
          <w:b/>
          <w:bCs/>
        </w:rPr>
      </w:pPr>
      <w:r>
        <w:rPr>
          <w:b/>
          <w:bCs/>
        </w:rPr>
        <w:t>Table 15. Financial Forecast</w:t>
      </w:r>
    </w:p>
    <w:tbl>
      <w:tblPr>
        <w:tblW w:w="9360" w:type="dxa"/>
        <w:tblBorders>
          <w:top w:val="nil"/>
          <w:left w:val="nil"/>
          <w:bottom w:val="nil"/>
          <w:right w:val="nil"/>
          <w:insideH w:val="nil"/>
          <w:insideV w:val="nil"/>
        </w:tblBorders>
        <w:tblLayout w:type="fixed"/>
        <w:tblLook w:val="0600"/>
      </w:tblPr>
      <w:tblGrid>
        <w:gridCol w:w="780"/>
        <w:gridCol w:w="1470"/>
        <w:gridCol w:w="2565"/>
        <w:gridCol w:w="1230"/>
        <w:gridCol w:w="1620"/>
        <w:gridCol w:w="1695"/>
      </w:tblGrid>
      <w:tr w:rsidR="003D562E" w:rsidTr="001E68C1">
        <w:trPr>
          <w:cantSplit/>
          <w:trHeight w:val="800"/>
          <w:tblHeader/>
        </w:trPr>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Year</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Customers</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Avg. annual revenue/customer</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Revenue</w:t>
            </w:r>
          </w:p>
        </w:tc>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Operating costs</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Operating profit</w:t>
            </w:r>
          </w:p>
        </w:tc>
      </w:tr>
      <w:tr w:rsidR="003D562E" w:rsidTr="001E68C1">
        <w:trPr>
          <w:cantSplit/>
          <w:trHeight w:val="515"/>
          <w:tblHeader/>
        </w:trPr>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60</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£4,500</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£270,000</w:t>
            </w:r>
          </w:p>
        </w:tc>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£235,000</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£35,000</w:t>
            </w:r>
          </w:p>
        </w:tc>
      </w:tr>
      <w:tr w:rsidR="003D562E" w:rsidTr="001E68C1">
        <w:trPr>
          <w:cantSplit/>
          <w:trHeight w:val="515"/>
          <w:tblHeader/>
        </w:trPr>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2</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110</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£4,700</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£517,000</w:t>
            </w:r>
          </w:p>
        </w:tc>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£410,000</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£107,000</w:t>
            </w:r>
          </w:p>
        </w:tc>
      </w:tr>
      <w:tr w:rsidR="003D562E" w:rsidTr="001E68C1">
        <w:trPr>
          <w:cantSplit/>
          <w:trHeight w:val="515"/>
          <w:tblHeader/>
        </w:trPr>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3</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175</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£4,900</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£857,500</w:t>
            </w:r>
          </w:p>
        </w:tc>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£650,000</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£207,500</w:t>
            </w:r>
          </w:p>
        </w:tc>
      </w:tr>
      <w:tr w:rsidR="003D562E" w:rsidTr="001E68C1">
        <w:trPr>
          <w:cantSplit/>
          <w:trHeight w:val="515"/>
          <w:tblHeader/>
        </w:trPr>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4</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250</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£5,100</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£1,275,000</w:t>
            </w:r>
          </w:p>
        </w:tc>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£930,000</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£345,000</w:t>
            </w:r>
          </w:p>
        </w:tc>
      </w:tr>
      <w:tr w:rsidR="003D562E" w:rsidTr="001E68C1">
        <w:trPr>
          <w:cantSplit/>
          <w:trHeight w:val="515"/>
          <w:tblHeader/>
        </w:trPr>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5</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340</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£5,300</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£1,802,000</w:t>
            </w:r>
          </w:p>
        </w:tc>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£1,270,000</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£532,000</w:t>
            </w:r>
          </w:p>
        </w:tc>
      </w:tr>
    </w:tbl>
    <w:p w:rsidR="003D562E" w:rsidRDefault="003D562E" w:rsidP="003D562E">
      <w:pPr>
        <w:pStyle w:val="normal0"/>
      </w:pPr>
      <w:r>
        <w:t xml:space="preserve">                                                      Source: Self-Created</w:t>
      </w:r>
    </w:p>
    <w:p w:rsidR="003D562E" w:rsidRDefault="003D562E" w:rsidP="003D562E">
      <w:pPr>
        <w:pStyle w:val="normal0"/>
      </w:pPr>
      <w:r>
        <w:t xml:space="preserve">These numbers are based on assumptions, and not forecasts based on an audited company figure. Based on the model, there is expected to be a 568% increase in income from Years 1 to 5. </w:t>
      </w:r>
      <w:r>
        <w:lastRenderedPageBreak/>
        <w:t>Technology costs and administrative overheads can be spread out among more customers, making the company more profitable.</w:t>
      </w:r>
    </w:p>
    <w:p w:rsidR="003D562E" w:rsidRDefault="003D562E" w:rsidP="003D562E">
      <w:pPr>
        <w:pStyle w:val="Heading3"/>
        <w:keepNext w:val="0"/>
        <w:keepLines w:val="0"/>
      </w:pPr>
      <w:bookmarkStart w:id="130" w:name="_heading=h.5j5fnbx3itjh" w:colFirst="0" w:colLast="0"/>
      <w:bookmarkStart w:id="131" w:name="_Toc239460945"/>
      <w:bookmarkEnd w:id="130"/>
      <w:r>
        <w:t>9.1.6 Break-Even Analysis</w:t>
      </w:r>
      <w:bookmarkEnd w:id="131"/>
    </w:p>
    <w:p w:rsidR="003D562E" w:rsidRDefault="003D562E" w:rsidP="003D562E">
      <w:pPr>
        <w:pStyle w:val="normal0"/>
      </w:pPr>
      <w:r>
        <w:t>Break-even will be about 60 customers (assuming that annual fixed costs are £150,000 and average annual contribution for each customer is £2,500). This is broadly comparable to the target for Year-1 base case. That means Geoff has to be careful not to grow too quickly geographically until Mrs. EcoLoop's bottom line produces some predictable payoff to offset EcoLoop's fixed-cost base.So it's suggested here that Geoff shouldn't continue to grow geographically until there is recurring revenue to pay off his fixed-cost base for EcoLoop.</w:t>
      </w:r>
    </w:p>
    <w:p w:rsidR="003D562E" w:rsidRDefault="003D562E" w:rsidP="003D562E">
      <w:pPr>
        <w:pStyle w:val="Heading3"/>
      </w:pPr>
      <w:bookmarkStart w:id="132" w:name="_heading=h.f7qijiqw1vnj" w:colFirst="0" w:colLast="0"/>
      <w:bookmarkStart w:id="133" w:name="_Toc239460946"/>
      <w:bookmarkEnd w:id="132"/>
      <w:r>
        <w:t>9.1.7 Sensitivity Analysis</w:t>
      </w:r>
      <w:bookmarkEnd w:id="133"/>
    </w:p>
    <w:p w:rsidR="003D562E" w:rsidRDefault="003D562E" w:rsidP="003D562E">
      <w:pPr>
        <w:pStyle w:val="normal0"/>
      </w:pPr>
      <w:r>
        <w:t>Profitability is most sensitive to customer acquisition, retention, average revenue and logistics costs.</w:t>
      </w:r>
    </w:p>
    <w:p w:rsidR="003D562E" w:rsidRDefault="003D562E" w:rsidP="003D562E">
      <w:pPr>
        <w:pStyle w:val="normal0"/>
        <w:rPr>
          <w:b/>
          <w:bCs/>
        </w:rPr>
      </w:pPr>
      <w:r>
        <w:rPr>
          <w:b/>
          <w:bCs/>
        </w:rPr>
        <w:t>Table 16. Sensitivity Analysis</w:t>
      </w:r>
    </w:p>
    <w:tbl>
      <w:tblPr>
        <w:tblW w:w="6410" w:type="dxa"/>
        <w:tblBorders>
          <w:top w:val="nil"/>
          <w:left w:val="nil"/>
          <w:bottom w:val="nil"/>
          <w:right w:val="nil"/>
          <w:insideH w:val="nil"/>
          <w:insideV w:val="nil"/>
        </w:tblBorders>
        <w:tblLayout w:type="fixed"/>
        <w:tblLook w:val="0600"/>
      </w:tblPr>
      <w:tblGrid>
        <w:gridCol w:w="1340"/>
        <w:gridCol w:w="1685"/>
        <w:gridCol w:w="1460"/>
        <w:gridCol w:w="1925"/>
      </w:tblGrid>
      <w:tr w:rsidR="003D562E" w:rsidTr="001E68C1">
        <w:trPr>
          <w:cantSplit/>
          <w:trHeight w:val="515"/>
          <w:tblHeader/>
        </w:trPr>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Scenario</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Customers Y3</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Revenue Y3</w:t>
            </w:r>
          </w:p>
        </w:tc>
        <w:tc>
          <w:tcPr>
            <w:tcW w:w="1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Operating profit</w:t>
            </w:r>
          </w:p>
        </w:tc>
      </w:tr>
      <w:tr w:rsidR="003D562E" w:rsidTr="001E68C1">
        <w:trPr>
          <w:cantSplit/>
          <w:trHeight w:val="515"/>
          <w:tblHeader/>
        </w:trPr>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Best case</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210</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£1.07m</w:t>
            </w:r>
          </w:p>
        </w:tc>
        <w:tc>
          <w:tcPr>
            <w:tcW w:w="1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£300k</w:t>
            </w:r>
          </w:p>
        </w:tc>
      </w:tr>
      <w:tr w:rsidR="003D562E" w:rsidTr="001E68C1">
        <w:trPr>
          <w:cantSplit/>
          <w:trHeight w:val="515"/>
          <w:tblHeader/>
        </w:trPr>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Base case</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175</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£857.5k</w:t>
            </w:r>
          </w:p>
        </w:tc>
        <w:tc>
          <w:tcPr>
            <w:tcW w:w="1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£207.5k</w:t>
            </w:r>
          </w:p>
        </w:tc>
      </w:tr>
      <w:tr w:rsidR="003D562E" w:rsidTr="001E68C1">
        <w:trPr>
          <w:cantSplit/>
          <w:trHeight w:val="515"/>
          <w:tblHeader/>
        </w:trPr>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Worst case</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130</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£637k</w:t>
            </w:r>
          </w:p>
        </w:tc>
        <w:tc>
          <w:tcPr>
            <w:tcW w:w="1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£70k</w:t>
            </w:r>
          </w:p>
        </w:tc>
      </w:tr>
    </w:tbl>
    <w:p w:rsidR="003D562E" w:rsidRDefault="003D562E" w:rsidP="003D562E">
      <w:pPr>
        <w:pStyle w:val="normal0"/>
      </w:pPr>
      <w:r>
        <w:t xml:space="preserve">                               Source: Self-Created</w:t>
      </w:r>
    </w:p>
    <w:p w:rsidR="003D562E" w:rsidRDefault="003D562E" w:rsidP="003D562E">
      <w:pPr>
        <w:pStyle w:val="normal0"/>
      </w:pPr>
      <w:r>
        <w:t>The optimistic scenario is one of quicker acquisition and improved stickiness, whereas the pessimistic scenario is one of slower growth with increased new loan servicing costs. The analysis reveals that customer volume is the biggest profitability driver — but retention is not far behind either, since it means customers won't need to be acquired again as part of a contract outside of one.</w:t>
      </w:r>
    </w:p>
    <w:p w:rsidR="003D562E" w:rsidRDefault="003D562E" w:rsidP="003D562E">
      <w:pPr>
        <w:pStyle w:val="Heading2"/>
        <w:keepNext w:val="0"/>
        <w:keepLines w:val="0"/>
        <w:spacing w:before="480" w:after="120"/>
      </w:pPr>
      <w:bookmarkStart w:id="134" w:name="_heading=h.qgkbziemoa92" w:colFirst="0" w:colLast="0"/>
      <w:bookmarkStart w:id="135" w:name="_Toc239460947"/>
      <w:bookmarkEnd w:id="134"/>
      <w:r>
        <w:lastRenderedPageBreak/>
        <w:t>9.2 Marketing Plan</w:t>
      </w:r>
      <w:bookmarkEnd w:id="135"/>
    </w:p>
    <w:p w:rsidR="003D562E" w:rsidRDefault="003D562E" w:rsidP="003D562E">
      <w:pPr>
        <w:pStyle w:val="Heading3"/>
      </w:pPr>
      <w:bookmarkStart w:id="136" w:name="_heading=h.vsb37g3s18m7" w:colFirst="0" w:colLast="0"/>
      <w:bookmarkStart w:id="137" w:name="_Toc239460948"/>
      <w:bookmarkEnd w:id="136"/>
      <w:r>
        <w:t>9.2.1 SMART Marketing Objectives</w:t>
      </w:r>
      <w:bookmarkEnd w:id="137"/>
    </w:p>
    <w:p w:rsidR="003D562E" w:rsidRDefault="003D562E" w:rsidP="003D562E">
      <w:pPr>
        <w:pStyle w:val="normal0"/>
        <w:rPr>
          <w:b/>
          <w:bCs/>
        </w:rPr>
      </w:pPr>
      <w:r>
        <w:rPr>
          <w:b/>
          <w:bCs/>
        </w:rPr>
        <w:t>Table 17. SMART Objective</w:t>
      </w:r>
    </w:p>
    <w:tbl>
      <w:tblPr>
        <w:tblW w:w="9205" w:type="dxa"/>
        <w:tblBorders>
          <w:top w:val="nil"/>
          <w:left w:val="nil"/>
          <w:bottom w:val="nil"/>
          <w:right w:val="nil"/>
          <w:insideH w:val="nil"/>
          <w:insideV w:val="nil"/>
        </w:tblBorders>
        <w:tblLayout w:type="fixed"/>
        <w:tblLook w:val="0600"/>
      </w:tblPr>
      <w:tblGrid>
        <w:gridCol w:w="2420"/>
        <w:gridCol w:w="6785"/>
      </w:tblGrid>
      <w:tr w:rsidR="003D562E" w:rsidTr="001E68C1">
        <w:trPr>
          <w:cantSplit/>
          <w:trHeight w:val="515"/>
          <w:tblHeader/>
        </w:trPr>
        <w:tc>
          <w:tcPr>
            <w:tcW w:w="2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Objective</w:t>
            </w:r>
          </w:p>
        </w:tc>
        <w:tc>
          <w:tcPr>
            <w:tcW w:w="6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SMART Target</w:t>
            </w:r>
          </w:p>
        </w:tc>
      </w:tr>
      <w:tr w:rsidR="003D562E" w:rsidTr="001E68C1">
        <w:trPr>
          <w:cantSplit/>
          <w:trHeight w:val="515"/>
          <w:tblHeader/>
        </w:trPr>
        <w:tc>
          <w:tcPr>
            <w:tcW w:w="2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Customer acquisition</w:t>
            </w:r>
          </w:p>
        </w:tc>
        <w:tc>
          <w:tcPr>
            <w:tcW w:w="6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 xml:space="preserve">Secure </w:t>
            </w:r>
            <w:r>
              <w:rPr>
                <w:b/>
                <w:bCs/>
              </w:rPr>
              <w:t>20 pilot B2B customers within 6 months</w:t>
            </w:r>
            <w:r>
              <w:t>.</w:t>
            </w:r>
          </w:p>
        </w:tc>
      </w:tr>
      <w:tr w:rsidR="003D562E" w:rsidTr="001E68C1">
        <w:trPr>
          <w:cantSplit/>
          <w:trHeight w:val="515"/>
          <w:tblHeader/>
        </w:trPr>
        <w:tc>
          <w:tcPr>
            <w:tcW w:w="2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Brand awareness</w:t>
            </w:r>
          </w:p>
        </w:tc>
        <w:tc>
          <w:tcPr>
            <w:tcW w:w="6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 xml:space="preserve">Generate </w:t>
            </w:r>
            <w:r>
              <w:rPr>
                <w:b/>
                <w:bCs/>
              </w:rPr>
              <w:t>10,000 targeted LinkedIn impressions within 6 months</w:t>
            </w:r>
            <w:r>
              <w:t>.</w:t>
            </w:r>
          </w:p>
        </w:tc>
      </w:tr>
      <w:tr w:rsidR="003D562E" w:rsidTr="001E68C1">
        <w:trPr>
          <w:cantSplit/>
          <w:trHeight w:val="515"/>
          <w:tblHeader/>
        </w:trPr>
        <w:tc>
          <w:tcPr>
            <w:tcW w:w="2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Lead generation</w:t>
            </w:r>
          </w:p>
        </w:tc>
        <w:tc>
          <w:tcPr>
            <w:tcW w:w="6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 xml:space="preserve">Generate </w:t>
            </w:r>
            <w:r>
              <w:rPr>
                <w:b/>
                <w:bCs/>
              </w:rPr>
              <w:t>150 qualified B2B leads within 12 months</w:t>
            </w:r>
            <w:r>
              <w:t>.</w:t>
            </w:r>
          </w:p>
        </w:tc>
      </w:tr>
      <w:tr w:rsidR="003D562E" w:rsidTr="001E68C1">
        <w:trPr>
          <w:cantSplit/>
          <w:trHeight w:val="515"/>
          <w:tblHeader/>
        </w:trPr>
        <w:tc>
          <w:tcPr>
            <w:tcW w:w="2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Retention</w:t>
            </w:r>
          </w:p>
        </w:tc>
        <w:tc>
          <w:tcPr>
            <w:tcW w:w="6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 xml:space="preserve">Achieve </w:t>
            </w:r>
            <w:r>
              <w:rPr>
                <w:b/>
                <w:bCs/>
              </w:rPr>
              <w:t>85% customer retention by the end of Year 1</w:t>
            </w:r>
            <w:r>
              <w:t>.</w:t>
            </w:r>
          </w:p>
        </w:tc>
      </w:tr>
      <w:tr w:rsidR="003D562E" w:rsidTr="001E68C1">
        <w:trPr>
          <w:cantSplit/>
          <w:trHeight w:val="515"/>
          <w:tblHeader/>
        </w:trPr>
        <w:tc>
          <w:tcPr>
            <w:tcW w:w="2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Revenue</w:t>
            </w:r>
          </w:p>
        </w:tc>
        <w:tc>
          <w:tcPr>
            <w:tcW w:w="6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 xml:space="preserve">Reach </w:t>
            </w:r>
            <w:r>
              <w:rPr>
                <w:b/>
                <w:bCs/>
              </w:rPr>
              <w:t>£15,000 monthly recurring revenue by Month 12</w:t>
            </w:r>
            <w:r>
              <w:t>.</w:t>
            </w:r>
          </w:p>
        </w:tc>
      </w:tr>
    </w:tbl>
    <w:p w:rsidR="003D562E" w:rsidRDefault="003D562E" w:rsidP="003D562E">
      <w:pPr>
        <w:pStyle w:val="normal0"/>
      </w:pPr>
      <w:r>
        <w:t xml:space="preserve">                                                     Source: Self-Created</w:t>
      </w:r>
    </w:p>
    <w:p w:rsidR="003D562E" w:rsidRDefault="003D562E" w:rsidP="003D562E">
      <w:pPr>
        <w:pStyle w:val="Heading3"/>
      </w:pPr>
      <w:bookmarkStart w:id="138" w:name="_heading=h.g5p7143z1wm4" w:colFirst="0" w:colLast="0"/>
      <w:bookmarkStart w:id="139" w:name="_Toc239460949"/>
      <w:bookmarkEnd w:id="138"/>
      <w:r>
        <w:t>9.2.2 Segmentation, Targeting and Positioning</w:t>
      </w:r>
      <w:bookmarkEnd w:id="139"/>
    </w:p>
    <w:p w:rsidR="003D562E" w:rsidRDefault="003D562E" w:rsidP="003D562E">
      <w:pPr>
        <w:pStyle w:val="normal0"/>
        <w:spacing w:before="280" w:after="80"/>
        <w:rPr>
          <w:b/>
          <w:bCs/>
          <w:i/>
          <w:iCs/>
        </w:rPr>
      </w:pPr>
      <w:r>
        <w:rPr>
          <w:b/>
          <w:bCs/>
          <w:i/>
          <w:iCs/>
        </w:rPr>
        <w:t>Segmentation</w:t>
      </w:r>
    </w:p>
    <w:p w:rsidR="003D562E" w:rsidRDefault="003D562E" w:rsidP="003D562E">
      <w:pPr>
        <w:pStyle w:val="normal0"/>
        <w:spacing w:before="280" w:after="80"/>
        <w:rPr>
          <w:b/>
          <w:bCs/>
        </w:rPr>
      </w:pPr>
      <w:r>
        <w:rPr>
          <w:b/>
          <w:bCs/>
        </w:rPr>
        <w:t>Table 18. Segmentation</w:t>
      </w:r>
    </w:p>
    <w:tbl>
      <w:tblPr>
        <w:tblW w:w="8425" w:type="dxa"/>
        <w:tblBorders>
          <w:top w:val="nil"/>
          <w:left w:val="nil"/>
          <w:bottom w:val="nil"/>
          <w:right w:val="nil"/>
          <w:insideH w:val="nil"/>
          <w:insideV w:val="nil"/>
        </w:tblBorders>
        <w:tblLayout w:type="fixed"/>
        <w:tblLook w:val="0600"/>
      </w:tblPr>
      <w:tblGrid>
        <w:gridCol w:w="2825"/>
        <w:gridCol w:w="5600"/>
      </w:tblGrid>
      <w:tr w:rsidR="003D562E" w:rsidTr="001E68C1">
        <w:trPr>
          <w:cantSplit/>
          <w:trHeight w:val="515"/>
          <w:tblHeader/>
        </w:trPr>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Segmentation Factor</w:t>
            </w:r>
          </w:p>
        </w:tc>
        <w:tc>
          <w:tcPr>
            <w:tcW w:w="5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Target Segment</w:t>
            </w:r>
          </w:p>
        </w:tc>
      </w:tr>
      <w:tr w:rsidR="003D562E" w:rsidTr="001E68C1">
        <w:trPr>
          <w:cantSplit/>
          <w:trHeight w:val="515"/>
          <w:tblHeader/>
        </w:trPr>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Business size</w:t>
            </w:r>
          </w:p>
        </w:tc>
        <w:tc>
          <w:tcPr>
            <w:tcW w:w="5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SMEs and medium-sized organisations</w:t>
            </w:r>
          </w:p>
        </w:tc>
      </w:tr>
      <w:tr w:rsidR="003D562E" w:rsidTr="001E68C1">
        <w:trPr>
          <w:cantSplit/>
          <w:trHeight w:val="515"/>
          <w:tblHeader/>
        </w:trPr>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Industry</w:t>
            </w:r>
          </w:p>
        </w:tc>
        <w:tc>
          <w:tcPr>
            <w:tcW w:w="5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Professional services, education, technology and offices</w:t>
            </w:r>
          </w:p>
        </w:tc>
      </w:tr>
      <w:tr w:rsidR="003D562E" w:rsidTr="001E68C1">
        <w:trPr>
          <w:cantSplit/>
          <w:trHeight w:val="515"/>
          <w:tblHeader/>
        </w:trPr>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Office size</w:t>
            </w:r>
          </w:p>
        </w:tc>
        <w:tc>
          <w:tcPr>
            <w:tcW w:w="5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Small-to-large office workplaces</w:t>
            </w:r>
          </w:p>
        </w:tc>
      </w:tr>
      <w:tr w:rsidR="003D562E" w:rsidTr="001E68C1">
        <w:trPr>
          <w:cantSplit/>
          <w:trHeight w:val="515"/>
          <w:tblHeader/>
        </w:trPr>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lastRenderedPageBreak/>
              <w:t>Sustainability commitment</w:t>
            </w:r>
          </w:p>
        </w:tc>
        <w:tc>
          <w:tcPr>
            <w:tcW w:w="5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Medium-to-high sustainability focus</w:t>
            </w:r>
          </w:p>
        </w:tc>
      </w:tr>
      <w:tr w:rsidR="003D562E" w:rsidTr="001E68C1">
        <w:trPr>
          <w:cantSplit/>
          <w:trHeight w:val="515"/>
          <w:tblHeader/>
        </w:trPr>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Waste volume</w:t>
            </w:r>
          </w:p>
        </w:tc>
        <w:tc>
          <w:tcPr>
            <w:tcW w:w="5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Moderate-to-high recyclable office waste</w:t>
            </w:r>
          </w:p>
        </w:tc>
      </w:tr>
    </w:tbl>
    <w:p w:rsidR="003D562E" w:rsidRDefault="003D562E" w:rsidP="003D562E">
      <w:pPr>
        <w:pStyle w:val="normal0"/>
        <w:spacing w:before="280" w:after="80"/>
      </w:pPr>
      <w:r>
        <w:t xml:space="preserve">                                                  Source: Self-Created</w:t>
      </w:r>
    </w:p>
    <w:p w:rsidR="003D562E" w:rsidRDefault="003D562E" w:rsidP="003D562E">
      <w:pPr>
        <w:pStyle w:val="normal0"/>
        <w:spacing w:before="280" w:after="80"/>
        <w:rPr>
          <w:b/>
          <w:bCs/>
          <w:i/>
          <w:iCs/>
        </w:rPr>
      </w:pPr>
      <w:r>
        <w:rPr>
          <w:b/>
          <w:bCs/>
          <w:i/>
          <w:iCs/>
        </w:rPr>
        <w:t>Targeting</w:t>
      </w:r>
    </w:p>
    <w:p w:rsidR="003D562E" w:rsidRDefault="003D562E" w:rsidP="003D562E">
      <w:pPr>
        <w:pStyle w:val="normal0"/>
        <w:rPr>
          <w:b/>
          <w:bCs/>
        </w:rPr>
      </w:pPr>
      <w:r>
        <w:rPr>
          <w:b/>
          <w:bCs/>
        </w:rPr>
        <w:t>Table 19. Targeting</w:t>
      </w:r>
    </w:p>
    <w:sdt>
      <w:sdtPr>
        <w:tag w:val="goog_rdk_16"/>
        <w:id w:val="1634208213"/>
        <w:lock w:val="contentLocked"/>
      </w:sdtPr>
      <w:sdtContent>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3D562E" w:rsidTr="001E68C1">
            <w:trPr>
              <w:cantSplit/>
              <w:tblHeader/>
            </w:trPr>
            <w:tc>
              <w:tcPr>
                <w:tcW w:w="4680" w:type="dxa"/>
                <w:shd w:val="clear" w:color="auto" w:fill="auto"/>
                <w:tcMar>
                  <w:top w:w="100" w:type="dxa"/>
                  <w:left w:w="100" w:type="dxa"/>
                  <w:bottom w:w="100" w:type="dxa"/>
                  <w:right w:w="100" w:type="dxa"/>
                </w:tcMar>
              </w:tcPr>
              <w:p w:rsidR="003D562E" w:rsidRDefault="003D562E" w:rsidP="001E68C1">
                <w:pPr>
                  <w:pStyle w:val="normal0"/>
                  <w:widowControl w:val="0"/>
                  <w:pBdr>
                    <w:top w:val="nil"/>
                    <w:left w:val="nil"/>
                    <w:bottom w:val="nil"/>
                    <w:right w:val="nil"/>
                    <w:between w:val="nil"/>
                  </w:pBdr>
                  <w:spacing w:before="0" w:after="0" w:line="240" w:lineRule="auto"/>
                </w:pPr>
                <w:r>
                  <w:rPr>
                    <w:noProof/>
                  </w:rPr>
                  <w:drawing>
                    <wp:inline distT="114300" distB="114300" distL="114300" distR="114300">
                      <wp:extent cx="2838450" cy="2385814"/>
                      <wp:effectExtent l="0" t="0" r="0" b="0"/>
                      <wp:docPr id="8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b="44089"/>
                              <a:stretch>
                                <a:fillRect/>
                              </a:stretch>
                            </pic:blipFill>
                            <pic:spPr>
                              <a:xfrm>
                                <a:off x="0" y="0"/>
                                <a:ext cx="2838450" cy="2385814"/>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3D562E" w:rsidRDefault="003D562E" w:rsidP="001E68C1">
                <w:pPr>
                  <w:pStyle w:val="normal0"/>
                  <w:widowControl w:val="0"/>
                  <w:pBdr>
                    <w:top w:val="nil"/>
                    <w:left w:val="nil"/>
                    <w:bottom w:val="nil"/>
                    <w:right w:val="nil"/>
                    <w:between w:val="nil"/>
                  </w:pBdr>
                  <w:spacing w:before="0" w:after="0" w:line="240" w:lineRule="auto"/>
                </w:pPr>
                <w:r>
                  <w:t>Alex is an office manager in a growing UK SME. They are responsible for workplace operations and want to make the office more sustainable but currently rely on fragmented waste services with limited reporting.</w:t>
                </w:r>
              </w:p>
            </w:tc>
          </w:tr>
          <w:tr w:rsidR="003D562E" w:rsidTr="001E68C1">
            <w:trPr>
              <w:cantSplit/>
              <w:tblHeader/>
            </w:trPr>
            <w:tc>
              <w:tcPr>
                <w:tcW w:w="4680" w:type="dxa"/>
                <w:shd w:val="clear" w:color="auto" w:fill="auto"/>
                <w:tcMar>
                  <w:top w:w="100" w:type="dxa"/>
                  <w:left w:w="100" w:type="dxa"/>
                  <w:bottom w:w="100" w:type="dxa"/>
                  <w:right w:w="100" w:type="dxa"/>
                </w:tcMar>
              </w:tcPr>
              <w:p w:rsidR="003D562E" w:rsidRDefault="003D562E" w:rsidP="001E68C1">
                <w:pPr>
                  <w:pStyle w:val="normal0"/>
                  <w:widowControl w:val="0"/>
                  <w:pBdr>
                    <w:top w:val="nil"/>
                    <w:left w:val="nil"/>
                    <w:bottom w:val="nil"/>
                    <w:right w:val="nil"/>
                    <w:between w:val="nil"/>
                  </w:pBdr>
                  <w:spacing w:before="0" w:after="0" w:line="240" w:lineRule="auto"/>
                  <w:rPr>
                    <w:b/>
                    <w:bCs/>
                    <w:i/>
                    <w:iCs/>
                  </w:rPr>
                </w:pPr>
                <w:r>
                  <w:rPr>
                    <w:b/>
                    <w:bCs/>
                    <w:i/>
                    <w:iCs/>
                  </w:rPr>
                  <w:t>Demographic</w:t>
                </w:r>
              </w:p>
              <w:p w:rsidR="003D562E" w:rsidRDefault="003D562E" w:rsidP="003D562E">
                <w:pPr>
                  <w:pStyle w:val="normal0"/>
                  <w:widowControl w:val="0"/>
                  <w:numPr>
                    <w:ilvl w:val="0"/>
                    <w:numId w:val="14"/>
                  </w:numPr>
                  <w:pBdr>
                    <w:top w:val="nil"/>
                    <w:left w:val="nil"/>
                    <w:bottom w:val="nil"/>
                    <w:right w:val="nil"/>
                    <w:between w:val="nil"/>
                  </w:pBdr>
                  <w:spacing w:before="0" w:after="0" w:line="240" w:lineRule="auto"/>
                  <w:rPr>
                    <w:b/>
                    <w:bCs/>
                    <w:i/>
                    <w:iCs/>
                  </w:rPr>
                </w:pPr>
                <w:r>
                  <w:rPr>
                    <w:b/>
                    <w:bCs/>
                    <w:i/>
                    <w:iCs/>
                  </w:rPr>
                  <w:t xml:space="preserve">Age: </w:t>
                </w:r>
                <w:r>
                  <w:t>30–45 years old</w:t>
                </w:r>
              </w:p>
              <w:p w:rsidR="003D562E" w:rsidRDefault="003D562E" w:rsidP="003D562E">
                <w:pPr>
                  <w:pStyle w:val="normal0"/>
                  <w:widowControl w:val="0"/>
                  <w:numPr>
                    <w:ilvl w:val="0"/>
                    <w:numId w:val="14"/>
                  </w:numPr>
                  <w:pBdr>
                    <w:top w:val="nil"/>
                    <w:left w:val="nil"/>
                    <w:bottom w:val="nil"/>
                    <w:right w:val="nil"/>
                    <w:between w:val="nil"/>
                  </w:pBdr>
                  <w:spacing w:before="0" w:after="0" w:line="240" w:lineRule="auto"/>
                  <w:rPr>
                    <w:b/>
                    <w:bCs/>
                    <w:i/>
                    <w:iCs/>
                  </w:rPr>
                </w:pPr>
                <w:r>
                  <w:rPr>
                    <w:b/>
                    <w:bCs/>
                    <w:i/>
                    <w:iCs/>
                  </w:rPr>
                  <w:t xml:space="preserve">Sex: </w:t>
                </w:r>
                <w:r>
                  <w:t>Male</w:t>
                </w:r>
              </w:p>
              <w:p w:rsidR="003D562E" w:rsidRDefault="003D562E" w:rsidP="003D562E">
                <w:pPr>
                  <w:pStyle w:val="normal0"/>
                  <w:widowControl w:val="0"/>
                  <w:numPr>
                    <w:ilvl w:val="0"/>
                    <w:numId w:val="14"/>
                  </w:numPr>
                  <w:pBdr>
                    <w:top w:val="nil"/>
                    <w:left w:val="nil"/>
                    <w:bottom w:val="nil"/>
                    <w:right w:val="nil"/>
                    <w:between w:val="nil"/>
                  </w:pBdr>
                  <w:spacing w:before="0" w:after="0" w:line="240" w:lineRule="auto"/>
                  <w:rPr>
                    <w:b/>
                    <w:bCs/>
                    <w:i/>
                    <w:iCs/>
                  </w:rPr>
                </w:pPr>
                <w:r>
                  <w:rPr>
                    <w:b/>
                    <w:bCs/>
                    <w:i/>
                    <w:iCs/>
                  </w:rPr>
                  <w:t xml:space="preserve">Occupation: </w:t>
                </w:r>
                <w:r>
                  <w:t>Office/facilities manager</w:t>
                </w:r>
              </w:p>
              <w:p w:rsidR="003D562E" w:rsidRDefault="003D562E" w:rsidP="003D562E">
                <w:pPr>
                  <w:pStyle w:val="normal0"/>
                  <w:widowControl w:val="0"/>
                  <w:numPr>
                    <w:ilvl w:val="0"/>
                    <w:numId w:val="14"/>
                  </w:numPr>
                  <w:pBdr>
                    <w:top w:val="nil"/>
                    <w:left w:val="nil"/>
                    <w:bottom w:val="nil"/>
                    <w:right w:val="nil"/>
                    <w:between w:val="nil"/>
                  </w:pBdr>
                  <w:spacing w:before="0" w:after="0" w:line="240" w:lineRule="auto"/>
                  <w:rPr>
                    <w:b/>
                    <w:bCs/>
                    <w:i/>
                    <w:iCs/>
                  </w:rPr>
                </w:pPr>
                <w:r>
                  <w:rPr>
                    <w:b/>
                    <w:bCs/>
                    <w:i/>
                    <w:iCs/>
                  </w:rPr>
                  <w:t xml:space="preserve">Income: </w:t>
                </w:r>
                <w:r>
                  <w:t>24,000$</w:t>
                </w:r>
              </w:p>
            </w:tc>
            <w:tc>
              <w:tcPr>
                <w:tcW w:w="4680" w:type="dxa"/>
                <w:shd w:val="clear" w:color="auto" w:fill="auto"/>
                <w:tcMar>
                  <w:top w:w="100" w:type="dxa"/>
                  <w:left w:w="100" w:type="dxa"/>
                  <w:bottom w:w="100" w:type="dxa"/>
                  <w:right w:w="100" w:type="dxa"/>
                </w:tcMar>
              </w:tcPr>
              <w:p w:rsidR="003D562E" w:rsidRDefault="003D562E" w:rsidP="001E68C1">
                <w:pPr>
                  <w:pStyle w:val="normal0"/>
                  <w:widowControl w:val="0"/>
                  <w:pBdr>
                    <w:top w:val="nil"/>
                    <w:left w:val="nil"/>
                    <w:bottom w:val="nil"/>
                    <w:right w:val="nil"/>
                    <w:between w:val="nil"/>
                  </w:pBdr>
                  <w:spacing w:before="0" w:after="0" w:line="240" w:lineRule="auto"/>
                  <w:rPr>
                    <w:b/>
                    <w:bCs/>
                    <w:i/>
                    <w:iCs/>
                  </w:rPr>
                </w:pPr>
                <w:r>
                  <w:rPr>
                    <w:b/>
                    <w:bCs/>
                    <w:i/>
                    <w:iCs/>
                  </w:rPr>
                  <w:t>Needs</w:t>
                </w:r>
              </w:p>
              <w:p w:rsidR="003D562E" w:rsidRDefault="003D562E" w:rsidP="003D562E">
                <w:pPr>
                  <w:pStyle w:val="normal0"/>
                  <w:widowControl w:val="0"/>
                  <w:numPr>
                    <w:ilvl w:val="0"/>
                    <w:numId w:val="12"/>
                  </w:numPr>
                  <w:pBdr>
                    <w:top w:val="nil"/>
                    <w:left w:val="nil"/>
                    <w:bottom w:val="nil"/>
                    <w:right w:val="nil"/>
                    <w:between w:val="nil"/>
                  </w:pBdr>
                  <w:spacing w:before="0" w:after="0" w:line="240" w:lineRule="auto"/>
                </w:pPr>
                <w:r>
                  <w:t>Reliable waste collection, recycling and reuse services, simple supplier management, digital tracking and clear sustainability reports.</w:t>
                </w:r>
              </w:p>
            </w:tc>
          </w:tr>
          <w:tr w:rsidR="003D562E" w:rsidTr="001E68C1">
            <w:trPr>
              <w:cantSplit/>
              <w:tblHeader/>
            </w:trPr>
            <w:tc>
              <w:tcPr>
                <w:tcW w:w="4680" w:type="dxa"/>
                <w:shd w:val="clear" w:color="auto" w:fill="auto"/>
                <w:tcMar>
                  <w:top w:w="100" w:type="dxa"/>
                  <w:left w:w="100" w:type="dxa"/>
                  <w:bottom w:w="100" w:type="dxa"/>
                  <w:right w:w="100" w:type="dxa"/>
                </w:tcMar>
              </w:tcPr>
              <w:p w:rsidR="003D562E" w:rsidRDefault="003D562E" w:rsidP="001E68C1">
                <w:pPr>
                  <w:pStyle w:val="normal0"/>
                  <w:widowControl w:val="0"/>
                  <w:pBdr>
                    <w:top w:val="nil"/>
                    <w:left w:val="nil"/>
                    <w:bottom w:val="nil"/>
                    <w:right w:val="nil"/>
                    <w:between w:val="nil"/>
                  </w:pBdr>
                  <w:spacing w:before="0" w:after="0" w:line="240" w:lineRule="auto"/>
                  <w:rPr>
                    <w:b/>
                    <w:bCs/>
                    <w:i/>
                    <w:iCs/>
                  </w:rPr>
                </w:pPr>
                <w:r>
                  <w:rPr>
                    <w:b/>
                    <w:bCs/>
                    <w:i/>
                    <w:iCs/>
                  </w:rPr>
                  <w:t>Goal</w:t>
                </w:r>
              </w:p>
              <w:p w:rsidR="003D562E" w:rsidRDefault="003D562E" w:rsidP="003D562E">
                <w:pPr>
                  <w:pStyle w:val="normal0"/>
                  <w:widowControl w:val="0"/>
                  <w:numPr>
                    <w:ilvl w:val="0"/>
                    <w:numId w:val="15"/>
                  </w:numPr>
                  <w:pBdr>
                    <w:top w:val="nil"/>
                    <w:left w:val="nil"/>
                    <w:bottom w:val="nil"/>
                    <w:right w:val="nil"/>
                    <w:between w:val="nil"/>
                  </w:pBdr>
                  <w:spacing w:before="0" w:after="0" w:line="240" w:lineRule="auto"/>
                </w:pPr>
                <w:r>
                  <w:t>Reduce office waste, improve resource efficiency and demonstrate measurable sustainability performance without significantly increasing operating costs.</w:t>
                </w:r>
              </w:p>
            </w:tc>
            <w:tc>
              <w:tcPr>
                <w:tcW w:w="4680" w:type="dxa"/>
                <w:shd w:val="clear" w:color="auto" w:fill="auto"/>
                <w:tcMar>
                  <w:top w:w="100" w:type="dxa"/>
                  <w:left w:w="100" w:type="dxa"/>
                  <w:bottom w:w="100" w:type="dxa"/>
                  <w:right w:w="100" w:type="dxa"/>
                </w:tcMar>
              </w:tcPr>
              <w:p w:rsidR="003D562E" w:rsidRDefault="003D562E" w:rsidP="001E68C1">
                <w:pPr>
                  <w:pStyle w:val="normal0"/>
                  <w:widowControl w:val="0"/>
                  <w:pBdr>
                    <w:top w:val="nil"/>
                    <w:left w:val="nil"/>
                    <w:bottom w:val="nil"/>
                    <w:right w:val="nil"/>
                    <w:between w:val="nil"/>
                  </w:pBdr>
                  <w:spacing w:before="0" w:after="0" w:line="240" w:lineRule="auto"/>
                  <w:rPr>
                    <w:b/>
                    <w:bCs/>
                    <w:i/>
                    <w:iCs/>
                  </w:rPr>
                </w:pPr>
                <w:r>
                  <w:rPr>
                    <w:b/>
                    <w:bCs/>
                    <w:i/>
                    <w:iCs/>
                  </w:rPr>
                  <w:t>Motivation</w:t>
                </w:r>
              </w:p>
              <w:p w:rsidR="003D562E" w:rsidRDefault="003D562E" w:rsidP="003D562E">
                <w:pPr>
                  <w:pStyle w:val="normal0"/>
                  <w:widowControl w:val="0"/>
                  <w:numPr>
                    <w:ilvl w:val="0"/>
                    <w:numId w:val="13"/>
                  </w:numPr>
                  <w:pBdr>
                    <w:top w:val="nil"/>
                    <w:left w:val="nil"/>
                    <w:bottom w:val="nil"/>
                    <w:right w:val="nil"/>
                    <w:between w:val="nil"/>
                  </w:pBdr>
                  <w:spacing w:before="0" w:after="0" w:line="240" w:lineRule="auto"/>
                </w:pPr>
                <w:r>
                  <w:t>Growing environmental expectations from employees and management, desire to strengthen organisational sustainability credentials, and the need for convenient and measurable waste management.</w:t>
                </w:r>
              </w:p>
            </w:tc>
          </w:tr>
          <w:tr w:rsidR="003D562E" w:rsidTr="001E68C1">
            <w:trPr>
              <w:cantSplit/>
              <w:trHeight w:val="440"/>
              <w:tblHeader/>
            </w:trPr>
            <w:tc>
              <w:tcPr>
                <w:tcW w:w="9360" w:type="dxa"/>
                <w:gridSpan w:val="2"/>
                <w:shd w:val="clear" w:color="auto" w:fill="auto"/>
                <w:tcMar>
                  <w:top w:w="100" w:type="dxa"/>
                  <w:left w:w="100" w:type="dxa"/>
                  <w:bottom w:w="100" w:type="dxa"/>
                  <w:right w:w="100" w:type="dxa"/>
                </w:tcMar>
              </w:tcPr>
              <w:p w:rsidR="003D562E" w:rsidRDefault="003D562E" w:rsidP="001E68C1">
                <w:pPr>
                  <w:pStyle w:val="normal0"/>
                  <w:widowControl w:val="0"/>
                  <w:pBdr>
                    <w:top w:val="nil"/>
                    <w:left w:val="nil"/>
                    <w:bottom w:val="nil"/>
                    <w:right w:val="nil"/>
                    <w:between w:val="nil"/>
                  </w:pBdr>
                  <w:spacing w:before="0" w:after="0" w:line="240" w:lineRule="auto"/>
                  <w:rPr>
                    <w:b/>
                    <w:bCs/>
                    <w:i/>
                    <w:iCs/>
                  </w:rPr>
                </w:pPr>
                <w:r>
                  <w:rPr>
                    <w:b/>
                    <w:bCs/>
                    <w:i/>
                    <w:iCs/>
                  </w:rPr>
                  <w:lastRenderedPageBreak/>
                  <w:t>Pain Points</w:t>
                </w:r>
              </w:p>
              <w:p w:rsidR="003D562E" w:rsidRDefault="003D562E" w:rsidP="003D562E">
                <w:pPr>
                  <w:pStyle w:val="normal0"/>
                  <w:widowControl w:val="0"/>
                  <w:numPr>
                    <w:ilvl w:val="0"/>
                    <w:numId w:val="16"/>
                  </w:numPr>
                  <w:pBdr>
                    <w:top w:val="nil"/>
                    <w:left w:val="nil"/>
                    <w:bottom w:val="nil"/>
                    <w:right w:val="nil"/>
                    <w:between w:val="nil"/>
                  </w:pBdr>
                  <w:spacing w:before="0" w:after="0" w:line="240" w:lineRule="auto"/>
                </w:pPr>
                <w:r>
                  <w:t>Limited time and expertise, fragmented suppliers, unclear recycling outcomes, administrative workload, inconsistent collection services and difficulty demonstrating the organisation’s environmental impact.</w:t>
                </w:r>
              </w:p>
            </w:tc>
          </w:tr>
        </w:tbl>
      </w:sdtContent>
    </w:sdt>
    <w:p w:rsidR="003D562E" w:rsidRDefault="003D562E" w:rsidP="003D562E">
      <w:pPr>
        <w:pStyle w:val="normal0"/>
        <w:spacing w:before="280" w:after="80"/>
      </w:pPr>
      <w:r>
        <w:t xml:space="preserve">                                                          Source: Self-Created</w:t>
      </w:r>
    </w:p>
    <w:p w:rsidR="003D562E" w:rsidRDefault="003D562E" w:rsidP="003D562E">
      <w:pPr>
        <w:pStyle w:val="normal0"/>
        <w:spacing w:before="280" w:after="80"/>
        <w:rPr>
          <w:b/>
          <w:bCs/>
          <w:i/>
          <w:iCs/>
        </w:rPr>
      </w:pPr>
      <w:r>
        <w:rPr>
          <w:b/>
          <w:bCs/>
          <w:i/>
          <w:iCs/>
        </w:rPr>
        <w:t>Positioning</w:t>
      </w:r>
    </w:p>
    <w:p w:rsidR="003D562E" w:rsidRDefault="003D562E" w:rsidP="003D562E">
      <w:pPr>
        <w:pStyle w:val="normal0"/>
        <w:spacing w:before="280" w:after="80"/>
        <w:rPr>
          <w:b/>
          <w:bCs/>
          <w:i/>
          <w:iCs/>
        </w:rPr>
      </w:pPr>
      <w:r>
        <w:rPr>
          <w:b/>
          <w:bCs/>
          <w:i/>
          <w:iCs/>
        </w:rPr>
        <w:t>Figure 8. Positioning Map</w:t>
      </w:r>
    </w:p>
    <w:p w:rsidR="003D562E" w:rsidRDefault="003D562E" w:rsidP="003D562E">
      <w:pPr>
        <w:pStyle w:val="normal0"/>
        <w:spacing w:before="280" w:after="80"/>
        <w:jc w:val="center"/>
      </w:pPr>
      <w:r>
        <w:rPr>
          <w:noProof/>
        </w:rPr>
        <w:drawing>
          <wp:inline distT="114300" distB="114300" distL="114300" distR="114300">
            <wp:extent cx="5943600" cy="3962400"/>
            <wp:effectExtent l="25400" t="25400" r="25400" b="25400"/>
            <wp:docPr id="8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cstate="print"/>
                    <a:srcRect/>
                    <a:stretch>
                      <a:fillRect/>
                    </a:stretch>
                  </pic:blipFill>
                  <pic:spPr>
                    <a:xfrm>
                      <a:off x="0" y="0"/>
                      <a:ext cx="5943600" cy="3962400"/>
                    </a:xfrm>
                    <a:prstGeom prst="rect">
                      <a:avLst/>
                    </a:prstGeom>
                    <a:ln w="25400">
                      <a:solidFill>
                        <a:srgbClr val="000000"/>
                      </a:solidFill>
                      <a:prstDash val="solid"/>
                    </a:ln>
                  </pic:spPr>
                </pic:pic>
              </a:graphicData>
            </a:graphic>
          </wp:inline>
        </w:drawing>
      </w:r>
    </w:p>
    <w:p w:rsidR="003D562E" w:rsidRDefault="003D562E" w:rsidP="003D562E">
      <w:pPr>
        <w:pStyle w:val="normal0"/>
      </w:pPr>
      <w:r>
        <w:t xml:space="preserve">                                                       Source: Self-Created</w:t>
      </w:r>
    </w:p>
    <w:p w:rsidR="003D562E" w:rsidRDefault="003D562E" w:rsidP="003D562E">
      <w:pPr>
        <w:pStyle w:val="normal0"/>
      </w:pPr>
      <w:r>
        <w:t xml:space="preserve">The three major competitors that EcoLoop Office will have to compete with are Biffa, who offers a large area of national coverage and established commercial waste services (Biffa, 2019), Veolia, which provides all these services with resources, waste collection, recycling and the environment (Veolia, 2023), and Grundon with commercial waste services, waste collection, </w:t>
      </w:r>
      <w:r>
        <w:lastRenderedPageBreak/>
        <w:t>recycling and environment services (Grundon, 2026). By contrast, EcoLoop Office ought to be in a niche, high sustainability and digitally-connected location, geared towards SMEs and medium-sized offices (Binyaseen, 2024). The differentiation of its products should be based on circular-office services, tracking of digital waste, reuse, recycling and measurable sustainability reporting.</w:t>
      </w:r>
    </w:p>
    <w:p w:rsidR="003D562E" w:rsidRDefault="003D562E" w:rsidP="003D562E">
      <w:pPr>
        <w:pStyle w:val="Heading2"/>
      </w:pPr>
      <w:bookmarkStart w:id="140" w:name="_heading=h.ek3cpp3jwhjt" w:colFirst="0" w:colLast="0"/>
      <w:bookmarkStart w:id="141" w:name="_Toc239460950"/>
      <w:bookmarkEnd w:id="140"/>
      <w:r>
        <w:t>9.2.3 Marketing Mix</w:t>
      </w:r>
      <w:bookmarkEnd w:id="141"/>
    </w:p>
    <w:p w:rsidR="003D562E" w:rsidRDefault="003D562E" w:rsidP="003D562E">
      <w:pPr>
        <w:pStyle w:val="normal0"/>
        <w:spacing w:before="280" w:after="80"/>
        <w:rPr>
          <w:b/>
          <w:bCs/>
          <w:i/>
          <w:iCs/>
        </w:rPr>
      </w:pPr>
      <w:r>
        <w:rPr>
          <w:b/>
          <w:bCs/>
          <w:i/>
          <w:iCs/>
        </w:rPr>
        <w:t>Product</w:t>
      </w:r>
    </w:p>
    <w:p w:rsidR="003D562E" w:rsidRDefault="003D562E" w:rsidP="003D562E">
      <w:pPr>
        <w:pStyle w:val="normal0"/>
      </w:pPr>
      <w:r>
        <w:t>The solution will provide a circular, integrated office-management service through collection, reuse, recycling, digital tracking and sustainability reporting by the company EcoLoop Office. A significant market in the UK for the proposition exists, with 5.69 million (99.93%) of the population engaged in private business activity, of those 5.68 million were SMEs, however EcoLoop should focus on recruitment of SMEs and not the high number of non-employers (Merchant Savvy, 2022). By representing 60% of employment in the UK's private sector, and 51% of total turnover (Government of UK, 2026a), SMEs are of commercial significance. Therefore, the sole thing to look for in the product is focus on convenience that is measurable, not only recycling alone.</w:t>
      </w:r>
    </w:p>
    <w:p w:rsidR="003D562E" w:rsidRDefault="003D562E" w:rsidP="003D562E">
      <w:pPr>
        <w:pStyle w:val="normal0"/>
        <w:spacing w:before="280" w:after="80"/>
        <w:rPr>
          <w:b/>
          <w:bCs/>
          <w:i/>
          <w:iCs/>
        </w:rPr>
      </w:pPr>
      <w:r>
        <w:rPr>
          <w:b/>
          <w:bCs/>
          <w:i/>
          <w:iCs/>
        </w:rPr>
        <w:t>Price</w:t>
      </w:r>
    </w:p>
    <w:p w:rsidR="003D562E" w:rsidRDefault="003D562E" w:rsidP="003D562E">
      <w:pPr>
        <w:pStyle w:val="normal0"/>
      </w:pPr>
      <w:r>
        <w:t>Value added pricing is suitable because customers are not just buying waste collection, but a convenience service, reporting and measurable sustainability products (Netseva-Porcheva, 2011). Initial pricing during the pilot should lower the switching costs, and (long-term) prices should be based on the contribution margin.</w:t>
      </w:r>
    </w:p>
    <w:p w:rsidR="003D562E" w:rsidRDefault="003D562E" w:rsidP="003D562E">
      <w:pPr>
        <w:pStyle w:val="normal0"/>
        <w:spacing w:before="280" w:after="80"/>
        <w:rPr>
          <w:b/>
          <w:bCs/>
          <w:i/>
          <w:iCs/>
        </w:rPr>
      </w:pPr>
      <w:r>
        <w:rPr>
          <w:b/>
          <w:bCs/>
          <w:i/>
          <w:iCs/>
        </w:rPr>
        <w:t>Place</w:t>
      </w:r>
    </w:p>
    <w:p w:rsidR="003D562E" w:rsidRDefault="003D562E" w:rsidP="003D562E">
      <w:pPr>
        <w:pStyle w:val="normal0"/>
      </w:pPr>
      <w:r>
        <w:t>Distribution will be via direct B2B sales and digital channels such as website, LinkedIn and email. There was an attractive starting point pool of businesses available with a professional, scientific and technical focused sector accounting for 15.3% of registered businesses in the United Kingdom in 2025 (OECD 2025).</w:t>
      </w:r>
    </w:p>
    <w:p w:rsidR="003D562E" w:rsidRDefault="003D562E" w:rsidP="003D562E">
      <w:pPr>
        <w:pStyle w:val="normal0"/>
        <w:spacing w:before="280" w:after="80"/>
        <w:rPr>
          <w:b/>
          <w:bCs/>
          <w:i/>
          <w:iCs/>
        </w:rPr>
      </w:pPr>
      <w:r>
        <w:rPr>
          <w:b/>
          <w:bCs/>
          <w:i/>
          <w:iCs/>
        </w:rPr>
        <w:lastRenderedPageBreak/>
        <w:t>Promotion</w:t>
      </w:r>
    </w:p>
    <w:p w:rsidR="003D562E" w:rsidRDefault="003D562E" w:rsidP="003D562E">
      <w:pPr>
        <w:pStyle w:val="normal0"/>
      </w:pPr>
      <w:r>
        <w:t xml:space="preserve">LinkedIn, SEO, email marketing, sustainability case studies, events, partnerships and referrals will be used to promote. There is a need for evidence-based communication: 83% of businesses did not take any environmental-protection measure in late 2024, reflecting a challenge of engagement and a need to get the business value of EcoLoop across effectively (Fredriksson </w:t>
      </w:r>
      <w:r>
        <w:rPr>
          <w:i/>
          <w:iCs/>
        </w:rPr>
        <w:t>et al</w:t>
      </w:r>
      <w:r>
        <w:t>., 2026).</w:t>
      </w:r>
    </w:p>
    <w:p w:rsidR="003D562E" w:rsidRDefault="003D562E" w:rsidP="003D562E">
      <w:pPr>
        <w:pStyle w:val="Heading3"/>
        <w:keepNext w:val="0"/>
        <w:keepLines w:val="0"/>
      </w:pPr>
      <w:bookmarkStart w:id="142" w:name="_heading=h.6f7cn88km9qf" w:colFirst="0" w:colLast="0"/>
      <w:bookmarkStart w:id="143" w:name="_Toc239460951"/>
      <w:bookmarkEnd w:id="142"/>
      <w:r>
        <w:t>9.2.4 Customer Acquisition Funnel</w:t>
      </w:r>
      <w:bookmarkEnd w:id="143"/>
    </w:p>
    <w:p w:rsidR="003D562E" w:rsidRDefault="003D562E" w:rsidP="003D562E">
      <w:pPr>
        <w:pStyle w:val="normal0"/>
        <w:rPr>
          <w:b/>
          <w:bCs/>
        </w:rPr>
      </w:pPr>
      <w:r>
        <w:rPr>
          <w:b/>
          <w:bCs/>
        </w:rPr>
        <w:t>Table 20. Customer Acquisition Funnel</w:t>
      </w:r>
    </w:p>
    <w:tbl>
      <w:tblPr>
        <w:tblW w:w="9225" w:type="dxa"/>
        <w:tblBorders>
          <w:top w:val="nil"/>
          <w:left w:val="nil"/>
          <w:bottom w:val="nil"/>
          <w:right w:val="nil"/>
          <w:insideH w:val="nil"/>
          <w:insideV w:val="nil"/>
        </w:tblBorders>
        <w:tblLayout w:type="fixed"/>
        <w:tblLook w:val="0600"/>
      </w:tblPr>
      <w:tblGrid>
        <w:gridCol w:w="1860"/>
        <w:gridCol w:w="7365"/>
      </w:tblGrid>
      <w:tr w:rsidR="003D562E" w:rsidTr="001E68C1">
        <w:trPr>
          <w:cantSplit/>
          <w:trHeight w:val="515"/>
          <w:tblHeader/>
        </w:trPr>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rPr>
                <w:i/>
                <w:iCs/>
              </w:rPr>
            </w:pPr>
            <w:r>
              <w:rPr>
                <w:b/>
                <w:bCs/>
                <w:i/>
                <w:iCs/>
              </w:rPr>
              <w:t>Stage</w:t>
            </w:r>
          </w:p>
        </w:tc>
        <w:tc>
          <w:tcPr>
            <w:tcW w:w="7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rPr>
                <w:i/>
                <w:iCs/>
              </w:rPr>
            </w:pPr>
            <w:r>
              <w:rPr>
                <w:b/>
                <w:bCs/>
                <w:i/>
                <w:iCs/>
              </w:rPr>
              <w:t>Critical Role and KPI</w:t>
            </w:r>
          </w:p>
        </w:tc>
      </w:tr>
      <w:tr w:rsidR="003D562E" w:rsidTr="001E68C1">
        <w:trPr>
          <w:cantSplit/>
          <w:trHeight w:val="800"/>
          <w:tblHeader/>
        </w:trPr>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rPr>
                <w:i/>
                <w:iCs/>
              </w:rPr>
            </w:pPr>
            <w:r>
              <w:rPr>
                <w:b/>
                <w:bCs/>
                <w:i/>
                <w:iCs/>
              </w:rPr>
              <w:t>Awareness</w:t>
            </w:r>
          </w:p>
        </w:tc>
        <w:tc>
          <w:tcPr>
            <w:tcW w:w="7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LinkedIn, SEO and partnerships introduce EcoLoop to targeted B2B prospects.</w:t>
            </w:r>
          </w:p>
        </w:tc>
      </w:tr>
      <w:tr w:rsidR="003D562E" w:rsidTr="001E68C1">
        <w:trPr>
          <w:cantSplit/>
          <w:trHeight w:val="800"/>
          <w:tblHeader/>
        </w:trPr>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rPr>
                <w:b/>
                <w:bCs/>
                <w:i/>
                <w:iCs/>
              </w:rPr>
            </w:pPr>
            <w:r>
              <w:rPr>
                <w:b/>
                <w:bCs/>
                <w:i/>
                <w:iCs/>
              </w:rPr>
              <w:t>Engagement</w:t>
            </w:r>
          </w:p>
        </w:tc>
        <w:tc>
          <w:tcPr>
            <w:tcW w:w="7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 xml:space="preserve">Website visits and content establish credibility; </w:t>
            </w:r>
            <w:r>
              <w:rPr>
                <w:b/>
                <w:bCs/>
              </w:rPr>
              <w:t>78% of UK businesses had a website in 2025–26</w:t>
            </w:r>
            <w:r>
              <w:t xml:space="preserve">, supporting digital discovery (Pratt, 2025). </w:t>
            </w:r>
          </w:p>
        </w:tc>
      </w:tr>
      <w:tr w:rsidR="003D562E" w:rsidTr="001E68C1">
        <w:trPr>
          <w:cantSplit/>
          <w:trHeight w:val="800"/>
          <w:tblHeader/>
        </w:trPr>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rPr>
                <w:i/>
                <w:iCs/>
              </w:rPr>
            </w:pPr>
            <w:r>
              <w:rPr>
                <w:b/>
                <w:bCs/>
                <w:i/>
                <w:iCs/>
              </w:rPr>
              <w:t>Assessment</w:t>
            </w:r>
          </w:p>
        </w:tc>
        <w:tc>
          <w:tcPr>
            <w:tcW w:w="7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A free sustainability assessment converts interest into a qualified business need.</w:t>
            </w:r>
          </w:p>
        </w:tc>
      </w:tr>
      <w:tr w:rsidR="003D562E" w:rsidTr="001E68C1">
        <w:trPr>
          <w:cantSplit/>
          <w:trHeight w:val="515"/>
          <w:tblHeader/>
        </w:trPr>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rPr>
                <w:i/>
                <w:iCs/>
              </w:rPr>
            </w:pPr>
            <w:r>
              <w:rPr>
                <w:b/>
                <w:bCs/>
                <w:i/>
                <w:iCs/>
              </w:rPr>
              <w:t>Proposal</w:t>
            </w:r>
          </w:p>
        </w:tc>
        <w:tc>
          <w:tcPr>
            <w:tcW w:w="7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Tailored pricing demonstrates financial and environmental value.</w:t>
            </w:r>
          </w:p>
        </w:tc>
      </w:tr>
      <w:tr w:rsidR="003D562E" w:rsidTr="001E68C1">
        <w:trPr>
          <w:cantSplit/>
          <w:trHeight w:val="515"/>
          <w:tblHeader/>
        </w:trPr>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rPr>
                <w:i/>
                <w:iCs/>
              </w:rPr>
            </w:pPr>
            <w:r>
              <w:rPr>
                <w:b/>
                <w:bCs/>
                <w:i/>
                <w:iCs/>
              </w:rPr>
              <w:t>Pilot</w:t>
            </w:r>
          </w:p>
        </w:tc>
        <w:tc>
          <w:tcPr>
            <w:tcW w:w="7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Low-risk trials reduce switching uncertainty and validate service quality.</w:t>
            </w:r>
          </w:p>
        </w:tc>
      </w:tr>
      <w:tr w:rsidR="003D562E" w:rsidTr="001E68C1">
        <w:trPr>
          <w:cantSplit/>
          <w:trHeight w:val="515"/>
          <w:tblHeader/>
        </w:trPr>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rPr>
                <w:i/>
                <w:iCs/>
              </w:rPr>
            </w:pPr>
            <w:r>
              <w:rPr>
                <w:b/>
                <w:bCs/>
                <w:i/>
                <w:iCs/>
              </w:rPr>
              <w:t>Subscription</w:t>
            </w:r>
          </w:p>
        </w:tc>
        <w:tc>
          <w:tcPr>
            <w:tcW w:w="7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Successful pilots convert into recurring contracts.</w:t>
            </w:r>
          </w:p>
        </w:tc>
      </w:tr>
      <w:tr w:rsidR="003D562E" w:rsidTr="001E68C1">
        <w:trPr>
          <w:cantSplit/>
          <w:trHeight w:val="515"/>
          <w:tblHeader/>
        </w:trPr>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rPr>
                <w:i/>
                <w:iCs/>
              </w:rPr>
            </w:pPr>
            <w:r>
              <w:rPr>
                <w:b/>
                <w:bCs/>
                <w:i/>
                <w:iCs/>
              </w:rPr>
              <w:t>Retention</w:t>
            </w:r>
          </w:p>
        </w:tc>
        <w:tc>
          <w:tcPr>
            <w:tcW w:w="7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Reporting and account management protect recurring revenue.</w:t>
            </w:r>
          </w:p>
        </w:tc>
      </w:tr>
      <w:tr w:rsidR="003D562E" w:rsidTr="001E68C1">
        <w:trPr>
          <w:cantSplit/>
          <w:trHeight w:val="515"/>
          <w:tblHeader/>
        </w:trPr>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rPr>
                <w:i/>
                <w:iCs/>
              </w:rPr>
            </w:pPr>
            <w:r>
              <w:rPr>
                <w:b/>
                <w:bCs/>
                <w:i/>
                <w:iCs/>
              </w:rPr>
              <w:t>Referral</w:t>
            </w:r>
          </w:p>
        </w:tc>
        <w:tc>
          <w:tcPr>
            <w:tcW w:w="7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pPr>
            <w:r>
              <w:t>Satisfied customers generate lower-cost leads and strengthen credibility.</w:t>
            </w:r>
          </w:p>
        </w:tc>
      </w:tr>
    </w:tbl>
    <w:p w:rsidR="003D562E" w:rsidRDefault="003D562E" w:rsidP="003D562E">
      <w:pPr>
        <w:pStyle w:val="normal0"/>
      </w:pPr>
      <w:r>
        <w:t xml:space="preserve">                                                      Source: Self-Created</w:t>
      </w:r>
    </w:p>
    <w:p w:rsidR="003D562E" w:rsidRDefault="003D562E" w:rsidP="003D562E">
      <w:pPr>
        <w:pStyle w:val="normal0"/>
      </w:pPr>
      <w:r>
        <w:lastRenderedPageBreak/>
        <w:t xml:space="preserve">This funnel is appropriate because </w:t>
      </w:r>
      <w:r>
        <w:rPr>
          <w:b/>
          <w:bCs/>
        </w:rPr>
        <w:t>69% of SME employers used technology/web-based software in 2024</w:t>
      </w:r>
      <w:r>
        <w:t xml:space="preserve">, indicating substantial digital readiness among the target market (Sharabati </w:t>
      </w:r>
      <w:r>
        <w:rPr>
          <w:i/>
          <w:iCs/>
        </w:rPr>
        <w:t>et al</w:t>
      </w:r>
      <w:r>
        <w:t xml:space="preserve">., 2024). </w:t>
      </w:r>
    </w:p>
    <w:p w:rsidR="003D562E" w:rsidRDefault="003D562E" w:rsidP="003D562E">
      <w:pPr>
        <w:pStyle w:val="Heading3"/>
      </w:pPr>
      <w:bookmarkStart w:id="144" w:name="_heading=h.i2u25vj57cd0" w:colFirst="0" w:colLast="0"/>
      <w:bookmarkStart w:id="145" w:name="_Toc239460952"/>
      <w:bookmarkEnd w:id="144"/>
      <w:r>
        <w:t>9.2.5 Marketing Budget and KPIs</w:t>
      </w:r>
      <w:bookmarkEnd w:id="145"/>
    </w:p>
    <w:p w:rsidR="003D562E" w:rsidRDefault="003D562E" w:rsidP="003D562E">
      <w:pPr>
        <w:pStyle w:val="normal0"/>
      </w:pPr>
      <w:r>
        <w:t xml:space="preserve">EcoLoop Office needs to be allocated an initial marketing spend of £7,000, with a focus on measurable B to B marketing or acquisition rather than blanket marketing awareness spend. </w:t>
      </w:r>
    </w:p>
    <w:p w:rsidR="003D562E" w:rsidRDefault="003D562E" w:rsidP="003D562E">
      <w:pPr>
        <w:pStyle w:val="normal0"/>
        <w:rPr>
          <w:b/>
          <w:bCs/>
        </w:rPr>
      </w:pPr>
      <w:r>
        <w:rPr>
          <w:b/>
          <w:bCs/>
        </w:rPr>
        <w:t>Table 21. Marketing Budget</w:t>
      </w:r>
    </w:p>
    <w:tbl>
      <w:tblPr>
        <w:tblW w:w="4675" w:type="dxa"/>
        <w:tblInd w:w="1724" w:type="dxa"/>
        <w:tblBorders>
          <w:top w:val="nil"/>
          <w:left w:val="nil"/>
          <w:bottom w:val="nil"/>
          <w:right w:val="nil"/>
          <w:insideH w:val="nil"/>
          <w:insideV w:val="nil"/>
        </w:tblBorders>
        <w:tblLayout w:type="fixed"/>
        <w:tblLook w:val="0600"/>
      </w:tblPr>
      <w:tblGrid>
        <w:gridCol w:w="3050"/>
        <w:gridCol w:w="1625"/>
      </w:tblGrid>
      <w:tr w:rsidR="003D562E" w:rsidTr="003D562E">
        <w:trPr>
          <w:cantSplit/>
          <w:trHeight w:val="515"/>
          <w:tblHead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KPI</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Year-1 Target</w:t>
            </w:r>
          </w:p>
        </w:tc>
      </w:tr>
      <w:tr w:rsidR="003D562E" w:rsidTr="003D562E">
        <w:trPr>
          <w:cantSplit/>
          <w:trHeight w:val="515"/>
          <w:tblHead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Qualified leads</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150</w:t>
            </w:r>
          </w:p>
        </w:tc>
      </w:tr>
      <w:tr w:rsidR="003D562E" w:rsidTr="003D562E">
        <w:trPr>
          <w:cantSplit/>
          <w:trHeight w:val="515"/>
          <w:tblHead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Cost per lead</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sdt>
              <w:sdtPr>
                <w:tag w:val="goog_rdk_17"/>
                <w:id w:val="1721742007"/>
              </w:sdtPr>
              <w:sdtContent>
                <w:r>
                  <w:rPr>
                    <w:rFonts w:ascii="Arial Unicode MS" w:eastAsia="Arial Unicode MS" w:hAnsi="Arial Unicode MS" w:cs="Arial Unicode MS"/>
                  </w:rPr>
                  <w:t>≤ £47</w:t>
                </w:r>
              </w:sdtContent>
            </w:sdt>
          </w:p>
        </w:tc>
      </w:tr>
      <w:tr w:rsidR="003D562E" w:rsidTr="003D562E">
        <w:trPr>
          <w:cantSplit/>
          <w:trHeight w:val="515"/>
          <w:tblHead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Lead-to-customer conversion</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sdt>
              <w:sdtPr>
                <w:tag w:val="goog_rdk_18"/>
                <w:id w:val="-1123147798"/>
              </w:sdtPr>
              <w:sdtContent>
                <w:r>
                  <w:rPr>
                    <w:rFonts w:ascii="Arial Unicode MS" w:eastAsia="Arial Unicode MS" w:hAnsi="Arial Unicode MS" w:cs="Arial Unicode MS"/>
                  </w:rPr>
                  <w:t>≥ 13%</w:t>
                </w:r>
              </w:sdtContent>
            </w:sdt>
          </w:p>
        </w:tc>
      </w:tr>
      <w:tr w:rsidR="003D562E" w:rsidTr="003D562E">
        <w:trPr>
          <w:cantSplit/>
          <w:trHeight w:val="515"/>
          <w:tblHead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Customer acquisition cost</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sdt>
              <w:sdtPr>
                <w:tag w:val="goog_rdk_19"/>
                <w:id w:val="1118027330"/>
              </w:sdtPr>
              <w:sdtContent>
                <w:r>
                  <w:rPr>
                    <w:rFonts w:ascii="Arial Unicode MS" w:eastAsia="Arial Unicode MS" w:hAnsi="Arial Unicode MS" w:cs="Arial Unicode MS"/>
                  </w:rPr>
                  <w:t>≤ £360</w:t>
                </w:r>
              </w:sdtContent>
            </w:sdt>
          </w:p>
        </w:tc>
      </w:tr>
      <w:tr w:rsidR="003D562E" w:rsidTr="003D562E">
        <w:trPr>
          <w:cantSplit/>
          <w:trHeight w:val="515"/>
          <w:tblHead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Website traffic</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10,000 visits</w:t>
            </w:r>
          </w:p>
        </w:tc>
      </w:tr>
      <w:tr w:rsidR="003D562E" w:rsidTr="003D562E">
        <w:trPr>
          <w:cantSplit/>
          <w:trHeight w:val="515"/>
          <w:tblHead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Customer retention</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sdt>
              <w:sdtPr>
                <w:tag w:val="goog_rdk_20"/>
                <w:id w:val="287322739"/>
              </w:sdtPr>
              <w:sdtContent>
                <w:r>
                  <w:rPr>
                    <w:rFonts w:ascii="Arial Unicode MS" w:eastAsia="Arial Unicode MS" w:hAnsi="Arial Unicode MS" w:cs="Arial Unicode MS"/>
                  </w:rPr>
                  <w:t>≥ 85%</w:t>
                </w:r>
              </w:sdtContent>
            </w:sdt>
          </w:p>
        </w:tc>
      </w:tr>
      <w:tr w:rsidR="003D562E" w:rsidTr="003D562E">
        <w:trPr>
          <w:cantSplit/>
          <w:trHeight w:val="515"/>
          <w:tblHead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Referral rate</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sdt>
              <w:sdtPr>
                <w:tag w:val="goog_rdk_21"/>
                <w:id w:val="-1918806637"/>
              </w:sdtPr>
              <w:sdtContent>
                <w:r>
                  <w:rPr>
                    <w:rFonts w:ascii="Arial Unicode MS" w:eastAsia="Arial Unicode MS" w:hAnsi="Arial Unicode MS" w:cs="Arial Unicode MS"/>
                  </w:rPr>
                  <w:t>≥ 15%</w:t>
                </w:r>
              </w:sdtContent>
            </w:sdt>
          </w:p>
        </w:tc>
      </w:tr>
    </w:tbl>
    <w:p w:rsidR="003D562E" w:rsidRDefault="003D562E" w:rsidP="003D562E">
      <w:pPr>
        <w:pStyle w:val="normal0"/>
      </w:pPr>
      <w:r>
        <w:t xml:space="preserve">                                            Source: Self-Created</w:t>
      </w:r>
    </w:p>
    <w:p w:rsidR="003D562E" w:rsidRDefault="003D562E" w:rsidP="003D562E">
      <w:pPr>
        <w:pStyle w:val="normal0"/>
      </w:pPr>
      <w:r>
        <w:t>These KPIs help to measure the marketing spend on commercial results, including acquisition cost, conversions and retention, instead of vanity metrics such as impressions.</w:t>
      </w:r>
    </w:p>
    <w:p w:rsidR="003D562E" w:rsidRDefault="003D562E" w:rsidP="003D562E">
      <w:pPr>
        <w:pStyle w:val="Heading2"/>
      </w:pPr>
      <w:bookmarkStart w:id="146" w:name="_heading=h.ok4ty0e6h6dy" w:colFirst="0" w:colLast="0"/>
      <w:bookmarkStart w:id="147" w:name="_Toc239460953"/>
      <w:bookmarkEnd w:id="146"/>
      <w:r>
        <w:lastRenderedPageBreak/>
        <w:t>9.3 Human Capital Management Plan</w:t>
      </w:r>
      <w:bookmarkEnd w:id="147"/>
    </w:p>
    <w:p w:rsidR="003D562E" w:rsidRDefault="003D562E" w:rsidP="003D562E">
      <w:pPr>
        <w:pStyle w:val="Heading3"/>
      </w:pPr>
      <w:bookmarkStart w:id="148" w:name="_heading=h.u4yi4eoxs7kj" w:colFirst="0" w:colLast="0"/>
      <w:bookmarkStart w:id="149" w:name="_Toc239460954"/>
      <w:bookmarkEnd w:id="148"/>
      <w:r>
        <w:t>9.3.1 Organisational Structure</w:t>
      </w:r>
      <w:bookmarkEnd w:id="149"/>
    </w:p>
    <w:p w:rsidR="003D562E" w:rsidRDefault="003D562E" w:rsidP="003D562E">
      <w:pPr>
        <w:pStyle w:val="normal0"/>
      </w:pPr>
      <w:r>
        <w:t>During their startup phase, it is advisable to design a lean functional organizational structure in EcoLoop Office so as to have the capability to maintain specialists and control their labour expenses (Sahoo, 2021). It will be led by a Managing Director with support from an Operations Manager, Sales &amp; Marketing Executive and Sustainability/Data Officer. The physical activity will be performed by the collection staff.</w:t>
      </w:r>
    </w:p>
    <w:p w:rsidR="003D562E" w:rsidRDefault="003D562E" w:rsidP="003D562E">
      <w:pPr>
        <w:pStyle w:val="Heading3"/>
      </w:pPr>
      <w:bookmarkStart w:id="150" w:name="_heading=h.lxyvd25exifs" w:colFirst="0" w:colLast="0"/>
      <w:bookmarkStart w:id="151" w:name="_Toc239460955"/>
      <w:bookmarkEnd w:id="150"/>
      <w:r>
        <w:t>9.3.2 Staffing Requirements</w:t>
      </w:r>
      <w:bookmarkEnd w:id="151"/>
    </w:p>
    <w:p w:rsidR="003D562E" w:rsidRDefault="003D562E" w:rsidP="003D562E">
      <w:pPr>
        <w:pStyle w:val="normal0"/>
      </w:pPr>
      <w:r>
        <w:t>It would be good to have about six key staff in the early stages of EcoLoop: 1 Managing Director, 1 Operations Manager, 1 Sales &amp; Marketing Executive, 1 Sustainability/Data Officer and 2 Collection/Operations Staff. The initial outsourcing of administrative tasks, like payroll and accounting, can be done. This methodology exposure not only minimizes the cost of the fixed assets but also retains their essential internal strengths. Operational &amp; Customer service functions should be combined by the collection staff; further, flexing workforce in order to achieve higher efficiencies.</w:t>
      </w:r>
    </w:p>
    <w:p w:rsidR="003D562E" w:rsidRDefault="003D562E" w:rsidP="003D562E">
      <w:pPr>
        <w:pStyle w:val="Heading3"/>
      </w:pPr>
      <w:bookmarkStart w:id="152" w:name="_heading=h.6ftxhlfh0w4i" w:colFirst="0" w:colLast="0"/>
      <w:bookmarkStart w:id="153" w:name="_Toc239460956"/>
      <w:bookmarkEnd w:id="152"/>
      <w:r>
        <w:t>9.3.3 Recruitment and Selection</w:t>
      </w:r>
      <w:bookmarkEnd w:id="153"/>
    </w:p>
    <w:p w:rsidR="003D562E" w:rsidRDefault="003D562E" w:rsidP="003D562E">
      <w:pPr>
        <w:pStyle w:val="normal0"/>
      </w:pPr>
      <w:r>
        <w:t>It is essential to recruit but on a skills basis, considering knowledge of sustainability and enthusiasm about sustainability, skills in customer service, skills in logistics and in digital literacy (Bone, Ehlinger and Stephany, 2025). Differentiation requires these same two components - physical collection and digital reporting - and this is important to EcoLoop. Also, develop behavioral selection criteria for the company's greening goals.</w:t>
      </w:r>
      <w:r w:rsidR="001E68C1">
        <w:t xml:space="preserve"> </w:t>
      </w:r>
      <w:r>
        <w:t>Additionally, behavioral fit for company's mission to "green the environment" should be taken into account when making a selection.</w:t>
      </w:r>
    </w:p>
    <w:p w:rsidR="003D562E" w:rsidRDefault="003D562E" w:rsidP="003D562E">
      <w:pPr>
        <w:pStyle w:val="Heading3"/>
      </w:pPr>
      <w:bookmarkStart w:id="154" w:name="_heading=h.99ny7snm67zv" w:colFirst="0" w:colLast="0"/>
      <w:bookmarkStart w:id="155" w:name="_Toc239460957"/>
      <w:bookmarkEnd w:id="154"/>
      <w:r>
        <w:t>9.3.4 Training and Development</w:t>
      </w:r>
      <w:bookmarkEnd w:id="155"/>
    </w:p>
    <w:p w:rsidR="003D562E" w:rsidRDefault="003D562E" w:rsidP="003D562E">
      <w:pPr>
        <w:pStyle w:val="normal0"/>
      </w:pPr>
      <w:r>
        <w:t xml:space="preserve">Induction and ongoing staff training should be provided on Waste handling, Health and Safety, Customer Service, Digital tracking systems, Sustainability principles and environmental </w:t>
      </w:r>
      <w:r>
        <w:lastRenderedPageBreak/>
        <w:t>reporting. The importance of training rests on the credibility of the data of collection and impact by EcoLoop, which rests on solid data. The UK continues to face numerous employers who are struggling with a lack of skills, and CIPD data in this field indicates that employers continue to invest less in training.</w:t>
      </w:r>
    </w:p>
    <w:p w:rsidR="003D562E" w:rsidRDefault="003D562E" w:rsidP="003D562E">
      <w:pPr>
        <w:pStyle w:val="Heading3"/>
      </w:pPr>
      <w:bookmarkStart w:id="156" w:name="_heading=h.gm8v5bqqw1up" w:colFirst="0" w:colLast="0"/>
      <w:bookmarkStart w:id="157" w:name="_Toc239460958"/>
      <w:bookmarkEnd w:id="156"/>
      <w:r>
        <w:t>9.3.5 Compensation and Labour Costs</w:t>
      </w:r>
      <w:bookmarkEnd w:id="157"/>
    </w:p>
    <w:p w:rsidR="003D562E" w:rsidRDefault="003D562E" w:rsidP="003D562E">
      <w:pPr>
        <w:pStyle w:val="normal0"/>
      </w:pPr>
      <w:r>
        <w:t>Compensation should be a blend of competitive pay and performance-based measures based on revenue not lost to customers, collection accuracy and customer service performance. The National Living Wage will rise to £12.71 per hour for anyone aged 21 and over from April 2026 - an increase of 4.1% on the current rate. Employer National Insurance is marginally more complex because it isn't fixed to the secondary thresholds; it's 15% higher than the thresholds for 2026–27, magnifying the need for realistic payroll budgeting (Government of UK, 2026b).</w:t>
      </w:r>
    </w:p>
    <w:p w:rsidR="003D562E" w:rsidRDefault="003D562E" w:rsidP="003D562E">
      <w:pPr>
        <w:pStyle w:val="Heading3"/>
      </w:pPr>
      <w:bookmarkStart w:id="158" w:name="_heading=h.ljhvyqx4glbk" w:colFirst="0" w:colLast="0"/>
      <w:bookmarkStart w:id="159" w:name="_Toc239460959"/>
      <w:bookmarkEnd w:id="158"/>
      <w:r>
        <w:t>9.3.6 HR Policies and Compliance</w:t>
      </w:r>
      <w:bookmarkEnd w:id="159"/>
    </w:p>
    <w:p w:rsidR="003D562E" w:rsidRDefault="003D562E" w:rsidP="003D562E">
      <w:pPr>
        <w:pStyle w:val="normal0"/>
      </w:pPr>
      <w:r>
        <w:t xml:space="preserve">EcoLoop must have policies that include equality and diversity, health and safety, working hours, employee wellbeing, confidentiality and performance management. For those who are physically involved in collection and handling activities the health and safety is especially significant (PECB, 2025). Data confidentiality will also be relevant, as there may be customer data and operational data held on the digital platform. Job descriptions, frequent reviews, and documented processes can help manage risk in the operation. </w:t>
      </w:r>
    </w:p>
    <w:p w:rsidR="003D562E" w:rsidRDefault="003D562E" w:rsidP="003D562E">
      <w:pPr>
        <w:pStyle w:val="Heading1"/>
      </w:pPr>
      <w:bookmarkStart w:id="160" w:name="_heading=h.mt3fuximtptj" w:colFirst="0" w:colLast="0"/>
      <w:bookmarkEnd w:id="160"/>
      <w:r>
        <w:br w:type="page"/>
      </w:r>
    </w:p>
    <w:p w:rsidR="003D562E" w:rsidRDefault="003D562E" w:rsidP="003D562E">
      <w:pPr>
        <w:pStyle w:val="Heading1"/>
      </w:pPr>
      <w:bookmarkStart w:id="161" w:name="_heading=h.jrqt39nga17z" w:colFirst="0" w:colLast="0"/>
      <w:bookmarkStart w:id="162" w:name="_Toc239460960"/>
      <w:bookmarkEnd w:id="161"/>
      <w:r>
        <w:lastRenderedPageBreak/>
        <w:t>Chapter 10. Operations Plan</w:t>
      </w:r>
      <w:bookmarkEnd w:id="162"/>
    </w:p>
    <w:p w:rsidR="003D562E" w:rsidRDefault="003D562E" w:rsidP="003D562E">
      <w:pPr>
        <w:pStyle w:val="Heading2"/>
      </w:pPr>
      <w:bookmarkStart w:id="163" w:name="_heading=h.neu2quja8mst" w:colFirst="0" w:colLast="0"/>
      <w:bookmarkStart w:id="164" w:name="_Toc239460961"/>
      <w:bookmarkEnd w:id="163"/>
      <w:r>
        <w:t>10.1 Operations Strategy</w:t>
      </w:r>
      <w:bookmarkEnd w:id="164"/>
    </w:p>
    <w:p w:rsidR="003D562E" w:rsidRDefault="003D562E" w:rsidP="003D562E">
      <w:pPr>
        <w:pStyle w:val="normal0"/>
      </w:pPr>
      <w:r>
        <w:t>The operations strategy of EcoLoop Office focuses on creating a convenient, reliable and measurable, yet lean cost structure service. From a commercial perspective, the amount of commercial and industrial waste produced by England was 32.6 million tonnes in 2023, but decreased by 3% from the 2022 level (Government of UK, 2024b). EcoLoop should thus not only concentrate on collecting waste, it would also be good to give them the opportunity to get even more re-generated or recycled – and at the same time give them the information in a concrete form.</w:t>
      </w:r>
    </w:p>
    <w:p w:rsidR="003D562E" w:rsidRDefault="003D562E" w:rsidP="003D562E">
      <w:pPr>
        <w:pStyle w:val="Heading2"/>
      </w:pPr>
      <w:bookmarkStart w:id="165" w:name="_heading=h.yxymx1xbspv5" w:colFirst="0" w:colLast="0"/>
      <w:bookmarkStart w:id="166" w:name="_Toc239460962"/>
      <w:bookmarkEnd w:id="165"/>
      <w:r>
        <w:t>10.2 End-to-End Operational Workflow</w:t>
      </w:r>
      <w:bookmarkEnd w:id="166"/>
    </w:p>
    <w:p w:rsidR="003D562E" w:rsidRDefault="003D562E" w:rsidP="003D562E">
      <w:pPr>
        <w:pStyle w:val="normal0"/>
        <w:rPr>
          <w:b/>
          <w:bCs/>
        </w:rPr>
      </w:pPr>
      <w:r>
        <w:rPr>
          <w:b/>
          <w:bCs/>
        </w:rPr>
        <w:t>Table 22. End-to-End Operational Workflow</w:t>
      </w:r>
    </w:p>
    <w:tbl>
      <w:tblPr>
        <w:tblW w:w="9360" w:type="dxa"/>
        <w:tblBorders>
          <w:top w:val="nil"/>
          <w:left w:val="nil"/>
          <w:bottom w:val="nil"/>
          <w:right w:val="nil"/>
          <w:insideH w:val="nil"/>
          <w:insideV w:val="nil"/>
        </w:tblBorders>
        <w:tblLayout w:type="fixed"/>
        <w:tblLook w:val="0600"/>
      </w:tblPr>
      <w:tblGrid>
        <w:gridCol w:w="2207"/>
        <w:gridCol w:w="4812"/>
        <w:gridCol w:w="2341"/>
      </w:tblGrid>
      <w:tr w:rsidR="003D562E" w:rsidTr="001E68C1">
        <w:trPr>
          <w:cantSplit/>
          <w:trHeight w:val="800"/>
          <w:tblHeader/>
        </w:trPr>
        <w:tc>
          <w:tcPr>
            <w:tcW w:w="2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Stage</w:t>
            </w:r>
          </w:p>
        </w:tc>
        <w:tc>
          <w:tcPr>
            <w:tcW w:w="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Operational Activity</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Responsible Function</w:t>
            </w:r>
          </w:p>
        </w:tc>
      </w:tr>
      <w:tr w:rsidR="003D562E" w:rsidTr="001E68C1">
        <w:trPr>
          <w:cantSplit/>
          <w:trHeight w:val="800"/>
          <w:tblHeader/>
        </w:trPr>
        <w:tc>
          <w:tcPr>
            <w:tcW w:w="2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Customer acquisition</w:t>
            </w:r>
          </w:p>
        </w:tc>
        <w:tc>
          <w:tcPr>
            <w:tcW w:w="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Identify and qualify target offices</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Sales &amp; Marketing</w:t>
            </w:r>
          </w:p>
        </w:tc>
      </w:tr>
      <w:tr w:rsidR="003D562E" w:rsidTr="001E68C1">
        <w:trPr>
          <w:cantSplit/>
          <w:trHeight w:val="800"/>
          <w:tblHeader/>
        </w:trPr>
        <w:tc>
          <w:tcPr>
            <w:tcW w:w="2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Sustainability audit</w:t>
            </w:r>
          </w:p>
        </w:tc>
        <w:tc>
          <w:tcPr>
            <w:tcW w:w="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Assess waste types, volumes and existing processes</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Sustainability Officer</w:t>
            </w:r>
          </w:p>
        </w:tc>
      </w:tr>
      <w:tr w:rsidR="003D562E" w:rsidTr="001E68C1">
        <w:trPr>
          <w:cantSplit/>
          <w:trHeight w:val="800"/>
          <w:tblHeader/>
        </w:trPr>
        <w:tc>
          <w:tcPr>
            <w:tcW w:w="2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Package selection</w:t>
            </w:r>
          </w:p>
        </w:tc>
        <w:tc>
          <w:tcPr>
            <w:tcW w:w="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Recommend EcoBasic, EcoPlus or EcoPro</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Sales &amp; Sustainability</w:t>
            </w:r>
          </w:p>
        </w:tc>
      </w:tr>
      <w:tr w:rsidR="003D562E" w:rsidTr="001E68C1">
        <w:trPr>
          <w:cantSplit/>
          <w:trHeight w:val="800"/>
          <w:tblHeader/>
        </w:trPr>
        <w:tc>
          <w:tcPr>
            <w:tcW w:w="2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Collection schedule</w:t>
            </w:r>
          </w:p>
        </w:tc>
        <w:tc>
          <w:tcPr>
            <w:tcW w:w="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Establish frequency and collection requirements</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Operations Manager</w:t>
            </w:r>
          </w:p>
        </w:tc>
      </w:tr>
      <w:tr w:rsidR="003D562E" w:rsidTr="001E68C1">
        <w:trPr>
          <w:cantSplit/>
          <w:trHeight w:val="515"/>
          <w:tblHeader/>
        </w:trPr>
        <w:tc>
          <w:tcPr>
            <w:tcW w:w="2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Collection</w:t>
            </w:r>
          </w:p>
        </w:tc>
        <w:tc>
          <w:tcPr>
            <w:tcW w:w="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Collect segregated materials securely</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Collection Staff</w:t>
            </w:r>
          </w:p>
        </w:tc>
      </w:tr>
      <w:tr w:rsidR="003D562E" w:rsidTr="001E68C1">
        <w:trPr>
          <w:cantSplit/>
          <w:trHeight w:val="800"/>
          <w:tblHeader/>
        </w:trPr>
        <w:tc>
          <w:tcPr>
            <w:tcW w:w="2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lastRenderedPageBreak/>
              <w:t>Sorting</w:t>
            </w:r>
          </w:p>
        </w:tc>
        <w:tc>
          <w:tcPr>
            <w:tcW w:w="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Separate reusable, recyclable and residual materials</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Operations Team</w:t>
            </w:r>
          </w:p>
        </w:tc>
      </w:tr>
      <w:tr w:rsidR="003D562E" w:rsidTr="001E68C1">
        <w:trPr>
          <w:cantSplit/>
          <w:trHeight w:val="515"/>
          <w:tblHeader/>
        </w:trPr>
        <w:tc>
          <w:tcPr>
            <w:tcW w:w="2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Reuse/recycling</w:t>
            </w:r>
          </w:p>
        </w:tc>
        <w:tc>
          <w:tcPr>
            <w:tcW w:w="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Transfer materials to approved partners</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Operations Manager</w:t>
            </w:r>
          </w:p>
        </w:tc>
      </w:tr>
      <w:tr w:rsidR="003D562E" w:rsidTr="001E68C1">
        <w:trPr>
          <w:cantSplit/>
          <w:trHeight w:val="515"/>
          <w:tblHeader/>
        </w:trPr>
        <w:tc>
          <w:tcPr>
            <w:tcW w:w="2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Data recording</w:t>
            </w:r>
          </w:p>
        </w:tc>
        <w:tc>
          <w:tcPr>
            <w:tcW w:w="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Record quantities and destinations digitally</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Data Officer</w:t>
            </w:r>
          </w:p>
        </w:tc>
      </w:tr>
      <w:tr w:rsidR="003D562E" w:rsidTr="001E68C1">
        <w:trPr>
          <w:cantSplit/>
          <w:trHeight w:val="515"/>
          <w:tblHeader/>
        </w:trPr>
        <w:tc>
          <w:tcPr>
            <w:tcW w:w="2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Impact reporting</w:t>
            </w:r>
          </w:p>
        </w:tc>
        <w:tc>
          <w:tcPr>
            <w:tcW w:w="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Produce customer sustainability reports</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Sustainability Officer</w:t>
            </w:r>
          </w:p>
        </w:tc>
      </w:tr>
      <w:tr w:rsidR="003D562E" w:rsidTr="001E68C1">
        <w:trPr>
          <w:cantSplit/>
          <w:trHeight w:val="515"/>
          <w:tblHeader/>
        </w:trPr>
        <w:tc>
          <w:tcPr>
            <w:tcW w:w="2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Improvement</w:t>
            </w:r>
          </w:p>
        </w:tc>
        <w:tc>
          <w:tcPr>
            <w:tcW w:w="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Review KPIs and modify service</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Management Team</w:t>
            </w:r>
          </w:p>
        </w:tc>
      </w:tr>
    </w:tbl>
    <w:p w:rsidR="003D562E" w:rsidRDefault="003D562E" w:rsidP="003D562E">
      <w:pPr>
        <w:pStyle w:val="normal0"/>
      </w:pPr>
      <w:r>
        <w:t xml:space="preserve">                                                    Source: Self-Created</w:t>
      </w:r>
    </w:p>
    <w:p w:rsidR="003D562E" w:rsidRDefault="003D562E" w:rsidP="003D562E">
      <w:pPr>
        <w:pStyle w:val="normal0"/>
      </w:pPr>
      <w:r>
        <w:t xml:space="preserve">The work flow starts with a sustainability audit for the customer, where the service is not defined by a standardised package, but geared to the actual characteristics of that waste stream. Collection staff then takes advantage of hub-and-spoke referenced containers and safe transport. The materials are then channeled to re-use and/or recycle, wherever technically and economically feasible (Ogwu and Kosoe, 2025). </w:t>
      </w:r>
    </w:p>
    <w:p w:rsidR="003D562E" w:rsidRDefault="003D562E" w:rsidP="003D562E">
      <w:pPr>
        <w:pStyle w:val="normal0"/>
      </w:pPr>
      <w:r>
        <w:t>The strategic importance of digital recording lies in the fact that an integrated information system can be built, which can potentially provide data on weight, type of material, destination, and processing result, for each collection (Pascucci, Savelli and Gistri, 2023). This allows EcoLoop to publish science-based reports instead of environmental claims which are not based on science.</w:t>
      </w:r>
    </w:p>
    <w:p w:rsidR="003D562E" w:rsidRDefault="003D562E" w:rsidP="003D562E">
      <w:pPr>
        <w:pStyle w:val="Heading2"/>
      </w:pPr>
      <w:bookmarkStart w:id="167" w:name="_heading=h.yfflevcamnfy" w:colFirst="0" w:colLast="0"/>
      <w:bookmarkStart w:id="168" w:name="_Toc239460963"/>
      <w:bookmarkEnd w:id="167"/>
      <w:r>
        <w:t>10.3 Location Strategy</w:t>
      </w:r>
      <w:bookmarkEnd w:id="168"/>
    </w:p>
    <w:p w:rsidR="003D562E" w:rsidRDefault="003D562E" w:rsidP="003D562E">
      <w:pPr>
        <w:pStyle w:val="normal0"/>
      </w:pPr>
      <w:r>
        <w:t xml:space="preserve">The management of material flows should play out of a small, strategically located storage and coordination system that is near where the target customers are located. Rent costs must be affordable and the site needs to be able to accommodate vehicles and additional space for temporary separation that does not result in unnecessary fixed costs. Yet proximity has a positive effect on collection mileage on reduced costs and environmental performance (Winter </w:t>
      </w:r>
      <w:r>
        <w:rPr>
          <w:i/>
          <w:iCs/>
        </w:rPr>
        <w:t>et al</w:t>
      </w:r>
      <w:r>
        <w:t>., 2021). On the other hand, a regional hub model can be applied after the density of the customers is sufficient.</w:t>
      </w:r>
    </w:p>
    <w:p w:rsidR="003D562E" w:rsidRDefault="003D562E" w:rsidP="003D562E">
      <w:pPr>
        <w:pStyle w:val="Heading2"/>
      </w:pPr>
      <w:bookmarkStart w:id="169" w:name="_heading=h.3e43bw7sobgo" w:colFirst="0" w:colLast="0"/>
      <w:bookmarkStart w:id="170" w:name="_Toc239460964"/>
      <w:bookmarkEnd w:id="169"/>
      <w:r>
        <w:lastRenderedPageBreak/>
        <w:t>10.4 Supply Chain and Procurement</w:t>
      </w:r>
      <w:bookmarkEnd w:id="170"/>
    </w:p>
    <w:p w:rsidR="003D562E" w:rsidRDefault="003D562E" w:rsidP="003D562E">
      <w:pPr>
        <w:pStyle w:val="normal0"/>
      </w:pPr>
      <w:r>
        <w:t>There should be a partnership based supply chain in place between EcoLoop and its downstream processing partners, rather than having to immediately invest in every processing capacity. Key partners include equipment suppliers, licensed recycling businesses, the reuse/refurbishment organisations, logistics and technology suppliers.</w:t>
      </w:r>
    </w:p>
    <w:p w:rsidR="003D562E" w:rsidRDefault="003D562E" w:rsidP="003D562E">
      <w:pPr>
        <w:pStyle w:val="normal0"/>
      </w:pPr>
      <w:r>
        <w:t>This will lower the capital needed and may come with dependency risk. EcoLoop should have alternative suppliers of critical activities. Businesses that are transferring waste to another business have a continuing duty of care to take reasonable measures to ensure that they are transferring to a company that is appropriate and is licensed to receive waste.</w:t>
      </w:r>
    </w:p>
    <w:p w:rsidR="003D562E" w:rsidRDefault="003D562E" w:rsidP="003D562E">
      <w:pPr>
        <w:pStyle w:val="Heading2"/>
      </w:pPr>
      <w:bookmarkStart w:id="171" w:name="_heading=h.jmabxj58vj" w:colFirst="0" w:colLast="0"/>
      <w:bookmarkStart w:id="172" w:name="_Toc239460965"/>
      <w:bookmarkEnd w:id="171"/>
      <w:r>
        <w:t>10.5 Inventory Management</w:t>
      </w:r>
      <w:bookmarkEnd w:id="172"/>
    </w:p>
    <w:p w:rsidR="003D562E" w:rsidRDefault="003D562E" w:rsidP="003D562E">
      <w:pPr>
        <w:pStyle w:val="normal0"/>
      </w:pPr>
      <w:r>
        <w:t>A digital minimum-maximum system for controlling inventory of collection containers, labels, packaging, protective equipment and operation spares for containers. The aim is to check stocks on a weekly basis, and set automatic reorder points as the stocks get to a predetermined level. This helps to avoid having to allocate too much stock up for it to be in the way and costing too much working capital at the same time, and it avoids the problem of going out of stock, which could cause disruptions in collections. As opposed to manufacturing, the core business of EcoLoop should be service delivery meaning that stock should not be too large.</w:t>
      </w:r>
    </w:p>
    <w:p w:rsidR="003D562E" w:rsidRDefault="003D562E" w:rsidP="003D562E">
      <w:pPr>
        <w:pStyle w:val="Heading2"/>
      </w:pPr>
      <w:bookmarkStart w:id="173" w:name="_heading=h.uzffv8sew8a3" w:colFirst="0" w:colLast="0"/>
      <w:bookmarkStart w:id="174" w:name="_Toc239460966"/>
      <w:bookmarkEnd w:id="173"/>
      <w:r>
        <w:t>10.6 Technology Systems</w:t>
      </w:r>
      <w:bookmarkEnd w:id="174"/>
    </w:p>
    <w:p w:rsidR="003D562E" w:rsidRDefault="003D562E" w:rsidP="003D562E">
      <w:pPr>
        <w:pStyle w:val="normal0"/>
      </w:pPr>
      <w:r>
        <w:t>The technology should give operation infrastructure that should touch the customer, employee and processing partner. The strategic value is increased transparency on the waste value chain. For instance, QR/barcode records has the opportunities to connect a collection collection with the customer, material category, quantity and destination (Ahmed &amp; MacCarthy, 2023). This eliminates dependence on manual spreadsheets and leaves a traceable record of the information.</w:t>
      </w:r>
    </w:p>
    <w:p w:rsidR="003D562E" w:rsidRDefault="003D562E" w:rsidP="003D562E">
      <w:pPr>
        <w:pStyle w:val="Heading2"/>
      </w:pPr>
      <w:bookmarkStart w:id="175" w:name="_heading=h.wtl136tp06j7" w:colFirst="0" w:colLast="0"/>
      <w:bookmarkEnd w:id="175"/>
    </w:p>
    <w:p w:rsidR="003D562E" w:rsidRDefault="003D562E" w:rsidP="003D562E">
      <w:pPr>
        <w:pStyle w:val="Heading2"/>
      </w:pPr>
      <w:bookmarkStart w:id="176" w:name="_Toc239460967"/>
      <w:r>
        <w:t>10.7 Quality Control</w:t>
      </w:r>
      <w:bookmarkEnd w:id="176"/>
    </w:p>
    <w:p w:rsidR="003D562E" w:rsidRDefault="003D562E" w:rsidP="003D562E">
      <w:pPr>
        <w:pStyle w:val="normal0"/>
      </w:pPr>
      <w:r>
        <w:t xml:space="preserve">Quality management should focus on </w:t>
      </w:r>
      <w:r>
        <w:rPr>
          <w:b/>
          <w:bCs/>
        </w:rPr>
        <w:t>service reliability and material quality</w:t>
      </w:r>
      <w:r>
        <w:t>.</w:t>
      </w:r>
    </w:p>
    <w:p w:rsidR="003D562E" w:rsidRDefault="003D562E" w:rsidP="003D562E">
      <w:pPr>
        <w:pStyle w:val="normal0"/>
        <w:rPr>
          <w:b/>
          <w:bCs/>
        </w:rPr>
      </w:pPr>
      <w:r>
        <w:rPr>
          <w:b/>
          <w:bCs/>
        </w:rPr>
        <w:t>Table 23. Quality Control</w:t>
      </w:r>
    </w:p>
    <w:tbl>
      <w:tblPr>
        <w:tblW w:w="5350" w:type="dxa"/>
        <w:tblInd w:w="1571" w:type="dxa"/>
        <w:tblBorders>
          <w:top w:val="nil"/>
          <w:left w:val="nil"/>
          <w:bottom w:val="nil"/>
          <w:right w:val="nil"/>
          <w:insideH w:val="nil"/>
          <w:insideV w:val="nil"/>
        </w:tblBorders>
        <w:tblLayout w:type="fixed"/>
        <w:tblLook w:val="0600"/>
      </w:tblPr>
      <w:tblGrid>
        <w:gridCol w:w="2645"/>
        <w:gridCol w:w="2705"/>
      </w:tblGrid>
      <w:tr w:rsidR="003D562E" w:rsidTr="003D562E">
        <w:trPr>
          <w:cantSplit/>
          <w:trHeight w:val="515"/>
          <w:tblHeader/>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KPI</w:t>
            </w:r>
          </w:p>
        </w:tc>
        <w:tc>
          <w:tcPr>
            <w:tcW w:w="2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rPr>
                <w:b/>
                <w:bCs/>
              </w:rPr>
              <w:t>Initial Target</w:t>
            </w:r>
          </w:p>
        </w:tc>
      </w:tr>
      <w:tr w:rsidR="003D562E" w:rsidTr="003D562E">
        <w:trPr>
          <w:cantSplit/>
          <w:trHeight w:val="515"/>
          <w:tblHeader/>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Collection completion</w:t>
            </w:r>
          </w:p>
        </w:tc>
        <w:tc>
          <w:tcPr>
            <w:tcW w:w="2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sdt>
              <w:sdtPr>
                <w:tag w:val="goog_rdk_22"/>
                <w:id w:val="-615716842"/>
              </w:sdtPr>
              <w:sdtContent>
                <w:r>
                  <w:rPr>
                    <w:rFonts w:ascii="Arial Unicode MS" w:eastAsia="Arial Unicode MS" w:hAnsi="Arial Unicode MS" w:cs="Arial Unicode MS"/>
                  </w:rPr>
                  <w:t>≥95%</w:t>
                </w:r>
              </w:sdtContent>
            </w:sdt>
          </w:p>
        </w:tc>
      </w:tr>
      <w:tr w:rsidR="003D562E" w:rsidTr="003D562E">
        <w:trPr>
          <w:cantSplit/>
          <w:trHeight w:val="515"/>
          <w:tblHeader/>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Contamination rate</w:t>
            </w:r>
          </w:p>
        </w:tc>
        <w:tc>
          <w:tcPr>
            <w:tcW w:w="2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sdt>
              <w:sdtPr>
                <w:tag w:val="goog_rdk_23"/>
                <w:id w:val="441446801"/>
              </w:sdtPr>
              <w:sdtContent>
                <w:r>
                  <w:rPr>
                    <w:rFonts w:ascii="Arial Unicode MS" w:eastAsia="Arial Unicode MS" w:hAnsi="Arial Unicode MS" w:cs="Arial Unicode MS"/>
                  </w:rPr>
                  <w:t>≤5%</w:t>
                </w:r>
              </w:sdtContent>
            </w:sdt>
          </w:p>
        </w:tc>
      </w:tr>
      <w:tr w:rsidR="003D562E" w:rsidTr="003D562E">
        <w:trPr>
          <w:cantSplit/>
          <w:trHeight w:val="515"/>
          <w:tblHeader/>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Processing/data accuracy</w:t>
            </w:r>
          </w:p>
        </w:tc>
        <w:tc>
          <w:tcPr>
            <w:tcW w:w="2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sdt>
              <w:sdtPr>
                <w:tag w:val="goog_rdk_24"/>
                <w:id w:val="-918289579"/>
              </w:sdtPr>
              <w:sdtContent>
                <w:r>
                  <w:rPr>
                    <w:rFonts w:ascii="Arial Unicode MS" w:eastAsia="Arial Unicode MS" w:hAnsi="Arial Unicode MS" w:cs="Arial Unicode MS"/>
                  </w:rPr>
                  <w:t>≥98%</w:t>
                </w:r>
              </w:sdtContent>
            </w:sdt>
          </w:p>
        </w:tc>
      </w:tr>
      <w:tr w:rsidR="003D562E" w:rsidTr="003D562E">
        <w:trPr>
          <w:cantSplit/>
          <w:trHeight w:val="515"/>
          <w:tblHeader/>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Customer response time</w:t>
            </w:r>
          </w:p>
        </w:tc>
        <w:tc>
          <w:tcPr>
            <w:tcW w:w="2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&lt;24 hours</w:t>
            </w:r>
          </w:p>
        </w:tc>
      </w:tr>
      <w:tr w:rsidR="003D562E" w:rsidTr="003D562E">
        <w:trPr>
          <w:cantSplit/>
          <w:trHeight w:val="515"/>
          <w:tblHeader/>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Customer complaints</w:t>
            </w:r>
          </w:p>
        </w:tc>
        <w:tc>
          <w:tcPr>
            <w:tcW w:w="2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&lt;3% of monthly accounts</w:t>
            </w:r>
          </w:p>
        </w:tc>
      </w:tr>
      <w:tr w:rsidR="003D562E" w:rsidTr="003D562E">
        <w:trPr>
          <w:cantSplit/>
          <w:trHeight w:val="515"/>
          <w:tblHeader/>
        </w:trPr>
        <w:tc>
          <w:tcPr>
            <w:tcW w:w="2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r>
              <w:t>Customer satisfaction</w:t>
            </w:r>
          </w:p>
        </w:tc>
        <w:tc>
          <w:tcPr>
            <w:tcW w:w="2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D562E" w:rsidRDefault="003D562E" w:rsidP="001E68C1">
            <w:pPr>
              <w:pStyle w:val="normal0"/>
              <w:spacing w:before="0" w:after="0" w:line="240" w:lineRule="auto"/>
              <w:jc w:val="center"/>
            </w:pPr>
            <w:sdt>
              <w:sdtPr>
                <w:tag w:val="goog_rdk_25"/>
                <w:id w:val="-1366853059"/>
              </w:sdtPr>
              <w:sdtContent>
                <w:r>
                  <w:rPr>
                    <w:rFonts w:ascii="Arial Unicode MS" w:eastAsia="Arial Unicode MS" w:hAnsi="Arial Unicode MS" w:cs="Arial Unicode MS"/>
                  </w:rPr>
                  <w:t>≥90%</w:t>
                </w:r>
              </w:sdtContent>
            </w:sdt>
          </w:p>
        </w:tc>
      </w:tr>
    </w:tbl>
    <w:p w:rsidR="003D562E" w:rsidRDefault="003D562E" w:rsidP="003D562E">
      <w:pPr>
        <w:pStyle w:val="normal0"/>
      </w:pPr>
      <w:r>
        <w:t xml:space="preserve">                                               Source: Self-Created</w:t>
      </w:r>
    </w:p>
    <w:p w:rsidR="003D562E" w:rsidRDefault="003D562E" w:rsidP="003D562E">
      <w:pPr>
        <w:pStyle w:val="normal0"/>
      </w:pPr>
      <w:r>
        <w:t>These measures have a direct link to the value proposition. Increased contamination levels would decrease recycling value and absence of services would have negative consequences on convenience. Therefore, instead of simply reporting performance, the monthly KPI tracking should find the root causes and corrective actions.</w:t>
      </w:r>
    </w:p>
    <w:p w:rsidR="003D562E" w:rsidRDefault="003D562E" w:rsidP="003D562E">
      <w:pPr>
        <w:pStyle w:val="Heading2"/>
      </w:pPr>
      <w:bookmarkStart w:id="177" w:name="_heading=h.jmv2kajen5ma" w:colFirst="0" w:colLast="0"/>
      <w:bookmarkStart w:id="178" w:name="_Toc239460968"/>
      <w:bookmarkEnd w:id="177"/>
      <w:r>
        <w:t>10.8 Logistics and Distribution</w:t>
      </w:r>
      <w:bookmarkEnd w:id="178"/>
    </w:p>
    <w:p w:rsidR="003D562E" w:rsidRDefault="003D562E" w:rsidP="003D562E">
      <w:pPr>
        <w:pStyle w:val="normal0"/>
      </w:pPr>
      <w:r>
        <w:t xml:space="preserve">Planning routes needs to take into account that it is possible to group the visits of local customers to provide the highest return of the motor vehicle and avoid needless mileage. The number of garbage collection should adjust to the customer's waste tonnage and not rely on fixed frequency </w:t>
      </w:r>
      <w:r>
        <w:lastRenderedPageBreak/>
        <w:t>programs for all customers (Global Trash Solutions, 2026). Empty journeys can be minimised and geographically close customers geographically grouped with digital scheduling.</w:t>
      </w:r>
    </w:p>
    <w:p w:rsidR="003D562E" w:rsidRDefault="003D562E" w:rsidP="003D562E">
      <w:pPr>
        <w:pStyle w:val="Heading2"/>
      </w:pPr>
      <w:bookmarkStart w:id="179" w:name="_heading=h.uucucthiw7xk" w:colFirst="0" w:colLast="0"/>
      <w:bookmarkStart w:id="180" w:name="_Toc239460969"/>
      <w:bookmarkEnd w:id="179"/>
      <w:r>
        <w:t>10.9 Legal and Regulatory Considerations</w:t>
      </w:r>
      <w:bookmarkEnd w:id="180"/>
    </w:p>
    <w:p w:rsidR="003D562E" w:rsidRDefault="003D562E" w:rsidP="003D562E">
      <w:pPr>
        <w:pStyle w:val="normal0"/>
      </w:pPr>
      <w:r>
        <w:t>The minimalisation of waste, safe storage, waste transfer documentation and that waste carriers are registered is needed by UK businesses (Government of UK, 2023). For non-hazardous waste transfers, a waste transfer note is issued, and records kept for two years for the most part. EcoLoop will also conduct appropriate classification of waste, and ensure that employees' health and safety requirements are met, in addition to ensuring that environmental claims have evidence to support them.</w:t>
      </w:r>
    </w:p>
    <w:p w:rsidR="00942264" w:rsidRDefault="00942264">
      <w:r>
        <w:t xml:space="preserve"> </w:t>
      </w:r>
    </w:p>
    <w:p w:rsidR="002C2BC8" w:rsidRDefault="002C2BC8">
      <w:pPr>
        <w:jc w:val="left"/>
      </w:pPr>
    </w:p>
    <w:p w:rsidR="002C2BC8" w:rsidRDefault="002C2BC8">
      <w:pPr>
        <w:jc w:val="left"/>
      </w:pPr>
    </w:p>
    <w:p w:rsidR="002C2BC8" w:rsidRDefault="002C2BC8"/>
    <w:p w:rsidR="002C2BC8" w:rsidRDefault="00FC2205">
      <w:pPr>
        <w:pStyle w:val="Heading1"/>
      </w:pPr>
      <w:bookmarkStart w:id="181" w:name="_heading=h.7ejrrnwillx6" w:colFirst="0" w:colLast="0"/>
      <w:bookmarkEnd w:id="181"/>
      <w:r>
        <w:br w:type="page"/>
      </w:r>
    </w:p>
    <w:p w:rsidR="002C2BC8" w:rsidRDefault="00FC2205">
      <w:pPr>
        <w:pStyle w:val="Heading1"/>
      </w:pPr>
      <w:bookmarkStart w:id="182" w:name="_heading=h.bnw7toipqgk3" w:colFirst="0" w:colLast="0"/>
      <w:bookmarkStart w:id="183" w:name="_Toc239460970"/>
      <w:bookmarkEnd w:id="182"/>
      <w:r>
        <w:lastRenderedPageBreak/>
        <w:t>References</w:t>
      </w:r>
      <w:bookmarkEnd w:id="183"/>
    </w:p>
    <w:p w:rsidR="003D104A" w:rsidRDefault="003D104A">
      <w:r>
        <w:t>‌Alcayaga, A. and Hansen, E.G., 2025. Smart circular economy as a service business model: an activity system framework and research agenda. R&amp;D Management, 55(2), pp.508-530.</w:t>
      </w:r>
      <w:hyperlink r:id="rId20">
        <w:r>
          <w:rPr>
            <w:color w:val="1155CC"/>
            <w:u w:val="single"/>
          </w:rPr>
          <w:t>https://onlinelibrary.wiley.com/doi/pdf/10.1111/radm.12707</w:t>
        </w:r>
      </w:hyperlink>
    </w:p>
    <w:p w:rsidR="003D104A" w:rsidRDefault="003D104A" w:rsidP="003D104A">
      <w:pPr>
        <w:pStyle w:val="NormalWeb"/>
        <w:spacing w:before="0" w:beforeAutospacing="0" w:after="240" w:afterAutospacing="0" w:line="360" w:lineRule="auto"/>
        <w:jc w:val="both"/>
      </w:pPr>
      <w:r>
        <w:rPr>
          <w:color w:val="000000"/>
        </w:rPr>
        <w:t xml:space="preserve">Alfieri, L., Mariotti, I. and Rossi, F. (2025). The twin transition and flexible work arrangements: A systematic literature review. </w:t>
      </w:r>
      <w:r>
        <w:rPr>
          <w:i/>
          <w:iCs/>
          <w:color w:val="000000"/>
        </w:rPr>
        <w:t>Journal of Environmental Management</w:t>
      </w:r>
      <w:r>
        <w:rPr>
          <w:color w:val="000000"/>
        </w:rPr>
        <w:t xml:space="preserve">, [online] 395, p.127988. Available at: </w:t>
      </w:r>
      <w:hyperlink r:id="rId21" w:history="1">
        <w:r>
          <w:rPr>
            <w:rStyle w:val="Hyperlink"/>
            <w:color w:val="1155CC"/>
          </w:rPr>
          <w:t>https://www.sciencedirect.com/science/article/pii/S0301479725039647?via%3Dihub</w:t>
        </w:r>
      </w:hyperlink>
      <w:r>
        <w:rPr>
          <w:color w:val="000000"/>
        </w:rPr>
        <w:t>  [Accessed 21 Aug. 2026].</w:t>
      </w:r>
    </w:p>
    <w:p w:rsidR="003D104A" w:rsidRDefault="003D104A" w:rsidP="003D104A">
      <w:pPr>
        <w:pStyle w:val="NormalWeb"/>
        <w:spacing w:before="0" w:beforeAutospacing="0" w:after="240" w:afterAutospacing="0" w:line="360" w:lineRule="auto"/>
        <w:jc w:val="both"/>
      </w:pPr>
      <w:r>
        <w:rPr>
          <w:color w:val="000000"/>
        </w:rPr>
        <w:t xml:space="preserve">Alfina, K.N., Ratnayake, C., Wibisono, D., Basri, M.H. and Mulyono, N.B. (2025). Enhancing resilience and sustainable healthcare supply chains: Integrating circular economy and dynamic barrier management. </w:t>
      </w:r>
      <w:r>
        <w:rPr>
          <w:i/>
          <w:iCs/>
          <w:color w:val="000000"/>
        </w:rPr>
        <w:t>Discover Sustainability</w:t>
      </w:r>
      <w:r>
        <w:rPr>
          <w:color w:val="000000"/>
        </w:rPr>
        <w:t xml:space="preserve">, [online] 6(1). Available at: </w:t>
      </w:r>
      <w:hyperlink r:id="rId22" w:history="1">
        <w:r>
          <w:rPr>
            <w:rStyle w:val="Hyperlink"/>
            <w:color w:val="1155CC"/>
          </w:rPr>
          <w:t>https://link.springer.com/article/10.1007/s43621-025-01270-1</w:t>
        </w:r>
      </w:hyperlink>
      <w:r>
        <w:rPr>
          <w:color w:val="000000"/>
        </w:rPr>
        <w:t>  [Accessed 21 Aug. 2026].</w:t>
      </w:r>
    </w:p>
    <w:p w:rsidR="003D104A" w:rsidRDefault="003D104A" w:rsidP="003D104A">
      <w:pPr>
        <w:pStyle w:val="NormalWeb"/>
        <w:spacing w:before="0" w:beforeAutospacing="0" w:after="240" w:afterAutospacing="0" w:line="360" w:lineRule="auto"/>
        <w:jc w:val="both"/>
      </w:pPr>
      <w:r>
        <w:rPr>
          <w:color w:val="000000"/>
        </w:rPr>
        <w:t xml:space="preserve">Amasino, D.R., Dolgin, J. and Huettel, S.A. (2023). Eyes on the account size: Interactions between attention and budget in consumer choice. </w:t>
      </w:r>
      <w:r>
        <w:rPr>
          <w:i/>
          <w:iCs/>
          <w:color w:val="000000"/>
        </w:rPr>
        <w:t>Journal of Economic Psychology</w:t>
      </w:r>
      <w:r>
        <w:rPr>
          <w:color w:val="000000"/>
        </w:rPr>
        <w:t xml:space="preserve">, [online] 97, pp.102632–102632. Available at: </w:t>
      </w:r>
      <w:hyperlink r:id="rId23" w:history="1">
        <w:r>
          <w:rPr>
            <w:rStyle w:val="Hyperlink"/>
            <w:color w:val="1155CC"/>
          </w:rPr>
          <w:t>https://www.sciencedirect.com/science/article/pii/S0167487023000338</w:t>
        </w:r>
      </w:hyperlink>
      <w:r>
        <w:rPr>
          <w:color w:val="000000"/>
        </w:rPr>
        <w:t>  [Accessed 21 Aug. 2026].</w:t>
      </w:r>
    </w:p>
    <w:p w:rsidR="003D104A" w:rsidRDefault="003D104A">
      <w:pPr>
        <w:spacing w:before="0"/>
      </w:pPr>
      <w:r>
        <w:t xml:space="preserve">Andersen, B.S. and Kreye, M.E. (2023). Implementing a centralised procurement strategy for global supplier base management. [online] pp.1–13. Available at: </w:t>
      </w:r>
      <w:hyperlink r:id="rId24">
        <w:r>
          <w:rPr>
            <w:color w:val="0000FF"/>
            <w:u w:val="single"/>
          </w:rPr>
          <w:t>https://www.tandfonline.com/doi/full/10.1080/09537287.2023.2217489</w:t>
        </w:r>
      </w:hyperlink>
      <w:r w:rsidR="002077D3">
        <w:t xml:space="preserve">  [Accessed 17</w:t>
      </w:r>
      <w:r>
        <w:t xml:space="preserve"> Aug. 2026].</w:t>
      </w:r>
    </w:p>
    <w:p w:rsidR="003D104A" w:rsidRDefault="003D104A">
      <w:pPr>
        <w:spacing w:before="0" w:after="160"/>
      </w:pPr>
      <w:r>
        <w:t>Baden, D. and Frei, R., 2021. Product returns: an opportunity to shift towards an access-based economy?. Sustainability, 14(1), p.410.</w:t>
      </w:r>
      <w:hyperlink r:id="rId25">
        <w:r>
          <w:rPr>
            <w:color w:val="1155CC"/>
            <w:u w:val="single"/>
          </w:rPr>
          <w:t>https://www.mdpi.com/2071-1050/14/1/410</w:t>
        </w:r>
      </w:hyperlink>
    </w:p>
    <w:p w:rsidR="003D104A" w:rsidRDefault="003D104A">
      <w:pPr>
        <w:spacing w:before="0" w:after="160"/>
      </w:pPr>
      <w:r>
        <w:lastRenderedPageBreak/>
        <w:t>Bennett, K. and Mayouf, M., 2021. Value management integration for whole life cycle: post COVID-19 strategy for the UK construction industry. Sustainability, 13(16), p.9274.</w:t>
      </w:r>
      <w:hyperlink r:id="rId26">
        <w:r>
          <w:rPr>
            <w:color w:val="1155CC"/>
            <w:u w:val="single"/>
          </w:rPr>
          <w:t>https://www.mdpi.com/2071-1050/13/16/9274</w:t>
        </w:r>
      </w:hyperlink>
    </w:p>
    <w:p w:rsidR="003D104A" w:rsidRDefault="003D104A">
      <w:pPr>
        <w:spacing w:before="0"/>
      </w:pPr>
      <w:r>
        <w:t xml:space="preserve">Bio-powder.com. (2023). </w:t>
      </w:r>
      <w:r>
        <w:rPr>
          <w:i/>
          <w:iCs/>
        </w:rPr>
        <w:t>Embracing Circular Economy: Profitable Sustainability for Modern Companies</w:t>
      </w:r>
      <w:r>
        <w:t>. [online] Available at: https://www.bio-powder.com/en/circular-economy/ [Accessed 18 Aug. 2026].</w:t>
      </w:r>
    </w:p>
    <w:p w:rsidR="003D104A" w:rsidRDefault="003D104A">
      <w:pPr>
        <w:spacing w:before="0" w:after="160"/>
      </w:pPr>
      <w:r>
        <w:t>Böttcher, T.P., Empelmann, S., Weking, J., Hein, A. and Krcmar, H., 2024. Digital sustainable business models: Using digital technology to integrate ecological sustainability into the core of business models. Information Systems Journal, 34(3), pp.736-761.</w:t>
      </w:r>
      <w:hyperlink r:id="rId27">
        <w:r>
          <w:rPr>
            <w:color w:val="1155CC"/>
            <w:u w:val="single"/>
          </w:rPr>
          <w:t>https://onlinelibrary.wiley.com/doi/pdfdirect/10.1111/isj.12436</w:t>
        </w:r>
      </w:hyperlink>
    </w:p>
    <w:p w:rsidR="003D104A" w:rsidRDefault="003D104A">
      <w:pPr>
        <w:spacing w:before="0" w:after="160"/>
      </w:pPr>
      <w:r>
        <w:t>Bressanelli, G., Saccani, N. and Perona, M., 2022. Investigating business potential and users’ acceptance of circular economy: a survey and an evaluation model. Sustainability, 14(2), p.609.</w:t>
      </w:r>
      <w:hyperlink r:id="rId28">
        <w:r>
          <w:rPr>
            <w:color w:val="1155CC"/>
            <w:u w:val="single"/>
          </w:rPr>
          <w:t>https://www.mdpi.com/2071-1050/14/2/609</w:t>
        </w:r>
      </w:hyperlink>
    </w:p>
    <w:p w:rsidR="003D104A" w:rsidRDefault="003D104A">
      <w:r>
        <w:t xml:space="preserve">‌Briggs, C. (2023). </w:t>
      </w:r>
      <w:r>
        <w:rPr>
          <w:i/>
          <w:iCs/>
        </w:rPr>
        <w:t>A Sustainable Business Model - Sustainable X</w:t>
      </w:r>
      <w:r>
        <w:t xml:space="preserve">. [online] Sustainable X. Available at: </w:t>
      </w:r>
      <w:hyperlink r:id="rId29">
        <w:r>
          <w:rPr>
            <w:color w:val="1155CC"/>
            <w:u w:val="single"/>
          </w:rPr>
          <w:t>https://www.sustainablex.co.uk/sustainable-business-model/</w:t>
        </w:r>
      </w:hyperlink>
      <w:r>
        <w:t xml:space="preserve">  [Accessed 18 Aug. 2026].</w:t>
      </w:r>
    </w:p>
    <w:p w:rsidR="003D104A" w:rsidRDefault="003D104A" w:rsidP="003D104A">
      <w:pPr>
        <w:pStyle w:val="NormalWeb"/>
        <w:spacing w:before="0" w:beforeAutospacing="0" w:after="240" w:afterAutospacing="0" w:line="360" w:lineRule="auto"/>
        <w:jc w:val="both"/>
      </w:pPr>
      <w:r>
        <w:rPr>
          <w:color w:val="000000"/>
        </w:rPr>
        <w:t xml:space="preserve">Budler, M., Quiroga, B.F. and Trkman, P. (2023). A review of supply chain transparency research: Antecedents, technologies, types, and outcomes. </w:t>
      </w:r>
      <w:r>
        <w:rPr>
          <w:i/>
          <w:iCs/>
          <w:color w:val="000000"/>
        </w:rPr>
        <w:t>Journal of Business Logistics</w:t>
      </w:r>
      <w:r>
        <w:rPr>
          <w:color w:val="000000"/>
        </w:rPr>
        <w:t xml:space="preserve">, [online] 45(1). Available at: </w:t>
      </w:r>
      <w:hyperlink r:id="rId30" w:history="1">
        <w:r>
          <w:rPr>
            <w:rStyle w:val="Hyperlink"/>
            <w:color w:val="1155CC"/>
          </w:rPr>
          <w:t>https://onlinelibrary.wiley.com/doi/10.1111/jbl.12368</w:t>
        </w:r>
      </w:hyperlink>
      <w:r>
        <w:rPr>
          <w:color w:val="000000"/>
        </w:rPr>
        <w:t>  [Accessed 21 Aug. 2026].</w:t>
      </w:r>
    </w:p>
    <w:p w:rsidR="003D104A" w:rsidRDefault="003D104A">
      <w:pPr>
        <w:spacing w:before="0"/>
      </w:pPr>
      <w:r>
        <w:t xml:space="preserve">Business Registers Strategy and Outputs team (2025). </w:t>
      </w:r>
      <w:r>
        <w:rPr>
          <w:i/>
          <w:iCs/>
        </w:rPr>
        <w:t>UK business; activity, size and location</w:t>
      </w:r>
      <w:r>
        <w:t xml:space="preserve">. [online] Ons.gov.uk. Available at: </w:t>
      </w:r>
      <w:hyperlink r:id="rId31">
        <w:r>
          <w:rPr>
            <w:color w:val="1155CC"/>
            <w:u w:val="single"/>
          </w:rPr>
          <w:t>https://www.ons.gov.uk/businessindustryandtrade/business/activitysizeandlocation/bulletins/ukbusinessactivitysizeandlocation/2025</w:t>
        </w:r>
      </w:hyperlink>
      <w:r>
        <w:t xml:space="preserve">  [Accessed 18 Aug. 2026].</w:t>
      </w:r>
    </w:p>
    <w:p w:rsidR="003D104A" w:rsidRDefault="003D104A" w:rsidP="003D104A">
      <w:pPr>
        <w:pStyle w:val="NormalWeb"/>
        <w:spacing w:before="0" w:beforeAutospacing="0" w:after="240" w:afterAutospacing="0" w:line="360" w:lineRule="auto"/>
        <w:jc w:val="both"/>
      </w:pPr>
      <w:r>
        <w:rPr>
          <w:color w:val="000000"/>
        </w:rPr>
        <w:t xml:space="preserve">Chen, R. and Perry, P. (2026). Configurational pathways for technology-enabled ESG value creation in global supply chains. </w:t>
      </w:r>
      <w:r>
        <w:rPr>
          <w:i/>
          <w:iCs/>
          <w:color w:val="000000"/>
        </w:rPr>
        <w:t>Journal of Business Research</w:t>
      </w:r>
      <w:r>
        <w:rPr>
          <w:color w:val="000000"/>
        </w:rPr>
        <w:t xml:space="preserve">, [online] 215, p.116356. </w:t>
      </w:r>
      <w:r>
        <w:rPr>
          <w:color w:val="000000"/>
        </w:rPr>
        <w:lastRenderedPageBreak/>
        <w:t xml:space="preserve">Available at: </w:t>
      </w:r>
      <w:hyperlink r:id="rId32" w:history="1">
        <w:r>
          <w:rPr>
            <w:rStyle w:val="Hyperlink"/>
            <w:color w:val="1155CC"/>
          </w:rPr>
          <w:t>https://www.sciencedirect.com/science/article/pii/S0148296326003917</w:t>
        </w:r>
      </w:hyperlink>
      <w:r w:rsidR="002077D3">
        <w:rPr>
          <w:color w:val="000000"/>
        </w:rPr>
        <w:t>  [Accessed 20</w:t>
      </w:r>
      <w:r>
        <w:rPr>
          <w:color w:val="000000"/>
        </w:rPr>
        <w:t xml:space="preserve"> Aug. 2026].</w:t>
      </w:r>
    </w:p>
    <w:p w:rsidR="003D104A" w:rsidRDefault="003D104A" w:rsidP="003D104A">
      <w:pPr>
        <w:pStyle w:val="NormalWeb"/>
        <w:spacing w:before="0" w:beforeAutospacing="0" w:after="240" w:afterAutospacing="0" w:line="360" w:lineRule="auto"/>
        <w:jc w:val="both"/>
      </w:pPr>
      <w:r>
        <w:rPr>
          <w:color w:val="000000"/>
        </w:rPr>
        <w:t xml:space="preserve">Connor-Crabb, A., Hemingray, C. and Toms, S. (2026). Can digital technologies support sufficiency in fashion? Evidence from innovative UK fashion SMEs. </w:t>
      </w:r>
      <w:r>
        <w:rPr>
          <w:i/>
          <w:iCs/>
          <w:color w:val="000000"/>
        </w:rPr>
        <w:t>Fashion Practice</w:t>
      </w:r>
      <w:r>
        <w:rPr>
          <w:color w:val="000000"/>
        </w:rPr>
        <w:t xml:space="preserve">, [online] pp.1–26. Available at: </w:t>
      </w:r>
      <w:hyperlink r:id="rId33" w:history="1">
        <w:r>
          <w:rPr>
            <w:rStyle w:val="Hyperlink"/>
            <w:color w:val="1155CC"/>
          </w:rPr>
          <w:t>https://www.tandfonline.com/doi/full/10.1080/17569370.2026.2639755</w:t>
        </w:r>
      </w:hyperlink>
      <w:r>
        <w:rPr>
          <w:color w:val="000000"/>
        </w:rPr>
        <w:t>  [Accessed 21 Aug. 2026].</w:t>
      </w:r>
    </w:p>
    <w:p w:rsidR="003D104A" w:rsidRDefault="003D104A">
      <w:pPr>
        <w:widowControl w:val="0"/>
      </w:pPr>
      <w:r>
        <w:t xml:space="preserve">Consultancy UK (2026) ‘London now world’s second most expensive office fit-out market’, </w:t>
      </w:r>
      <w:r>
        <w:rPr>
          <w:i/>
          <w:iCs/>
        </w:rPr>
        <w:t>Consultancy.uk</w:t>
      </w:r>
      <w:r>
        <w:t>, 2 June. Available at:</w:t>
      </w:r>
      <w:hyperlink r:id="rId34"/>
      <w:hyperlink r:id="rId35">
        <w:r>
          <w:rPr>
            <w:color w:val="1155CC"/>
            <w:u w:val="single"/>
          </w:rPr>
          <w:t>https://www.consultancy.uk/news/44287/london-now-worlds-second-most-expensive-office-fit-out-market</w:t>
        </w:r>
      </w:hyperlink>
      <w:r>
        <w:t xml:space="preserve">  (Accessed: 18 August 2026).</w:t>
      </w:r>
      <w:r>
        <w:rPr>
          <w:b/>
          <w:bCs/>
        </w:rPr>
        <w:br/>
      </w:r>
      <w:r>
        <w:t>Office for National Statistics (2025a) ‘UK business; activity, size and location: 2025’, 24 September. Available at:</w:t>
      </w:r>
      <w:hyperlink r:id="rId36"/>
      <w:hyperlink r:id="rId37">
        <w:r>
          <w:rPr>
            <w:color w:val="1155CC"/>
            <w:u w:val="single"/>
          </w:rPr>
          <w:t>https://www.ons.gov.uk/businessindustryandtrade/business/activitysizeandlocation/bulletins/ukbusinessactivitysizeandlocation/2025</w:t>
        </w:r>
      </w:hyperlink>
      <w:r w:rsidR="002077D3">
        <w:t xml:space="preserve"> (Accessed: 19</w:t>
      </w:r>
      <w:r>
        <w:t xml:space="preserve"> August 2026).</w:t>
      </w:r>
      <w:r>
        <w:rPr>
          <w:b/>
          <w:bCs/>
        </w:rPr>
        <w:br/>
      </w:r>
      <w:r>
        <w:t>Office for National Statistics (2025b) ‘Who has access to hybrid work in Great Britain?’, 11 June. Available at:</w:t>
      </w:r>
      <w:hyperlink r:id="rId38"/>
      <w:hyperlink r:id="rId39">
        <w:r>
          <w:rPr>
            <w:color w:val="1155CC"/>
            <w:u w:val="single"/>
          </w:rPr>
          <w:t>https://www.ons.gov.uk/employmentandlabourmarket/peopleinwork/employmentandemployeetypes/articles/whohasaccesstohybridworkingreatbritain/latest</w:t>
        </w:r>
      </w:hyperlink>
      <w:r w:rsidR="002077D3">
        <w:t xml:space="preserve"> (Accessed: 19</w:t>
      </w:r>
      <w:r>
        <w:t xml:space="preserve"> August 2026).</w:t>
      </w:r>
      <w:r>
        <w:rPr>
          <w:b/>
          <w:bCs/>
        </w:rPr>
        <w:br/>
      </w:r>
      <w:r>
        <w:t xml:space="preserve">Homes England (2025) </w:t>
      </w:r>
      <w:r>
        <w:rPr>
          <w:i/>
          <w:iCs/>
        </w:rPr>
        <w:t>Homes England annual report and accounts 2024 to 2025</w:t>
      </w:r>
      <w:r>
        <w:t>. Available at:</w:t>
      </w:r>
      <w:hyperlink r:id="rId40"/>
      <w:hyperlink r:id="rId41">
        <w:r>
          <w:rPr>
            <w:color w:val="1155CC"/>
            <w:u w:val="single"/>
          </w:rPr>
          <w:t>https://www.gov.uk/government/publications/homes-england-annual-report-and-accounts-2024-and-2025/homes-england-annual-report-2024-to-2025-chairs-foreword-and-performance-report-accessible-version</w:t>
        </w:r>
      </w:hyperlink>
      <w:r w:rsidR="002077D3">
        <w:t xml:space="preserve"> (Accessed: 19</w:t>
      </w:r>
      <w:r>
        <w:t xml:space="preserve"> August 2026).</w:t>
      </w:r>
    </w:p>
    <w:p w:rsidR="003D104A" w:rsidRDefault="003D104A">
      <w:pPr>
        <w:spacing w:before="0" w:after="160"/>
      </w:pPr>
      <w:r>
        <w:t>Daglio, L., Ginelli, E. and Vignati, G., 2023. Housing design: Furniture or fixtures? Accommodating change through technological and typological innovation. Buildings, 13(7), p.1862.</w:t>
      </w:r>
      <w:hyperlink r:id="rId42">
        <w:r>
          <w:rPr>
            <w:color w:val="1155CC"/>
            <w:u w:val="single"/>
          </w:rPr>
          <w:t>https://www.mdpi.com/2075-5309/13/7/1862</w:t>
        </w:r>
      </w:hyperlink>
    </w:p>
    <w:p w:rsidR="003D104A" w:rsidRDefault="003D104A">
      <w:r>
        <w:t xml:space="preserve">‌Dalton, L. (2025). </w:t>
      </w:r>
      <w:r>
        <w:rPr>
          <w:i/>
          <w:iCs/>
        </w:rPr>
        <w:t>Working from Home Statistics UK: The 2025 Report</w:t>
      </w:r>
      <w:r>
        <w:t xml:space="preserve">. [online] Working From Coffee Shops. Available at: </w:t>
      </w:r>
      <w:hyperlink r:id="rId43">
        <w:r>
          <w:rPr>
            <w:color w:val="1155CC"/>
            <w:u w:val="single"/>
          </w:rPr>
          <w:t>https://www.workingfromcoffeeshops.co.uk/blog/working-from-home-statistics-uk</w:t>
        </w:r>
      </w:hyperlink>
      <w:r w:rsidR="002077D3">
        <w:t xml:space="preserve">  [Accessed 21</w:t>
      </w:r>
      <w:r>
        <w:t xml:space="preserve"> Aug. 2026].</w:t>
      </w:r>
    </w:p>
    <w:p w:rsidR="003D104A" w:rsidRDefault="003D104A" w:rsidP="003D104A">
      <w:pPr>
        <w:pStyle w:val="NormalWeb"/>
        <w:spacing w:before="0" w:beforeAutospacing="0" w:after="240" w:afterAutospacing="0" w:line="360" w:lineRule="auto"/>
        <w:jc w:val="both"/>
      </w:pPr>
      <w:r>
        <w:rPr>
          <w:color w:val="000000"/>
        </w:rPr>
        <w:lastRenderedPageBreak/>
        <w:t xml:space="preserve">Dao, T., Cooper, T. and Watkins, M. (2026). Examining the ‘consumer repair journey’ and business intervention opportunities to enhance customer experience and satisfaction. </w:t>
      </w:r>
      <w:r>
        <w:rPr>
          <w:i/>
          <w:iCs/>
          <w:color w:val="000000"/>
        </w:rPr>
        <w:t>Circular Economy and Sustainability</w:t>
      </w:r>
      <w:r>
        <w:rPr>
          <w:color w:val="000000"/>
        </w:rPr>
        <w:t xml:space="preserve">, [online] 6(2). Available at: </w:t>
      </w:r>
      <w:hyperlink r:id="rId44" w:history="1">
        <w:r>
          <w:rPr>
            <w:rStyle w:val="Hyperlink"/>
            <w:color w:val="1155CC"/>
          </w:rPr>
          <w:t>https://link.springer.com/article/10.1007/s43615-026-00773-x</w:t>
        </w:r>
      </w:hyperlink>
      <w:r>
        <w:rPr>
          <w:color w:val="000000"/>
        </w:rPr>
        <w:t>  [Accessed 21 Aug. 2026].</w:t>
      </w:r>
    </w:p>
    <w:p w:rsidR="003D104A" w:rsidRDefault="003D104A" w:rsidP="003D104A">
      <w:pPr>
        <w:pStyle w:val="NormalWeb"/>
        <w:spacing w:before="0" w:beforeAutospacing="0" w:after="240" w:afterAutospacing="0" w:line="360" w:lineRule="auto"/>
        <w:jc w:val="both"/>
      </w:pPr>
      <w:r>
        <w:rPr>
          <w:color w:val="000000"/>
        </w:rPr>
        <w:t xml:space="preserve">Das, A.K., Hossain, M.F., Khan, B.U., Rahman, M.M., Asad, Z. and Akter, M. (2025). Circular economy: A sustainable model for waste reduction and wealth creation in the textile supply chain. </w:t>
      </w:r>
      <w:r>
        <w:rPr>
          <w:i/>
          <w:iCs/>
          <w:color w:val="000000"/>
        </w:rPr>
        <w:t>SPE Polymers</w:t>
      </w:r>
      <w:r>
        <w:rPr>
          <w:color w:val="000000"/>
        </w:rPr>
        <w:t xml:space="preserve">, [online] 6(1). Available at: </w:t>
      </w:r>
      <w:hyperlink r:id="rId45" w:history="1">
        <w:r>
          <w:rPr>
            <w:rStyle w:val="Hyperlink"/>
            <w:color w:val="1155CC"/>
          </w:rPr>
          <w:t>https://4spepublications.onlinelibrary.wiley.com/doi/10.1002/pls2.10171</w:t>
        </w:r>
      </w:hyperlink>
      <w:r w:rsidR="002077D3">
        <w:rPr>
          <w:color w:val="000000"/>
        </w:rPr>
        <w:t>  [Accessed 22</w:t>
      </w:r>
      <w:r>
        <w:rPr>
          <w:color w:val="000000"/>
        </w:rPr>
        <w:t xml:space="preserve"> Aug. 2026].</w:t>
      </w:r>
    </w:p>
    <w:p w:rsidR="003D104A" w:rsidRDefault="003D104A">
      <w:pPr>
        <w:spacing w:before="0"/>
      </w:pPr>
      <w:r>
        <w:t xml:space="preserve">Dauerer, A. (2025). A systematic literature review of performance measurement systems and the integration of ESG factors. </w:t>
      </w:r>
      <w:r>
        <w:rPr>
          <w:i/>
          <w:iCs/>
        </w:rPr>
        <w:t>Environmental and Sustainability Indicators</w:t>
      </w:r>
      <w:r>
        <w:t xml:space="preserve">, [online] 27, p.100746. </w:t>
      </w:r>
      <w:hyperlink r:id="rId46">
        <w:r>
          <w:rPr>
            <w:color w:val="1155CC"/>
            <w:u w:val="single"/>
          </w:rPr>
          <w:t>https://doi.org/10.1016/j.indic.2025.100746</w:t>
        </w:r>
      </w:hyperlink>
    </w:p>
    <w:p w:rsidR="003D104A" w:rsidRDefault="003D104A" w:rsidP="003D104A">
      <w:pPr>
        <w:pStyle w:val="NormalWeb"/>
        <w:spacing w:before="0" w:beforeAutospacing="0" w:after="240" w:afterAutospacing="0" w:line="360" w:lineRule="auto"/>
        <w:jc w:val="both"/>
      </w:pPr>
      <w:r>
        <w:rPr>
          <w:color w:val="000000"/>
        </w:rPr>
        <w:t xml:space="preserve">Davis, T. and Charter, M. (2025). Creative Industries and the circular economy: A reality check across global policy, practice, and research. </w:t>
      </w:r>
      <w:r>
        <w:rPr>
          <w:i/>
          <w:iCs/>
          <w:color w:val="000000"/>
        </w:rPr>
        <w:t>Sustainability</w:t>
      </w:r>
      <w:r>
        <w:rPr>
          <w:color w:val="000000"/>
        </w:rPr>
        <w:t xml:space="preserve">, [online] 17(23), p.10460. Available at: </w:t>
      </w:r>
      <w:hyperlink r:id="rId47" w:history="1">
        <w:r>
          <w:rPr>
            <w:rStyle w:val="Hyperlink"/>
            <w:color w:val="1155CC"/>
          </w:rPr>
          <w:t>https://www.mdpi.com/2071-1050/17/23/10460</w:t>
        </w:r>
      </w:hyperlink>
      <w:r>
        <w:rPr>
          <w:color w:val="000000"/>
        </w:rPr>
        <w:t>  [Accessed 21 Aug. 2026].</w:t>
      </w:r>
    </w:p>
    <w:p w:rsidR="003D104A" w:rsidRDefault="003D104A">
      <w:pPr>
        <w:widowControl w:val="0"/>
      </w:pPr>
      <w:r>
        <w:t xml:space="preserve">Department for Environment, Food and Rural Affairs (2023) </w:t>
      </w:r>
      <w:r>
        <w:rPr>
          <w:i/>
          <w:iCs/>
        </w:rPr>
        <w:t>Maximising resources, minimising waste: a circular economy approach to resource and waste management in England</w:t>
      </w:r>
      <w:r>
        <w:t xml:space="preserve">. Available at: </w:t>
      </w:r>
      <w:hyperlink r:id="rId48">
        <w:r>
          <w:rPr>
            <w:color w:val="1155CC"/>
            <w:u w:val="single"/>
          </w:rPr>
          <w:t>https://www.gov.uk/government/publications/waste-prevention-programme-for-england-maximising-resources-minimising-waste/the-waste-prevention-programme-for-england-maximising-resources-minimising-waste</w:t>
        </w:r>
      </w:hyperlink>
      <w:r w:rsidR="002077D3">
        <w:t xml:space="preserve"> (Accessed: 17</w:t>
      </w:r>
      <w:r>
        <w:t xml:space="preserve"> August 2026).</w:t>
      </w:r>
    </w:p>
    <w:p w:rsidR="003D104A" w:rsidRDefault="003D104A" w:rsidP="003D104A">
      <w:pPr>
        <w:pStyle w:val="NormalWeb"/>
        <w:spacing w:before="0" w:beforeAutospacing="0" w:after="240" w:afterAutospacing="0" w:line="360" w:lineRule="auto"/>
        <w:jc w:val="both"/>
      </w:pPr>
      <w:r>
        <w:rPr>
          <w:color w:val="000000"/>
        </w:rPr>
        <w:t xml:space="preserve">Elarabi, H.A.O. and Khalifa, W. (2025). Impact of sustainable finance on business financial performance: Insight from London Stock Exchange firms. </w:t>
      </w:r>
      <w:r>
        <w:rPr>
          <w:i/>
          <w:iCs/>
          <w:color w:val="000000"/>
        </w:rPr>
        <w:t>Sustainability</w:t>
      </w:r>
      <w:r>
        <w:rPr>
          <w:color w:val="000000"/>
        </w:rPr>
        <w:t xml:space="preserve">, [online] 17(11), p.4898. Available at: </w:t>
      </w:r>
      <w:hyperlink r:id="rId49" w:history="1">
        <w:r>
          <w:rPr>
            <w:rStyle w:val="Hyperlink"/>
            <w:color w:val="1155CC"/>
          </w:rPr>
          <w:t>https://www.mdpi.com/2071-1050/17/11/4898</w:t>
        </w:r>
      </w:hyperlink>
      <w:r>
        <w:rPr>
          <w:color w:val="000000"/>
        </w:rPr>
        <w:t>  [Accessed 21 Aug. 2026].</w:t>
      </w:r>
    </w:p>
    <w:p w:rsidR="003D104A" w:rsidRDefault="003D104A">
      <w:pPr>
        <w:widowControl w:val="0"/>
      </w:pPr>
      <w:r>
        <w:t xml:space="preserve">Find a Tender (2025) </w:t>
      </w:r>
      <w:r>
        <w:rPr>
          <w:i/>
          <w:iCs/>
        </w:rPr>
        <w:t>Sustainable Furniture Solutions</w:t>
      </w:r>
      <w:r>
        <w:t>. Available at:</w:t>
      </w:r>
      <w:hyperlink r:id="rId50"/>
      <w:hyperlink r:id="rId51">
        <w:r>
          <w:rPr>
            <w:color w:val="1155CC"/>
            <w:u w:val="single"/>
          </w:rPr>
          <w:t>https://www.find-tender.service.gov.uk/Notice/051565-2025</w:t>
        </w:r>
      </w:hyperlink>
      <w:r>
        <w:t>(Accessed: 18 August 2026).</w:t>
      </w:r>
    </w:p>
    <w:p w:rsidR="003D104A" w:rsidRDefault="003D104A">
      <w:pPr>
        <w:spacing w:before="0"/>
      </w:pPr>
      <w:r>
        <w:lastRenderedPageBreak/>
        <w:t xml:space="preserve">Fu, Q., Nicholson, G.L. and Easton, J.M. (2024). Understanding data quality in a data-driven industry context: Insights from the fundamentals. </w:t>
      </w:r>
      <w:r>
        <w:rPr>
          <w:i/>
          <w:iCs/>
        </w:rPr>
        <w:t>Journal of Industrial Information Integration</w:t>
      </w:r>
      <w:r>
        <w:t xml:space="preserve">, [online] 42, p.100729. </w:t>
      </w:r>
      <w:hyperlink r:id="rId52">
        <w:r>
          <w:rPr>
            <w:color w:val="1155CC"/>
            <w:u w:val="single"/>
          </w:rPr>
          <w:t>https://www.sciencedirect.com/journal/journal-of-industrial-information-integration/vol/42/suppl/C</w:t>
        </w:r>
      </w:hyperlink>
    </w:p>
    <w:p w:rsidR="003D104A" w:rsidRDefault="003D104A" w:rsidP="003D104A">
      <w:pPr>
        <w:pStyle w:val="NormalWeb"/>
        <w:spacing w:before="0" w:beforeAutospacing="0" w:after="240" w:afterAutospacing="0" w:line="360" w:lineRule="auto"/>
        <w:jc w:val="both"/>
      </w:pPr>
      <w:r>
        <w:rPr>
          <w:color w:val="000000"/>
        </w:rPr>
        <w:t xml:space="preserve">Fu, Y., Li, Y. and Li, X. (2023). Coexisting or coworking? The reconfigured office spaces in two emerging global cities. </w:t>
      </w:r>
      <w:r>
        <w:rPr>
          <w:i/>
          <w:iCs/>
          <w:color w:val="000000"/>
        </w:rPr>
        <w:t>Journal of Urban Affairs</w:t>
      </w:r>
      <w:r>
        <w:rPr>
          <w:color w:val="000000"/>
        </w:rPr>
        <w:t xml:space="preserve">, [online] pp.1–18. Available at: </w:t>
      </w:r>
      <w:hyperlink r:id="rId53" w:history="1">
        <w:r>
          <w:rPr>
            <w:rStyle w:val="Hyperlink"/>
            <w:color w:val="1155CC"/>
          </w:rPr>
          <w:t>https://www.researchgate.net/publication/373599608_Coexisting_or_coworking_The_reconfigured_office_spaces_in_two_emerging_global_citie</w:t>
        </w:r>
      </w:hyperlink>
      <w:r w:rsidR="002077D3">
        <w:rPr>
          <w:color w:val="000000"/>
        </w:rPr>
        <w:t xml:space="preserve"> s [Accessed 20</w:t>
      </w:r>
      <w:r>
        <w:rPr>
          <w:color w:val="000000"/>
        </w:rPr>
        <w:t xml:space="preserve"> Aug. 2026].</w:t>
      </w:r>
    </w:p>
    <w:p w:rsidR="003D104A" w:rsidRDefault="003D104A" w:rsidP="003D104A">
      <w:pPr>
        <w:pStyle w:val="NormalWeb"/>
        <w:spacing w:before="0" w:beforeAutospacing="0" w:after="240" w:afterAutospacing="0" w:line="360" w:lineRule="auto"/>
        <w:jc w:val="both"/>
      </w:pPr>
      <w:r>
        <w:rPr>
          <w:color w:val="000000"/>
        </w:rPr>
        <w:t xml:space="preserve">Gorecka, I. (2025). </w:t>
      </w:r>
      <w:r>
        <w:rPr>
          <w:i/>
          <w:iCs/>
          <w:color w:val="000000"/>
        </w:rPr>
        <w:t>Beyond recycling: The role of office furniture in a truly sustainable economy</w:t>
      </w:r>
      <w:r>
        <w:rPr>
          <w:color w:val="000000"/>
        </w:rPr>
        <w:t xml:space="preserve">. [online] Coggin-sos.co.uk. Available at: </w:t>
      </w:r>
      <w:hyperlink r:id="rId54" w:history="1">
        <w:r>
          <w:rPr>
            <w:rStyle w:val="Hyperlink"/>
            <w:color w:val="1155CC"/>
          </w:rPr>
          <w:t>https://www.coggin-sos.co.uk/beyond-recycling-the-role-of-office-furniture-in-a-truly-sustainable-econom</w:t>
        </w:r>
      </w:hyperlink>
      <w:r w:rsidR="002077D3">
        <w:rPr>
          <w:color w:val="000000"/>
        </w:rPr>
        <w:t xml:space="preserve"> y [Accessed 20</w:t>
      </w:r>
      <w:r>
        <w:rPr>
          <w:color w:val="000000"/>
        </w:rPr>
        <w:t xml:space="preserve"> Aug. 2026].</w:t>
      </w:r>
    </w:p>
    <w:p w:rsidR="003D104A" w:rsidRDefault="003D104A" w:rsidP="003D104A">
      <w:pPr>
        <w:pStyle w:val="NormalWeb"/>
        <w:spacing w:before="0" w:beforeAutospacing="0" w:after="240" w:afterAutospacing="0" w:line="360" w:lineRule="auto"/>
        <w:jc w:val="both"/>
      </w:pPr>
      <w:r>
        <w:rPr>
          <w:color w:val="000000"/>
        </w:rPr>
        <w:t xml:space="preserve">Government of UK (2025). </w:t>
      </w:r>
      <w:r>
        <w:rPr>
          <w:i/>
          <w:iCs/>
          <w:color w:val="000000"/>
        </w:rPr>
        <w:t>UK business; activity, size and location</w:t>
      </w:r>
      <w:r>
        <w:rPr>
          <w:color w:val="000000"/>
        </w:rPr>
        <w:t xml:space="preserve">. [online] Ons.gov.uk. Available at: </w:t>
      </w:r>
      <w:hyperlink r:id="rId55" w:history="1">
        <w:r>
          <w:rPr>
            <w:rStyle w:val="Hyperlink"/>
            <w:color w:val="1155CC"/>
          </w:rPr>
          <w:t>https://www.ons.gov.uk/businessindustryandtrade/business/activitysizeandlocation/bulletins/ukbusinessactivitysizeandlocation/2025</w:t>
        </w:r>
      </w:hyperlink>
      <w:r>
        <w:rPr>
          <w:color w:val="000000"/>
        </w:rPr>
        <w:t>  [Accessed 21 Aug. 2026].</w:t>
      </w:r>
    </w:p>
    <w:p w:rsidR="003D104A" w:rsidRDefault="003D104A">
      <w:pPr>
        <w:spacing w:before="0"/>
      </w:pPr>
      <w:r>
        <w:t xml:space="preserve">Grand View Research (2024). </w:t>
      </w:r>
      <w:r>
        <w:rPr>
          <w:i/>
          <w:iCs/>
        </w:rPr>
        <w:t>UK Eco-friendly Furniture Market Size &amp; Outlook, 2030</w:t>
      </w:r>
      <w:r>
        <w:t xml:space="preserve">. [online] </w:t>
      </w:r>
      <w:r>
        <w:rPr>
          <w:i/>
          <w:iCs/>
        </w:rPr>
        <w:t>Grandviewresearch.com</w:t>
      </w:r>
      <w:r>
        <w:t xml:space="preserve">. Available at: </w:t>
      </w:r>
      <w:hyperlink r:id="rId56">
        <w:r>
          <w:rPr>
            <w:color w:val="1155CC"/>
            <w:u w:val="single"/>
          </w:rPr>
          <w:t>https://www.grandviewresearch.com/horizon/outlook/eco-friendly-furniture-market/uk</w:t>
        </w:r>
      </w:hyperlink>
      <w:r>
        <w:t xml:space="preserve">. </w:t>
      </w:r>
    </w:p>
    <w:p w:rsidR="003D104A" w:rsidRDefault="003D104A">
      <w:pPr>
        <w:spacing w:before="0" w:after="160"/>
      </w:pPr>
      <w:r>
        <w:t>Halat, K., Childe, S., Golding, N. and Summerscales, J., 2026. Scope 3 Carbon Emissions Assessment for Manufacturing SMEs. Corporate Social Responsibility and Environmental Management.</w:t>
      </w:r>
      <w:hyperlink r:id="rId57">
        <w:r>
          <w:rPr>
            <w:color w:val="1155CC"/>
            <w:u w:val="single"/>
          </w:rPr>
          <w:t>https://onlinelibrary.wiley.com/doi/pdf/10.1002/csr.70489</w:t>
        </w:r>
      </w:hyperlink>
    </w:p>
    <w:p w:rsidR="003D104A" w:rsidRDefault="003D104A">
      <w:pPr>
        <w:spacing w:before="0" w:after="160"/>
      </w:pPr>
      <w:r>
        <w:t>Hidalgo-Crespo, J., Riel, A., Duberg, J.V., Bunodiere, A. and Golinska-Dawson, P., 2024. An exploratory study for product-as-a-service (PaaS) offers development for electrical and electronic equipment. Procedia CIRP, 122, pp.521-526.</w:t>
      </w:r>
      <w:hyperlink r:id="rId58">
        <w:r>
          <w:rPr>
            <w:color w:val="1155CC"/>
            <w:u w:val="single"/>
          </w:rPr>
          <w:t>https://www.sciencedirect.com/science/article/pii/S2212827124000933/pdf?md5=eef925a01737505493cc025e4f44a238&amp;pid=1-s2.0-S2212827124000933-main.pdf</w:t>
        </w:r>
      </w:hyperlink>
    </w:p>
    <w:p w:rsidR="003D104A" w:rsidRDefault="003D104A" w:rsidP="003D104A">
      <w:pPr>
        <w:pStyle w:val="NormalWeb"/>
        <w:spacing w:before="0" w:beforeAutospacing="0" w:after="240" w:afterAutospacing="0" w:line="360" w:lineRule="auto"/>
        <w:jc w:val="both"/>
      </w:pPr>
      <w:r>
        <w:rPr>
          <w:color w:val="000000"/>
        </w:rPr>
        <w:lastRenderedPageBreak/>
        <w:t xml:space="preserve">Hokmabadi, H., Rezvani, S.M.H.S. and de Matos, C.A. (2024). Business resilience for small and medium enterprises and startups by digital transformation and the role of marketing capabilities—A systematic review. </w:t>
      </w:r>
      <w:r>
        <w:rPr>
          <w:i/>
          <w:iCs/>
          <w:color w:val="000000"/>
        </w:rPr>
        <w:t>Systems</w:t>
      </w:r>
      <w:r>
        <w:rPr>
          <w:color w:val="000000"/>
        </w:rPr>
        <w:t xml:space="preserve">, [online] 12(6), p.220. Available at: </w:t>
      </w:r>
      <w:hyperlink r:id="rId59" w:history="1">
        <w:r>
          <w:rPr>
            <w:rStyle w:val="Hyperlink"/>
            <w:color w:val="1155CC"/>
          </w:rPr>
          <w:t>https://www.mdpi.com/2079-8954/12/6/220</w:t>
        </w:r>
      </w:hyperlink>
      <w:r w:rsidR="002077D3">
        <w:rPr>
          <w:color w:val="000000"/>
        </w:rPr>
        <w:t>  [Accessed 20</w:t>
      </w:r>
      <w:r>
        <w:rPr>
          <w:color w:val="000000"/>
        </w:rPr>
        <w:t xml:space="preserve"> Aug. 2026].</w:t>
      </w:r>
    </w:p>
    <w:p w:rsidR="003D104A" w:rsidRDefault="003D104A" w:rsidP="003D104A">
      <w:pPr>
        <w:pStyle w:val="NormalWeb"/>
        <w:spacing w:before="0" w:beforeAutospacing="0" w:after="240" w:afterAutospacing="0" w:line="360" w:lineRule="auto"/>
        <w:jc w:val="both"/>
      </w:pPr>
      <w:r>
        <w:rPr>
          <w:color w:val="000000"/>
        </w:rPr>
        <w:t xml:space="preserve">Holman, D., Davis, M., Escaffi-Schwarz, M. and Ono, M. (2026). The hybrid workspace: Testing an activity-based model of hybrid workspace design. </w:t>
      </w:r>
      <w:r>
        <w:rPr>
          <w:i/>
          <w:iCs/>
          <w:color w:val="000000"/>
        </w:rPr>
        <w:t>European Journal of Work and Organizational Psychology</w:t>
      </w:r>
      <w:r>
        <w:rPr>
          <w:color w:val="000000"/>
        </w:rPr>
        <w:t xml:space="preserve">, [online] pp.1–21. Available at: </w:t>
      </w:r>
      <w:hyperlink r:id="rId60" w:history="1">
        <w:r>
          <w:rPr>
            <w:rStyle w:val="Hyperlink"/>
            <w:color w:val="1155CC"/>
          </w:rPr>
          <w:t>https://www.tandfonline.com/doi/full/10.1080/1359432X.2026.2648294</w:t>
        </w:r>
      </w:hyperlink>
      <w:r w:rsidR="002077D3">
        <w:rPr>
          <w:color w:val="000000"/>
        </w:rPr>
        <w:t>  [Accessed 20</w:t>
      </w:r>
      <w:r>
        <w:rPr>
          <w:color w:val="000000"/>
        </w:rPr>
        <w:t xml:space="preserve"> Aug. 2026].</w:t>
      </w:r>
    </w:p>
    <w:p w:rsidR="003D104A" w:rsidRDefault="003D104A">
      <w:pPr>
        <w:spacing w:before="0"/>
      </w:pPr>
      <w:r>
        <w:t xml:space="preserve">Kalbach, J., Wermuth, Y., Duda, S. and Florin Ciontu (2024). Jobs-to-be-done at scale: Disrupting the status quo with customer focus. </w:t>
      </w:r>
      <w:r>
        <w:rPr>
          <w:i/>
          <w:iCs/>
        </w:rPr>
        <w:t>Journal of digital &amp; social media marketing.</w:t>
      </w:r>
      <w:r>
        <w:t xml:space="preserve">, [online] 12(3), pp.262–262. </w:t>
      </w:r>
      <w:hyperlink r:id="rId61">
        <w:r>
          <w:rPr>
            <w:color w:val="1155CC"/>
            <w:u w:val="single"/>
          </w:rPr>
          <w:t>https://doi.org/10.69554/NJQQ4314</w:t>
        </w:r>
      </w:hyperlink>
    </w:p>
    <w:p w:rsidR="003D104A" w:rsidRDefault="003D104A" w:rsidP="003D104A">
      <w:pPr>
        <w:pStyle w:val="NormalWeb"/>
        <w:spacing w:before="0" w:beforeAutospacing="0" w:after="240" w:afterAutospacing="0" w:line="360" w:lineRule="auto"/>
        <w:jc w:val="both"/>
      </w:pPr>
      <w:r>
        <w:rPr>
          <w:color w:val="000000"/>
        </w:rPr>
        <w:t xml:space="preserve">Kaluvilla, B.B., Mulla, T. and Zahidi, F. (2025). Driving sustainable choices through understanding consumer behaviour and underlying factors that influence the purchasing intention of refurbished furniture. </w:t>
      </w:r>
      <w:r>
        <w:rPr>
          <w:i/>
          <w:iCs/>
          <w:color w:val="000000"/>
        </w:rPr>
        <w:t>Discover Sustainability</w:t>
      </w:r>
      <w:r>
        <w:rPr>
          <w:color w:val="000000"/>
        </w:rPr>
        <w:t xml:space="preserve">, [online] 6(1). Available at: </w:t>
      </w:r>
      <w:hyperlink r:id="rId62" w:history="1">
        <w:r>
          <w:rPr>
            <w:rStyle w:val="Hyperlink"/>
            <w:color w:val="1155CC"/>
          </w:rPr>
          <w:t>https://link.springer.com/article/10.1007/s43621-025-01497-y</w:t>
        </w:r>
      </w:hyperlink>
      <w:r w:rsidR="002077D3">
        <w:rPr>
          <w:color w:val="000000"/>
        </w:rPr>
        <w:t>  [Accessed 19</w:t>
      </w:r>
      <w:r>
        <w:rPr>
          <w:color w:val="000000"/>
        </w:rPr>
        <w:t xml:space="preserve"> Aug. 2026].</w:t>
      </w:r>
    </w:p>
    <w:p w:rsidR="003D104A" w:rsidRDefault="003D104A">
      <w:pPr>
        <w:spacing w:before="0" w:after="160"/>
      </w:pPr>
      <w:r>
        <w:t>Kans, Mirka, ChamirangikaMadushaniHettiArachchige, and Dan Paulin. "Circular Strategies in the Swedish Furniture Industry–A Business Modelling Approach." In Sustainable Production through Advanced Manufacturing, Intelligent Automation and Work Integrated Learning: Proceedings of the 11th Swedish Production Symposium (SPS2024), pp. 552-563. 1 Oliver's Yard, 55 City Road, London, EC1Y 1SP: SAGE Publications, 2024.</w:t>
      </w:r>
      <w:hyperlink r:id="rId63">
        <w:r>
          <w:rPr>
            <w:color w:val="1155CC"/>
            <w:u w:val="single"/>
          </w:rPr>
          <w:t>https://journals.sagepub.com/doi/pdf/10.3233/ATDE240197</w:t>
        </w:r>
      </w:hyperlink>
    </w:p>
    <w:p w:rsidR="003D104A" w:rsidRDefault="003D104A" w:rsidP="003D104A">
      <w:pPr>
        <w:pStyle w:val="NormalWeb"/>
        <w:spacing w:before="0" w:beforeAutospacing="0" w:after="240" w:afterAutospacing="0" w:line="360" w:lineRule="auto"/>
        <w:jc w:val="both"/>
      </w:pPr>
      <w:r>
        <w:rPr>
          <w:color w:val="000000"/>
        </w:rPr>
        <w:t xml:space="preserve">Kowalkowski, C. and Ulaga, W. (2024). Subscription offers in business-to-business markets: Conceptualization, taxonomy, and framework for growth. </w:t>
      </w:r>
      <w:r>
        <w:rPr>
          <w:i/>
          <w:iCs/>
          <w:color w:val="000000"/>
        </w:rPr>
        <w:t>Industrial Marketing Management</w:t>
      </w:r>
      <w:r>
        <w:rPr>
          <w:color w:val="000000"/>
        </w:rPr>
        <w:t xml:space="preserve">, [online] 117, pp.440–456. Available at: </w:t>
      </w:r>
      <w:hyperlink r:id="rId64" w:history="1">
        <w:r>
          <w:rPr>
            <w:rStyle w:val="Hyperlink"/>
            <w:color w:val="1155CC"/>
          </w:rPr>
          <w:t>https://www.sciencedirect.com/science/article/pii/S0019850124000142</w:t>
        </w:r>
      </w:hyperlink>
      <w:r>
        <w:rPr>
          <w:color w:val="000000"/>
        </w:rPr>
        <w:t>  [Accessed 21 Aug. 2026].</w:t>
      </w:r>
    </w:p>
    <w:p w:rsidR="003D104A" w:rsidRDefault="003D104A" w:rsidP="003D104A">
      <w:pPr>
        <w:pStyle w:val="NormalWeb"/>
        <w:spacing w:before="0" w:beforeAutospacing="0" w:after="240" w:afterAutospacing="0" w:line="360" w:lineRule="auto"/>
        <w:jc w:val="both"/>
      </w:pPr>
      <w:r>
        <w:rPr>
          <w:color w:val="000000"/>
        </w:rPr>
        <w:lastRenderedPageBreak/>
        <w:t xml:space="preserve">Kudrenko, I., Mukhametov, A. and Aslanov, E.S. (2025). Structural modification of supply chains in the imperatives of circular economy. </w:t>
      </w:r>
      <w:r>
        <w:rPr>
          <w:i/>
          <w:iCs/>
          <w:color w:val="000000"/>
        </w:rPr>
        <w:t>Journal of Innovation and Entrepreneurship</w:t>
      </w:r>
      <w:r>
        <w:rPr>
          <w:color w:val="000000"/>
        </w:rPr>
        <w:t xml:space="preserve">, [online] 14(1). Available at: </w:t>
      </w:r>
      <w:hyperlink r:id="rId65" w:history="1">
        <w:r>
          <w:rPr>
            <w:rStyle w:val="Hyperlink"/>
            <w:color w:val="1155CC"/>
          </w:rPr>
          <w:t>https://link.springer.com/article/10.1186/s13731-025-00515-7</w:t>
        </w:r>
      </w:hyperlink>
      <w:r>
        <w:rPr>
          <w:color w:val="000000"/>
        </w:rPr>
        <w:t>  [Accessed 21 Aug. 2026].</w:t>
      </w:r>
    </w:p>
    <w:p w:rsidR="003D104A" w:rsidRDefault="003D104A">
      <w:pPr>
        <w:spacing w:before="0" w:after="160"/>
      </w:pPr>
      <w:r>
        <w:t>Kusumo, F., Mahlia, T.M.I., Pradhan, S., Ong, H.C., Silitonga, A.S., Fattah, I.R., Nghiem, L.D. and Mofijur, M., 2022. A framework to assess indicators of the circular economy in biological systems. Environmental Technology &amp; Innovation, 28, p.102945.</w:t>
      </w:r>
      <w:hyperlink r:id="rId66">
        <w:r>
          <w:rPr>
            <w:color w:val="1155CC"/>
            <w:u w:val="single"/>
          </w:rPr>
          <w:t>https://www.sciencedirect.com/science/article/pii/S2352186422003686</w:t>
        </w:r>
      </w:hyperlink>
    </w:p>
    <w:p w:rsidR="003D104A" w:rsidRDefault="003D104A">
      <w:r>
        <w:t xml:space="preserve">‌Liu, Q., Wang, R., Pareti, M., Castellini, A., Viaggi, D. and Canavari, M. (2026). Big data in consumer behavior research: a systematic review of data sources, analytical methods, and research questions. </w:t>
      </w:r>
      <w:r>
        <w:rPr>
          <w:i/>
          <w:iCs/>
        </w:rPr>
        <w:t>Journal of Marketing Analytics</w:t>
      </w:r>
      <w:r>
        <w:t xml:space="preserve">. [online] </w:t>
      </w:r>
      <w:hyperlink r:id="rId67" w:anchor="citeas">
        <w:r>
          <w:rPr>
            <w:color w:val="1155CC"/>
            <w:u w:val="single"/>
          </w:rPr>
          <w:t>https://link.springer.com/article/10.1057/s41270-026-00470-6#citeas</w:t>
        </w:r>
      </w:hyperlink>
    </w:p>
    <w:p w:rsidR="003D104A" w:rsidRDefault="003D104A" w:rsidP="003D104A">
      <w:pPr>
        <w:pStyle w:val="NormalWeb"/>
        <w:spacing w:before="0" w:beforeAutospacing="0" w:after="240" w:afterAutospacing="0" w:line="360" w:lineRule="auto"/>
        <w:jc w:val="both"/>
      </w:pPr>
      <w:r>
        <w:rPr>
          <w:color w:val="000000"/>
        </w:rPr>
        <w:t xml:space="preserve">Liu, X., Zhou, B., Qi, W., Li, Z. and Wang, J. (2025). Value-added service pricing strategies considering customer stickiness: A freemium perspective. </w:t>
      </w:r>
      <w:r>
        <w:rPr>
          <w:i/>
          <w:iCs/>
          <w:color w:val="000000"/>
        </w:rPr>
        <w:t>Journal of theoretical and applied electronic commerce research</w:t>
      </w:r>
      <w:r>
        <w:rPr>
          <w:color w:val="000000"/>
        </w:rPr>
        <w:t xml:space="preserve">, [online] 20(3), pp.201–201. Available at: </w:t>
      </w:r>
      <w:hyperlink r:id="rId68" w:history="1">
        <w:r>
          <w:rPr>
            <w:rStyle w:val="Hyperlink"/>
            <w:color w:val="1155CC"/>
          </w:rPr>
          <w:t>https://www.mdpi.com/0718-1876/20/3/201</w:t>
        </w:r>
      </w:hyperlink>
      <w:r w:rsidR="002077D3">
        <w:rPr>
          <w:color w:val="000000"/>
        </w:rPr>
        <w:t>  [Accessed 20</w:t>
      </w:r>
      <w:r>
        <w:rPr>
          <w:color w:val="000000"/>
        </w:rPr>
        <w:t xml:space="preserve"> Aug. 2026].</w:t>
      </w:r>
    </w:p>
    <w:p w:rsidR="003D104A" w:rsidRDefault="003D104A" w:rsidP="003D104A">
      <w:pPr>
        <w:pStyle w:val="NormalWeb"/>
        <w:spacing w:before="0" w:beforeAutospacing="0" w:after="240" w:afterAutospacing="0" w:line="360" w:lineRule="auto"/>
        <w:jc w:val="both"/>
      </w:pPr>
      <w:r>
        <w:rPr>
          <w:color w:val="000000"/>
        </w:rPr>
        <w:t xml:space="preserve">Ma, C.-C. and Chang, H.-P. (2024). The perception of consumer behaviors in subscription platforms for surplus food restaurants—An analytical view of the technology acceptance model. </w:t>
      </w:r>
      <w:r>
        <w:rPr>
          <w:i/>
          <w:iCs/>
          <w:color w:val="000000"/>
        </w:rPr>
        <w:t>Foods</w:t>
      </w:r>
      <w:r>
        <w:rPr>
          <w:color w:val="000000"/>
        </w:rPr>
        <w:t xml:space="preserve">, [online] 13(19), pp.3045–3045. Available at: </w:t>
      </w:r>
      <w:hyperlink r:id="rId69" w:history="1">
        <w:r>
          <w:rPr>
            <w:rStyle w:val="Hyperlink"/>
            <w:color w:val="1155CC"/>
          </w:rPr>
          <w:t>https://www.mdpi.com/2304-8158/13/19/3045</w:t>
        </w:r>
      </w:hyperlink>
      <w:r>
        <w:rPr>
          <w:color w:val="000000"/>
        </w:rPr>
        <w:t>  [Accessed 21 Aug. 2026].</w:t>
      </w:r>
    </w:p>
    <w:p w:rsidR="003D104A" w:rsidRDefault="003D104A" w:rsidP="003D104A">
      <w:pPr>
        <w:pStyle w:val="NormalWeb"/>
        <w:spacing w:before="0" w:beforeAutospacing="0" w:after="240" w:afterAutospacing="0" w:line="360" w:lineRule="auto"/>
        <w:jc w:val="both"/>
      </w:pPr>
      <w:r>
        <w:rPr>
          <w:color w:val="000000"/>
        </w:rPr>
        <w:t xml:space="preserve">Markiewicz, E. and Ziobrowska-Sztuczka, J. (2026). Subscription economy as a tool for promoting sustainable consumption in Poland. </w:t>
      </w:r>
      <w:r>
        <w:rPr>
          <w:i/>
          <w:iCs/>
          <w:color w:val="000000"/>
        </w:rPr>
        <w:t>Sustainability</w:t>
      </w:r>
      <w:r>
        <w:rPr>
          <w:color w:val="000000"/>
        </w:rPr>
        <w:t xml:space="preserve">, [online] 18(3), p.1484. Available at: </w:t>
      </w:r>
      <w:hyperlink r:id="rId70" w:history="1">
        <w:r>
          <w:rPr>
            <w:rStyle w:val="Hyperlink"/>
            <w:color w:val="1155CC"/>
          </w:rPr>
          <w:t>https://www.mdpi.com/2071-1050/18/3/1484</w:t>
        </w:r>
      </w:hyperlink>
      <w:r>
        <w:rPr>
          <w:color w:val="000000"/>
        </w:rPr>
        <w:t xml:space="preserve"> [Accessed 21 Aug. 2026].</w:t>
      </w:r>
    </w:p>
    <w:p w:rsidR="003D104A" w:rsidRDefault="003D104A">
      <w:pPr>
        <w:spacing w:before="0" w:after="160"/>
      </w:pPr>
      <w:r>
        <w:t xml:space="preserve">McAllister, P. and Nase, I., 2023. Minimum energy efficiency standards in the commercial real estate sector: A critical review of policy regimes. Journal of Cleaner Production, 393, p.136342. </w:t>
      </w:r>
      <w:hyperlink r:id="rId71">
        <w:r>
          <w:rPr>
            <w:color w:val="1155CC"/>
            <w:u w:val="single"/>
          </w:rPr>
          <w:t>https://www.sciencedirect.com/science/article/pii/S0959652623005000</w:t>
        </w:r>
      </w:hyperlink>
    </w:p>
    <w:p w:rsidR="003D104A" w:rsidRDefault="003D104A">
      <w:pPr>
        <w:spacing w:before="0" w:after="160"/>
      </w:pPr>
      <w:r>
        <w:lastRenderedPageBreak/>
        <w:t xml:space="preserve">Mignon, I. and Bankel, A., 2023. Sustainable business models and innovation strategies to realize them: A review of 87 empirical cases. Business Strategy and the Environment, 32(4), pp.1357-1372. </w:t>
      </w:r>
      <w:hyperlink r:id="rId72">
        <w:r>
          <w:rPr>
            <w:color w:val="1155CC"/>
            <w:u w:val="single"/>
          </w:rPr>
          <w:t>https://onlinelibrary.wiley.com/doi/pdf/10.1002/bse.3192</w:t>
        </w:r>
      </w:hyperlink>
    </w:p>
    <w:p w:rsidR="003D104A" w:rsidRDefault="003D104A">
      <w:pPr>
        <w:spacing w:before="0" w:after="160"/>
      </w:pPr>
      <w:r>
        <w:t>Milios, L., 2021. Overarching policy framework for product life extension in a circular economy—A bottom‐up business perspective. Environmental Policy and Governance, 31(4), pp.330-346.</w:t>
      </w:r>
      <w:hyperlink r:id="rId73">
        <w:r>
          <w:rPr>
            <w:color w:val="1155CC"/>
            <w:u w:val="single"/>
          </w:rPr>
          <w:t>https://onlinelibrary.wiley.com/doi/pdf/10.1002/eet.1927</w:t>
        </w:r>
      </w:hyperlink>
    </w:p>
    <w:p w:rsidR="003D104A" w:rsidRDefault="003D104A" w:rsidP="003D104A">
      <w:pPr>
        <w:pStyle w:val="NormalWeb"/>
        <w:spacing w:before="0" w:beforeAutospacing="0" w:after="240" w:afterAutospacing="0" w:line="360" w:lineRule="auto"/>
        <w:jc w:val="both"/>
      </w:pPr>
      <w:r>
        <w:rPr>
          <w:color w:val="000000"/>
        </w:rPr>
        <w:t xml:space="preserve">Mohri, S.S., Ghaderi, H., Woensel, T. Van, Mohammadi, M., Nassir, N. and Thompson, R.G. (2024). Contextualizing alternative delivery points in last mile delivery. </w:t>
      </w:r>
      <w:r>
        <w:rPr>
          <w:i/>
          <w:iCs/>
          <w:color w:val="000000"/>
        </w:rPr>
        <w:t>Transportation Research Part E: Logistics and Transportation Review</w:t>
      </w:r>
      <w:r>
        <w:rPr>
          <w:color w:val="000000"/>
        </w:rPr>
        <w:t xml:space="preserve">, [online] 192, p.103787. Available at: </w:t>
      </w:r>
      <w:hyperlink r:id="rId74" w:history="1">
        <w:r>
          <w:rPr>
            <w:rStyle w:val="Hyperlink"/>
            <w:color w:val="1155CC"/>
          </w:rPr>
          <w:t>https://www.sciencedirect.com/science/article/pii/S1366554524003788</w:t>
        </w:r>
      </w:hyperlink>
      <w:r>
        <w:rPr>
          <w:color w:val="000000"/>
        </w:rPr>
        <w:t>  [Accessed 21 Aug. 2026].</w:t>
      </w:r>
    </w:p>
    <w:p w:rsidR="003D104A" w:rsidRDefault="003D104A" w:rsidP="003D104A">
      <w:pPr>
        <w:pStyle w:val="NormalWeb"/>
        <w:spacing w:before="0" w:beforeAutospacing="0" w:after="240" w:afterAutospacing="0" w:line="360" w:lineRule="auto"/>
        <w:jc w:val="both"/>
      </w:pPr>
      <w:r>
        <w:rPr>
          <w:color w:val="000000"/>
        </w:rPr>
        <w:t xml:space="preserve">Mokhtar, N.S., Xifeng, N.C. and Wenming, N.Z. (2025). Modular system of cabinets for mass-customized furniture. </w:t>
      </w:r>
      <w:r>
        <w:rPr>
          <w:i/>
          <w:iCs/>
          <w:color w:val="000000"/>
        </w:rPr>
        <w:t>Environment-Behaviour Proceedings Journal</w:t>
      </w:r>
      <w:r>
        <w:rPr>
          <w:color w:val="000000"/>
        </w:rPr>
        <w:t xml:space="preserve">, [online] 10(SI29), pp.67–73. Available at: </w:t>
      </w:r>
      <w:hyperlink r:id="rId75" w:history="1">
        <w:r>
          <w:rPr>
            <w:rStyle w:val="Hyperlink"/>
            <w:color w:val="1155CC"/>
          </w:rPr>
          <w:t>https://www.researchgate.net/publication/394186609_Modular_System_of_Cabinets_for_Mass-Customized_Furniture</w:t>
        </w:r>
      </w:hyperlink>
      <w:r>
        <w:rPr>
          <w:color w:val="000000"/>
        </w:rPr>
        <w:t>  [Accessed 21 Aug. 2026].</w:t>
      </w:r>
    </w:p>
    <w:p w:rsidR="003D104A" w:rsidRDefault="003D104A">
      <w:pPr>
        <w:spacing w:before="0" w:after="160"/>
      </w:pPr>
      <w:r>
        <w:t>Morseletto, P., 2023. Sometimes linear, sometimes circular: States of the economy and transitions to the future. Journal of Cleaner Production, 390, p.136138.</w:t>
      </w:r>
      <w:hyperlink r:id="rId76">
        <w:r>
          <w:rPr>
            <w:color w:val="1155CC"/>
            <w:u w:val="single"/>
          </w:rPr>
          <w:t>https://www.sciencedirect.com/science/article/pii/S0959652623002962</w:t>
        </w:r>
      </w:hyperlink>
    </w:p>
    <w:p w:rsidR="003D104A" w:rsidRDefault="003D104A">
      <w:pPr>
        <w:spacing w:before="0"/>
      </w:pPr>
      <w:r>
        <w:t xml:space="preserve">NjølstadSlotsvik, T., Arne Pettersen Gould, K. and Hayes, J. (2025). Adapting to the rhythm of the procurement cycle. Organizational reliability implications of change processes in procured critical services. </w:t>
      </w:r>
      <w:r>
        <w:rPr>
          <w:i/>
          <w:iCs/>
        </w:rPr>
        <w:t>Safety Science</w:t>
      </w:r>
      <w:r>
        <w:t xml:space="preserve">, [online] 181, p.106672. Available at: </w:t>
      </w:r>
      <w:hyperlink r:id="rId77">
        <w:r>
          <w:rPr>
            <w:color w:val="1155CC"/>
            <w:u w:val="single"/>
          </w:rPr>
          <w:t>https://www.sciencedirect.com/science/article/pii/S0925753524002625</w:t>
        </w:r>
      </w:hyperlink>
      <w:r>
        <w:t xml:space="preserve">  [Accessed 14 Aug. 2026].</w:t>
      </w:r>
    </w:p>
    <w:p w:rsidR="003D104A" w:rsidRDefault="003D104A">
      <w:pPr>
        <w:widowControl w:val="0"/>
      </w:pPr>
      <w:r>
        <w:t>Office for National Statistics (2025) ‘Who has access to hybrid work in Great Britain?’, 11 June. Available at:</w:t>
      </w:r>
      <w:hyperlink r:id="rId78"/>
      <w:hyperlink r:id="rId79">
        <w:r>
          <w:rPr>
            <w:color w:val="1155CC"/>
            <w:u w:val="single"/>
          </w:rPr>
          <w:t>https://www.ons.gov.uk/employmentandlabourmarket/peopleinwork/employmentandemploye</w:t>
        </w:r>
        <w:r>
          <w:rPr>
            <w:color w:val="1155CC"/>
            <w:u w:val="single"/>
          </w:rPr>
          <w:lastRenderedPageBreak/>
          <w:t>etypes/articles/whohasaccesstohybridworkingreatbritain/latest</w:t>
        </w:r>
      </w:hyperlink>
      <w:r>
        <w:t xml:space="preserve"> (Accessed: 18 August 2026).</w:t>
      </w:r>
    </w:p>
    <w:p w:rsidR="003D104A" w:rsidRDefault="003D104A" w:rsidP="003D104A">
      <w:pPr>
        <w:pStyle w:val="NormalWeb"/>
        <w:spacing w:before="0" w:beforeAutospacing="0" w:after="240" w:afterAutospacing="0" w:line="360" w:lineRule="auto"/>
        <w:jc w:val="both"/>
      </w:pPr>
      <w:r>
        <w:rPr>
          <w:color w:val="000000"/>
        </w:rPr>
        <w:t xml:space="preserve">Öngel, F.S., Gonçalves, J. and da Silva, F.N. (2025). Industrial Relocation and Urban Restructuring: Between Decline and Global Connectivity in Setúbal. </w:t>
      </w:r>
      <w:r>
        <w:rPr>
          <w:i/>
          <w:iCs/>
          <w:color w:val="000000"/>
        </w:rPr>
        <w:t>Urban Science</w:t>
      </w:r>
      <w:r>
        <w:rPr>
          <w:color w:val="000000"/>
        </w:rPr>
        <w:t xml:space="preserve">, [online] 9(5), p.167. Available at: </w:t>
      </w:r>
      <w:hyperlink r:id="rId80" w:history="1">
        <w:r>
          <w:rPr>
            <w:rStyle w:val="Hyperlink"/>
            <w:color w:val="1155CC"/>
          </w:rPr>
          <w:t>https://www.mdpi.com/2413-8851/9/5/167</w:t>
        </w:r>
      </w:hyperlink>
      <w:r>
        <w:rPr>
          <w:color w:val="000000"/>
        </w:rPr>
        <w:t>  [Accessed 21 Aug. 2026].</w:t>
      </w:r>
    </w:p>
    <w:p w:rsidR="003D104A" w:rsidRDefault="003D104A">
      <w:pPr>
        <w:spacing w:before="0"/>
      </w:pPr>
      <w:r>
        <w:t xml:space="preserve">Pei, X., Italia, M. and Melazzini, M. (2024). Enhancing circular economy practices in the furniture industry through circular design strategies. </w:t>
      </w:r>
      <w:r>
        <w:rPr>
          <w:i/>
          <w:iCs/>
        </w:rPr>
        <w:t>Sustainability</w:t>
      </w:r>
      <w:r>
        <w:t xml:space="preserve">, [online] 16(15), pp.6544–6544. Available at: </w:t>
      </w:r>
      <w:hyperlink r:id="rId81">
        <w:r>
          <w:rPr>
            <w:color w:val="0000FF"/>
            <w:u w:val="single"/>
          </w:rPr>
          <w:t>https://www.mdpi.com/2071-1050/16/15/6544</w:t>
        </w:r>
      </w:hyperlink>
      <w:r>
        <w:t xml:space="preserve">  [Accessed 14 Aug. 2026].</w:t>
      </w:r>
    </w:p>
    <w:p w:rsidR="003D104A" w:rsidRDefault="003D104A" w:rsidP="003D104A">
      <w:pPr>
        <w:pStyle w:val="NormalWeb"/>
        <w:spacing w:before="0" w:beforeAutospacing="0" w:after="240" w:afterAutospacing="0" w:line="360" w:lineRule="auto"/>
        <w:jc w:val="both"/>
      </w:pPr>
      <w:r>
        <w:rPr>
          <w:color w:val="000000"/>
        </w:rPr>
        <w:t xml:space="preserve">Pei, X., Italia, M. and Melazzini, M. (2024). Enhancing circular economy practices in the furniture industry through circular design strategies. </w:t>
      </w:r>
      <w:r>
        <w:rPr>
          <w:i/>
          <w:iCs/>
          <w:color w:val="000000"/>
        </w:rPr>
        <w:t>Sustainability</w:t>
      </w:r>
      <w:r>
        <w:rPr>
          <w:color w:val="000000"/>
        </w:rPr>
        <w:t xml:space="preserve">, [online] 16(15), pp.6544–6544. Available at: </w:t>
      </w:r>
      <w:hyperlink r:id="rId82" w:history="1">
        <w:r>
          <w:rPr>
            <w:rStyle w:val="Hyperlink"/>
            <w:color w:val="1155CC"/>
          </w:rPr>
          <w:t>https://www.researchgate.net/publication/382751384_Enhancing_Circular_Economy_Practices_in_the_Furniture_Industry_through_Circular_Design_Strategies</w:t>
        </w:r>
      </w:hyperlink>
      <w:r>
        <w:rPr>
          <w:color w:val="000000"/>
        </w:rPr>
        <w:t>  [Accessed 21 Aug. 2026].</w:t>
      </w:r>
    </w:p>
    <w:p w:rsidR="003D104A" w:rsidRDefault="003D104A" w:rsidP="003D104A">
      <w:pPr>
        <w:pStyle w:val="NormalWeb"/>
        <w:spacing w:before="0" w:beforeAutospacing="0" w:after="240" w:afterAutospacing="0" w:line="360" w:lineRule="auto"/>
        <w:jc w:val="both"/>
      </w:pPr>
      <w:r>
        <w:rPr>
          <w:color w:val="000000"/>
        </w:rPr>
        <w:t xml:space="preserve">Pérez-Sánchez, L.À., Velasco-Fernández, R. and Giampietro, M. (2022). Factors and actions for the sustainability of the residential sector. The nexus of energy, materials, space, and time use. </w:t>
      </w:r>
      <w:r>
        <w:rPr>
          <w:i/>
          <w:iCs/>
          <w:color w:val="000000"/>
        </w:rPr>
        <w:t>Renewable and Sustainable Energy Reviews</w:t>
      </w:r>
      <w:r>
        <w:rPr>
          <w:color w:val="000000"/>
        </w:rPr>
        <w:t xml:space="preserve">, [online] 161, p.112388. Available at: </w:t>
      </w:r>
      <w:hyperlink r:id="rId83" w:history="1">
        <w:r>
          <w:rPr>
            <w:rStyle w:val="Hyperlink"/>
            <w:color w:val="1155CC"/>
          </w:rPr>
          <w:t>https://www.sciencedirect.com/science/article/pii/S1364032122002982</w:t>
        </w:r>
      </w:hyperlink>
      <w:r w:rsidR="002077D3">
        <w:rPr>
          <w:color w:val="000000"/>
        </w:rPr>
        <w:t>  [Accessed 19</w:t>
      </w:r>
      <w:r>
        <w:rPr>
          <w:color w:val="000000"/>
        </w:rPr>
        <w:t xml:space="preserve"> Aug. 2026].</w:t>
      </w:r>
    </w:p>
    <w:p w:rsidR="003D104A" w:rsidRDefault="003D104A">
      <w:pPr>
        <w:spacing w:before="0" w:after="160"/>
      </w:pPr>
      <w:r>
        <w:t>Poldner, K., Overdiek, A. and Evangelista, A., 2022. Fashion-as-a-service: Circular business model innovation in retail. Sustainability, 14(20), p.13273.</w:t>
      </w:r>
      <w:hyperlink r:id="rId84">
        <w:r>
          <w:rPr>
            <w:color w:val="1155CC"/>
            <w:u w:val="single"/>
          </w:rPr>
          <w:t>https://www.mdpi.com/2071-1050/14/20/13273</w:t>
        </w:r>
      </w:hyperlink>
    </w:p>
    <w:p w:rsidR="003D104A" w:rsidRDefault="003D104A" w:rsidP="003D104A">
      <w:pPr>
        <w:pStyle w:val="NormalWeb"/>
        <w:spacing w:before="0" w:beforeAutospacing="0" w:after="240" w:afterAutospacing="0" w:line="360" w:lineRule="auto"/>
        <w:jc w:val="both"/>
      </w:pPr>
      <w:r>
        <w:rPr>
          <w:color w:val="000000"/>
        </w:rPr>
        <w:t xml:space="preserve">Pourrahimian, P., Seyedzadeh, S., Arabi, B., Kahani, D. and Lotfian, S. (2026). Digital enablers of the circular economy: A systematic review of applications, barriers, and future directions. </w:t>
      </w:r>
      <w:r>
        <w:rPr>
          <w:i/>
          <w:iCs/>
          <w:color w:val="000000"/>
        </w:rPr>
        <w:t>Journal of Manufacturing and Materials Processing</w:t>
      </w:r>
      <w:r>
        <w:rPr>
          <w:color w:val="000000"/>
        </w:rPr>
        <w:t xml:space="preserve">, [online] 10(4). Available at: </w:t>
      </w:r>
      <w:hyperlink r:id="rId85" w:history="1">
        <w:r>
          <w:rPr>
            <w:rStyle w:val="Hyperlink"/>
            <w:color w:val="1155CC"/>
          </w:rPr>
          <w:t>https://www.mdpi.com/2504-4494/10/4/112</w:t>
        </w:r>
      </w:hyperlink>
      <w:r w:rsidR="002077D3">
        <w:rPr>
          <w:color w:val="000000"/>
        </w:rPr>
        <w:t>  [Accessed 19</w:t>
      </w:r>
      <w:r>
        <w:rPr>
          <w:color w:val="000000"/>
        </w:rPr>
        <w:t xml:space="preserve"> Aug. 2026].</w:t>
      </w:r>
    </w:p>
    <w:p w:rsidR="003D104A" w:rsidRDefault="003D104A">
      <w:pPr>
        <w:spacing w:before="0"/>
      </w:pPr>
      <w:r>
        <w:t xml:space="preserve">Pratiwi, I., Elizabeth, R., Fatari, N., Basrowi, N. and Nuryanto, U.W. (2025). Assessing pricing, distribution, and warehousing strategies in influencing consumer demand and purchase </w:t>
      </w:r>
      <w:r>
        <w:lastRenderedPageBreak/>
        <w:t xml:space="preserve">decisions: Evidence from Indonesia. </w:t>
      </w:r>
      <w:r>
        <w:rPr>
          <w:i/>
          <w:iCs/>
        </w:rPr>
        <w:t>Social Sciences &amp; Humanities Open</w:t>
      </w:r>
      <w:r>
        <w:t xml:space="preserve">, [online] 12, pp.101688–101688. Available at: </w:t>
      </w:r>
      <w:hyperlink r:id="rId86">
        <w:r>
          <w:rPr>
            <w:color w:val="0000FF"/>
            <w:u w:val="single"/>
          </w:rPr>
          <w:t>https://www.sciencedirect.com/science/article/pii/S2590291125004164</w:t>
        </w:r>
      </w:hyperlink>
      <w:r>
        <w:t xml:space="preserve">  [Accessed 14 Aug. 2026].</w:t>
      </w:r>
    </w:p>
    <w:p w:rsidR="003D104A" w:rsidRDefault="003D104A">
      <w:pPr>
        <w:spacing w:before="0" w:after="160"/>
      </w:pPr>
      <w:r>
        <w:t>Sinkovics, N., Gunaratne, D., Sinkovics, R.R. and Molina-Castillo, F.J., 2021. Sustainable business model innovation: An umbrella review. Sustainability, 13(13), p.7266.</w:t>
      </w:r>
      <w:hyperlink r:id="rId87">
        <w:r>
          <w:rPr>
            <w:color w:val="1155CC"/>
            <w:u w:val="single"/>
          </w:rPr>
          <w:t>https://www.mdpi.com/2071-1050/13/13/7266</w:t>
        </w:r>
      </w:hyperlink>
    </w:p>
    <w:p w:rsidR="003D104A" w:rsidRDefault="003D104A">
      <w:pPr>
        <w:spacing w:before="0" w:after="160"/>
      </w:pPr>
      <w:r>
        <w:t>Snihur, Y. and Bocken, N., 2022. A call for action: The impact of business model innovation on business ecosystems, society and planet. Long Range Planning, 55(6), p.102182.</w:t>
      </w:r>
      <w:hyperlink r:id="rId88">
        <w:r>
          <w:rPr>
            <w:color w:val="1155CC"/>
            <w:u w:val="single"/>
          </w:rPr>
          <w:t>https://www.sciencedirect.com/science/article/pii/S0024630122000012</w:t>
        </w:r>
      </w:hyperlink>
    </w:p>
    <w:p w:rsidR="003D104A" w:rsidRDefault="003D104A">
      <w:pPr>
        <w:spacing w:before="0"/>
      </w:pPr>
      <w:r>
        <w:t xml:space="preserve">Stabler, D., Hakala, H., Huikkola, T. and Mention, A.-L. (2024). Aligning servitization and circularity: The role of institutional confluence in sustainable business models. </w:t>
      </w:r>
      <w:r>
        <w:rPr>
          <w:i/>
          <w:iCs/>
        </w:rPr>
        <w:t>Journal of Cleaner Production</w:t>
      </w:r>
      <w:r>
        <w:t>, [online] 462, p.142666. doi:10.1016/j.jclepro.2024.142666.</w:t>
      </w:r>
    </w:p>
    <w:p w:rsidR="003D104A" w:rsidRDefault="003D104A" w:rsidP="003D104A">
      <w:pPr>
        <w:pStyle w:val="NormalWeb"/>
        <w:spacing w:before="0" w:beforeAutospacing="0" w:after="240" w:afterAutospacing="0" w:line="360" w:lineRule="auto"/>
        <w:jc w:val="both"/>
      </w:pPr>
      <w:r>
        <w:rPr>
          <w:color w:val="000000"/>
        </w:rPr>
        <w:t xml:space="preserve">Stabler, D., Hakala, H., Huikkola, T. and Mention, A.-L. (2024). Aligning servitization and circularity: The role of institutional confluence in sustainable business models. </w:t>
      </w:r>
      <w:r>
        <w:rPr>
          <w:i/>
          <w:iCs/>
          <w:color w:val="000000"/>
        </w:rPr>
        <w:t>Journal of cleaner production</w:t>
      </w:r>
      <w:r>
        <w:rPr>
          <w:color w:val="000000"/>
        </w:rPr>
        <w:t xml:space="preserve">, [online] 462, pp.142666–142666. Available at: </w:t>
      </w:r>
      <w:hyperlink r:id="rId89" w:history="1">
        <w:r>
          <w:rPr>
            <w:rStyle w:val="Hyperlink"/>
            <w:color w:val="1155CC"/>
          </w:rPr>
          <w:t>https://www.sciencedirect.com/science/article/pii/S0959652624021140</w:t>
        </w:r>
      </w:hyperlink>
      <w:r>
        <w:rPr>
          <w:color w:val="000000"/>
        </w:rPr>
        <w:t>  [Accessed 21 Aug. 2026].</w:t>
      </w:r>
    </w:p>
    <w:p w:rsidR="003D104A" w:rsidRDefault="003D104A">
      <w:pPr>
        <w:spacing w:before="0" w:after="160"/>
      </w:pPr>
      <w:r>
        <w:t>Su, H., Petrecca, A.C.C. and Vezzoli, C., 2025. Designing Environmentally Sustainable Product–Service Systems for Smart Mobile Devices: A Conceptual Framework and Archetypes. Sustainability, 17(19), p.8524.</w:t>
      </w:r>
      <w:hyperlink r:id="rId90">
        <w:r>
          <w:rPr>
            <w:color w:val="1155CC"/>
            <w:u w:val="single"/>
          </w:rPr>
          <w:t>https://onlinelibrary.wiley.com/doi/pdfdirect/10.1002/bse.3297</w:t>
        </w:r>
      </w:hyperlink>
    </w:p>
    <w:p w:rsidR="003D104A" w:rsidRDefault="003D104A">
      <w:pPr>
        <w:spacing w:before="0" w:after="160"/>
      </w:pPr>
      <w:r>
        <w:t xml:space="preserve">Surma, M.J., Nunes, R.J., Rook, C. and Loder, A., 2021. Assessing employee engagement in a post-COVID-19 workplace ecosystem. Sustainability, 13(20), p.11443. </w:t>
      </w:r>
      <w:hyperlink r:id="rId91">
        <w:r>
          <w:rPr>
            <w:color w:val="1155CC"/>
            <w:u w:val="single"/>
          </w:rPr>
          <w:t>https://www.mdpi.com/2071-1050/13/20/11443</w:t>
        </w:r>
      </w:hyperlink>
    </w:p>
    <w:p w:rsidR="003D104A" w:rsidRDefault="003D104A" w:rsidP="003D104A">
      <w:pPr>
        <w:pStyle w:val="NormalWeb"/>
        <w:spacing w:before="0" w:beforeAutospacing="0" w:after="240" w:afterAutospacing="0" w:line="360" w:lineRule="auto"/>
        <w:jc w:val="both"/>
      </w:pPr>
      <w:r>
        <w:rPr>
          <w:color w:val="000000"/>
        </w:rPr>
        <w:t xml:space="preserve">Telukdarie, A. and Nyathi, M.H.L. (2026). ESG and circular business models: Towards a sector-specific circular–ESG integration framework. </w:t>
      </w:r>
      <w:r>
        <w:rPr>
          <w:i/>
          <w:iCs/>
          <w:color w:val="000000"/>
        </w:rPr>
        <w:t>Sustainability</w:t>
      </w:r>
      <w:r>
        <w:rPr>
          <w:color w:val="000000"/>
        </w:rPr>
        <w:t xml:space="preserve">, [online] 18(8), p.4006. Available at: </w:t>
      </w:r>
      <w:hyperlink r:id="rId92" w:history="1">
        <w:r>
          <w:rPr>
            <w:rStyle w:val="Hyperlink"/>
            <w:color w:val="1155CC"/>
          </w:rPr>
          <w:t>https://www.mdpi.com/2071-1050/18/8/4006</w:t>
        </w:r>
      </w:hyperlink>
      <w:r w:rsidR="002077D3">
        <w:rPr>
          <w:color w:val="000000"/>
        </w:rPr>
        <w:t>  [Accessed 19</w:t>
      </w:r>
      <w:r>
        <w:rPr>
          <w:color w:val="000000"/>
        </w:rPr>
        <w:t xml:space="preserve"> Aug. 2026].</w:t>
      </w:r>
    </w:p>
    <w:p w:rsidR="003D104A" w:rsidRDefault="003D104A" w:rsidP="003D104A">
      <w:pPr>
        <w:pStyle w:val="NormalWeb"/>
        <w:spacing w:before="0" w:beforeAutospacing="0" w:after="240" w:afterAutospacing="0" w:line="360" w:lineRule="auto"/>
        <w:jc w:val="both"/>
      </w:pPr>
      <w:r>
        <w:rPr>
          <w:color w:val="000000"/>
        </w:rPr>
        <w:lastRenderedPageBreak/>
        <w:t xml:space="preserve">Torkki, P., Rotinen, L., SuvituuliaTaponen, S., Tella, S., Grönman, K., Deviatkin, I., Pitkänen, L.J., Venesoja, A., Koljonen, K., Repo, E. and Laatikainen, K. (2024). Increasing the role of sustainability in public procurement of personal protective equipment. </w:t>
      </w:r>
      <w:r>
        <w:rPr>
          <w:i/>
          <w:iCs/>
          <w:color w:val="000000"/>
        </w:rPr>
        <w:t>Journal of cleaner production</w:t>
      </w:r>
      <w:r>
        <w:rPr>
          <w:color w:val="000000"/>
        </w:rPr>
        <w:t xml:space="preserve">, [online] pp.142335–142335. Available at: </w:t>
      </w:r>
      <w:hyperlink r:id="rId93" w:history="1">
        <w:r>
          <w:rPr>
            <w:rStyle w:val="Hyperlink"/>
            <w:color w:val="1155CC"/>
          </w:rPr>
          <w:t>https://www.sciencedirect.com/science/article/abs/pii/S0959652624017839</w:t>
        </w:r>
      </w:hyperlink>
      <w:r>
        <w:rPr>
          <w:color w:val="000000"/>
        </w:rPr>
        <w:t>  [Accessed 21 Aug. 2026].</w:t>
      </w:r>
    </w:p>
    <w:p w:rsidR="003D104A" w:rsidRDefault="003D104A">
      <w:pPr>
        <w:widowControl w:val="0"/>
      </w:pPr>
      <w:r>
        <w:t>WRAP (2025) ‘Crown Workspace Ltd: Leading the way in office furniture reuse’, 16 October. Available at:</w:t>
      </w:r>
      <w:hyperlink r:id="rId94"/>
      <w:hyperlink r:id="rId95">
        <w:r>
          <w:rPr>
            <w:color w:val="1155CC"/>
            <w:u w:val="single"/>
          </w:rPr>
          <w:t>https://www.wrap.ngo/resources/case-study/crown-workspace-ltd-leading-way-office-furniture-reuse</w:t>
        </w:r>
      </w:hyperlink>
      <w:r>
        <w:t xml:space="preserve"> (Accessed: 18 August 2026).</w:t>
      </w:r>
    </w:p>
    <w:p w:rsidR="003D104A" w:rsidRDefault="003D104A" w:rsidP="003D104A">
      <w:pPr>
        <w:pStyle w:val="NormalWeb"/>
        <w:spacing w:before="0" w:beforeAutospacing="0" w:after="240" w:afterAutospacing="0" w:line="360" w:lineRule="auto"/>
        <w:jc w:val="both"/>
        <w:rPr>
          <w:color w:val="000000"/>
        </w:rPr>
      </w:pPr>
      <w:r>
        <w:rPr>
          <w:color w:val="000000"/>
        </w:rPr>
        <w:t xml:space="preserve">Zahari, A.I., Manan, A., Razali, F.M., Zolkaflil, S. and Said, J.B. (2023). Exploring the viability of remote work for SME. </w:t>
      </w:r>
      <w:r>
        <w:rPr>
          <w:i/>
          <w:iCs/>
          <w:color w:val="000000"/>
        </w:rPr>
        <w:t>Journal of Open Innovation: Technology, Market, and Complexity</w:t>
      </w:r>
      <w:r>
        <w:rPr>
          <w:color w:val="000000"/>
        </w:rPr>
        <w:t xml:space="preserve">, [online] 10(1), pp.100182–100182. Available at: </w:t>
      </w:r>
      <w:hyperlink r:id="rId96" w:history="1">
        <w:r>
          <w:rPr>
            <w:rStyle w:val="Hyperlink"/>
            <w:color w:val="1155CC"/>
          </w:rPr>
          <w:t>https://www.sciencedirect.com/science/article/pii/S2199853123002846</w:t>
        </w:r>
      </w:hyperlink>
      <w:r w:rsidR="002077D3">
        <w:rPr>
          <w:color w:val="000000"/>
        </w:rPr>
        <w:t>  [Accessed 22</w:t>
      </w:r>
      <w:r>
        <w:rPr>
          <w:color w:val="000000"/>
        </w:rPr>
        <w:t xml:space="preserve"> Aug. 2026].</w:t>
      </w:r>
    </w:p>
    <w:p w:rsidR="00105F69" w:rsidRDefault="00105F69" w:rsidP="00105F69">
      <w:pPr>
        <w:pStyle w:val="normal0"/>
        <w:widowControl w:val="0"/>
        <w:spacing w:before="0"/>
      </w:pPr>
      <w:r>
        <w:t xml:space="preserve">Delta-esourcing.com. (2026). </w:t>
      </w:r>
      <w:r>
        <w:rPr>
          <w:i/>
          <w:iCs/>
        </w:rPr>
        <w:t>View Notice | NEUPC Procurement Portal</w:t>
      </w:r>
      <w:r>
        <w:t>. [online] Available at: https://neupc.deltaesourcing.com/commonNoticeSearch/viewNotice.html?displayNoticeId=1043636322 [Accessed 30 Aug. 2026].</w:t>
      </w:r>
    </w:p>
    <w:p w:rsidR="00105F69" w:rsidRDefault="00105F69" w:rsidP="00105F69">
      <w:pPr>
        <w:pStyle w:val="normal0"/>
        <w:widowControl w:val="0"/>
      </w:pPr>
      <w:r>
        <w:t xml:space="preserve">‌Bankofengland.co.uk. (2026). </w:t>
      </w:r>
      <w:r>
        <w:rPr>
          <w:i/>
          <w:iCs/>
        </w:rPr>
        <w:t>Monetary Policy Report - July 2026</w:t>
      </w:r>
      <w:r>
        <w:t>. [online] Available at: https://www.bankofengland.co.uk/monetary-policy-report/2026/july-2026 [Accessed 30 Aug. 2026].</w:t>
      </w:r>
    </w:p>
    <w:p w:rsidR="00105F69" w:rsidRDefault="00105F69" w:rsidP="00105F69">
      <w:pPr>
        <w:pStyle w:val="normal0"/>
        <w:widowControl w:val="0"/>
      </w:pPr>
      <w:r>
        <w:t xml:space="preserve">‌Public Policy and Economic Insights team (2025). </w:t>
      </w:r>
      <w:r>
        <w:rPr>
          <w:i/>
          <w:iCs/>
        </w:rPr>
        <w:t>Who has access to hybrid work in Great Britain?</w:t>
      </w:r>
      <w:r>
        <w:t xml:space="preserve"> [online] Ons.gov.uk. Available at: https://www.ons.gov.uk/employmentandlabourmarket/peopleinwork/employmentandemployeetypes/articles/whohasaccesstohybridworkingreatbritain/2025-06-11 [Accessed 30 Aug. 2026].</w:t>
      </w:r>
    </w:p>
    <w:p w:rsidR="00105F69" w:rsidRDefault="00105F69" w:rsidP="00105F69">
      <w:pPr>
        <w:pStyle w:val="normal0"/>
        <w:widowControl w:val="0"/>
        <w:spacing w:before="0"/>
      </w:pPr>
      <w:r>
        <w:t xml:space="preserve">‌Udvaros, J., Forman, N., Tašić, J. and Szabó, L. (2024) ‘The Application of QR Codes in the Field of E-Business in the Case of Order Tracking and Logistics’, </w:t>
      </w:r>
      <w:r>
        <w:rPr>
          <w:i/>
          <w:iCs/>
        </w:rPr>
        <w:t>14th International Symposium Engineering Management and Competitiveness (EMC 2024)</w:t>
      </w:r>
      <w:r>
        <w:t xml:space="preserve">, Zrenjanin, Serbia. </w:t>
      </w:r>
      <w:hyperlink r:id="rId97">
        <w:r>
          <w:rPr>
            <w:color w:val="1155CC"/>
            <w:u w:val="single"/>
          </w:rPr>
          <w:t>https://www.researchgate.net/publication/381663947_The_Application_of_QR_Codes_in_the_Field_of_E-Business_in_the_Case_of_Order_Tracking_and_Logistics</w:t>
        </w:r>
      </w:hyperlink>
    </w:p>
    <w:p w:rsidR="00105F69" w:rsidRDefault="00105F69" w:rsidP="00105F69">
      <w:pPr>
        <w:pStyle w:val="normal0"/>
        <w:widowControl w:val="0"/>
        <w:spacing w:before="0"/>
      </w:pPr>
    </w:p>
    <w:p w:rsidR="00105F69" w:rsidRDefault="00105F69" w:rsidP="00105F69">
      <w:pPr>
        <w:pStyle w:val="normal0"/>
        <w:widowControl w:val="0"/>
        <w:spacing w:before="0"/>
      </w:pPr>
      <w:r>
        <w:t xml:space="preserve">Department for Environment, Food &amp; Rural Affairs (2022). </w:t>
      </w:r>
      <w:r>
        <w:rPr>
          <w:i/>
          <w:iCs/>
        </w:rPr>
        <w:t>UK statistics on waste</w:t>
      </w:r>
      <w:r>
        <w:t>. [online] GOV.UK. Available at: https://www.gov.uk/government/statistics/uk-waste-data/uk-statistics-on-waste [Accessed 30 Aug. 2026].</w:t>
      </w:r>
    </w:p>
    <w:p w:rsidR="00105F69" w:rsidRDefault="00105F69" w:rsidP="00105F69">
      <w:pPr>
        <w:pStyle w:val="normal0"/>
        <w:widowControl w:val="0"/>
        <w:spacing w:before="0"/>
      </w:pPr>
      <w:r>
        <w:t xml:space="preserve">Office for National Statistics (2026). </w:t>
      </w:r>
      <w:r>
        <w:rPr>
          <w:i/>
          <w:iCs/>
        </w:rPr>
        <w:t>Consumer price inflation, UK</w:t>
      </w:r>
      <w:r>
        <w:t xml:space="preserve">. [online] Ons.gov.uk. Available at: </w:t>
      </w:r>
      <w:hyperlink r:id="rId98">
        <w:r>
          <w:rPr>
            <w:color w:val="1155CC"/>
            <w:u w:val="single"/>
          </w:rPr>
          <w:t>https://www.ons.gov.uk/economy/inflationandpriceindices/bulletins/consumerpriceinflation/june2026</w:t>
        </w:r>
      </w:hyperlink>
      <w:r>
        <w:t xml:space="preserve">  [Accessed 30 Aug. 2026].</w:t>
      </w:r>
    </w:p>
    <w:p w:rsidR="00105F69" w:rsidRDefault="00105F69" w:rsidP="00105F69">
      <w:pPr>
        <w:pStyle w:val="normal0"/>
        <w:widowControl w:val="0"/>
        <w:spacing w:before="0"/>
      </w:pPr>
      <w:r>
        <w:t xml:space="preserve">‌Khan, M., Parvaiz, G.S., Dedahanov, A.T., Abdurazzakov, O.S. and Rakhmonov, D.A. (2022). The Impact of Technologies of Traceability and Transparency in Supply Chains. </w:t>
      </w:r>
      <w:r>
        <w:rPr>
          <w:i/>
          <w:iCs/>
        </w:rPr>
        <w:t>Sustainability</w:t>
      </w:r>
      <w:r>
        <w:t xml:space="preserve">, [online] 14(24), p.16336. </w:t>
      </w:r>
      <w:hyperlink r:id="rId99">
        <w:r>
          <w:rPr>
            <w:color w:val="1155CC"/>
            <w:u w:val="single"/>
          </w:rPr>
          <w:t>https://doi.org/10.3390/su142416336</w:t>
        </w:r>
      </w:hyperlink>
    </w:p>
    <w:p w:rsidR="00105F69" w:rsidRDefault="00105F69" w:rsidP="00105F69">
      <w:pPr>
        <w:pStyle w:val="normal0"/>
        <w:widowControl w:val="0"/>
        <w:spacing w:before="0"/>
      </w:pPr>
      <w:r>
        <w:t xml:space="preserve">Franzè, C., Paolucci, E. and Pessot, E. (2024). Sustained value creation driven by digital connectivity: A multiple case study in the mechanical components industry. </w:t>
      </w:r>
      <w:r>
        <w:rPr>
          <w:i/>
          <w:iCs/>
        </w:rPr>
        <w:t>Technovation</w:t>
      </w:r>
      <w:r>
        <w:t xml:space="preserve">, [online] 129, p.102918. </w:t>
      </w:r>
      <w:hyperlink r:id="rId100">
        <w:r>
          <w:rPr>
            <w:color w:val="1155CC"/>
            <w:u w:val="single"/>
          </w:rPr>
          <w:t>https://www.sciencedirect.com/journal/technovation/vol/129/suppl/C</w:t>
        </w:r>
      </w:hyperlink>
      <w:r>
        <w:t xml:space="preserve"> </w:t>
      </w:r>
    </w:p>
    <w:p w:rsidR="00105F69" w:rsidRDefault="00105F69" w:rsidP="00105F69">
      <w:pPr>
        <w:pStyle w:val="normal0"/>
        <w:widowControl w:val="0"/>
        <w:spacing w:before="0"/>
      </w:pPr>
    </w:p>
    <w:p w:rsidR="00105F69" w:rsidRDefault="00105F69" w:rsidP="00105F69">
      <w:pPr>
        <w:pStyle w:val="normal0"/>
        <w:widowControl w:val="0"/>
        <w:spacing w:before="0"/>
      </w:pPr>
      <w:r>
        <w:t xml:space="preserve">Ogiemwonyi, O. (2025). A conceptual review of circular economy position from a marketing perspective. </w:t>
      </w:r>
      <w:r>
        <w:rPr>
          <w:i/>
          <w:iCs/>
        </w:rPr>
        <w:t>Innovation and Green Development</w:t>
      </w:r>
      <w:r>
        <w:t xml:space="preserve">, [online] 4(4), p.100258. </w:t>
      </w:r>
      <w:hyperlink r:id="rId101">
        <w:r>
          <w:rPr>
            <w:color w:val="1155CC"/>
            <w:u w:val="single"/>
          </w:rPr>
          <w:t>https://doi.org/10.1016/j.igd.2025.100258</w:t>
        </w:r>
      </w:hyperlink>
      <w:r>
        <w:t xml:space="preserve"> </w:t>
      </w:r>
    </w:p>
    <w:p w:rsidR="00105F69" w:rsidRDefault="00105F69" w:rsidP="00105F69">
      <w:pPr>
        <w:pStyle w:val="normal0"/>
        <w:widowControl w:val="0"/>
        <w:spacing w:before="0"/>
      </w:pPr>
      <w:r>
        <w:t xml:space="preserve">Kanda, W., Klofsten, M., Bienkowska, D., Henry, M. and Hjelm, O. (2024). Challenges of circular new ventures: An empirical analysis of 70 cases. </w:t>
      </w:r>
      <w:r>
        <w:rPr>
          <w:i/>
          <w:iCs/>
        </w:rPr>
        <w:t>Journal of Cleaner Production</w:t>
      </w:r>
      <w:r>
        <w:t xml:space="preserve">, [online] 442, p.141103. </w:t>
      </w:r>
      <w:hyperlink r:id="rId102">
        <w:r>
          <w:rPr>
            <w:color w:val="1155CC"/>
            <w:u w:val="single"/>
          </w:rPr>
          <w:t>https://www.sciencedirect.com/journal/journal-of-cleaner-production/vol/442/suppl/C</w:t>
        </w:r>
      </w:hyperlink>
      <w:r>
        <w:t xml:space="preserve"> </w:t>
      </w:r>
    </w:p>
    <w:p w:rsidR="00105F69" w:rsidRDefault="00105F69" w:rsidP="00105F69">
      <w:pPr>
        <w:pStyle w:val="normal0"/>
        <w:widowControl w:val="0"/>
        <w:spacing w:before="0"/>
      </w:pPr>
      <w:r>
        <w:t xml:space="preserve">Cooper, M. (2024). Integrating Sustainability Into Procurement: Perspectives From Supply </w:t>
      </w:r>
      <w:r>
        <w:lastRenderedPageBreak/>
        <w:t xml:space="preserve">Chain Practitioners. </w:t>
      </w:r>
      <w:hyperlink r:id="rId103">
        <w:r>
          <w:rPr>
            <w:color w:val="1155CC"/>
            <w:u w:val="single"/>
          </w:rPr>
          <w:t>https://doi.org/10.20944/preprints202407.0614.v1</w:t>
        </w:r>
      </w:hyperlink>
    </w:p>
    <w:p w:rsidR="00105F69" w:rsidRDefault="00105F69" w:rsidP="00105F69">
      <w:pPr>
        <w:pStyle w:val="normal0"/>
        <w:widowControl w:val="0"/>
        <w:spacing w:before="0"/>
      </w:pPr>
      <w:r>
        <w:t xml:space="preserve">Xu, M., Tse, Y.K., Geng, R., Liu, Z. and Potter, A. (2025). Greenwashing and market value of firms: An empirical study. </w:t>
      </w:r>
      <w:r>
        <w:rPr>
          <w:i/>
          <w:iCs/>
        </w:rPr>
        <w:t>International Journal of Production Economics</w:t>
      </w:r>
      <w:r>
        <w:t xml:space="preserve">, [online] 284, p.109606. </w:t>
      </w:r>
      <w:hyperlink r:id="rId104">
        <w:r>
          <w:rPr>
            <w:color w:val="1155CC"/>
            <w:u w:val="single"/>
          </w:rPr>
          <w:t>https://www.sciencedirect.com/science/article/pii/S092552732500091X</w:t>
        </w:r>
      </w:hyperlink>
      <w:r>
        <w:t xml:space="preserve"> </w:t>
      </w:r>
    </w:p>
    <w:p w:rsidR="00105F69" w:rsidRDefault="00105F69" w:rsidP="00105F69">
      <w:pPr>
        <w:pStyle w:val="normal0"/>
        <w:widowControl w:val="0"/>
        <w:spacing w:before="0"/>
      </w:pPr>
      <w:r>
        <w:t xml:space="preserve">Business Registers Strategy and Outputs team (2025). </w:t>
      </w:r>
      <w:r>
        <w:rPr>
          <w:i/>
          <w:iCs/>
        </w:rPr>
        <w:t>UK business; activity, size and location</w:t>
      </w:r>
      <w:r>
        <w:t xml:space="preserve">. [online] Ons.gov.uk. Available at: </w:t>
      </w:r>
      <w:hyperlink r:id="rId105">
        <w:r>
          <w:rPr>
            <w:color w:val="1155CC"/>
            <w:u w:val="single"/>
          </w:rPr>
          <w:t>https://www.ons.gov.uk/businessindustryandtrade/business/activitysizeandlocation/bulletins/ukbusinessactivitysizeandlocation/2025</w:t>
        </w:r>
      </w:hyperlink>
      <w:r>
        <w:t xml:space="preserve">  [Accessed 31 Aug. 2026].</w:t>
      </w:r>
    </w:p>
    <w:p w:rsidR="00105F69" w:rsidRDefault="00105F69" w:rsidP="00105F69">
      <w:pPr>
        <w:pStyle w:val="normal0"/>
        <w:widowControl w:val="0"/>
        <w:spacing w:before="0"/>
      </w:pPr>
      <w:r>
        <w:t xml:space="preserve">‌Pesce, D. and Neirotti, P. (2023). The impact of IT–business strategic alignment on firm performance: The evolving role of IT in industries. </w:t>
      </w:r>
      <w:r>
        <w:rPr>
          <w:i/>
          <w:iCs/>
        </w:rPr>
        <w:t>Information &amp; Management</w:t>
      </w:r>
      <w:r>
        <w:t xml:space="preserve">, [online] 60(5), p.103800. </w:t>
      </w:r>
      <w:hyperlink r:id="rId106">
        <w:r>
          <w:rPr>
            <w:color w:val="1155CC"/>
            <w:u w:val="single"/>
          </w:rPr>
          <w:t>https://www.sciencedirect.com/journal/information-and-management/vol/60/issue/5</w:t>
        </w:r>
      </w:hyperlink>
    </w:p>
    <w:p w:rsidR="00105F69" w:rsidRDefault="00105F69" w:rsidP="00105F69">
      <w:pPr>
        <w:pStyle w:val="normal0"/>
        <w:widowControl w:val="0"/>
        <w:spacing w:before="0"/>
      </w:pPr>
      <w:r>
        <w:t xml:space="preserve">Jenkins, A. (2024). </w:t>
      </w:r>
      <w:r>
        <w:rPr>
          <w:i/>
          <w:iCs/>
        </w:rPr>
        <w:t>13 Reverse Logistics Challenges &amp; How to Overcome Them</w:t>
      </w:r>
      <w:r>
        <w:t>. [online] Oracle NetSuite. Available at: https://www.netsuite.com/portal/resource/articles/inventory-management/reverse-logistics-challenges.shtml [Accessed 31 Aug. 2026].</w:t>
      </w:r>
    </w:p>
    <w:p w:rsidR="00105F69" w:rsidRDefault="00105F69" w:rsidP="00105F69">
      <w:pPr>
        <w:pStyle w:val="normal0"/>
        <w:widowControl w:val="0"/>
        <w:spacing w:before="0"/>
      </w:pPr>
      <w:r>
        <w:t xml:space="preserve">‌Sala-Garrido, R., Mocholi-Arce, M., Maziotis, A. and Molinos-Senante, M. (2024). Eco-efficiency approach in sustainable waste management: An uncertainty analysis for Chile. </w:t>
      </w:r>
      <w:r>
        <w:rPr>
          <w:i/>
          <w:iCs/>
        </w:rPr>
        <w:t>Environmental Science &amp; Policy</w:t>
      </w:r>
      <w:r>
        <w:t xml:space="preserve">, [online] 160, p.103859. </w:t>
      </w:r>
      <w:hyperlink r:id="rId107">
        <w:r>
          <w:rPr>
            <w:color w:val="1155CC"/>
            <w:u w:val="single"/>
          </w:rPr>
          <w:t>https://doi.org/10.1016/j.envsci.2024.103859</w:t>
        </w:r>
      </w:hyperlink>
    </w:p>
    <w:p w:rsidR="00105F69" w:rsidRDefault="00105F69" w:rsidP="00105F69">
      <w:pPr>
        <w:pStyle w:val="normal0"/>
        <w:widowControl w:val="0"/>
        <w:spacing w:before="0"/>
      </w:pPr>
      <w:r>
        <w:t xml:space="preserve">Huis, C., Vallaster, C. and Müller, J.M. (2026) ‘The difficulties in finding value in waste: linking institutional dynamics and circular business model development’, </w:t>
      </w:r>
      <w:r>
        <w:rPr>
          <w:i/>
          <w:iCs/>
        </w:rPr>
        <w:t>Review of Managerial Science</w:t>
      </w:r>
      <w:r>
        <w:t xml:space="preserve">. </w:t>
      </w:r>
      <w:hyperlink r:id="rId108">
        <w:r>
          <w:rPr>
            <w:color w:val="1155CC"/>
            <w:u w:val="single"/>
          </w:rPr>
          <w:t>https://doi.org/10.1007/s11846-026-00971-9?urlappend=%3Futm_source%3Dresearchgate.net%26utm_medium%3Darticle</w:t>
        </w:r>
      </w:hyperlink>
    </w:p>
    <w:p w:rsidR="00105F69" w:rsidRDefault="00105F69" w:rsidP="00105F69">
      <w:pPr>
        <w:pStyle w:val="normal0"/>
        <w:widowControl w:val="0"/>
        <w:spacing w:before="0"/>
      </w:pPr>
      <w:r>
        <w:t xml:space="preserve">Wang, Y., Wang, D.D. and Liu, R. (2025). Impact of Digital Technology Adoption on the Similarity of Sustainability Reports. </w:t>
      </w:r>
      <w:r>
        <w:rPr>
          <w:i/>
          <w:iCs/>
        </w:rPr>
        <w:t>Sustainability</w:t>
      </w:r>
      <w:r>
        <w:t xml:space="preserve">, [online] 17(8), p.3728. </w:t>
      </w:r>
      <w:hyperlink r:id="rId109">
        <w:r>
          <w:rPr>
            <w:color w:val="1155CC"/>
            <w:u w:val="single"/>
          </w:rPr>
          <w:t>https://doi.org/10.3390/su17083728</w:t>
        </w:r>
      </w:hyperlink>
    </w:p>
    <w:p w:rsidR="00105F69" w:rsidRDefault="00105F69" w:rsidP="00105F69">
      <w:pPr>
        <w:pStyle w:val="normal0"/>
        <w:widowControl w:val="0"/>
        <w:spacing w:before="0"/>
      </w:pPr>
      <w:r>
        <w:t xml:space="preserve">Government of UK (2024c). </w:t>
      </w:r>
      <w:r>
        <w:rPr>
          <w:i/>
          <w:iCs/>
        </w:rPr>
        <w:t>UK Statistics on Waste</w:t>
      </w:r>
      <w:r>
        <w:t xml:space="preserve">. [online] GOV.UK. Available at: </w:t>
      </w:r>
      <w:hyperlink r:id="rId110">
        <w:r>
          <w:rPr>
            <w:color w:val="1155CC"/>
            <w:u w:val="single"/>
          </w:rPr>
          <w:t>https://www.gov.uk/government/statistics/uk-waste-data/uk-statistics-on-waste</w:t>
        </w:r>
      </w:hyperlink>
      <w:r>
        <w:t xml:space="preserve">  [Accessed 31 Aug. 2026].</w:t>
      </w:r>
    </w:p>
    <w:p w:rsidR="00105F69" w:rsidRDefault="00105F69" w:rsidP="00105F69">
      <w:pPr>
        <w:pStyle w:val="normal0"/>
        <w:widowControl w:val="0"/>
        <w:spacing w:before="0"/>
      </w:pPr>
      <w:r>
        <w:t xml:space="preserve">Government of UK (2024a). </w:t>
      </w:r>
      <w:r>
        <w:rPr>
          <w:i/>
          <w:iCs/>
        </w:rPr>
        <w:t>Estimates of Residual Waste and Municipal Residual Waste in England</w:t>
      </w:r>
      <w:r>
        <w:t xml:space="preserve">. [online] GOV.UK. Available at: </w:t>
      </w:r>
      <w:hyperlink r:id="rId111">
        <w:r>
          <w:rPr>
            <w:color w:val="1155CC"/>
            <w:u w:val="single"/>
          </w:rPr>
          <w:t>https://www.gov.uk/government/statistics/estimates-of-residual-waste-and-municipal-residual-waste-in-england/estimates-of-residual-waste-excluding-major-mineral-wastes-and-municipal-residual-waste-in-england</w:t>
        </w:r>
      </w:hyperlink>
      <w:r>
        <w:t xml:space="preserve">  [Accessed 31 Aug. 2026].</w:t>
      </w:r>
    </w:p>
    <w:p w:rsidR="00105F69" w:rsidRDefault="00105F69" w:rsidP="00105F69">
      <w:pPr>
        <w:pStyle w:val="normal0"/>
        <w:widowControl w:val="0"/>
        <w:spacing w:before="0"/>
      </w:pPr>
      <w:r>
        <w:t xml:space="preserve">OECD (2026). </w:t>
      </w:r>
      <w:r>
        <w:rPr>
          <w:i/>
          <w:iCs/>
        </w:rPr>
        <w:t>The twin transition of retail SMEs: Local retail, global trends</w:t>
      </w:r>
      <w:r>
        <w:t xml:space="preserve">. [online] OECD. Available at: </w:t>
      </w:r>
      <w:hyperlink r:id="rId112">
        <w:r>
          <w:rPr>
            <w:color w:val="1155CC"/>
            <w:u w:val="single"/>
          </w:rPr>
          <w:t>https://www.oecd.org/en/publications/local-retail-global-trends_55e2edec-en/full-report/the-twin-transition-of-retail-smes_e9ff5378.html</w:t>
        </w:r>
      </w:hyperlink>
      <w:r>
        <w:t xml:space="preserve">  [Accessed 31 Aug. 2026].</w:t>
      </w:r>
    </w:p>
    <w:p w:rsidR="00105F69" w:rsidRDefault="00105F69" w:rsidP="00105F69">
      <w:pPr>
        <w:pStyle w:val="normal0"/>
        <w:spacing w:before="0"/>
      </w:pPr>
      <w:r>
        <w:t xml:space="preserve">Eslamipoor, R. (2026). Digital Technology’s role in circular waste management: A systematic review. </w:t>
      </w:r>
      <w:r>
        <w:rPr>
          <w:i/>
          <w:iCs/>
        </w:rPr>
        <w:t>Business Strategy and the Environment</w:t>
      </w:r>
      <w:r>
        <w:t xml:space="preserve">. [online] Available at: </w:t>
      </w:r>
      <w:hyperlink r:id="rId113">
        <w:r>
          <w:rPr>
            <w:color w:val="1155CC"/>
            <w:u w:val="single"/>
          </w:rPr>
          <w:t>https://onlinelibrary.wiley.com/doi/full/10.1002/bse.70943</w:t>
        </w:r>
      </w:hyperlink>
      <w:r>
        <w:t xml:space="preserve">  [Accessed 31 Aug. 2026].</w:t>
      </w:r>
    </w:p>
    <w:p w:rsidR="00105F69" w:rsidRDefault="00105F69" w:rsidP="00105F69">
      <w:pPr>
        <w:pStyle w:val="normal0"/>
        <w:spacing w:before="0"/>
      </w:pPr>
      <w:r>
        <w:t xml:space="preserve">Green Space Innovations (2025). </w:t>
      </w:r>
      <w:r>
        <w:rPr>
          <w:i/>
          <w:iCs/>
        </w:rPr>
        <w:t>Blocked</w:t>
      </w:r>
      <w:r>
        <w:t xml:space="preserve">. [online] Greenspaceinnovations.co.uk. Available at: </w:t>
      </w:r>
      <w:hyperlink r:id="rId114">
        <w:r>
          <w:rPr>
            <w:color w:val="1155CC"/>
            <w:u w:val="single"/>
          </w:rPr>
          <w:t>https://greenspaceinnovations.co.uk/uk-recycling-rate-rises-to-44-6-as-waste-to-landfill-falls/</w:t>
        </w:r>
      </w:hyperlink>
      <w:r>
        <w:t xml:space="preserve"> [Accessed 31 Aug. 2026].</w:t>
      </w:r>
    </w:p>
    <w:p w:rsidR="00105F69" w:rsidRDefault="00105F69" w:rsidP="00105F69">
      <w:pPr>
        <w:pStyle w:val="normal0"/>
        <w:spacing w:before="0"/>
      </w:pPr>
      <w:r>
        <w:t xml:space="preserve">Shonubi, O.A. (2025). The role of digital B2B platforms with industry 4.0 technological ecosystems(integration of cloud computing, artificial intelligence and internet of things) as a growth lever. </w:t>
      </w:r>
      <w:r>
        <w:rPr>
          <w:i/>
          <w:iCs/>
        </w:rPr>
        <w:t>Sustainable Futures</w:t>
      </w:r>
      <w:r>
        <w:t xml:space="preserve">, [online] 10, p.101041. Available at: </w:t>
      </w:r>
      <w:hyperlink r:id="rId115">
        <w:r>
          <w:rPr>
            <w:color w:val="1155CC"/>
            <w:u w:val="single"/>
          </w:rPr>
          <w:t>https://www.sciencedirect.com/science/article/pii/S2666188825006057</w:t>
        </w:r>
      </w:hyperlink>
      <w:r>
        <w:t xml:space="preserve">  [Accessed 31 Aug. 2026].</w:t>
      </w:r>
    </w:p>
    <w:p w:rsidR="00105F69" w:rsidRDefault="00105F69" w:rsidP="00105F69">
      <w:pPr>
        <w:pStyle w:val="normal0"/>
        <w:spacing w:before="0"/>
      </w:pPr>
      <w:r>
        <w:t xml:space="preserve">European Commission (2026). </w:t>
      </w:r>
      <w:r>
        <w:rPr>
          <w:i/>
          <w:iCs/>
        </w:rPr>
        <w:t>Documents download module</w:t>
      </w:r>
      <w:r>
        <w:t xml:space="preserve">. [online] Europa.eu. Available at: </w:t>
      </w:r>
      <w:hyperlink r:id="rId116">
        <w:r>
          <w:rPr>
            <w:color w:val="1155CC"/>
            <w:u w:val="single"/>
          </w:rPr>
          <w:t>https://ec.europa.eu/research/participants/documents/downloadPublic?documentIds=080166e51297820f&amp;appId=PPGMS</w:t>
        </w:r>
      </w:hyperlink>
      <w:r>
        <w:t xml:space="preserve">  [Accessed 31 Aug. 2026].</w:t>
      </w:r>
    </w:p>
    <w:p w:rsidR="00105F69" w:rsidRDefault="00105F69" w:rsidP="00105F69">
      <w:pPr>
        <w:pStyle w:val="normal0"/>
        <w:spacing w:before="0"/>
      </w:pPr>
    </w:p>
    <w:p w:rsidR="00105F69" w:rsidRDefault="00105F69" w:rsidP="00105F69">
      <w:pPr>
        <w:pStyle w:val="normal0"/>
        <w:spacing w:before="0"/>
      </w:pPr>
      <w:r>
        <w:lastRenderedPageBreak/>
        <w:t xml:space="preserve">Lamichhane, B.D., Lama, P.B. and Lopchan, L. (2024). Cost-volume analysis and its impact on profitability: An evidence from Nepal. </w:t>
      </w:r>
      <w:r>
        <w:rPr>
          <w:i/>
          <w:iCs/>
        </w:rPr>
        <w:t>International Journal of Religion</w:t>
      </w:r>
      <w:r>
        <w:t xml:space="preserve">, [online] 5(12), pp.2007–2018. Available at: </w:t>
      </w:r>
      <w:hyperlink r:id="rId117">
        <w:r>
          <w:rPr>
            <w:color w:val="1155CC"/>
            <w:u w:val="single"/>
          </w:rPr>
          <w:t>https://www.researchgate.net/publication/387473297_Cost-Volume_Analysis_and_its_Impact_on_Profitability_An_Evidence_from_Nepal</w:t>
        </w:r>
      </w:hyperlink>
    </w:p>
    <w:p w:rsidR="00105F69" w:rsidRDefault="00105F69" w:rsidP="00105F69">
      <w:pPr>
        <w:pStyle w:val="normal0"/>
        <w:spacing w:before="0"/>
      </w:pPr>
    </w:p>
    <w:p w:rsidR="00105F69" w:rsidRDefault="00105F69" w:rsidP="00105F69">
      <w:pPr>
        <w:pStyle w:val="normal0"/>
        <w:spacing w:before="0"/>
      </w:pPr>
    </w:p>
    <w:p w:rsidR="00105F69" w:rsidRDefault="00105F69" w:rsidP="00105F69">
      <w:pPr>
        <w:pStyle w:val="normal0"/>
        <w:spacing w:before="0"/>
      </w:pPr>
      <w:r>
        <w:t xml:space="preserve">PwC (2025). </w:t>
      </w:r>
      <w:r>
        <w:rPr>
          <w:i/>
          <w:iCs/>
        </w:rPr>
        <w:t>2025 AI business predictions</w:t>
      </w:r>
      <w:r>
        <w:t xml:space="preserve">. [online] PwC. Available at: </w:t>
      </w:r>
      <w:hyperlink r:id="rId118">
        <w:r>
          <w:rPr>
            <w:color w:val="1155CC"/>
            <w:u w:val="single"/>
          </w:rPr>
          <w:t>https://www.pwc.com/us/en/tech-effect/ai-analytics/ai-predictions.html</w:t>
        </w:r>
      </w:hyperlink>
    </w:p>
    <w:p w:rsidR="00105F69" w:rsidRDefault="00105F69" w:rsidP="00105F69">
      <w:pPr>
        <w:pStyle w:val="normal0"/>
        <w:spacing w:before="0"/>
      </w:pPr>
      <w:r>
        <w:t xml:space="preserve">Kam, B., Ahsan, K., Deng, H. and Duan, S. (2026). Digital platforms in supply chain and logistics management: A systematic literature review. </w:t>
      </w:r>
      <w:r>
        <w:rPr>
          <w:i/>
          <w:iCs/>
        </w:rPr>
        <w:t>Transportation Research Part E: Logistics and Transportation Review</w:t>
      </w:r>
      <w:r>
        <w:t xml:space="preserve">, [online] 209, p.104737. Available at: </w:t>
      </w:r>
      <w:hyperlink r:id="rId119">
        <w:r>
          <w:rPr>
            <w:color w:val="1155CC"/>
            <w:u w:val="single"/>
          </w:rPr>
          <w:t>https://www.sciencedirect.com/science/article/pii/S1366554526000773</w:t>
        </w:r>
      </w:hyperlink>
      <w:r>
        <w:t xml:space="preserve">  [Accessed 31 Aug. 2026].</w:t>
      </w:r>
    </w:p>
    <w:p w:rsidR="00105F69" w:rsidRDefault="00105F69" w:rsidP="00105F69">
      <w:pPr>
        <w:pStyle w:val="normal0"/>
        <w:spacing w:before="0"/>
      </w:pPr>
      <w:r>
        <w:t xml:space="preserve">Petropoulos, F., Akkermans, H., Aksin, O.Z., Ali, I., Babai, M.Z., Barbosa-Povoa, A., Battaïa, O., Besiou, M., Boysen, N., Brammer, S., Brandon-Jones, A., Briskorn, D., Browning, T.R., Buijs, P., Centobelli, P., Chiarini, A., Cousins, P., Cudney, E.A., Davies, A., Day, S.J., de Koster, R., Dekker, R., Denicol, J., Despeisse, M., Disney, S.M., Dolgui, A., Duong, L., El-Qallali, M., Fahimnia, B., Fakhredin, F., Gershwin, S.B., Ghamat, S., Giannikas, V., Glock, C.H., Godsell, J., Govindan, K., Hannibal, C., Haug, A., Hernaus, T., Hsuan, J., Ivanov, D., Jahre, M., Johansson, B., Kalidoss, M.S., Kanellopoulos, A., Kannan, D., Karul, E., Katsikopoulos, K.V., Begüm Kilic-Ararat, A., Kolisch, R., Koppenberg, M., Kumar, M., Kuo, Y.-H., Kusiak, A., Lewis, M.A., Lim, S.F.W.T., Limère, V., Liu, J., Maghazei, O., Marić, M., Meissner, J., Meuwissen, M., Micheli, P., Nanayakkara, S., Nur Özdemir, B., Papadopoulos, T., Pavelin, S., Perera, S., Phillips, W., Prak, D., Pun, H., Qazi, S.A., Ramanathan, U., Reiner, G., Reitsma, E., Roehrich, J.K., Sanders, N.R., Sarkis, J., André Schmid, N., Schmidt, C.G., Schroeder, A., Selviaridis, K., Seuring, S., Shi, C., Son, B.-G., Spring, M., Squire, B., der Valk, W. van, van Donk, D.P., van Houtum, G.-J., Wilhelm, M., Wynstra, F. and Zheng, T. (2025). </w:t>
      </w:r>
      <w:r>
        <w:lastRenderedPageBreak/>
        <w:t xml:space="preserve">Operations &amp;amp; supply chain management: Principles and practice. </w:t>
      </w:r>
      <w:r>
        <w:rPr>
          <w:i/>
          <w:iCs/>
        </w:rPr>
        <w:t>International Journal of Production Research</w:t>
      </w:r>
      <w:r>
        <w:t xml:space="preserve">, [online] pp.1–184. Available at: </w:t>
      </w:r>
      <w:hyperlink r:id="rId120">
        <w:r>
          <w:rPr>
            <w:color w:val="1155CC"/>
            <w:u w:val="single"/>
          </w:rPr>
          <w:t>https://www.tandfonline.com/doi/full/10.1080/00207543.2025.2555531</w:t>
        </w:r>
      </w:hyperlink>
      <w:r>
        <w:t xml:space="preserve">  [Accessed 31 Aug. 2026].</w:t>
      </w:r>
    </w:p>
    <w:p w:rsidR="00105F69" w:rsidRDefault="00105F69" w:rsidP="00105F69">
      <w:pPr>
        <w:pStyle w:val="normal0"/>
        <w:spacing w:before="0"/>
      </w:pPr>
      <w:r>
        <w:t xml:space="preserve">Bals, L., Taylor, K.M., Rosca, E. and Ciulli, F. (2024). Toward a circular supply chain: The enabling role of information and financial flows in open and closed loop designs. </w:t>
      </w:r>
      <w:r>
        <w:rPr>
          <w:i/>
          <w:iCs/>
        </w:rPr>
        <w:t>Resources Conservation and Recycling</w:t>
      </w:r>
      <w:r>
        <w:t xml:space="preserve">, [online] 209, pp.107781–107781. Available at: </w:t>
      </w:r>
      <w:hyperlink r:id="rId121">
        <w:r>
          <w:rPr>
            <w:color w:val="1155CC"/>
            <w:u w:val="single"/>
          </w:rPr>
          <w:t>https://www.sciencedirect.com/science/article/pii/S0921344924003756</w:t>
        </w:r>
      </w:hyperlink>
      <w:r>
        <w:t xml:space="preserve">  [Accessed 31 Aug. 2026].</w:t>
      </w:r>
    </w:p>
    <w:p w:rsidR="00105F69" w:rsidRDefault="00105F69" w:rsidP="00105F69">
      <w:pPr>
        <w:pStyle w:val="normal0"/>
        <w:spacing w:before="0"/>
      </w:pPr>
      <w:r>
        <w:t xml:space="preserve">Mostafa, A., Moustafa, K. and Elshaer, R. (2023). Impact of fixed cost increase on the optimization of two-stage sustainable supply chain networks. </w:t>
      </w:r>
      <w:r>
        <w:rPr>
          <w:i/>
          <w:iCs/>
        </w:rPr>
        <w:t>Sustainability</w:t>
      </w:r>
      <w:r>
        <w:t xml:space="preserve">, [online] 15(18), pp.13949–13949. Available at: </w:t>
      </w:r>
      <w:hyperlink r:id="rId122">
        <w:r>
          <w:rPr>
            <w:color w:val="1155CC"/>
            <w:u w:val="single"/>
          </w:rPr>
          <w:t>https://www.mdpi.com/2071-1050/15/18/13949</w:t>
        </w:r>
      </w:hyperlink>
      <w:r>
        <w:t xml:space="preserve">  [Accessed 31 Aug. 2026]. </w:t>
      </w:r>
    </w:p>
    <w:p w:rsidR="008C37A4" w:rsidRDefault="008C37A4" w:rsidP="008C37A4">
      <w:pPr>
        <w:pStyle w:val="normal0"/>
        <w:spacing w:before="0"/>
      </w:pPr>
      <w:r>
        <w:t xml:space="preserve">Buckley, D. (2023). </w:t>
      </w:r>
      <w:r>
        <w:rPr>
          <w:i/>
          <w:iCs/>
        </w:rPr>
        <w:t>UK small and medium-sized enterprises (SMEs) statistics | leyton</w:t>
      </w:r>
      <w:r>
        <w:t xml:space="preserve">. [online] United Kingdom. Available at: </w:t>
      </w:r>
      <w:hyperlink r:id="rId123">
        <w:r>
          <w:rPr>
            <w:color w:val="1155CC"/>
            <w:u w:val="single"/>
          </w:rPr>
          <w:t>https://leyton.com/uk/insights/articles/uk-sme-statistics/</w:t>
        </w:r>
      </w:hyperlink>
      <w:r>
        <w:t xml:space="preserve">   [Accessed 2 Sep. 2026].</w:t>
      </w:r>
    </w:p>
    <w:p w:rsidR="008C37A4" w:rsidRDefault="008C37A4" w:rsidP="008C37A4">
      <w:pPr>
        <w:pStyle w:val="normal0"/>
        <w:spacing w:before="0"/>
      </w:pPr>
      <w:r>
        <w:t xml:space="preserve">Market Data Forecast (2024). </w:t>
      </w:r>
      <w:r>
        <w:rPr>
          <w:i/>
          <w:iCs/>
        </w:rPr>
        <w:t>UK waste management market report</w:t>
      </w:r>
      <w:r>
        <w:t xml:space="preserve">. [online] Market Data Forecast. Available at: </w:t>
      </w:r>
      <w:hyperlink r:id="rId124">
        <w:r>
          <w:rPr>
            <w:color w:val="1155CC"/>
            <w:u w:val="single"/>
          </w:rPr>
          <w:t>https://www.marketdataforecast.com/market-reports/united-kingdom-waste-management-market</w:t>
        </w:r>
      </w:hyperlink>
      <w:r>
        <w:t xml:space="preserve">  [Accessed 2 Sep. 2026].</w:t>
      </w:r>
    </w:p>
    <w:p w:rsidR="008C37A4" w:rsidRDefault="008C37A4" w:rsidP="008C37A4">
      <w:pPr>
        <w:pStyle w:val="normal0"/>
        <w:spacing w:before="0"/>
      </w:pPr>
      <w:r>
        <w:t xml:space="preserve">Office for National Statistics (2026). </w:t>
      </w:r>
      <w:r>
        <w:rPr>
          <w:i/>
          <w:iCs/>
        </w:rPr>
        <w:t>Consumer price inflation, UK</w:t>
      </w:r>
      <w:r>
        <w:t xml:space="preserve">. [online] Ons.gov.uk. Available at: </w:t>
      </w:r>
      <w:hyperlink r:id="rId125">
        <w:r>
          <w:rPr>
            <w:color w:val="1155CC"/>
            <w:u w:val="single"/>
          </w:rPr>
          <w:t>https://www.ons.gov.uk/economy/inflationandpriceindices/bulletins/consumerpriceinflation/june2026</w:t>
        </w:r>
      </w:hyperlink>
      <w:r>
        <w:t xml:space="preserve">  [Accessed 2 Sep. 2026].</w:t>
      </w:r>
    </w:p>
    <w:p w:rsidR="008C37A4" w:rsidRDefault="008C37A4" w:rsidP="008C37A4">
      <w:pPr>
        <w:pStyle w:val="normal0"/>
        <w:spacing w:before="0"/>
      </w:pPr>
      <w:r>
        <w:t xml:space="preserve">Guerreiro, R. and Amaral, J.V. (2018). Cost-based price and value-based price: Are they conflicting approaches? </w:t>
      </w:r>
      <w:r>
        <w:rPr>
          <w:i/>
          <w:iCs/>
        </w:rPr>
        <w:t>Journal of Business &amp; Industrial Marketing</w:t>
      </w:r>
      <w:r>
        <w:t xml:space="preserve">, [online] 33(3), pp.00–00. Available at: </w:t>
      </w:r>
      <w:hyperlink r:id="rId126">
        <w:r>
          <w:rPr>
            <w:color w:val="1155CC"/>
            <w:u w:val="single"/>
          </w:rPr>
          <w:t>https://www.researchgate.net/publication/323082261_Cost-based_price_and_value-based_price_are_they_conflicting_approaches</w:t>
        </w:r>
      </w:hyperlink>
      <w:r>
        <w:t xml:space="preserve">  [Accessed 2 Sep. 2026].</w:t>
      </w:r>
    </w:p>
    <w:p w:rsidR="008C37A4" w:rsidRDefault="008C37A4" w:rsidP="008C37A4">
      <w:pPr>
        <w:rPr>
          <w:rFonts w:ascii="Arial" w:eastAsia="Arial" w:hAnsi="Arial" w:cs="Arial"/>
        </w:rPr>
      </w:pPr>
      <w:r w:rsidRPr="00347D58">
        <w:rPr>
          <w:rFonts w:ascii="Arial" w:eastAsia="Arial" w:hAnsi="Arial" w:cs="Arial"/>
        </w:rPr>
        <w:lastRenderedPageBreak/>
        <w:t xml:space="preserve">Biffa (2019). </w:t>
      </w:r>
      <w:r w:rsidRPr="00347D58">
        <w:rPr>
          <w:rFonts w:ascii="Arial" w:eastAsia="Arial" w:hAnsi="Arial" w:cs="Arial"/>
          <w:i/>
          <w:iCs/>
        </w:rPr>
        <w:t>Welcome to Biffa – no.1 for business waste</w:t>
      </w:r>
      <w:r w:rsidRPr="00347D58">
        <w:rPr>
          <w:rFonts w:ascii="Arial" w:eastAsia="Arial" w:hAnsi="Arial" w:cs="Arial"/>
        </w:rPr>
        <w:t xml:space="preserve">. [online] Biffa. Available at: </w:t>
      </w:r>
      <w:hyperlink r:id="rId127">
        <w:r w:rsidRPr="00347D58">
          <w:rPr>
            <w:rFonts w:ascii="Arial" w:eastAsia="Arial" w:hAnsi="Arial" w:cs="Arial"/>
            <w:color w:val="1155CC"/>
            <w:u w:val="single"/>
          </w:rPr>
          <w:t>https://www.biffa.co.uk/</w:t>
        </w:r>
      </w:hyperlink>
      <w:r w:rsidRPr="00347D58">
        <w:rPr>
          <w:rFonts w:ascii="Arial" w:eastAsia="Arial" w:hAnsi="Arial" w:cs="Arial"/>
        </w:rPr>
        <w:t xml:space="preserve">  [Accessed 2 Sep. 2026].</w:t>
      </w:r>
    </w:p>
    <w:p w:rsidR="008C37A4" w:rsidRDefault="008C37A4" w:rsidP="008C37A4">
      <w:pPr>
        <w:pStyle w:val="normal0"/>
        <w:spacing w:before="0"/>
      </w:pPr>
      <w:r>
        <w:t xml:space="preserve">Veolia (2023). </w:t>
      </w:r>
      <w:r>
        <w:rPr>
          <w:i/>
          <w:iCs/>
        </w:rPr>
        <w:t>Waste management</w:t>
      </w:r>
      <w:r>
        <w:t xml:space="preserve">. [online] Veolia. Available at: </w:t>
      </w:r>
      <w:hyperlink r:id="rId128">
        <w:r>
          <w:rPr>
            <w:color w:val="1155CC"/>
            <w:u w:val="single"/>
          </w:rPr>
          <w:t>https://www.veolia.com/en/veolia-group/profile/business-activities/waste-management</w:t>
        </w:r>
      </w:hyperlink>
      <w:r>
        <w:t xml:space="preserve">  [Accessed 2 Sep. 2026].</w:t>
      </w:r>
    </w:p>
    <w:p w:rsidR="008C37A4" w:rsidRDefault="008C37A4" w:rsidP="008C37A4">
      <w:pPr>
        <w:pStyle w:val="normal0"/>
        <w:spacing w:before="0"/>
      </w:pPr>
      <w:r>
        <w:t xml:space="preserve">Grundon (2026). </w:t>
      </w:r>
      <w:r>
        <w:rPr>
          <w:i/>
          <w:iCs/>
        </w:rPr>
        <w:t>UK Waste Disposal &amp; Waste Management Services</w:t>
      </w:r>
      <w:r>
        <w:t xml:space="preserve">. [online] Grundon. Available at: </w:t>
      </w:r>
      <w:hyperlink r:id="rId129">
        <w:r>
          <w:rPr>
            <w:color w:val="1155CC"/>
            <w:u w:val="single"/>
          </w:rPr>
          <w:t>https://www.grundon.com/</w:t>
        </w:r>
      </w:hyperlink>
      <w:r>
        <w:t xml:space="preserve">  [Accessed 2 Sep. 2026].</w:t>
      </w:r>
    </w:p>
    <w:p w:rsidR="008C37A4" w:rsidRDefault="008C37A4" w:rsidP="008C37A4">
      <w:pPr>
        <w:pStyle w:val="normal0"/>
        <w:spacing w:before="0"/>
      </w:pPr>
      <w:r>
        <w:t xml:space="preserve">Binyaseen, A.M.A. (2024). Office design features and future organizational change toward supporting sustainability. </w:t>
      </w:r>
      <w:r>
        <w:rPr>
          <w:i/>
          <w:iCs/>
        </w:rPr>
        <w:t>Buildings</w:t>
      </w:r>
      <w:r>
        <w:t xml:space="preserve">, [online] 14(1), p.260. Available at: </w:t>
      </w:r>
      <w:hyperlink r:id="rId130">
        <w:r>
          <w:rPr>
            <w:color w:val="1155CC"/>
            <w:u w:val="single"/>
          </w:rPr>
          <w:t>https://www.mdpi.com/2075-5309/14/1/260</w:t>
        </w:r>
      </w:hyperlink>
      <w:r>
        <w:t xml:space="preserve">  [Accessed 3 Sep. 2026].</w:t>
      </w:r>
    </w:p>
    <w:p w:rsidR="008C37A4" w:rsidRDefault="008C37A4" w:rsidP="008C37A4">
      <w:pPr>
        <w:pStyle w:val="normal0"/>
        <w:spacing w:before="0"/>
      </w:pPr>
      <w:r>
        <w:t xml:space="preserve">Merchant Savvy (2022). </w:t>
      </w:r>
      <w:r>
        <w:rPr>
          <w:i/>
          <w:iCs/>
        </w:rPr>
        <w:t>UK SME data, statistics &amp; brilliant charts. Updated nov 2018.</w:t>
      </w:r>
      <w:r>
        <w:t xml:space="preserve"> [online] Merchant Savvy. Available at: </w:t>
      </w:r>
      <w:hyperlink r:id="rId131">
        <w:r>
          <w:rPr>
            <w:color w:val="1155CC"/>
            <w:u w:val="single"/>
          </w:rPr>
          <w:t>https://www.merchantsavvy.co.uk/uk-sme-data-stats-charts/</w:t>
        </w:r>
      </w:hyperlink>
      <w:r>
        <w:t xml:space="preserve">  [Accessed 3 Sep. 2026].</w:t>
      </w:r>
    </w:p>
    <w:p w:rsidR="008C37A4" w:rsidRDefault="008C37A4" w:rsidP="008C37A4">
      <w:pPr>
        <w:pStyle w:val="normal0"/>
        <w:spacing w:before="0"/>
      </w:pPr>
      <w:r>
        <w:t xml:space="preserve">Government of UK (2026a). </w:t>
      </w:r>
      <w:r>
        <w:rPr>
          <w:i/>
          <w:iCs/>
        </w:rPr>
        <w:t>Backing your business: Our plan for small and medium sized businesses (web version)</w:t>
      </w:r>
      <w:r>
        <w:t xml:space="preserve">. [online] GOV.UK. Available at: </w:t>
      </w:r>
      <w:hyperlink r:id="rId132">
        <w:r>
          <w:rPr>
            <w:color w:val="1155CC"/>
            <w:u w:val="single"/>
          </w:rPr>
          <w:t>https://www.gov.uk/government/publications/backing-your-business-our-plan-for-small-and-medium-sized-businesses/backing-your-business-our-plan-for-small-and-medium-sized-businesses-web-version</w:t>
        </w:r>
      </w:hyperlink>
      <w:r>
        <w:t xml:space="preserve">  [Accessed 3 Sep. 2026].</w:t>
      </w:r>
    </w:p>
    <w:p w:rsidR="008C37A4" w:rsidRDefault="008C37A4" w:rsidP="008C37A4">
      <w:pPr>
        <w:pStyle w:val="normal0"/>
        <w:spacing w:before="0"/>
      </w:pPr>
      <w:r>
        <w:t xml:space="preserve">Netseva-Porcheva, T. (2011). </w:t>
      </w:r>
      <w:r>
        <w:rPr>
          <w:i/>
          <w:iCs/>
        </w:rPr>
        <w:t>Value-based pricing: A success factor in the competitive struggle</w:t>
      </w:r>
      <w:r>
        <w:t xml:space="preserve">. [online] ResearchGate. Available at: </w:t>
      </w:r>
      <w:hyperlink r:id="rId133">
        <w:r>
          <w:rPr>
            <w:color w:val="1155CC"/>
            <w:u w:val="single"/>
          </w:rPr>
          <w:t>https://www.researchgate.net/publication/276228917_Value-based_pricing_A_success_factor_in_the_competitive_struggle</w:t>
        </w:r>
      </w:hyperlink>
      <w:r>
        <w:t xml:space="preserve">  [Accessed 3 Sep. 2026].</w:t>
      </w:r>
    </w:p>
    <w:p w:rsidR="008C37A4" w:rsidRDefault="008C37A4" w:rsidP="008C37A4">
      <w:pPr>
        <w:pStyle w:val="normal0"/>
        <w:spacing w:before="0"/>
      </w:pPr>
      <w:r>
        <w:t xml:space="preserve">OECD (2025). </w:t>
      </w:r>
      <w:r>
        <w:rPr>
          <w:i/>
          <w:iCs/>
        </w:rPr>
        <w:t>OECD employment outlook 2025: Navigating the golden years: Making the labour market work for older workers</w:t>
      </w:r>
      <w:r>
        <w:t xml:space="preserve">. [online] OECD. Available at: </w:t>
      </w:r>
      <w:hyperlink r:id="rId134">
        <w:r>
          <w:rPr>
            <w:color w:val="1155CC"/>
            <w:u w:val="single"/>
          </w:rPr>
          <w:t>https://www.oecd.org/en/publications/oecd-employment-outlook-2025_194a947b-en/full-</w:t>
        </w:r>
        <w:r>
          <w:rPr>
            <w:color w:val="1155CC"/>
            <w:u w:val="single"/>
          </w:rPr>
          <w:lastRenderedPageBreak/>
          <w:t>report/navigating-the-golden-years-making-the-labour-market-work-for-older-workers_2bc681ed.html</w:t>
        </w:r>
      </w:hyperlink>
      <w:r>
        <w:t xml:space="preserve">  [Accessed 3 Sep. 2026].</w:t>
      </w:r>
    </w:p>
    <w:p w:rsidR="008C37A4" w:rsidRDefault="008C37A4" w:rsidP="008C37A4">
      <w:pPr>
        <w:pStyle w:val="normal0"/>
        <w:spacing w:before="0"/>
      </w:pPr>
      <w:r>
        <w:t xml:space="preserve">Fredriksson, A., Eriksson, L., Janné, M. and Lundberg, K. (2026). Breaking barriers to circularity: Understanding multi-actor misalignment in planning practices. </w:t>
      </w:r>
      <w:r>
        <w:rPr>
          <w:i/>
          <w:iCs/>
        </w:rPr>
        <w:t>Circular Economy and Sustainability</w:t>
      </w:r>
      <w:r>
        <w:t xml:space="preserve">, [online] 6(2). Available at: </w:t>
      </w:r>
      <w:hyperlink r:id="rId135">
        <w:r>
          <w:rPr>
            <w:color w:val="1155CC"/>
            <w:u w:val="single"/>
          </w:rPr>
          <w:t>https://link.springer.com/article/10.1007/s43615-026-00775-9</w:t>
        </w:r>
      </w:hyperlink>
      <w:r>
        <w:t xml:space="preserve">  [Accessed 3 Sep. 2026].</w:t>
      </w:r>
    </w:p>
    <w:p w:rsidR="008C37A4" w:rsidRDefault="008C37A4" w:rsidP="008C37A4">
      <w:pPr>
        <w:pStyle w:val="normal0"/>
        <w:spacing w:before="0"/>
      </w:pPr>
      <w:r>
        <w:t xml:space="preserve">Pratt, K. (2025). UK website statistics. </w:t>
      </w:r>
      <w:r>
        <w:rPr>
          <w:i/>
          <w:iCs/>
        </w:rPr>
        <w:t>Forbes</w:t>
      </w:r>
      <w:r>
        <w:t xml:space="preserve">. [online] Available at: </w:t>
      </w:r>
      <w:hyperlink r:id="rId136">
        <w:r>
          <w:rPr>
            <w:color w:val="1155CC"/>
            <w:u w:val="single"/>
          </w:rPr>
          <w:t>https://www.forbes.com/advisor/uk/business/software/website-statistics/</w:t>
        </w:r>
      </w:hyperlink>
      <w:r>
        <w:t xml:space="preserve">  [Accessed 3 Sep. 2026].</w:t>
      </w:r>
    </w:p>
    <w:p w:rsidR="008C37A4" w:rsidRDefault="008C37A4" w:rsidP="008C37A4">
      <w:pPr>
        <w:pStyle w:val="normal0"/>
        <w:spacing w:before="0"/>
      </w:pPr>
      <w:r>
        <w:t xml:space="preserve">Sharabati, A.-A.A., Ali, A., Allahham, M.I., Hussein, A.A., Alheet, A.F. and Mohammad, A.S. (2024). The impact of digital marketing on the performance of SMEs: An analytical study in light of modern digital transformations. </w:t>
      </w:r>
      <w:r>
        <w:rPr>
          <w:i/>
          <w:iCs/>
        </w:rPr>
        <w:t>Sustainability</w:t>
      </w:r>
      <w:r>
        <w:t xml:space="preserve">, [online] 16(19). Available at: </w:t>
      </w:r>
      <w:hyperlink r:id="rId137">
        <w:r>
          <w:rPr>
            <w:color w:val="1155CC"/>
            <w:u w:val="single"/>
          </w:rPr>
          <w:t>https://www.mdpi.com/2071-1050/16/19/8667</w:t>
        </w:r>
      </w:hyperlink>
      <w:r>
        <w:t xml:space="preserve">  [Accessed 3 Sep. 2026].</w:t>
      </w:r>
    </w:p>
    <w:p w:rsidR="008C37A4" w:rsidRDefault="008C37A4" w:rsidP="008C37A4">
      <w:pPr>
        <w:pStyle w:val="normal0"/>
        <w:spacing w:before="0"/>
      </w:pPr>
      <w:r>
        <w:t xml:space="preserve">Sahoo, S. (2021). Lean practices and operational performance: The role of organizational culture. </w:t>
      </w:r>
      <w:r>
        <w:rPr>
          <w:i/>
          <w:iCs/>
        </w:rPr>
        <w:t>International Journal of Quality &amp; Reliability Management</w:t>
      </w:r>
      <w:r>
        <w:t xml:space="preserve">, [online] ahead-of-print(ahead-of-print). Available at: </w:t>
      </w:r>
      <w:hyperlink r:id="rId138">
        <w:r>
          <w:rPr>
            <w:color w:val="1155CC"/>
            <w:u w:val="single"/>
          </w:rPr>
          <w:t>https://www.emerald.com/ijqrm/article/39/2/428/314305/Lean-practices-and-operational-performance-the</w:t>
        </w:r>
      </w:hyperlink>
      <w:r>
        <w:t xml:space="preserve">  [Accessed 3 Sep. 2026].</w:t>
      </w:r>
    </w:p>
    <w:p w:rsidR="008C37A4" w:rsidRDefault="008C37A4" w:rsidP="008C37A4">
      <w:pPr>
        <w:pStyle w:val="normal0"/>
        <w:spacing w:before="0"/>
      </w:pPr>
      <w:r>
        <w:t xml:space="preserve">Bone, M., Ehlinger, E.G. and Stephany, F. (2025). Skills or degree? The rise of skill-based hiring for AI and green jobs. </w:t>
      </w:r>
      <w:r>
        <w:rPr>
          <w:i/>
          <w:iCs/>
        </w:rPr>
        <w:t>Technological Forecasting and Social Change</w:t>
      </w:r>
      <w:r>
        <w:t xml:space="preserve">, [online] 214, p.124042. Available at: </w:t>
      </w:r>
      <w:hyperlink r:id="rId139">
        <w:r>
          <w:rPr>
            <w:color w:val="1155CC"/>
            <w:u w:val="single"/>
          </w:rPr>
          <w:t>https://www.sciencedirect.com/science/article/pii/S0040162525000733</w:t>
        </w:r>
      </w:hyperlink>
    </w:p>
    <w:p w:rsidR="008C37A4" w:rsidRDefault="008C37A4" w:rsidP="008C37A4">
      <w:pPr>
        <w:pStyle w:val="normal0"/>
        <w:spacing w:before="0"/>
      </w:pPr>
      <w:r>
        <w:t xml:space="preserve">Government of UK (2026b). </w:t>
      </w:r>
      <w:r>
        <w:rPr>
          <w:i/>
          <w:iCs/>
        </w:rPr>
        <w:t>National Living Wage increases to £12.71 per hour</w:t>
      </w:r>
      <w:r>
        <w:t xml:space="preserve">. [online] GOV.UK. Available at: </w:t>
      </w:r>
      <w:hyperlink r:id="rId140">
        <w:r>
          <w:rPr>
            <w:color w:val="1155CC"/>
            <w:u w:val="single"/>
          </w:rPr>
          <w:t>https://www.gov.uk/government/news/national-living-wage-increases-to-1271-per-hour</w:t>
        </w:r>
      </w:hyperlink>
      <w:r>
        <w:t xml:space="preserve">  [Accessed 3 Sep. 2026].</w:t>
      </w:r>
    </w:p>
    <w:p w:rsidR="008C37A4" w:rsidRDefault="008C37A4" w:rsidP="008C37A4">
      <w:pPr>
        <w:pStyle w:val="normal0"/>
        <w:spacing w:before="0"/>
      </w:pPr>
      <w:r>
        <w:t xml:space="preserve">PECB (2025). </w:t>
      </w:r>
      <w:r>
        <w:rPr>
          <w:i/>
          <w:iCs/>
        </w:rPr>
        <w:t>The Importance of Occupational Health and Safety - PECB</w:t>
      </w:r>
      <w:r>
        <w:t xml:space="preserve">. [online] PECB. Available at: </w:t>
      </w:r>
      <w:hyperlink r:id="rId141">
        <w:r>
          <w:rPr>
            <w:color w:val="1155CC"/>
            <w:u w:val="single"/>
          </w:rPr>
          <w:t>https://pecb.com/en/article/the-importance-of-occupational-health-and-safety</w:t>
        </w:r>
      </w:hyperlink>
      <w:r>
        <w:t xml:space="preserve">  [Accessed 3 Sep. 2026].</w:t>
      </w:r>
    </w:p>
    <w:p w:rsidR="008C37A4" w:rsidRDefault="008C37A4" w:rsidP="008C37A4">
      <w:pPr>
        <w:pStyle w:val="normal0"/>
        <w:spacing w:before="0"/>
      </w:pPr>
      <w:r>
        <w:lastRenderedPageBreak/>
        <w:t xml:space="preserve">Government of UK (2024b). </w:t>
      </w:r>
      <w:r>
        <w:rPr>
          <w:i/>
          <w:iCs/>
        </w:rPr>
        <w:t>Supplementary information: Small and medium-sized enterprises definition (HTML)</w:t>
      </w:r>
      <w:r>
        <w:t xml:space="preserve">. [online] GOV.UK. Available at: </w:t>
      </w:r>
      <w:hyperlink r:id="rId142">
        <w:r>
          <w:rPr>
            <w:color w:val="1155CC"/>
            <w:u w:val="single"/>
          </w:rPr>
          <w:t>https://www.gov.uk/government/publications/procurement-act-2023-short-guides/supplementary-information-small-and-medium-sized-enterprises-definition-html</w:t>
        </w:r>
      </w:hyperlink>
      <w:r>
        <w:t xml:space="preserve">  [Accessed 3 Sep. 2026].</w:t>
      </w:r>
    </w:p>
    <w:p w:rsidR="008C37A4" w:rsidRDefault="008C37A4" w:rsidP="008C37A4">
      <w:pPr>
        <w:pStyle w:val="normal0"/>
        <w:spacing w:before="0"/>
      </w:pPr>
      <w:r>
        <w:t xml:space="preserve">Ogwu, M.C. and Kosoe, E.A. (2025). Innovative approaches to recycling, upcycling, and downcycling for sustainable waste management. </w:t>
      </w:r>
      <w:r>
        <w:rPr>
          <w:i/>
          <w:iCs/>
        </w:rPr>
        <w:t>CleanMat</w:t>
      </w:r>
      <w:r>
        <w:t xml:space="preserve">, [online] 2(3), pp.242–261. Available at: </w:t>
      </w:r>
      <w:hyperlink r:id="rId143">
        <w:r>
          <w:rPr>
            <w:color w:val="1155CC"/>
            <w:u w:val="single"/>
          </w:rPr>
          <w:t>https://onlinelibrary.wiley.com/doi/10.1002/clem.70013</w:t>
        </w:r>
      </w:hyperlink>
    </w:p>
    <w:p w:rsidR="008C37A4" w:rsidRDefault="008C37A4" w:rsidP="008C37A4">
      <w:pPr>
        <w:pStyle w:val="normal0"/>
        <w:spacing w:before="0"/>
      </w:pPr>
      <w:r>
        <w:t xml:space="preserve">Pascucci, F., Savelli, E. and Gistri, G. (2023). How digital technologies reshape marketing: Evidence from a qualitative investigation. </w:t>
      </w:r>
      <w:r>
        <w:rPr>
          <w:i/>
          <w:iCs/>
        </w:rPr>
        <w:t>Italian Journal of Marketing</w:t>
      </w:r>
      <w:r>
        <w:t xml:space="preserve">, [online] 2023(1), pp.27–58. Available at: </w:t>
      </w:r>
      <w:hyperlink r:id="rId144">
        <w:r>
          <w:rPr>
            <w:color w:val="1155CC"/>
            <w:u w:val="single"/>
          </w:rPr>
          <w:t>https://link.springer.com/article/10.1007/s43039-023-00063-6</w:t>
        </w:r>
      </w:hyperlink>
      <w:r>
        <w:t xml:space="preserve">  [Accessed 3 Sep. 2026].</w:t>
      </w:r>
    </w:p>
    <w:p w:rsidR="008C37A4" w:rsidRDefault="008C37A4" w:rsidP="008C37A4">
      <w:pPr>
        <w:pStyle w:val="normal0"/>
        <w:spacing w:before="0"/>
      </w:pPr>
      <w:r>
        <w:t xml:space="preserve">Winter, K., Cats, O., Martens, K. and van Arem, B. (2021). Parking space for shared automated vehicles: How less can be more. </w:t>
      </w:r>
      <w:r>
        <w:rPr>
          <w:i/>
          <w:iCs/>
        </w:rPr>
        <w:t>Transportation Research Part A: Policy and Practice</w:t>
      </w:r>
      <w:r>
        <w:t xml:space="preserve">, [online] 143, pp.61–77. Available at: </w:t>
      </w:r>
      <w:hyperlink r:id="rId145">
        <w:r>
          <w:rPr>
            <w:color w:val="1155CC"/>
            <w:u w:val="single"/>
          </w:rPr>
          <w:t>https://www.sciencedirect.com/science/article/pii/S0965856420307734</w:t>
        </w:r>
      </w:hyperlink>
    </w:p>
    <w:p w:rsidR="008C37A4" w:rsidRDefault="008C37A4" w:rsidP="008C37A4">
      <w:pPr>
        <w:pStyle w:val="normal0"/>
        <w:spacing w:before="0"/>
      </w:pPr>
      <w:r>
        <w:t xml:space="preserve">Ahmed, W.A.H. and MacCarthy, B.L. (2023). Blockchain-enabled supply chain traceability – How wide? How deep? </w:t>
      </w:r>
      <w:r>
        <w:rPr>
          <w:i/>
          <w:iCs/>
        </w:rPr>
        <w:t>International Journal of Production Economics</w:t>
      </w:r>
      <w:r>
        <w:t xml:space="preserve">, [online] 263, p.108963. Available at: </w:t>
      </w:r>
      <w:hyperlink r:id="rId146">
        <w:r>
          <w:rPr>
            <w:color w:val="1155CC"/>
            <w:u w:val="single"/>
          </w:rPr>
          <w:t>https://www.sciencedirect.com/science/article/pii/S0925527323001950</w:t>
        </w:r>
      </w:hyperlink>
      <w:r>
        <w:t xml:space="preserve">  [Accessed 4 Sep. 2026].</w:t>
      </w:r>
    </w:p>
    <w:p w:rsidR="008C37A4" w:rsidRDefault="008C37A4" w:rsidP="008C37A4">
      <w:pPr>
        <w:pStyle w:val="normal0"/>
        <w:spacing w:before="0"/>
      </w:pPr>
      <w:r>
        <w:t xml:space="preserve">Global Trash Solutions (2026). </w:t>
      </w:r>
      <w:r>
        <w:rPr>
          <w:i/>
          <w:iCs/>
        </w:rPr>
        <w:t>Page restricted</w:t>
      </w:r>
      <w:r>
        <w:t xml:space="preserve">. [online] Globaltrashsolutions.com. Available at: </w:t>
      </w:r>
      <w:hyperlink r:id="rId147">
        <w:r>
          <w:rPr>
            <w:color w:val="1155CC"/>
            <w:u w:val="single"/>
          </w:rPr>
          <w:t>https://globaltrashsolutions.com/blog/waste-reduction-strategies-for-retail-chains</w:t>
        </w:r>
      </w:hyperlink>
      <w:r>
        <w:t xml:space="preserve">  [Accessed 4 Sep. 2026].</w:t>
      </w:r>
    </w:p>
    <w:p w:rsidR="008C37A4" w:rsidRDefault="008C37A4" w:rsidP="008C37A4">
      <w:pPr>
        <w:pStyle w:val="normal0"/>
        <w:spacing w:before="0"/>
      </w:pPr>
      <w:r>
        <w:t xml:space="preserve">Government of UK (2023). </w:t>
      </w:r>
      <w:r>
        <w:rPr>
          <w:i/>
          <w:iCs/>
        </w:rPr>
        <w:t>Dispose of business or commercial waste</w:t>
      </w:r>
      <w:r>
        <w:t xml:space="preserve">. [online] GOV.UK. Available at: </w:t>
      </w:r>
      <w:hyperlink r:id="rId148">
        <w:r>
          <w:rPr>
            <w:color w:val="1155CC"/>
            <w:u w:val="single"/>
          </w:rPr>
          <w:t>https://www.gov.uk/dispose-business-commercial-waste</w:t>
        </w:r>
      </w:hyperlink>
      <w:r>
        <w:t xml:space="preserve">  [Accessed 4 Sep. 2026].</w:t>
      </w:r>
    </w:p>
    <w:p w:rsidR="00105F69" w:rsidRDefault="00105F69" w:rsidP="003D104A">
      <w:pPr>
        <w:pStyle w:val="NormalWeb"/>
        <w:spacing w:before="0" w:beforeAutospacing="0" w:after="240" w:afterAutospacing="0" w:line="360" w:lineRule="auto"/>
        <w:jc w:val="both"/>
      </w:pPr>
    </w:p>
    <w:p w:rsidR="002C2BC8" w:rsidRDefault="002C2BC8"/>
    <w:sectPr w:rsidR="002C2BC8" w:rsidSect="001646CB">
      <w:headerReference w:type="default" r:id="rId149"/>
      <w:footerReference w:type="default" r:id="rId150"/>
      <w:footerReference w:type="first" r:id="rId151"/>
      <w:pgSz w:w="12240" w:h="15840"/>
      <w:pgMar w:top="1440" w:right="1440" w:bottom="1440" w:left="1440" w:header="720"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6169" w:rsidRDefault="001E6169">
      <w:pPr>
        <w:spacing w:before="0" w:after="0" w:line="240" w:lineRule="auto"/>
      </w:pPr>
      <w:r>
        <w:separator/>
      </w:r>
    </w:p>
  </w:endnote>
  <w:endnote w:type="continuationSeparator" w:id="1">
    <w:p w:rsidR="001E6169" w:rsidRDefault="001E6169">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BB9F9C4-D984-4EC4-B8C7-D12C07FFE8B0}"/>
  </w:font>
  <w:font w:name="Calibri">
    <w:panose1 w:val="020F0502020204030204"/>
    <w:charset w:val="00"/>
    <w:family w:val="swiss"/>
    <w:pitch w:val="variable"/>
    <w:sig w:usb0="E4002EFF" w:usb1="C200247B" w:usb2="00000009" w:usb3="00000000" w:csb0="000001FF" w:csb1="00000000"/>
    <w:embedRegular r:id="rId2" w:fontKey="{161E8ED8-1F96-44D0-99B4-890606477682}"/>
    <w:embedBold r:id="rId3" w:fontKey="{ECB4B55B-D0BB-4DA9-9CC4-F6186B548693}"/>
  </w:font>
  <w:font w:name="Cambria">
    <w:panose1 w:val="02040503050406030204"/>
    <w:charset w:val="00"/>
    <w:family w:val="roman"/>
    <w:pitch w:val="variable"/>
    <w:sig w:usb0="E00006FF" w:usb1="420024FF" w:usb2="02000000" w:usb3="00000000" w:csb0="0000019F" w:csb1="00000000"/>
    <w:embedRegular r:id="rId4" w:fontKey="{C8E5ED18-307F-4C91-B00A-5536FB5BB080}"/>
  </w:font>
  <w:font w:name="Arial Unicode MS">
    <w:panose1 w:val="020B0604020202020204"/>
    <w:charset w:val="80"/>
    <w:family w:val="swiss"/>
    <w:pitch w:val="variable"/>
    <w:sig w:usb0="F7FFAFFF" w:usb1="E9DFFFFF" w:usb2="0000003F" w:usb3="00000000" w:csb0="003F01FF" w:csb1="00000000"/>
    <w:embedRegular r:id="rId5" w:subsetted="1" w:fontKey="{0B2B7833-A4DB-4D6A-8FB2-8F3F2BB19166}"/>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7A4" w:rsidRDefault="008C37A4">
    <w:pPr>
      <w:jc w:val="right"/>
    </w:pPr>
    <w:fldSimple w:instr="PAGE">
      <w:r w:rsidR="009D04FF">
        <w:rPr>
          <w:noProof/>
        </w:rPr>
        <w:t>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7A4" w:rsidRDefault="008C37A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6169" w:rsidRDefault="001E6169">
      <w:pPr>
        <w:spacing w:before="0" w:after="0" w:line="240" w:lineRule="auto"/>
      </w:pPr>
      <w:r>
        <w:separator/>
      </w:r>
    </w:p>
  </w:footnote>
  <w:footnote w:type="continuationSeparator" w:id="1">
    <w:p w:rsidR="001E6169" w:rsidRDefault="001E6169">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7A4" w:rsidRDefault="008C37A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2112"/>
    <w:multiLevelType w:val="multilevel"/>
    <w:tmpl w:val="D2906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F83542C"/>
    <w:multiLevelType w:val="multilevel"/>
    <w:tmpl w:val="B4164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533757A"/>
    <w:multiLevelType w:val="multilevel"/>
    <w:tmpl w:val="34480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A3067C4"/>
    <w:multiLevelType w:val="multilevel"/>
    <w:tmpl w:val="518E1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0BC7D72"/>
    <w:multiLevelType w:val="hybridMultilevel"/>
    <w:tmpl w:val="DC9CE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C44581"/>
    <w:multiLevelType w:val="multilevel"/>
    <w:tmpl w:val="720A8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A1C3053"/>
    <w:multiLevelType w:val="multilevel"/>
    <w:tmpl w:val="1868C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D154CC5"/>
    <w:multiLevelType w:val="multilevel"/>
    <w:tmpl w:val="ED80E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FDB1E42"/>
    <w:multiLevelType w:val="multilevel"/>
    <w:tmpl w:val="FD8C7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0BF5B57"/>
    <w:multiLevelType w:val="multilevel"/>
    <w:tmpl w:val="CBD89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34DA5038"/>
    <w:multiLevelType w:val="multilevel"/>
    <w:tmpl w:val="983E1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566766AE"/>
    <w:multiLevelType w:val="multilevel"/>
    <w:tmpl w:val="BE86B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5D53007F"/>
    <w:multiLevelType w:val="multilevel"/>
    <w:tmpl w:val="8B90A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5E0B0E9A"/>
    <w:multiLevelType w:val="multilevel"/>
    <w:tmpl w:val="9886EA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nsid w:val="75633AE5"/>
    <w:multiLevelType w:val="multilevel"/>
    <w:tmpl w:val="232003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nsid w:val="7C053186"/>
    <w:multiLevelType w:val="multilevel"/>
    <w:tmpl w:val="294E1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6"/>
  </w:num>
  <w:num w:numId="3">
    <w:abstractNumId w:val="3"/>
  </w:num>
  <w:num w:numId="4">
    <w:abstractNumId w:val="5"/>
  </w:num>
  <w:num w:numId="5">
    <w:abstractNumId w:val="0"/>
  </w:num>
  <w:num w:numId="6">
    <w:abstractNumId w:val="11"/>
  </w:num>
  <w:num w:numId="7">
    <w:abstractNumId w:val="10"/>
  </w:num>
  <w:num w:numId="8">
    <w:abstractNumId w:val="12"/>
  </w:num>
  <w:num w:numId="9">
    <w:abstractNumId w:val="14"/>
  </w:num>
  <w:num w:numId="10">
    <w:abstractNumId w:val="13"/>
  </w:num>
  <w:num w:numId="11">
    <w:abstractNumId w:val="4"/>
  </w:num>
  <w:num w:numId="12">
    <w:abstractNumId w:val="2"/>
  </w:num>
  <w:num w:numId="13">
    <w:abstractNumId w:val="1"/>
  </w:num>
  <w:num w:numId="14">
    <w:abstractNumId w:val="9"/>
  </w:num>
  <w:num w:numId="15">
    <w:abstractNumId w:val="15"/>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defaultTabStop w:val="720"/>
  <w:characterSpacingControl w:val="doNotCompress"/>
  <w:footnotePr>
    <w:footnote w:id="0"/>
    <w:footnote w:id="1"/>
  </w:footnotePr>
  <w:endnotePr>
    <w:endnote w:id="0"/>
    <w:endnote w:id="1"/>
  </w:endnotePr>
  <w:compat/>
  <w:rsids>
    <w:rsidRoot w:val="002C2BC8"/>
    <w:rsid w:val="00082632"/>
    <w:rsid w:val="00105F69"/>
    <w:rsid w:val="001646CB"/>
    <w:rsid w:val="001E6169"/>
    <w:rsid w:val="001E68C1"/>
    <w:rsid w:val="002043AA"/>
    <w:rsid w:val="002077D3"/>
    <w:rsid w:val="002662A8"/>
    <w:rsid w:val="002A0CEE"/>
    <w:rsid w:val="002C2BC8"/>
    <w:rsid w:val="003A634D"/>
    <w:rsid w:val="003B34AC"/>
    <w:rsid w:val="003D104A"/>
    <w:rsid w:val="003D562E"/>
    <w:rsid w:val="004F6403"/>
    <w:rsid w:val="00511C6D"/>
    <w:rsid w:val="00596FD4"/>
    <w:rsid w:val="006F1940"/>
    <w:rsid w:val="008230A6"/>
    <w:rsid w:val="00887AB1"/>
    <w:rsid w:val="008C37A4"/>
    <w:rsid w:val="00942264"/>
    <w:rsid w:val="009644E8"/>
    <w:rsid w:val="009D04FF"/>
    <w:rsid w:val="00B159F0"/>
    <w:rsid w:val="00B75634"/>
    <w:rsid w:val="00C1187E"/>
    <w:rsid w:val="00DB5B7D"/>
    <w:rsid w:val="00DE02BF"/>
    <w:rsid w:val="00E268B0"/>
    <w:rsid w:val="00FC2205"/>
    <w:rsid w:val="00FD1741"/>
    <w:rsid w:val="00FE617C"/>
    <w:rsid w:val="00FF2D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IN" w:bidi="ar-SA"/>
      </w:rPr>
    </w:rPrDefault>
    <w:pPrDefault>
      <w:pPr>
        <w:spacing w:before="240" w:after="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646CB"/>
  </w:style>
  <w:style w:type="paragraph" w:styleId="Heading1">
    <w:name w:val="heading 1"/>
    <w:basedOn w:val="Normal"/>
    <w:next w:val="Normal"/>
    <w:rsid w:val="001646CB"/>
    <w:pPr>
      <w:keepNext/>
      <w:keepLines/>
      <w:spacing w:before="360" w:after="80"/>
      <w:outlineLvl w:val="0"/>
    </w:pPr>
    <w:rPr>
      <w:b/>
      <w:bCs/>
      <w:sz w:val="28"/>
      <w:szCs w:val="28"/>
    </w:rPr>
  </w:style>
  <w:style w:type="paragraph" w:styleId="Heading2">
    <w:name w:val="heading 2"/>
    <w:basedOn w:val="Normal"/>
    <w:next w:val="Normal"/>
    <w:rsid w:val="001646CB"/>
    <w:pPr>
      <w:keepNext/>
      <w:keepLines/>
      <w:spacing w:before="280" w:after="80"/>
      <w:outlineLvl w:val="1"/>
    </w:pPr>
    <w:rPr>
      <w:b/>
      <w:bCs/>
      <w:sz w:val="26"/>
      <w:szCs w:val="26"/>
    </w:rPr>
  </w:style>
  <w:style w:type="paragraph" w:styleId="Heading3">
    <w:name w:val="heading 3"/>
    <w:basedOn w:val="Normal"/>
    <w:next w:val="Normal"/>
    <w:rsid w:val="001646CB"/>
    <w:pPr>
      <w:keepNext/>
      <w:keepLines/>
      <w:spacing w:after="40"/>
      <w:outlineLvl w:val="2"/>
    </w:pPr>
    <w:rPr>
      <w:b/>
      <w:bCs/>
    </w:rPr>
  </w:style>
  <w:style w:type="paragraph" w:styleId="Heading4">
    <w:name w:val="heading 4"/>
    <w:basedOn w:val="Normal"/>
    <w:next w:val="Normal"/>
    <w:rsid w:val="001646CB"/>
    <w:pPr>
      <w:keepNext/>
      <w:keepLines/>
      <w:spacing w:before="280" w:after="80"/>
      <w:outlineLvl w:val="3"/>
    </w:pPr>
    <w:rPr>
      <w:color w:val="666666"/>
    </w:rPr>
  </w:style>
  <w:style w:type="paragraph" w:styleId="Heading5">
    <w:name w:val="heading 5"/>
    <w:basedOn w:val="Normal"/>
    <w:next w:val="Normal"/>
    <w:rsid w:val="001646CB"/>
    <w:pPr>
      <w:keepNext/>
      <w:keepLines/>
      <w:spacing w:after="80"/>
      <w:outlineLvl w:val="4"/>
    </w:pPr>
    <w:rPr>
      <w:color w:val="666666"/>
      <w:sz w:val="22"/>
      <w:szCs w:val="22"/>
    </w:rPr>
  </w:style>
  <w:style w:type="paragraph" w:styleId="Heading6">
    <w:name w:val="heading 6"/>
    <w:basedOn w:val="Normal"/>
    <w:next w:val="Normal"/>
    <w:rsid w:val="001646CB"/>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1646CB"/>
    <w:tblPr>
      <w:tblCellMar>
        <w:top w:w="100" w:type="dxa"/>
        <w:left w:w="100" w:type="dxa"/>
        <w:bottom w:w="100" w:type="dxa"/>
        <w:right w:w="100" w:type="dxa"/>
      </w:tblCellMar>
    </w:tblPr>
  </w:style>
  <w:style w:type="paragraph" w:styleId="Title">
    <w:name w:val="Title"/>
    <w:basedOn w:val="Normal"/>
    <w:next w:val="Normal"/>
    <w:rsid w:val="001646CB"/>
    <w:pPr>
      <w:keepNext/>
      <w:keepLines/>
      <w:spacing w:before="0" w:after="60"/>
    </w:pPr>
    <w:rPr>
      <w:sz w:val="52"/>
      <w:szCs w:val="52"/>
    </w:rPr>
  </w:style>
  <w:style w:type="table" w:customStyle="1" w:styleId="TableNormal1">
    <w:name w:val="TableNormal"/>
    <w:rsid w:val="001646CB"/>
    <w:tblPr>
      <w:tblCellMar>
        <w:top w:w="100" w:type="dxa"/>
        <w:left w:w="100" w:type="dxa"/>
        <w:bottom w:w="100" w:type="dxa"/>
        <w:right w:w="100" w:type="dxa"/>
      </w:tblCellMar>
    </w:tblPr>
  </w:style>
  <w:style w:type="table" w:customStyle="1" w:styleId="TableNormal2">
    <w:name w:val="TableNormal"/>
    <w:rsid w:val="001646CB"/>
    <w:tblPr>
      <w:tblCellMar>
        <w:top w:w="100" w:type="dxa"/>
        <w:left w:w="100" w:type="dxa"/>
        <w:bottom w:w="100" w:type="dxa"/>
        <w:right w:w="100" w:type="dxa"/>
      </w:tblCellMar>
    </w:tblPr>
  </w:style>
  <w:style w:type="paragraph" w:styleId="Subtitle">
    <w:name w:val="Subtitle"/>
    <w:basedOn w:val="Normal"/>
    <w:next w:val="Normal"/>
    <w:rsid w:val="001646CB"/>
    <w:pPr>
      <w:keepNext/>
      <w:keepLines/>
      <w:spacing w:before="0" w:after="320"/>
    </w:pPr>
    <w:rPr>
      <w:rFonts w:ascii="Arial" w:eastAsia="Arial" w:hAnsi="Arial" w:cs="Arial"/>
      <w:color w:val="666666"/>
      <w:sz w:val="30"/>
      <w:szCs w:val="30"/>
    </w:rPr>
  </w:style>
  <w:style w:type="table" w:customStyle="1" w:styleId="a">
    <w:basedOn w:val="TableNormal2"/>
    <w:rsid w:val="001646CB"/>
    <w:tblPr>
      <w:tblStyleRowBandSize w:val="1"/>
      <w:tblStyleColBandSize w:val="1"/>
      <w:tblCellMar>
        <w:top w:w="100" w:type="dxa"/>
        <w:left w:w="100" w:type="dxa"/>
        <w:bottom w:w="100" w:type="dxa"/>
        <w:right w:w="100" w:type="dxa"/>
      </w:tblCellMar>
    </w:tblPr>
  </w:style>
  <w:style w:type="table" w:customStyle="1" w:styleId="a0">
    <w:basedOn w:val="TableNormal2"/>
    <w:rsid w:val="001646CB"/>
    <w:tblPr>
      <w:tblStyleRowBandSize w:val="1"/>
      <w:tblStyleColBandSize w:val="1"/>
      <w:tblCellMar>
        <w:top w:w="100" w:type="dxa"/>
        <w:left w:w="100" w:type="dxa"/>
        <w:bottom w:w="100" w:type="dxa"/>
        <w:right w:w="100" w:type="dxa"/>
      </w:tblCellMar>
    </w:tblPr>
  </w:style>
  <w:style w:type="table" w:customStyle="1" w:styleId="a1">
    <w:basedOn w:val="TableNormal2"/>
    <w:rsid w:val="001646CB"/>
    <w:tblPr>
      <w:tblStyleRowBandSize w:val="1"/>
      <w:tblStyleColBandSize w:val="1"/>
      <w:tblCellMar>
        <w:top w:w="100" w:type="dxa"/>
        <w:left w:w="100" w:type="dxa"/>
        <w:bottom w:w="100" w:type="dxa"/>
        <w:right w:w="100" w:type="dxa"/>
      </w:tblCellMar>
    </w:tblPr>
  </w:style>
  <w:style w:type="table" w:customStyle="1" w:styleId="a2">
    <w:basedOn w:val="TableNormal2"/>
    <w:rsid w:val="001646CB"/>
    <w:tblPr>
      <w:tblStyleRowBandSize w:val="1"/>
      <w:tblStyleColBandSize w:val="1"/>
      <w:tblCellMar>
        <w:top w:w="100" w:type="dxa"/>
        <w:left w:w="100" w:type="dxa"/>
        <w:bottom w:w="100" w:type="dxa"/>
        <w:right w:w="100" w:type="dxa"/>
      </w:tblCellMar>
    </w:tblPr>
  </w:style>
  <w:style w:type="table" w:customStyle="1" w:styleId="a3">
    <w:basedOn w:val="TableNormal2"/>
    <w:rsid w:val="001646CB"/>
    <w:tblPr>
      <w:tblStyleRowBandSize w:val="1"/>
      <w:tblStyleColBandSize w:val="1"/>
      <w:tblCellMar>
        <w:top w:w="100" w:type="dxa"/>
        <w:left w:w="100" w:type="dxa"/>
        <w:bottom w:w="100" w:type="dxa"/>
        <w:right w:w="100" w:type="dxa"/>
      </w:tblCellMar>
    </w:tblPr>
  </w:style>
  <w:style w:type="table" w:customStyle="1" w:styleId="a4">
    <w:basedOn w:val="TableNormal2"/>
    <w:rsid w:val="001646CB"/>
    <w:tblPr>
      <w:tblStyleRowBandSize w:val="1"/>
      <w:tblStyleColBandSize w:val="1"/>
      <w:tblCellMar>
        <w:top w:w="100" w:type="dxa"/>
        <w:left w:w="100" w:type="dxa"/>
        <w:bottom w:w="100" w:type="dxa"/>
        <w:right w:w="100" w:type="dxa"/>
      </w:tblCellMar>
    </w:tblPr>
  </w:style>
  <w:style w:type="table" w:customStyle="1" w:styleId="a5">
    <w:basedOn w:val="TableNormal2"/>
    <w:rsid w:val="001646CB"/>
    <w:tblPr>
      <w:tblStyleRowBandSize w:val="1"/>
      <w:tblStyleColBandSize w:val="1"/>
      <w:tblCellMar>
        <w:top w:w="100" w:type="dxa"/>
        <w:left w:w="100" w:type="dxa"/>
        <w:bottom w:w="100" w:type="dxa"/>
        <w:right w:w="100" w:type="dxa"/>
      </w:tblCellMar>
    </w:tblPr>
  </w:style>
  <w:style w:type="table" w:customStyle="1" w:styleId="a6">
    <w:basedOn w:val="TableNormal2"/>
    <w:rsid w:val="001646CB"/>
    <w:tblPr>
      <w:tblStyleRowBandSize w:val="1"/>
      <w:tblStyleColBandSize w:val="1"/>
      <w:tblCellMar>
        <w:top w:w="100" w:type="dxa"/>
        <w:left w:w="100" w:type="dxa"/>
        <w:bottom w:w="100" w:type="dxa"/>
        <w:right w:w="100" w:type="dxa"/>
      </w:tblCellMar>
    </w:tblPr>
  </w:style>
  <w:style w:type="table" w:customStyle="1" w:styleId="a7">
    <w:basedOn w:val="TableNormal2"/>
    <w:rsid w:val="001646CB"/>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596FD4"/>
    <w:pPr>
      <w:spacing w:after="100"/>
    </w:pPr>
  </w:style>
  <w:style w:type="paragraph" w:styleId="TOC2">
    <w:name w:val="toc 2"/>
    <w:basedOn w:val="Normal"/>
    <w:next w:val="Normal"/>
    <w:autoRedefine/>
    <w:uiPriority w:val="39"/>
    <w:unhideWhenUsed/>
    <w:rsid w:val="00596FD4"/>
    <w:pPr>
      <w:spacing w:after="100"/>
      <w:ind w:left="240"/>
    </w:pPr>
  </w:style>
  <w:style w:type="paragraph" w:styleId="TOC3">
    <w:name w:val="toc 3"/>
    <w:basedOn w:val="Normal"/>
    <w:next w:val="Normal"/>
    <w:autoRedefine/>
    <w:uiPriority w:val="39"/>
    <w:unhideWhenUsed/>
    <w:rsid w:val="00596FD4"/>
    <w:pPr>
      <w:spacing w:after="100"/>
      <w:ind w:left="480"/>
    </w:pPr>
  </w:style>
  <w:style w:type="character" w:styleId="Hyperlink">
    <w:name w:val="Hyperlink"/>
    <w:basedOn w:val="DefaultParagraphFont"/>
    <w:uiPriority w:val="99"/>
    <w:unhideWhenUsed/>
    <w:rsid w:val="00596FD4"/>
    <w:rPr>
      <w:color w:val="0000FF" w:themeColor="hyperlink"/>
      <w:u w:val="single"/>
    </w:rPr>
  </w:style>
  <w:style w:type="paragraph" w:styleId="NormalWeb">
    <w:name w:val="Normal (Web)"/>
    <w:basedOn w:val="Normal"/>
    <w:uiPriority w:val="99"/>
    <w:semiHidden/>
    <w:unhideWhenUsed/>
    <w:rsid w:val="003D104A"/>
    <w:pPr>
      <w:spacing w:before="100" w:beforeAutospacing="1" w:after="100" w:afterAutospacing="1" w:line="240" w:lineRule="auto"/>
      <w:jc w:val="left"/>
    </w:pPr>
    <w:rPr>
      <w:lang w:val="en-IN"/>
    </w:rPr>
  </w:style>
  <w:style w:type="paragraph" w:styleId="BalloonText">
    <w:name w:val="Balloon Text"/>
    <w:basedOn w:val="Normal"/>
    <w:link w:val="BalloonTextChar"/>
    <w:uiPriority w:val="99"/>
    <w:semiHidden/>
    <w:unhideWhenUsed/>
    <w:rsid w:val="009644E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4E8"/>
    <w:rPr>
      <w:rFonts w:ascii="Tahoma" w:hAnsi="Tahoma" w:cs="Tahoma"/>
      <w:sz w:val="16"/>
      <w:szCs w:val="16"/>
    </w:rPr>
  </w:style>
  <w:style w:type="paragraph" w:customStyle="1" w:styleId="normal0">
    <w:name w:val="normal"/>
    <w:rsid w:val="009644E8"/>
    <w:rPr>
      <w:lang w:eastAsia="en-US"/>
    </w:rPr>
  </w:style>
  <w:style w:type="paragraph" w:styleId="TOCHeading">
    <w:name w:val="TOC Heading"/>
    <w:basedOn w:val="Heading1"/>
    <w:next w:val="Normal"/>
    <w:uiPriority w:val="39"/>
    <w:semiHidden/>
    <w:unhideWhenUsed/>
    <w:qFormat/>
    <w:rsid w:val="004F6403"/>
    <w:pPr>
      <w:spacing w:before="480" w:after="0" w:line="276" w:lineRule="auto"/>
      <w:jc w:val="left"/>
      <w:outlineLvl w:val="9"/>
    </w:pPr>
    <w:rPr>
      <w:rFonts w:asciiTheme="majorHAnsi" w:eastAsiaTheme="majorEastAsia" w:hAnsiTheme="majorHAnsi" w:cstheme="majorBidi"/>
      <w:color w:val="365F91" w:themeColor="accent1" w:themeShade="BF"/>
      <w:lang w:eastAsia="en-US"/>
    </w:rPr>
  </w:style>
</w:styles>
</file>

<file path=word/webSettings.xml><?xml version="1.0" encoding="utf-8"?>
<w:webSettings xmlns:r="http://schemas.openxmlformats.org/officeDocument/2006/relationships" xmlns:w="http://schemas.openxmlformats.org/wordprocessingml/2006/main">
  <w:divs>
    <w:div w:id="1436246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mdpi.com/2071-1050/13/16/9274" TargetMode="External"/><Relationship Id="rId117" Type="http://schemas.openxmlformats.org/officeDocument/2006/relationships/hyperlink" Target="https://www.researchgate.net/publication/387473297_Cost-Volume_Analysis_and_its_Impact_on_Profitability_An_Evidence_from_Nepal" TargetMode="External"/><Relationship Id="rId21" Type="http://schemas.openxmlformats.org/officeDocument/2006/relationships/hyperlink" Target="https://www.sciencedirect.com/science/article/pii/S0301479725039647?via%3Dihub" TargetMode="External"/><Relationship Id="rId42" Type="http://schemas.openxmlformats.org/officeDocument/2006/relationships/hyperlink" Target="https://www.mdpi.com/2075-5309/13/7/1862" TargetMode="External"/><Relationship Id="rId47" Type="http://schemas.openxmlformats.org/officeDocument/2006/relationships/hyperlink" Target="https://www.mdpi.com/2071-1050/17/23/10460" TargetMode="External"/><Relationship Id="rId63" Type="http://schemas.openxmlformats.org/officeDocument/2006/relationships/hyperlink" Target="https://journals.sagepub.com/doi/pdf/10.3233/ATDE240197" TargetMode="External"/><Relationship Id="rId68" Type="http://schemas.openxmlformats.org/officeDocument/2006/relationships/hyperlink" Target="https://www.mdpi.com/0718-1876/20/3/201" TargetMode="External"/><Relationship Id="rId84" Type="http://schemas.openxmlformats.org/officeDocument/2006/relationships/hyperlink" Target="https://www.mdpi.com/2071-1050/14/20/13273" TargetMode="External"/><Relationship Id="rId89" Type="http://schemas.openxmlformats.org/officeDocument/2006/relationships/hyperlink" Target="https://www.sciencedirect.com/science/article/pii/S0959652624021140" TargetMode="External"/><Relationship Id="rId112" Type="http://schemas.openxmlformats.org/officeDocument/2006/relationships/hyperlink" Target="https://www.oecd.org/en/publications/local-retail-global-trends_55e2edec-en/full-report/the-twin-transition-of-retail-smes_e9ff5378.html" TargetMode="External"/><Relationship Id="rId133" Type="http://schemas.openxmlformats.org/officeDocument/2006/relationships/hyperlink" Target="https://www.researchgate.net/publication/276228917_Value-based_pricing_A_success_factor_in_the_competitive_struggle" TargetMode="External"/><Relationship Id="rId138" Type="http://schemas.openxmlformats.org/officeDocument/2006/relationships/hyperlink" Target="https://www.emerald.com/ijqrm/article/39/2/428/314305/Lean-practices-and-operational-performance-the" TargetMode="External"/><Relationship Id="rId16" Type="http://schemas.openxmlformats.org/officeDocument/2006/relationships/image" Target="media/image9.png"/><Relationship Id="rId107" Type="http://schemas.openxmlformats.org/officeDocument/2006/relationships/hyperlink" Target="https://doi.org/10.1016/j.envsci.2024.103859" TargetMode="External"/><Relationship Id="rId11" Type="http://schemas.openxmlformats.org/officeDocument/2006/relationships/image" Target="media/image4.png"/><Relationship Id="rId32" Type="http://schemas.openxmlformats.org/officeDocument/2006/relationships/hyperlink" Target="https://www.sciencedirect.com/science/article/pii/S0148296326003917" TargetMode="External"/><Relationship Id="rId37" Type="http://schemas.openxmlformats.org/officeDocument/2006/relationships/hyperlink" Target="https://www.ons.gov.uk/businessindustryandtrade/business/activitysizeandlocation/bulletins/ukbusinessactivitysizeandlocation/2025" TargetMode="External"/><Relationship Id="rId53" Type="http://schemas.openxmlformats.org/officeDocument/2006/relationships/hyperlink" Target="https://www.researchgate.net/publication/373599608_Coexisting_or_coworking_The_reconfigured_office_spaces_in_two_emerging_global_citie" TargetMode="External"/><Relationship Id="rId58" Type="http://schemas.openxmlformats.org/officeDocument/2006/relationships/hyperlink" Target="https://www.sciencedirect.com/science/article/pii/S2212827124000933/pdf?md5=eef925a01737505493cc025e4f44a238&amp;pid=1-s2.0-S2212827124000933-main.pdf" TargetMode="External"/><Relationship Id="rId74" Type="http://schemas.openxmlformats.org/officeDocument/2006/relationships/hyperlink" Target="https://www.sciencedirect.com/science/article/pii/S1366554524003788" TargetMode="External"/><Relationship Id="rId79" Type="http://schemas.openxmlformats.org/officeDocument/2006/relationships/hyperlink" Target="https://www.ons.gov.uk/employmentandlabourmarket/peopleinwork/employmentandemployeetypes/articles/whohasaccesstohybridworkingreatbritain/latest" TargetMode="External"/><Relationship Id="rId102" Type="http://schemas.openxmlformats.org/officeDocument/2006/relationships/hyperlink" Target="https://www.sciencedirect.com/journal/journal-of-cleaner-production/vol/442/suppl/C" TargetMode="External"/><Relationship Id="rId123" Type="http://schemas.openxmlformats.org/officeDocument/2006/relationships/hyperlink" Target="https://leyton.com/uk/insights/articles/uk-sme-statistics/" TargetMode="External"/><Relationship Id="rId128" Type="http://schemas.openxmlformats.org/officeDocument/2006/relationships/hyperlink" Target="https://www.veolia.com/en/veolia-group/profile/business-activities/waste-management" TargetMode="External"/><Relationship Id="rId144" Type="http://schemas.openxmlformats.org/officeDocument/2006/relationships/hyperlink" Target="https://link.springer.com/article/10.1007/s43039-023-00063-6" TargetMode="External"/><Relationship Id="rId149"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s://onlinelibrary.wiley.com/doi/pdfdirect/10.1002/bse.3297" TargetMode="External"/><Relationship Id="rId95" Type="http://schemas.openxmlformats.org/officeDocument/2006/relationships/hyperlink" Target="https://www.wrap.ngo/resources/case-study/crown-workspace-ltd-leading-way-office-furniture-reuse?utm_source=chatgpt.com" TargetMode="External"/><Relationship Id="rId22" Type="http://schemas.openxmlformats.org/officeDocument/2006/relationships/hyperlink" Target="https://link.springer.com/article/10.1007/s43621-025-01270-1" TargetMode="External"/><Relationship Id="rId27" Type="http://schemas.openxmlformats.org/officeDocument/2006/relationships/hyperlink" Target="https://onlinelibrary.wiley.com/doi/pdfdirect/10.1111/isj.12436" TargetMode="External"/><Relationship Id="rId43" Type="http://schemas.openxmlformats.org/officeDocument/2006/relationships/hyperlink" Target="https://www.workingfromcoffeeshops.co.uk/blog/working-from-home-statistics-uk" TargetMode="External"/><Relationship Id="rId48" Type="http://schemas.openxmlformats.org/officeDocument/2006/relationships/hyperlink" Target="https://www.gov.uk/government/publications/waste-prevention-programme-for-england-maximising-resources-minimising-waste/the-waste-prevention-programme-for-england-maximising-resources-minimising-waste" TargetMode="External"/><Relationship Id="rId64" Type="http://schemas.openxmlformats.org/officeDocument/2006/relationships/hyperlink" Target="https://www.sciencedirect.com/science/article/pii/S0019850124000142" TargetMode="External"/><Relationship Id="rId69" Type="http://schemas.openxmlformats.org/officeDocument/2006/relationships/hyperlink" Target="https://www.mdpi.com/2304-8158/13/19/3045" TargetMode="External"/><Relationship Id="rId113" Type="http://schemas.openxmlformats.org/officeDocument/2006/relationships/hyperlink" Target="https://onlinelibrary.wiley.com/doi/full/10.1002/bse.70943" TargetMode="External"/><Relationship Id="rId118" Type="http://schemas.openxmlformats.org/officeDocument/2006/relationships/hyperlink" Target="https://www.pwc.com/us/en/tech-effect/ai-analytics/ai-predictions.html" TargetMode="External"/><Relationship Id="rId134" Type="http://schemas.openxmlformats.org/officeDocument/2006/relationships/hyperlink" Target="https://www.oecd.org/en/publications/oecd-employment-outlook-2025_194a947b-en/full-report/navigating-the-golden-years-making-the-labour-market-work-for-older-workers_2bc681ed.html" TargetMode="External"/><Relationship Id="rId139" Type="http://schemas.openxmlformats.org/officeDocument/2006/relationships/hyperlink" Target="https://www.sciencedirect.com/science/article/pii/S0040162525000733" TargetMode="External"/><Relationship Id="rId80" Type="http://schemas.openxmlformats.org/officeDocument/2006/relationships/hyperlink" Target="https://www.mdpi.com/2413-8851/9/5/167" TargetMode="External"/><Relationship Id="rId85" Type="http://schemas.openxmlformats.org/officeDocument/2006/relationships/hyperlink" Target="https://www.mdpi.com/2504-4494/10/4/112" TargetMode="External"/><Relationship Id="rId150"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mdpi.com/2071-1050/14/1/410" TargetMode="External"/><Relationship Id="rId33" Type="http://schemas.openxmlformats.org/officeDocument/2006/relationships/hyperlink" Target="https://www.tandfonline.com/doi/full/10.1080/17569370.2026.2639755" TargetMode="External"/><Relationship Id="rId38" Type="http://schemas.openxmlformats.org/officeDocument/2006/relationships/hyperlink" Target="https://www.ons.gov.uk/employmentandlabourmarket/peopleinwork/employmentandemployeetypes/articles/whohasaccesstohybridworkingreatbritain/latest" TargetMode="External"/><Relationship Id="rId46" Type="http://schemas.openxmlformats.org/officeDocument/2006/relationships/hyperlink" Target="https://doi.org/10.1016/j.indic.2025.100746" TargetMode="External"/><Relationship Id="rId59" Type="http://schemas.openxmlformats.org/officeDocument/2006/relationships/hyperlink" Target="https://www.mdpi.com/2079-8954/12/6/220" TargetMode="External"/><Relationship Id="rId67" Type="http://schemas.openxmlformats.org/officeDocument/2006/relationships/hyperlink" Target="https://link.springer.com/article/10.1057/s41270-026-00470-6" TargetMode="External"/><Relationship Id="rId103" Type="http://schemas.openxmlformats.org/officeDocument/2006/relationships/hyperlink" Target="https://doi.org/10.20944/preprints202407.0614.v1" TargetMode="External"/><Relationship Id="rId108" Type="http://schemas.openxmlformats.org/officeDocument/2006/relationships/hyperlink" Target="https://doi.org/10.1007/s11846-026-00971-9?urlappend=%3Futm_source%3Dresearchgate.net%26utm_medium%3Darticle" TargetMode="External"/><Relationship Id="rId116" Type="http://schemas.openxmlformats.org/officeDocument/2006/relationships/hyperlink" Target="https://ec.europa.eu/research/participants/documents/downloadPublic?documentIds=080166e51297820f&amp;appId=PPGMS" TargetMode="External"/><Relationship Id="rId124" Type="http://schemas.openxmlformats.org/officeDocument/2006/relationships/hyperlink" Target="https://www.marketdataforecast.com/market-reports/united-kingdom-waste-management-market" TargetMode="External"/><Relationship Id="rId129" Type="http://schemas.openxmlformats.org/officeDocument/2006/relationships/hyperlink" Target="https://www.grundon.com/" TargetMode="External"/><Relationship Id="rId137" Type="http://schemas.openxmlformats.org/officeDocument/2006/relationships/hyperlink" Target="https://www.mdpi.com/2071-1050/16/19/8667" TargetMode="External"/><Relationship Id="rId20" Type="http://schemas.openxmlformats.org/officeDocument/2006/relationships/hyperlink" Target="https://onlinelibrary.wiley.com/doi/pdf/10.1111/radm.12707" TargetMode="External"/><Relationship Id="rId41" Type="http://schemas.openxmlformats.org/officeDocument/2006/relationships/hyperlink" Target="https://www.gov.uk/government/publications/homes-england-annual-report-and-accounts-2024-and-2025/homes-england-annual-report-2024-to-2025-chairs-foreword-and-performance-report-accessible-version" TargetMode="External"/><Relationship Id="rId54" Type="http://schemas.openxmlformats.org/officeDocument/2006/relationships/hyperlink" Target="https://www.coggin-sos.co.uk/beyond-recycling-the-role-of-office-furniture-in-a-truly-sustainable-econom" TargetMode="External"/><Relationship Id="rId62" Type="http://schemas.openxmlformats.org/officeDocument/2006/relationships/hyperlink" Target="https://link.springer.com/article/10.1007/s43621-025-01497-y" TargetMode="External"/><Relationship Id="rId70" Type="http://schemas.openxmlformats.org/officeDocument/2006/relationships/hyperlink" Target="https://www.mdpi.com/2071-1050/18/3/1484" TargetMode="External"/><Relationship Id="rId75" Type="http://schemas.openxmlformats.org/officeDocument/2006/relationships/hyperlink" Target="https://www.researchgate.net/publication/394186609_Modular_System_of_Cabinets_for_Mass-Customized_Furniture" TargetMode="External"/><Relationship Id="rId83" Type="http://schemas.openxmlformats.org/officeDocument/2006/relationships/hyperlink" Target="https://www.sciencedirect.com/science/article/pii/S1364032122002982" TargetMode="External"/><Relationship Id="rId88" Type="http://schemas.openxmlformats.org/officeDocument/2006/relationships/hyperlink" Target="https://www.sciencedirect.com/science/article/pii/S0024630122000012" TargetMode="External"/><Relationship Id="rId91" Type="http://schemas.openxmlformats.org/officeDocument/2006/relationships/hyperlink" Target="https://www.mdpi.com/2071-1050/13/20/11443" TargetMode="External"/><Relationship Id="rId96" Type="http://schemas.openxmlformats.org/officeDocument/2006/relationships/hyperlink" Target="https://www.sciencedirect.com/science/article/pii/S2199853123002846" TargetMode="External"/><Relationship Id="rId111" Type="http://schemas.openxmlformats.org/officeDocument/2006/relationships/hyperlink" Target="https://www.gov.uk/government/statistics/estimates-of-residual-waste-and-municipal-residual-waste-in-england/estimates-of-residual-waste-excluding-major-mineral-wastes-and-municipal-residual-waste-in-england" TargetMode="External"/><Relationship Id="rId132" Type="http://schemas.openxmlformats.org/officeDocument/2006/relationships/hyperlink" Target="https://www.gov.uk/government/publications/backing-your-business-our-plan-for-small-and-medium-sized-businesses/backing-your-business-our-plan-for-small-and-medium-sized-businesses-web-version" TargetMode="External"/><Relationship Id="rId140" Type="http://schemas.openxmlformats.org/officeDocument/2006/relationships/hyperlink" Target="https://www.gov.uk/government/news/national-living-wage-increases-to-1271-per-hour" TargetMode="External"/><Relationship Id="rId145" Type="http://schemas.openxmlformats.org/officeDocument/2006/relationships/hyperlink" Target="https://www.sciencedirect.com/science/article/pii/S0965856420307734" TargetMode="External"/><Relationship Id="rId15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sciencedirect.com/science/article/pii/S0167487023000338" TargetMode="External"/><Relationship Id="rId28" Type="http://schemas.openxmlformats.org/officeDocument/2006/relationships/hyperlink" Target="https://www.mdpi.com/2071-1050/14/2/609" TargetMode="External"/><Relationship Id="rId36" Type="http://schemas.openxmlformats.org/officeDocument/2006/relationships/hyperlink" Target="https://www.ons.gov.uk/businessindustryandtrade/business/activitysizeandlocation/bulletins/ukbusinessactivitysizeandlocation/2025" TargetMode="External"/><Relationship Id="rId49" Type="http://schemas.openxmlformats.org/officeDocument/2006/relationships/hyperlink" Target="https://www.mdpi.com/2071-1050/17/11/4898" TargetMode="External"/><Relationship Id="rId57" Type="http://schemas.openxmlformats.org/officeDocument/2006/relationships/hyperlink" Target="https://onlinelibrary.wiley.com/doi/pdf/10.1002/csr.70489" TargetMode="External"/><Relationship Id="rId106" Type="http://schemas.openxmlformats.org/officeDocument/2006/relationships/hyperlink" Target="https://www.sciencedirect.com/journal/information-and-management/vol/60/issue/5" TargetMode="External"/><Relationship Id="rId114" Type="http://schemas.openxmlformats.org/officeDocument/2006/relationships/hyperlink" Target="https://greenspaceinnovations.co.uk/uk-recycling-rate-rises-to-44-6-as-waste-to-landfill-falls/" TargetMode="External"/><Relationship Id="rId119" Type="http://schemas.openxmlformats.org/officeDocument/2006/relationships/hyperlink" Target="https://www.sciencedirect.com/science/article/pii/S1366554526000773" TargetMode="External"/><Relationship Id="rId127" Type="http://schemas.openxmlformats.org/officeDocument/2006/relationships/hyperlink" Target="https://www.biffa.co.uk/" TargetMode="External"/><Relationship Id="rId10" Type="http://schemas.openxmlformats.org/officeDocument/2006/relationships/image" Target="media/image3.png"/><Relationship Id="rId31" Type="http://schemas.openxmlformats.org/officeDocument/2006/relationships/hyperlink" Target="https://www.ons.gov.uk/businessindustryandtrade/business/activitysizeandlocation/bulletins/ukbusinessactivitysizeandlocation/2025" TargetMode="External"/><Relationship Id="rId44" Type="http://schemas.openxmlformats.org/officeDocument/2006/relationships/hyperlink" Target="https://link.springer.com/article/10.1007/s43615-026-00773-x" TargetMode="External"/><Relationship Id="rId52" Type="http://schemas.openxmlformats.org/officeDocument/2006/relationships/hyperlink" Target="https://www.sciencedirect.com/journal/journal-of-industrial-information-integration/vol/42/suppl/C" TargetMode="External"/><Relationship Id="rId60" Type="http://schemas.openxmlformats.org/officeDocument/2006/relationships/hyperlink" Target="https://www.tandfonline.com/doi/full/10.1080/1359432X.2026.2648294" TargetMode="External"/><Relationship Id="rId65" Type="http://schemas.openxmlformats.org/officeDocument/2006/relationships/hyperlink" Target="https://link.springer.com/article/10.1186/s13731-025-00515-7" TargetMode="External"/><Relationship Id="rId73" Type="http://schemas.openxmlformats.org/officeDocument/2006/relationships/hyperlink" Target="https://onlinelibrary.wiley.com/doi/pdf/10.1002/eet.1927" TargetMode="External"/><Relationship Id="rId78" Type="http://schemas.openxmlformats.org/officeDocument/2006/relationships/hyperlink" Target="https://www.ons.gov.uk/employmentandlabourmarket/peopleinwork/employmentandemployeetypes/articles/whohasaccesstohybridworkingreatbritain/latest" TargetMode="External"/><Relationship Id="rId81" Type="http://schemas.openxmlformats.org/officeDocument/2006/relationships/hyperlink" Target="https://www.mdpi.com/2071-1050/16/15/6544" TargetMode="External"/><Relationship Id="rId86" Type="http://schemas.openxmlformats.org/officeDocument/2006/relationships/hyperlink" Target="https://www.sciencedirect.com/science/article/pii/S2590291125004164" TargetMode="External"/><Relationship Id="rId94" Type="http://schemas.openxmlformats.org/officeDocument/2006/relationships/hyperlink" Target="https://www.wrap.ngo/resources/case-study/crown-workspace-ltd-leading-way-office-furniture-reuse?utm_source=chatgpt.com" TargetMode="External"/><Relationship Id="rId99" Type="http://schemas.openxmlformats.org/officeDocument/2006/relationships/hyperlink" Target="https://doi.org/10.3390/su142416336" TargetMode="External"/><Relationship Id="rId101" Type="http://schemas.openxmlformats.org/officeDocument/2006/relationships/hyperlink" Target="https://doi.org/10.1016/j.igd.2025.100258" TargetMode="External"/><Relationship Id="rId122" Type="http://schemas.openxmlformats.org/officeDocument/2006/relationships/hyperlink" Target="https://www.mdpi.com/2071-1050/15/18/13949" TargetMode="External"/><Relationship Id="rId130" Type="http://schemas.openxmlformats.org/officeDocument/2006/relationships/hyperlink" Target="https://www.mdpi.com/2075-5309/14/1/260" TargetMode="External"/><Relationship Id="rId135" Type="http://schemas.openxmlformats.org/officeDocument/2006/relationships/hyperlink" Target="https://link.springer.com/article/10.1007/s43615-026-00775-9" TargetMode="External"/><Relationship Id="rId143" Type="http://schemas.openxmlformats.org/officeDocument/2006/relationships/hyperlink" Target="https://onlinelibrary.wiley.com/doi/10.1002/clem.70013" TargetMode="External"/><Relationship Id="rId148" Type="http://schemas.openxmlformats.org/officeDocument/2006/relationships/hyperlink" Target="https://www.gov.uk/dispose-business-commercial-waste" TargetMode="External"/><Relationship Id="rId15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ons.gov.uk/employmentandlabourmarket/peopleinwork/employmentandemployeetypes/articles/whohasaccesstohybridworkingreatbritain/latest" TargetMode="External"/><Relationship Id="rId109" Type="http://schemas.openxmlformats.org/officeDocument/2006/relationships/hyperlink" Target="https://doi.org/10.3390/su17083728" TargetMode="External"/><Relationship Id="rId34" Type="http://schemas.openxmlformats.org/officeDocument/2006/relationships/hyperlink" Target="https://www.consultancy.uk/news/44287/london-now-worlds-second-most-expensive-office-fit-out-market?utm_source=chatgpt.com" TargetMode="External"/><Relationship Id="rId50" Type="http://schemas.openxmlformats.org/officeDocument/2006/relationships/hyperlink" Target="https://www.find-tender.service.gov.uk/Notice/051565-2025?utm_source=chatgpt.com" TargetMode="External"/><Relationship Id="rId55" Type="http://schemas.openxmlformats.org/officeDocument/2006/relationships/hyperlink" Target="https://www.ons.gov.uk/businessindustryandtrade/business/activitysizeandlocation/bulletins/ukbusinessactivitysizeandlocation/2025" TargetMode="External"/><Relationship Id="rId76" Type="http://schemas.openxmlformats.org/officeDocument/2006/relationships/hyperlink" Target="https://www.sciencedirect.com/science/article/pii/S0959652623002962" TargetMode="External"/><Relationship Id="rId97" Type="http://schemas.openxmlformats.org/officeDocument/2006/relationships/hyperlink" Target="https://www.researchgate.net/publication/381663947_The_Application_of_QR_Codes_in_the_Field_of_E-Business_in_the_Case_of_Order_Tracking_and_Logistics" TargetMode="External"/><Relationship Id="rId104" Type="http://schemas.openxmlformats.org/officeDocument/2006/relationships/hyperlink" Target="https://www.sciencedirect.com/science/article/pii/S092552732500091X" TargetMode="External"/><Relationship Id="rId120" Type="http://schemas.openxmlformats.org/officeDocument/2006/relationships/hyperlink" Target="https://www.tandfonline.com/doi/full/10.1080/00207543.2025.2555531" TargetMode="External"/><Relationship Id="rId125" Type="http://schemas.openxmlformats.org/officeDocument/2006/relationships/hyperlink" Target="https://www.ons.gov.uk/economy/inflationandpriceindices/bulletins/consumerpriceinflation/june2026" TargetMode="External"/><Relationship Id="rId141" Type="http://schemas.openxmlformats.org/officeDocument/2006/relationships/hyperlink" Target="https://pecb.com/en/article/the-importance-of-occupational-health-and-safety" TargetMode="External"/><Relationship Id="rId146" Type="http://schemas.openxmlformats.org/officeDocument/2006/relationships/hyperlink" Target="https://www.sciencedirect.com/science/article/pii/S0925527323001950" TargetMode="External"/><Relationship Id="rId7" Type="http://schemas.openxmlformats.org/officeDocument/2006/relationships/endnotes" Target="endnotes.xml"/><Relationship Id="rId71" Type="http://schemas.openxmlformats.org/officeDocument/2006/relationships/hyperlink" Target="https://www.sciencedirect.com/science/article/pii/S0959652623005000" TargetMode="External"/><Relationship Id="rId92" Type="http://schemas.openxmlformats.org/officeDocument/2006/relationships/hyperlink" Target="https://www.mdpi.com/2071-1050/18/8/4006" TargetMode="External"/><Relationship Id="rId2" Type="http://schemas.openxmlformats.org/officeDocument/2006/relationships/numbering" Target="numbering.xml"/><Relationship Id="rId29" Type="http://schemas.openxmlformats.org/officeDocument/2006/relationships/hyperlink" Target="https://www.sustainablex.co.uk/sustainable-business-model/" TargetMode="External"/><Relationship Id="rId24" Type="http://schemas.openxmlformats.org/officeDocument/2006/relationships/hyperlink" Target="https://www.tandfonline.com/doi/full/10.1080/09537287.2023.2217489" TargetMode="External"/><Relationship Id="rId40" Type="http://schemas.openxmlformats.org/officeDocument/2006/relationships/hyperlink" Target="https://www.gov.uk/government/publications/homes-england-annual-report-and-accounts-2024-and-2025/homes-england-annual-report-2024-to-2025-chairs-foreword-and-performance-report-accessible-version" TargetMode="External"/><Relationship Id="rId45" Type="http://schemas.openxmlformats.org/officeDocument/2006/relationships/hyperlink" Target="https://4spepublications.onlinelibrary.wiley.com/doi/10.1002/pls2.10171" TargetMode="External"/><Relationship Id="rId66" Type="http://schemas.openxmlformats.org/officeDocument/2006/relationships/hyperlink" Target="https://www.sciencedirect.com/science/article/pii/S2352186422003686" TargetMode="External"/><Relationship Id="rId87" Type="http://schemas.openxmlformats.org/officeDocument/2006/relationships/hyperlink" Target="https://www.mdpi.com/2071-1050/13/13/7266" TargetMode="External"/><Relationship Id="rId110" Type="http://schemas.openxmlformats.org/officeDocument/2006/relationships/hyperlink" Target="https://www.gov.uk/government/statistics/uk-waste-data/uk-statistics-on-waste" TargetMode="External"/><Relationship Id="rId115" Type="http://schemas.openxmlformats.org/officeDocument/2006/relationships/hyperlink" Target="https://www.sciencedirect.com/science/article/pii/S2666188825006057" TargetMode="External"/><Relationship Id="rId131" Type="http://schemas.openxmlformats.org/officeDocument/2006/relationships/hyperlink" Target="https://www.merchantsavvy.co.uk/uk-sme-data-stats-charts/" TargetMode="External"/><Relationship Id="rId136" Type="http://schemas.openxmlformats.org/officeDocument/2006/relationships/hyperlink" Target="https://www.forbes.com/advisor/uk/business/software/website-statistics/" TargetMode="External"/><Relationship Id="rId61" Type="http://schemas.openxmlformats.org/officeDocument/2006/relationships/hyperlink" Target="https://doi.org/10.69554/NJQQ4314" TargetMode="External"/><Relationship Id="rId82" Type="http://schemas.openxmlformats.org/officeDocument/2006/relationships/hyperlink" Target="https://www.researchgate.net/publication/382751384_Enhancing_Circular_Economy_Practices_in_the_Furniture_Industry_through_Circular_Design_Strategies" TargetMode="External"/><Relationship Id="rId152"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onlinelibrary.wiley.com/doi/10.1111/jbl.12368" TargetMode="External"/><Relationship Id="rId35" Type="http://schemas.openxmlformats.org/officeDocument/2006/relationships/hyperlink" Target="https://www.consultancy.uk/news/44287/london-now-worlds-second-most-expensive-office-fit-out-market" TargetMode="External"/><Relationship Id="rId56" Type="http://schemas.openxmlformats.org/officeDocument/2006/relationships/hyperlink" Target="https://www.grandviewresearch.com/horizon/outlook/eco-friendly-furniture-market/uk" TargetMode="External"/><Relationship Id="rId77" Type="http://schemas.openxmlformats.org/officeDocument/2006/relationships/hyperlink" Target="https://www.sciencedirect.com/science/article/pii/S0925753524002625" TargetMode="External"/><Relationship Id="rId100" Type="http://schemas.openxmlformats.org/officeDocument/2006/relationships/hyperlink" Target="https://www.sciencedirect.com/journal/technovation/vol/129/suppl/C" TargetMode="External"/><Relationship Id="rId105" Type="http://schemas.openxmlformats.org/officeDocument/2006/relationships/hyperlink" Target="https://www.ons.gov.uk/businessindustryandtrade/business/activitysizeandlocation/bulletins/ukbusinessactivitysizeandlocation/2025" TargetMode="External"/><Relationship Id="rId126" Type="http://schemas.openxmlformats.org/officeDocument/2006/relationships/hyperlink" Target="https://www.researchgate.net/publication/323082261_Cost-based_price_and_value-based_price_are_they_conflicting_approaches" TargetMode="External"/><Relationship Id="rId147" Type="http://schemas.openxmlformats.org/officeDocument/2006/relationships/hyperlink" Target="https://globaltrashsolutions.com/blog/waste-reduction-strategies-for-retail-chains" TargetMode="External"/><Relationship Id="rId8" Type="http://schemas.openxmlformats.org/officeDocument/2006/relationships/image" Target="media/image1.jpeg"/><Relationship Id="rId51" Type="http://schemas.openxmlformats.org/officeDocument/2006/relationships/hyperlink" Target="https://www.find-tender.service.gov.uk/Notice/051565-2025?utm_source=chatgpt.com" TargetMode="External"/><Relationship Id="rId72" Type="http://schemas.openxmlformats.org/officeDocument/2006/relationships/hyperlink" Target="https://onlinelibrary.wiley.com/doi/pdf/10.1002/bse.3192" TargetMode="External"/><Relationship Id="rId93" Type="http://schemas.openxmlformats.org/officeDocument/2006/relationships/hyperlink" Target="https://www.sciencedirect.com/science/article/abs/pii/S0959652624017839" TargetMode="External"/><Relationship Id="rId98" Type="http://schemas.openxmlformats.org/officeDocument/2006/relationships/hyperlink" Target="https://www.ons.gov.uk/economy/inflationandpriceindices/bulletins/consumerpriceinflation/june2026" TargetMode="External"/><Relationship Id="rId121" Type="http://schemas.openxmlformats.org/officeDocument/2006/relationships/hyperlink" Target="https://www.sciencedirect.com/science/article/pii/S0921344924003756" TargetMode="External"/><Relationship Id="rId142" Type="http://schemas.openxmlformats.org/officeDocument/2006/relationships/hyperlink" Target="https://www.gov.uk/government/publications/procurement-act-2023-short-guides/supplementary-information-small-and-medium-sized-enterprises-definition-html"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lViY1VEbmTFBzoXgzUkmzA6sXQ==">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22475</Words>
  <Characters>128113</Characters>
  <Application>Microsoft Office Word</Application>
  <DocSecurity>0</DocSecurity>
  <Lines>1067</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deep vithani</dc:creator>
  <cp:lastModifiedBy>deep vithani</cp:lastModifiedBy>
  <cp:revision>2</cp:revision>
  <dcterms:created xsi:type="dcterms:W3CDTF">2026-09-04T23:51:00Z</dcterms:created>
  <dcterms:modified xsi:type="dcterms:W3CDTF">2026-09-04T23:51:00Z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d15e461d-30fa-4cf5-a200-d562719fd8a8</vt:lpwstr>
  </property>
</Properties>
</file>