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C5CC1" w:rsidRDefault="00F7719B"/>
    <w:p w:rsidR="004A30C0" w:rsidRDefault="004A30C0" w:rsidP="00800F39">
      <w:pPr>
        <w:pStyle w:val="Heading1"/>
      </w:pPr>
    </w:p>
    <w:p w:rsidR="00CA1382" w:rsidRPr="00BB3089" w:rsidRDefault="00CA1382" w:rsidP="00CA1382">
      <w:pPr>
        <w:spacing w:after="0"/>
        <w:jc w:val="center"/>
        <w:rPr>
          <w:rFonts w:ascii="Arial" w:eastAsia="Arial" w:hAnsi="Arial" w:cs="Arial"/>
          <w:color w:val="000000"/>
          <w:lang w:eastAsia="en-GB"/>
        </w:rPr>
      </w:pPr>
      <w:r w:rsidRPr="00BB3089">
        <w:rPr>
          <w:rFonts w:ascii="Arial" w:eastAsia="Arial" w:hAnsi="Arial" w:cs="Arial"/>
          <w:b/>
          <w:noProof/>
          <w:color w:val="000000"/>
          <w:sz w:val="4"/>
          <w:szCs w:val="4"/>
          <w:lang w:eastAsia="en-GB"/>
        </w:rPr>
        <w:drawing>
          <wp:inline distT="0" distB="0" distL="0" distR="0" wp14:anchorId="3B21DA20" wp14:editId="1CB9D3F2">
            <wp:extent cx="2344518" cy="952500"/>
            <wp:effectExtent l="0" t="0" r="0" b="0"/>
            <wp:docPr id="28" name="Picture 28" descr="Graphical user interfac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logo&#10;&#10;Description automatically generated"/>
                    <pic:cNvPicPr/>
                  </pic:nvPicPr>
                  <pic:blipFill>
                    <a:blip r:embed="rId7"/>
                    <a:stretch>
                      <a:fillRect/>
                    </a:stretch>
                  </pic:blipFill>
                  <pic:spPr>
                    <a:xfrm>
                      <a:off x="0" y="0"/>
                      <a:ext cx="2347409" cy="953675"/>
                    </a:xfrm>
                    <a:prstGeom prst="rect">
                      <a:avLst/>
                    </a:prstGeom>
                  </pic:spPr>
                </pic:pic>
              </a:graphicData>
            </a:graphic>
          </wp:inline>
        </w:drawing>
      </w:r>
    </w:p>
    <w:p w:rsidR="00CA1382" w:rsidRPr="00BB3089" w:rsidRDefault="00CA1382" w:rsidP="00CA1382">
      <w:pPr>
        <w:spacing w:after="0"/>
        <w:rPr>
          <w:rFonts w:ascii="Arial" w:eastAsia="Arial" w:hAnsi="Arial" w:cs="Arial"/>
          <w:color w:val="000000"/>
          <w:lang w:eastAsia="en-GB"/>
        </w:rPr>
      </w:pPr>
      <w:r w:rsidRPr="00BB3089">
        <w:rPr>
          <w:rFonts w:ascii="Arial" w:eastAsia="Arial" w:hAnsi="Arial" w:cs="Arial"/>
          <w:color w:val="000000"/>
          <w:sz w:val="24"/>
          <w:lang w:eastAsia="en-GB"/>
        </w:rPr>
        <w:t xml:space="preserve"> </w:t>
      </w:r>
    </w:p>
    <w:p w:rsidR="00CA1382" w:rsidRPr="00BB3089" w:rsidRDefault="00CA1382" w:rsidP="00CA1382">
      <w:pPr>
        <w:spacing w:after="0"/>
        <w:rPr>
          <w:rFonts w:ascii="Arial" w:eastAsia="Arial" w:hAnsi="Arial" w:cs="Arial"/>
          <w:color w:val="000000"/>
          <w:lang w:eastAsia="en-GB"/>
        </w:rPr>
      </w:pPr>
      <w:r w:rsidRPr="00BB3089">
        <w:rPr>
          <w:rFonts w:ascii="Arial" w:eastAsia="Arial" w:hAnsi="Arial" w:cs="Arial"/>
          <w:b/>
          <w:color w:val="000000"/>
          <w:lang w:eastAsia="en-GB"/>
        </w:rPr>
        <w:t xml:space="preserve"> </w:t>
      </w:r>
    </w:p>
    <w:p w:rsidR="00CA1382" w:rsidRPr="00BB3089" w:rsidRDefault="00CA1382" w:rsidP="00CA1382">
      <w:pPr>
        <w:spacing w:after="0"/>
        <w:rPr>
          <w:rFonts w:ascii="Arial" w:eastAsia="Arial" w:hAnsi="Arial" w:cs="Arial"/>
          <w:color w:val="000000"/>
          <w:lang w:eastAsia="en-GB"/>
        </w:rPr>
      </w:pPr>
      <w:r w:rsidRPr="00BB3089">
        <w:rPr>
          <w:rFonts w:ascii="Arial" w:eastAsia="Arial" w:hAnsi="Arial" w:cs="Arial"/>
          <w:b/>
          <w:color w:val="000000"/>
          <w:lang w:eastAsia="en-GB"/>
        </w:rPr>
        <w:t xml:space="preserve"> </w:t>
      </w:r>
    </w:p>
    <w:p w:rsidR="00CA1382" w:rsidRPr="00BB3089" w:rsidRDefault="00CA1382" w:rsidP="00CA1382">
      <w:pPr>
        <w:spacing w:after="0"/>
        <w:rPr>
          <w:rFonts w:ascii="Arial" w:eastAsia="Arial" w:hAnsi="Arial" w:cs="Arial"/>
          <w:color w:val="000000"/>
          <w:lang w:eastAsia="en-GB"/>
        </w:rPr>
      </w:pPr>
      <w:r w:rsidRPr="00BB3089">
        <w:rPr>
          <w:rFonts w:ascii="Arial" w:eastAsia="Arial" w:hAnsi="Arial" w:cs="Arial"/>
          <w:color w:val="000000"/>
          <w:sz w:val="24"/>
          <w:lang w:eastAsia="en-GB"/>
        </w:rPr>
        <w:t xml:space="preserve"> </w:t>
      </w:r>
    </w:p>
    <w:p w:rsidR="00CA1382" w:rsidRPr="00BB3089" w:rsidRDefault="00CA1382" w:rsidP="00CA1382">
      <w:pPr>
        <w:spacing w:after="0"/>
        <w:rPr>
          <w:rFonts w:ascii="Arial" w:eastAsia="Arial" w:hAnsi="Arial" w:cs="Arial"/>
          <w:color w:val="000000"/>
          <w:lang w:eastAsia="en-GB"/>
        </w:rPr>
      </w:pPr>
      <w:r w:rsidRPr="00BB3089">
        <w:rPr>
          <w:rFonts w:ascii="Arial" w:eastAsia="Arial" w:hAnsi="Arial" w:cs="Arial"/>
          <w:color w:val="000000"/>
          <w:sz w:val="24"/>
          <w:lang w:eastAsia="en-GB"/>
        </w:rPr>
        <w:t xml:space="preserve"> </w:t>
      </w:r>
    </w:p>
    <w:p w:rsidR="00CA1382" w:rsidRPr="00BB3089" w:rsidRDefault="00CA1382" w:rsidP="00CA1382">
      <w:pPr>
        <w:spacing w:after="0"/>
        <w:rPr>
          <w:rFonts w:ascii="Arial" w:eastAsia="Arial" w:hAnsi="Arial" w:cs="Arial"/>
          <w:color w:val="000000"/>
          <w:lang w:eastAsia="en-GB"/>
        </w:rPr>
      </w:pPr>
      <w:r w:rsidRPr="00BB3089">
        <w:rPr>
          <w:rFonts w:ascii="Arial" w:eastAsia="Arial" w:hAnsi="Arial" w:cs="Arial"/>
          <w:color w:val="000000"/>
          <w:sz w:val="24"/>
          <w:lang w:eastAsia="en-GB"/>
        </w:rPr>
        <w:t xml:space="preserve"> </w:t>
      </w:r>
    </w:p>
    <w:p w:rsidR="00CA1382" w:rsidRPr="00BB3089" w:rsidRDefault="00CA1382" w:rsidP="00CA1382">
      <w:pPr>
        <w:spacing w:after="0"/>
        <w:rPr>
          <w:rFonts w:ascii="Arial" w:eastAsia="Arial" w:hAnsi="Arial" w:cs="Arial"/>
          <w:color w:val="000000"/>
          <w:lang w:eastAsia="en-GB"/>
        </w:rPr>
      </w:pPr>
      <w:r w:rsidRPr="00BB3089">
        <w:rPr>
          <w:rFonts w:ascii="Arial" w:eastAsia="Arial" w:hAnsi="Arial" w:cs="Arial"/>
          <w:color w:val="000000"/>
          <w:sz w:val="24"/>
          <w:lang w:eastAsia="en-GB"/>
        </w:rPr>
        <w:t xml:space="preserve"> </w:t>
      </w:r>
    </w:p>
    <w:p w:rsidR="00CA1382" w:rsidRPr="00BB3089" w:rsidRDefault="00CA1382" w:rsidP="00CA1382">
      <w:pPr>
        <w:spacing w:after="0"/>
        <w:rPr>
          <w:rFonts w:ascii="Arial" w:eastAsia="Arial" w:hAnsi="Arial" w:cs="Arial"/>
          <w:color w:val="000000"/>
          <w:lang w:eastAsia="en-GB"/>
        </w:rPr>
      </w:pPr>
      <w:r w:rsidRPr="00BB3089">
        <w:rPr>
          <w:rFonts w:ascii="Arial" w:eastAsia="Arial" w:hAnsi="Arial" w:cs="Arial"/>
          <w:b/>
          <w:color w:val="000000"/>
          <w:lang w:eastAsia="en-GB"/>
        </w:rPr>
        <w:t xml:space="preserve"> </w:t>
      </w:r>
    </w:p>
    <w:p w:rsidR="00CA1382" w:rsidRPr="00BB3089" w:rsidRDefault="00CA1382" w:rsidP="00CA1382">
      <w:pPr>
        <w:spacing w:after="0"/>
        <w:rPr>
          <w:rFonts w:ascii="Arial" w:eastAsia="Arial" w:hAnsi="Arial" w:cs="Arial"/>
          <w:color w:val="000000"/>
          <w:lang w:eastAsia="en-GB"/>
        </w:rPr>
      </w:pPr>
      <w:r w:rsidRPr="00BB3089">
        <w:rPr>
          <w:rFonts w:ascii="Arial" w:eastAsia="Arial" w:hAnsi="Arial" w:cs="Arial"/>
          <w:b/>
          <w:color w:val="000000"/>
          <w:lang w:eastAsia="en-GB"/>
        </w:rPr>
        <w:t xml:space="preserve"> </w:t>
      </w:r>
    </w:p>
    <w:p w:rsidR="00CA1382" w:rsidRPr="00BB3089" w:rsidRDefault="00CA1382" w:rsidP="00CA1382">
      <w:pPr>
        <w:spacing w:after="0"/>
        <w:rPr>
          <w:rFonts w:ascii="Arial" w:eastAsia="Arial" w:hAnsi="Arial" w:cs="Arial"/>
          <w:color w:val="000000"/>
          <w:lang w:eastAsia="en-GB"/>
        </w:rPr>
      </w:pPr>
      <w:r w:rsidRPr="00BB3089">
        <w:rPr>
          <w:rFonts w:ascii="Arial" w:eastAsia="Arial" w:hAnsi="Arial" w:cs="Arial"/>
          <w:b/>
          <w:color w:val="000000"/>
          <w:lang w:eastAsia="en-GB"/>
        </w:rPr>
        <w:t xml:space="preserve"> </w:t>
      </w:r>
    </w:p>
    <w:p w:rsidR="00CA1382" w:rsidRPr="00BB3089" w:rsidRDefault="00CA1382" w:rsidP="00CA1382">
      <w:pPr>
        <w:spacing w:after="0"/>
        <w:rPr>
          <w:rFonts w:ascii="Arial" w:eastAsia="Arial" w:hAnsi="Arial" w:cs="Arial"/>
          <w:color w:val="000000"/>
          <w:lang w:eastAsia="en-GB"/>
        </w:rPr>
      </w:pPr>
      <w:r w:rsidRPr="00BB3089">
        <w:rPr>
          <w:rFonts w:ascii="Arial" w:eastAsia="Arial" w:hAnsi="Arial" w:cs="Arial"/>
          <w:color w:val="000000"/>
          <w:sz w:val="24"/>
          <w:lang w:eastAsia="en-GB"/>
        </w:rPr>
        <w:t xml:space="preserve"> </w:t>
      </w:r>
    </w:p>
    <w:p w:rsidR="00CA1382" w:rsidRDefault="00CA1382" w:rsidP="00CA1382">
      <w:pPr>
        <w:spacing w:after="0"/>
        <w:jc w:val="center"/>
        <w:rPr>
          <w:rFonts w:ascii="Arial" w:eastAsia="Arial" w:hAnsi="Arial" w:cs="Arial"/>
          <w:b/>
          <w:color w:val="000000"/>
          <w:sz w:val="52"/>
          <w:lang w:eastAsia="en-GB"/>
        </w:rPr>
      </w:pPr>
      <w:r>
        <w:rPr>
          <w:rFonts w:ascii="Arial" w:eastAsia="Arial" w:hAnsi="Arial" w:cs="Arial"/>
          <w:b/>
          <w:color w:val="000000"/>
          <w:sz w:val="52"/>
          <w:lang w:eastAsia="en-GB"/>
        </w:rPr>
        <w:t xml:space="preserve"> </w:t>
      </w:r>
      <w:r w:rsidR="00C11353">
        <w:rPr>
          <w:rFonts w:ascii="Arial" w:eastAsia="Arial" w:hAnsi="Arial" w:cs="Arial"/>
          <w:b/>
          <w:color w:val="000000"/>
          <w:sz w:val="52"/>
          <w:lang w:eastAsia="en-GB"/>
        </w:rPr>
        <w:t>Foundation Substantiation</w:t>
      </w:r>
    </w:p>
    <w:p w:rsidR="00CA1382" w:rsidRPr="00BB3089" w:rsidRDefault="00CA1382" w:rsidP="00CA1382">
      <w:pPr>
        <w:spacing w:after="0"/>
        <w:jc w:val="center"/>
        <w:rPr>
          <w:rFonts w:ascii="Arial" w:eastAsia="Arial" w:hAnsi="Arial" w:cs="Arial"/>
          <w:color w:val="000000"/>
          <w:lang w:eastAsia="en-GB"/>
        </w:rPr>
      </w:pPr>
    </w:p>
    <w:p w:rsidR="00CA1382" w:rsidRPr="00BB3089" w:rsidRDefault="00CA1382" w:rsidP="00CA1382">
      <w:pPr>
        <w:spacing w:after="0"/>
        <w:ind w:right="121"/>
        <w:jc w:val="center"/>
        <w:rPr>
          <w:rFonts w:ascii="Arial" w:eastAsia="Arial" w:hAnsi="Arial" w:cs="Arial"/>
          <w:color w:val="000000"/>
          <w:lang w:eastAsia="en-GB"/>
        </w:rPr>
      </w:pPr>
    </w:p>
    <w:p w:rsidR="00CA1382" w:rsidRPr="00BB3089" w:rsidRDefault="00CA1382" w:rsidP="00CA1382">
      <w:pPr>
        <w:spacing w:after="0"/>
        <w:ind w:right="121"/>
        <w:jc w:val="center"/>
        <w:rPr>
          <w:rFonts w:ascii="Arial" w:eastAsia="Arial" w:hAnsi="Arial" w:cs="Arial"/>
          <w:color w:val="000000"/>
          <w:lang w:eastAsia="en-GB"/>
        </w:rPr>
      </w:pPr>
      <w:r w:rsidRPr="00BB3089">
        <w:rPr>
          <w:rFonts w:ascii="Arial" w:eastAsia="Arial" w:hAnsi="Arial" w:cs="Arial"/>
          <w:b/>
          <w:color w:val="000000"/>
          <w:sz w:val="36"/>
          <w:lang w:eastAsia="en-GB"/>
        </w:rPr>
        <w:t xml:space="preserve"> </w:t>
      </w:r>
    </w:p>
    <w:p w:rsidR="00CA1382" w:rsidRPr="00BB3089" w:rsidRDefault="00CA1382" w:rsidP="00CA1382">
      <w:pPr>
        <w:spacing w:after="88"/>
        <w:ind w:right="155"/>
        <w:jc w:val="center"/>
        <w:rPr>
          <w:rFonts w:ascii="Arial" w:eastAsia="Arial" w:hAnsi="Arial" w:cs="Arial"/>
          <w:color w:val="000000"/>
          <w:lang w:eastAsia="en-GB"/>
        </w:rPr>
      </w:pPr>
      <w:r w:rsidRPr="00BB3089">
        <w:rPr>
          <w:rFonts w:ascii="Arial" w:eastAsia="Arial" w:hAnsi="Arial" w:cs="Arial"/>
          <w:b/>
          <w:color w:val="000000"/>
          <w:sz w:val="24"/>
          <w:lang w:eastAsia="en-GB"/>
        </w:rPr>
        <w:t xml:space="preserve"> </w:t>
      </w:r>
    </w:p>
    <w:p w:rsidR="00CA1382" w:rsidRPr="00BB3089" w:rsidRDefault="00CA1382" w:rsidP="00CA1382">
      <w:pPr>
        <w:spacing w:after="0"/>
        <w:ind w:left="10" w:right="223" w:hanging="10"/>
        <w:jc w:val="center"/>
        <w:rPr>
          <w:rFonts w:ascii="Arial" w:eastAsia="Arial" w:hAnsi="Arial" w:cs="Arial"/>
          <w:color w:val="000000"/>
          <w:lang w:eastAsia="en-GB"/>
        </w:rPr>
      </w:pPr>
      <w:r w:rsidRPr="00BB3089">
        <w:rPr>
          <w:rFonts w:ascii="Arial" w:eastAsia="Arial" w:hAnsi="Arial" w:cs="Arial"/>
          <w:b/>
          <w:color w:val="000000"/>
          <w:sz w:val="36"/>
          <w:lang w:eastAsia="en-GB"/>
        </w:rPr>
        <w:t>Project: UWTSD Leisure Complex</w:t>
      </w:r>
    </w:p>
    <w:p w:rsidR="00CA1382" w:rsidRPr="00BB3089" w:rsidRDefault="00CA1382" w:rsidP="00CA1382">
      <w:pPr>
        <w:spacing w:after="0"/>
        <w:ind w:right="155"/>
        <w:jc w:val="center"/>
        <w:rPr>
          <w:rFonts w:ascii="Arial" w:eastAsia="Arial" w:hAnsi="Arial" w:cs="Arial"/>
          <w:color w:val="000000"/>
          <w:lang w:eastAsia="en-GB"/>
        </w:rPr>
      </w:pPr>
      <w:r w:rsidRPr="00BB3089">
        <w:rPr>
          <w:rFonts w:ascii="Arial" w:eastAsia="Arial" w:hAnsi="Arial" w:cs="Arial"/>
          <w:b/>
          <w:color w:val="000000"/>
          <w:sz w:val="24"/>
          <w:lang w:eastAsia="en-GB"/>
        </w:rPr>
        <w:t xml:space="preserve"> </w:t>
      </w:r>
    </w:p>
    <w:p w:rsidR="00CA1382" w:rsidRPr="00BB3089" w:rsidRDefault="00CA1382" w:rsidP="00CA1382">
      <w:pPr>
        <w:spacing w:after="0"/>
        <w:rPr>
          <w:rFonts w:ascii="Arial" w:eastAsia="Arial" w:hAnsi="Arial" w:cs="Arial"/>
          <w:color w:val="000000"/>
          <w:lang w:eastAsia="en-GB"/>
        </w:rPr>
      </w:pPr>
      <w:r w:rsidRPr="00BB3089">
        <w:rPr>
          <w:rFonts w:ascii="Arial" w:eastAsia="Arial" w:hAnsi="Arial" w:cs="Arial"/>
          <w:b/>
          <w:color w:val="000000"/>
          <w:sz w:val="24"/>
          <w:lang w:eastAsia="en-GB"/>
        </w:rPr>
        <w:t xml:space="preserve"> </w:t>
      </w:r>
    </w:p>
    <w:p w:rsidR="00CA1382" w:rsidRPr="00BB3089" w:rsidRDefault="00CA1382" w:rsidP="00CA1382">
      <w:pPr>
        <w:spacing w:after="88"/>
        <w:rPr>
          <w:rFonts w:ascii="Arial" w:eastAsia="Arial" w:hAnsi="Arial" w:cs="Arial"/>
          <w:color w:val="000000"/>
          <w:lang w:eastAsia="en-GB"/>
        </w:rPr>
      </w:pPr>
      <w:r w:rsidRPr="00BB3089">
        <w:rPr>
          <w:rFonts w:ascii="Arial" w:eastAsia="Arial" w:hAnsi="Arial" w:cs="Arial"/>
          <w:b/>
          <w:color w:val="000000"/>
          <w:sz w:val="24"/>
          <w:lang w:eastAsia="en-GB"/>
        </w:rPr>
        <w:t xml:space="preserve"> </w:t>
      </w:r>
    </w:p>
    <w:p w:rsidR="00CA1382" w:rsidRPr="00BB3089" w:rsidRDefault="00CA1382" w:rsidP="00CA1382">
      <w:pPr>
        <w:keepNext/>
        <w:keepLines/>
        <w:spacing w:after="0"/>
        <w:ind w:left="10" w:right="220" w:hanging="10"/>
        <w:jc w:val="center"/>
        <w:outlineLvl w:val="0"/>
        <w:rPr>
          <w:rFonts w:ascii="Arial" w:eastAsia="Arial" w:hAnsi="Arial" w:cs="Arial"/>
          <w:b/>
          <w:color w:val="000000"/>
          <w:sz w:val="36"/>
          <w:lang w:eastAsia="en-GB"/>
        </w:rPr>
      </w:pPr>
      <w:r w:rsidRPr="00BB3089">
        <w:rPr>
          <w:rFonts w:ascii="Arial" w:eastAsia="Arial" w:hAnsi="Arial" w:cs="Arial"/>
          <w:b/>
          <w:color w:val="000000"/>
          <w:sz w:val="36"/>
          <w:lang w:eastAsia="en-GB"/>
        </w:rPr>
        <w:t>Contract Number: 6023</w:t>
      </w:r>
    </w:p>
    <w:p w:rsidR="00CA1382" w:rsidRPr="00BB3089" w:rsidRDefault="00CA1382" w:rsidP="00CA1382">
      <w:pPr>
        <w:spacing w:after="0"/>
        <w:ind w:right="222"/>
        <w:rPr>
          <w:rFonts w:ascii="Arial" w:eastAsia="Arial" w:hAnsi="Arial" w:cs="Arial"/>
          <w:color w:val="000000"/>
          <w:lang w:eastAsia="en-GB"/>
        </w:rPr>
      </w:pPr>
      <w:r w:rsidRPr="00BB3089">
        <w:rPr>
          <w:rFonts w:ascii="Arial" w:eastAsia="Arial" w:hAnsi="Arial" w:cs="Arial"/>
          <w:color w:val="5B9BD5"/>
          <w:sz w:val="28"/>
          <w:lang w:eastAsia="en-GB"/>
        </w:rPr>
        <w:tab/>
      </w:r>
      <w:r w:rsidRPr="00BB3089">
        <w:rPr>
          <w:rFonts w:ascii="Arial" w:eastAsia="Arial" w:hAnsi="Arial" w:cs="Arial"/>
          <w:color w:val="5B9BD5"/>
          <w:sz w:val="28"/>
          <w:lang w:eastAsia="en-GB"/>
        </w:rPr>
        <w:tab/>
      </w:r>
      <w:r w:rsidRPr="00BB3089">
        <w:rPr>
          <w:rFonts w:ascii="Arial" w:eastAsia="Arial" w:hAnsi="Arial" w:cs="Arial"/>
          <w:color w:val="5B9BD5"/>
          <w:sz w:val="28"/>
          <w:lang w:eastAsia="en-GB"/>
        </w:rPr>
        <w:tab/>
      </w:r>
      <w:r w:rsidRPr="00BB3089">
        <w:rPr>
          <w:rFonts w:ascii="Arial" w:eastAsia="Arial" w:hAnsi="Arial" w:cs="Arial"/>
          <w:color w:val="5B9BD5"/>
          <w:sz w:val="28"/>
          <w:lang w:eastAsia="en-GB"/>
        </w:rPr>
        <w:tab/>
      </w:r>
      <w:r w:rsidRPr="00BB3089">
        <w:rPr>
          <w:rFonts w:ascii="Arial" w:eastAsia="Arial" w:hAnsi="Arial" w:cs="Arial"/>
          <w:color w:val="5B9BD5"/>
          <w:sz w:val="28"/>
          <w:lang w:eastAsia="en-GB"/>
        </w:rPr>
        <w:tab/>
      </w:r>
    </w:p>
    <w:p w:rsidR="00CA1382" w:rsidRPr="00BB3089" w:rsidRDefault="00CA1382" w:rsidP="00CA1382">
      <w:pPr>
        <w:spacing w:after="0"/>
        <w:rPr>
          <w:rFonts w:ascii="Arial" w:eastAsia="Arial" w:hAnsi="Arial" w:cs="Arial"/>
          <w:color w:val="000000"/>
          <w:lang w:eastAsia="en-GB"/>
        </w:rPr>
      </w:pPr>
      <w:r w:rsidRPr="00BB3089">
        <w:rPr>
          <w:rFonts w:ascii="Arial" w:eastAsia="Arial" w:hAnsi="Arial" w:cs="Arial"/>
          <w:color w:val="000000"/>
          <w:sz w:val="24"/>
          <w:lang w:eastAsia="en-GB"/>
        </w:rPr>
        <w:t xml:space="preserve"> </w:t>
      </w:r>
    </w:p>
    <w:p w:rsidR="00CA1382" w:rsidRDefault="00CA1382" w:rsidP="00CA1382">
      <w:pPr>
        <w:spacing w:after="0"/>
        <w:rPr>
          <w:rFonts w:ascii="Arial" w:eastAsia="Arial" w:hAnsi="Arial" w:cs="Arial"/>
          <w:color w:val="000000"/>
          <w:sz w:val="24"/>
          <w:lang w:eastAsia="en-GB"/>
        </w:rPr>
      </w:pPr>
      <w:r w:rsidRPr="00BB3089">
        <w:rPr>
          <w:rFonts w:ascii="Arial" w:eastAsia="Arial" w:hAnsi="Arial" w:cs="Arial"/>
          <w:color w:val="000000"/>
          <w:sz w:val="24"/>
          <w:lang w:eastAsia="en-GB"/>
        </w:rPr>
        <w:t xml:space="preserve"> </w:t>
      </w:r>
    </w:p>
    <w:p w:rsidR="00CA1382" w:rsidRDefault="00CA1382" w:rsidP="00CA1382">
      <w:pPr>
        <w:spacing w:after="0"/>
        <w:rPr>
          <w:rFonts w:ascii="Arial" w:eastAsia="Arial" w:hAnsi="Arial" w:cs="Arial"/>
          <w:color w:val="000000"/>
          <w:sz w:val="24"/>
          <w:lang w:eastAsia="en-GB"/>
        </w:rPr>
      </w:pPr>
    </w:p>
    <w:p w:rsidR="00CA1382" w:rsidRDefault="00CA1382" w:rsidP="00CA1382">
      <w:pPr>
        <w:spacing w:after="0"/>
        <w:rPr>
          <w:rFonts w:ascii="Arial" w:eastAsia="Arial" w:hAnsi="Arial" w:cs="Arial"/>
          <w:color w:val="000000"/>
          <w:sz w:val="24"/>
          <w:lang w:eastAsia="en-GB"/>
        </w:rPr>
      </w:pPr>
    </w:p>
    <w:p w:rsidR="00CA1382" w:rsidRPr="00BB3089" w:rsidRDefault="00CA1382" w:rsidP="00CA1382">
      <w:pPr>
        <w:spacing w:after="0"/>
        <w:rPr>
          <w:rFonts w:ascii="Arial" w:eastAsia="Arial" w:hAnsi="Arial" w:cs="Arial"/>
          <w:color w:val="000000"/>
          <w:lang w:eastAsia="en-GB"/>
        </w:rPr>
      </w:pPr>
    </w:p>
    <w:p w:rsidR="00CA1382" w:rsidRPr="00BB3089" w:rsidRDefault="00CA1382" w:rsidP="00CA1382">
      <w:pPr>
        <w:spacing w:after="0"/>
        <w:rPr>
          <w:rFonts w:ascii="Arial" w:eastAsia="Arial" w:hAnsi="Arial" w:cs="Arial"/>
          <w:color w:val="000000"/>
          <w:lang w:eastAsia="en-GB"/>
        </w:rPr>
      </w:pPr>
      <w:r w:rsidRPr="00BB3089">
        <w:rPr>
          <w:rFonts w:ascii="Arial" w:eastAsia="Arial" w:hAnsi="Arial" w:cs="Arial"/>
          <w:color w:val="000000"/>
          <w:sz w:val="24"/>
          <w:lang w:eastAsia="en-GB"/>
        </w:rPr>
        <w:t xml:space="preserve"> </w:t>
      </w:r>
    </w:p>
    <w:p w:rsidR="00CA1382" w:rsidRPr="00BB3089" w:rsidRDefault="00CA1382" w:rsidP="00CA1382">
      <w:pPr>
        <w:spacing w:after="0"/>
        <w:ind w:right="155"/>
        <w:jc w:val="center"/>
        <w:rPr>
          <w:rFonts w:ascii="Arial" w:eastAsia="Arial" w:hAnsi="Arial" w:cs="Arial"/>
          <w:color w:val="000000"/>
          <w:lang w:eastAsia="en-GB"/>
        </w:rPr>
      </w:pPr>
      <w:r w:rsidRPr="00BB3089">
        <w:rPr>
          <w:rFonts w:ascii="Arial" w:eastAsia="Arial" w:hAnsi="Arial" w:cs="Arial"/>
          <w:color w:val="000000"/>
          <w:sz w:val="24"/>
          <w:lang w:eastAsia="en-GB"/>
        </w:rPr>
        <w:t xml:space="preserve"> </w:t>
      </w:r>
    </w:p>
    <w:p w:rsidR="00CA1382" w:rsidRPr="00BB3089" w:rsidRDefault="00CA1382" w:rsidP="00CA1382">
      <w:pPr>
        <w:spacing w:after="0"/>
        <w:ind w:right="155"/>
        <w:jc w:val="center"/>
        <w:rPr>
          <w:rFonts w:ascii="Arial" w:eastAsia="Arial" w:hAnsi="Arial" w:cs="Arial"/>
          <w:color w:val="000000"/>
          <w:lang w:eastAsia="en-GB"/>
        </w:rPr>
      </w:pPr>
      <w:r w:rsidRPr="00BB3089">
        <w:rPr>
          <w:rFonts w:ascii="Arial" w:eastAsia="Arial" w:hAnsi="Arial" w:cs="Arial"/>
          <w:color w:val="000000"/>
          <w:sz w:val="24"/>
          <w:lang w:eastAsia="en-GB"/>
        </w:rPr>
        <w:t xml:space="preserve"> </w:t>
      </w:r>
    </w:p>
    <w:p w:rsidR="00CA1382" w:rsidRPr="00BB3089" w:rsidRDefault="00CA1382" w:rsidP="00CA1382">
      <w:pPr>
        <w:spacing w:after="0"/>
        <w:ind w:right="155"/>
        <w:jc w:val="center"/>
        <w:rPr>
          <w:rFonts w:ascii="Arial" w:eastAsia="Arial" w:hAnsi="Arial" w:cs="Arial"/>
          <w:color w:val="000000"/>
          <w:lang w:eastAsia="en-GB"/>
        </w:rPr>
      </w:pPr>
      <w:r w:rsidRPr="00BB3089">
        <w:rPr>
          <w:rFonts w:ascii="Arial" w:eastAsia="Arial" w:hAnsi="Arial" w:cs="Arial"/>
          <w:color w:val="000000"/>
          <w:sz w:val="24"/>
          <w:lang w:eastAsia="en-GB"/>
        </w:rPr>
        <w:t xml:space="preserve"> </w:t>
      </w:r>
    </w:p>
    <w:p w:rsidR="00CA1382" w:rsidRPr="00BB3089" w:rsidRDefault="00CA1382" w:rsidP="00CA1382">
      <w:pPr>
        <w:spacing w:after="0"/>
        <w:ind w:right="155"/>
        <w:jc w:val="center"/>
        <w:rPr>
          <w:rFonts w:ascii="Arial" w:eastAsia="Arial" w:hAnsi="Arial" w:cs="Arial"/>
          <w:color w:val="000000"/>
          <w:lang w:eastAsia="en-GB"/>
        </w:rPr>
      </w:pPr>
      <w:r w:rsidRPr="00BB3089">
        <w:rPr>
          <w:rFonts w:ascii="Arial" w:eastAsia="Arial" w:hAnsi="Arial" w:cs="Arial"/>
          <w:color w:val="000000"/>
          <w:sz w:val="24"/>
          <w:lang w:eastAsia="en-GB"/>
        </w:rPr>
        <w:t xml:space="preserve"> </w:t>
      </w:r>
    </w:p>
    <w:p w:rsidR="00CA1382" w:rsidRPr="00BB3089" w:rsidRDefault="00CA1382" w:rsidP="00CA1382">
      <w:pPr>
        <w:spacing w:after="0"/>
        <w:ind w:right="155"/>
        <w:jc w:val="center"/>
        <w:rPr>
          <w:rFonts w:ascii="Arial" w:eastAsia="Arial" w:hAnsi="Arial" w:cs="Arial"/>
          <w:color w:val="000000"/>
          <w:lang w:eastAsia="en-GB"/>
        </w:rPr>
      </w:pPr>
      <w:r w:rsidRPr="00BB3089">
        <w:rPr>
          <w:rFonts w:ascii="Arial" w:eastAsia="Arial" w:hAnsi="Arial" w:cs="Arial"/>
          <w:color w:val="000000"/>
          <w:sz w:val="24"/>
          <w:lang w:eastAsia="en-GB"/>
        </w:rPr>
        <w:t xml:space="preserve"> </w:t>
      </w:r>
    </w:p>
    <w:p w:rsidR="00CA1382" w:rsidRPr="00BB3089" w:rsidRDefault="00CA1382" w:rsidP="00CA1382">
      <w:pPr>
        <w:spacing w:after="0"/>
        <w:ind w:right="155"/>
        <w:jc w:val="center"/>
        <w:rPr>
          <w:rFonts w:ascii="Arial" w:eastAsia="Arial" w:hAnsi="Arial" w:cs="Arial"/>
          <w:color w:val="000000"/>
          <w:lang w:eastAsia="en-GB"/>
        </w:rPr>
      </w:pPr>
      <w:r w:rsidRPr="00BB3089">
        <w:rPr>
          <w:rFonts w:ascii="Arial" w:eastAsia="Arial" w:hAnsi="Arial" w:cs="Arial"/>
          <w:color w:val="000000"/>
          <w:sz w:val="24"/>
          <w:lang w:eastAsia="en-GB"/>
        </w:rPr>
        <w:t xml:space="preserve"> </w:t>
      </w:r>
    </w:p>
    <w:p w:rsidR="00CA1382" w:rsidRDefault="00CA1382" w:rsidP="00CA1382"/>
    <w:p w:rsidR="004A30C0" w:rsidRDefault="004A30C0" w:rsidP="00800F39">
      <w:pPr>
        <w:pStyle w:val="Heading1"/>
      </w:pPr>
    </w:p>
    <w:p w:rsidR="00C11353" w:rsidRDefault="00C11353" w:rsidP="00C11353"/>
    <w:p w:rsidR="00800F39" w:rsidRPr="00C11353" w:rsidRDefault="00590AB2" w:rsidP="00C11353">
      <w:pPr>
        <w:rPr>
          <w:b/>
          <w:u w:val="single"/>
        </w:rPr>
      </w:pPr>
      <w:r w:rsidRPr="00C11353">
        <w:rPr>
          <w:b/>
          <w:u w:val="single"/>
        </w:rPr>
        <w:lastRenderedPageBreak/>
        <w:t>Foundation Substantiation</w:t>
      </w:r>
    </w:p>
    <w:p w:rsidR="001E4151" w:rsidRPr="001E4151" w:rsidRDefault="001E4151">
      <w:pPr>
        <w:rPr>
          <w:b/>
        </w:rPr>
      </w:pPr>
      <w:r w:rsidRPr="001E4151">
        <w:rPr>
          <w:b/>
        </w:rPr>
        <w:t>Available Information</w:t>
      </w:r>
    </w:p>
    <w:p w:rsidR="00C430C9" w:rsidRDefault="001E4151" w:rsidP="00352462">
      <w:pPr>
        <w:ind w:firstLine="720"/>
      </w:pPr>
      <w:r>
        <w:t>As detailed in the feasibility study, th</w:t>
      </w:r>
      <w:r w:rsidR="00C430C9" w:rsidRPr="00C430C9">
        <w:t xml:space="preserve">ere is limited up-to-date data available for this specific area. As seen in the layout, the majority of trial pit information dates 1880. Within the region of this site, we have trial pit dating 1993, as below. As the trial pit details, the initial 2 metres references descriptions which elude to contaminant fill </w:t>
      </w:r>
      <w:proofErr w:type="spellStart"/>
      <w:r w:rsidR="00C430C9" w:rsidRPr="00C430C9">
        <w:t>ie</w:t>
      </w:r>
      <w:proofErr w:type="spellEnd"/>
      <w:r w:rsidR="00C430C9" w:rsidRPr="00C430C9">
        <w:t xml:space="preserve"> ash, slag and cuprous – whilst explicitly labelling material as fill. This continues with the rest of strata, with 2.0-2.8 metre depths giving descriptions of loose cobble, fine gravels and silty gravelly clay, also labelled as fill.</w:t>
      </w:r>
    </w:p>
    <w:p w:rsidR="00800F39" w:rsidRDefault="00800F39">
      <w:r>
        <w:rPr>
          <w:noProof/>
          <w:lang w:eastAsia="en-GB"/>
        </w:rPr>
        <w:drawing>
          <wp:inline distT="0" distB="0" distL="0" distR="0" wp14:anchorId="42E08C41" wp14:editId="0AB77732">
            <wp:extent cx="2569458" cy="2025391"/>
            <wp:effectExtent l="0" t="0" r="254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a:blip r:embed="rId8"/>
                    <a:stretch>
                      <a:fillRect/>
                    </a:stretch>
                  </pic:blipFill>
                  <pic:spPr>
                    <a:xfrm>
                      <a:off x="0" y="0"/>
                      <a:ext cx="2592804" cy="2043793"/>
                    </a:xfrm>
                    <a:prstGeom prst="rect">
                      <a:avLst/>
                    </a:prstGeom>
                  </pic:spPr>
                </pic:pic>
              </a:graphicData>
            </a:graphic>
          </wp:inline>
        </w:drawing>
      </w:r>
      <w:r>
        <w:rPr>
          <w:noProof/>
          <w:lang w:eastAsia="en-GB"/>
        </w:rPr>
        <w:drawing>
          <wp:inline distT="0" distB="0" distL="0" distR="0" wp14:anchorId="0E3458C7" wp14:editId="634B62B7">
            <wp:extent cx="3105150" cy="2093723"/>
            <wp:effectExtent l="0" t="0" r="0" b="1905"/>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pic:cNvPicPr>
                  </pic:nvPicPr>
                  <pic:blipFill>
                    <a:blip r:embed="rId9"/>
                    <a:stretch>
                      <a:fillRect/>
                    </a:stretch>
                  </pic:blipFill>
                  <pic:spPr>
                    <a:xfrm>
                      <a:off x="0" y="0"/>
                      <a:ext cx="3115070" cy="2100412"/>
                    </a:xfrm>
                    <a:prstGeom prst="rect">
                      <a:avLst/>
                    </a:prstGeom>
                  </pic:spPr>
                </pic:pic>
              </a:graphicData>
            </a:graphic>
          </wp:inline>
        </w:drawing>
      </w:r>
    </w:p>
    <w:tbl>
      <w:tblPr>
        <w:tblW w:w="9800" w:type="dxa"/>
        <w:tblLook w:val="04A0" w:firstRow="1" w:lastRow="0" w:firstColumn="1" w:lastColumn="0" w:noHBand="0" w:noVBand="1"/>
      </w:tblPr>
      <w:tblGrid>
        <w:gridCol w:w="9800"/>
      </w:tblGrid>
      <w:tr w:rsidR="00800F39" w:rsidRPr="00C430C9" w:rsidTr="00A4272E">
        <w:trPr>
          <w:trHeight w:val="288"/>
        </w:trPr>
        <w:tc>
          <w:tcPr>
            <w:tcW w:w="9800" w:type="dxa"/>
            <w:tcBorders>
              <w:top w:val="nil"/>
              <w:left w:val="nil"/>
              <w:bottom w:val="nil"/>
              <w:right w:val="nil"/>
            </w:tcBorders>
            <w:shd w:val="clear" w:color="000000" w:fill="FF9999"/>
            <w:noWrap/>
            <w:vAlign w:val="bottom"/>
            <w:hideMark/>
          </w:tcPr>
          <w:p w:rsidR="00800F39" w:rsidRPr="00C430C9" w:rsidRDefault="00800F39" w:rsidP="00E220FF">
            <w:pPr>
              <w:spacing w:after="0" w:line="240" w:lineRule="auto"/>
              <w:rPr>
                <w:rFonts w:ascii="Calibri" w:eastAsia="Times New Roman" w:hAnsi="Calibri" w:cs="Calibri"/>
                <w:b/>
                <w:color w:val="000000"/>
                <w:lang w:eastAsia="en-GB"/>
              </w:rPr>
            </w:pPr>
            <w:proofErr w:type="spellStart"/>
            <w:r w:rsidRPr="00C430C9">
              <w:rPr>
                <w:rFonts w:ascii="Calibri" w:eastAsia="Times New Roman" w:hAnsi="Calibri" w:cs="Calibri"/>
                <w:b/>
                <w:color w:val="000000"/>
                <w:lang w:eastAsia="en-GB"/>
              </w:rPr>
              <w:t>Canolfan</w:t>
            </w:r>
            <w:proofErr w:type="spellEnd"/>
            <w:r w:rsidRPr="00C430C9">
              <w:rPr>
                <w:rFonts w:ascii="Calibri" w:eastAsia="Times New Roman" w:hAnsi="Calibri" w:cs="Calibri"/>
                <w:b/>
                <w:color w:val="000000"/>
                <w:lang w:eastAsia="en-GB"/>
              </w:rPr>
              <w:t xml:space="preserve"> </w:t>
            </w:r>
            <w:proofErr w:type="spellStart"/>
            <w:r w:rsidRPr="00C430C9">
              <w:rPr>
                <w:rFonts w:ascii="Calibri" w:eastAsia="Times New Roman" w:hAnsi="Calibri" w:cs="Calibri"/>
                <w:b/>
                <w:color w:val="000000"/>
                <w:lang w:eastAsia="en-GB"/>
              </w:rPr>
              <w:t>Glandwr</w:t>
            </w:r>
            <w:proofErr w:type="spellEnd"/>
            <w:r w:rsidRPr="00C430C9">
              <w:rPr>
                <w:rFonts w:ascii="Calibri" w:eastAsia="Times New Roman" w:hAnsi="Calibri" w:cs="Calibri"/>
                <w:b/>
                <w:color w:val="000000"/>
                <w:lang w:eastAsia="en-GB"/>
              </w:rPr>
              <w:t>, Prince of Wales Dock, Swansea</w:t>
            </w:r>
          </w:p>
        </w:tc>
      </w:tr>
      <w:tr w:rsidR="00800F39" w:rsidRPr="00C430C9" w:rsidTr="00A4272E">
        <w:trPr>
          <w:trHeight w:val="288"/>
        </w:trPr>
        <w:tc>
          <w:tcPr>
            <w:tcW w:w="9800" w:type="dxa"/>
            <w:tcBorders>
              <w:top w:val="nil"/>
              <w:left w:val="nil"/>
              <w:bottom w:val="nil"/>
              <w:right w:val="nil"/>
            </w:tcBorders>
            <w:shd w:val="clear" w:color="000000" w:fill="FF9999"/>
            <w:noWrap/>
            <w:vAlign w:val="bottom"/>
            <w:hideMark/>
          </w:tcPr>
          <w:p w:rsidR="00800F39" w:rsidRPr="00C430C9" w:rsidRDefault="00800F39" w:rsidP="00CB5166">
            <w:pPr>
              <w:spacing w:after="0" w:line="240" w:lineRule="auto"/>
              <w:rPr>
                <w:rFonts w:ascii="Calibri" w:eastAsia="Times New Roman" w:hAnsi="Calibri" w:cs="Calibri"/>
                <w:b/>
                <w:color w:val="000000"/>
                <w:lang w:eastAsia="en-GB"/>
              </w:rPr>
            </w:pPr>
            <w:r w:rsidRPr="00C430C9">
              <w:rPr>
                <w:rFonts w:ascii="Calibri" w:eastAsia="Times New Roman" w:hAnsi="Calibri" w:cs="Calibri"/>
                <w:b/>
                <w:color w:val="000000"/>
                <w:lang w:eastAsia="en-GB"/>
              </w:rPr>
              <w:t>Archaeological desk-based assessment</w:t>
            </w:r>
            <w:r w:rsidRPr="00CB5166">
              <w:rPr>
                <w:rFonts w:ascii="Calibri" w:eastAsia="Times New Roman" w:hAnsi="Calibri" w:cs="Calibri"/>
                <w:b/>
                <w:color w:val="000000"/>
                <w:lang w:eastAsia="en-GB"/>
              </w:rPr>
              <w:t xml:space="preserve"> </w:t>
            </w:r>
          </w:p>
        </w:tc>
      </w:tr>
      <w:tr w:rsidR="00800F39" w:rsidRPr="00C430C9" w:rsidTr="00A4272E">
        <w:trPr>
          <w:trHeight w:val="1468"/>
        </w:trPr>
        <w:tc>
          <w:tcPr>
            <w:tcW w:w="9800" w:type="dxa"/>
            <w:tcBorders>
              <w:top w:val="nil"/>
              <w:left w:val="nil"/>
              <w:bottom w:val="nil"/>
              <w:right w:val="nil"/>
            </w:tcBorders>
            <w:shd w:val="clear" w:color="000000" w:fill="FFCCCC"/>
            <w:vAlign w:val="bottom"/>
            <w:hideMark/>
          </w:tcPr>
          <w:p w:rsidR="00A46347" w:rsidRDefault="00A46347" w:rsidP="00E220FF">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 xml:space="preserve">We can extract information regarding the </w:t>
            </w:r>
            <w:r w:rsidR="00A4272E">
              <w:rPr>
                <w:rFonts w:ascii="Calibri" w:eastAsia="Times New Roman" w:hAnsi="Calibri" w:cs="Calibri"/>
                <w:color w:val="000000"/>
                <w:lang w:eastAsia="en-GB"/>
              </w:rPr>
              <w:t>historical construction of the area through archaeological studies as follows:</w:t>
            </w:r>
          </w:p>
          <w:p w:rsidR="00800F39" w:rsidRPr="00C430C9" w:rsidRDefault="00A4272E" w:rsidP="00A4272E">
            <w:pPr>
              <w:spacing w:after="0" w:line="240" w:lineRule="auto"/>
              <w:ind w:left="720"/>
              <w:rPr>
                <w:rFonts w:ascii="Calibri" w:eastAsia="Times New Roman" w:hAnsi="Calibri" w:cs="Calibri"/>
                <w:i/>
                <w:color w:val="000000"/>
                <w:lang w:eastAsia="en-GB"/>
              </w:rPr>
            </w:pPr>
            <w:r w:rsidRPr="00A4272E">
              <w:rPr>
                <w:rFonts w:ascii="Calibri" w:eastAsia="Times New Roman" w:hAnsi="Calibri" w:cs="Calibri"/>
                <w:i/>
                <w:color w:val="000000"/>
                <w:lang w:eastAsia="en-GB"/>
              </w:rPr>
              <w:t>“</w:t>
            </w:r>
            <w:r w:rsidR="00800F39" w:rsidRPr="00C430C9">
              <w:rPr>
                <w:rFonts w:ascii="Calibri" w:eastAsia="Times New Roman" w:hAnsi="Calibri" w:cs="Calibri"/>
                <w:i/>
                <w:color w:val="000000"/>
                <w:lang w:eastAsia="en-GB"/>
              </w:rPr>
              <w:t>Prior to the construction of the docks, the d</w:t>
            </w:r>
            <w:r w:rsidR="00A46347" w:rsidRPr="00A4272E">
              <w:rPr>
                <w:rFonts w:ascii="Calibri" w:eastAsia="Times New Roman" w:hAnsi="Calibri" w:cs="Calibri"/>
                <w:i/>
                <w:color w:val="000000"/>
                <w:lang w:eastAsia="en-GB"/>
              </w:rPr>
              <w:t>e</w:t>
            </w:r>
            <w:r w:rsidR="00800F39" w:rsidRPr="00C430C9">
              <w:rPr>
                <w:rFonts w:ascii="Calibri" w:eastAsia="Times New Roman" w:hAnsi="Calibri" w:cs="Calibri"/>
                <w:i/>
                <w:color w:val="000000"/>
                <w:lang w:eastAsia="en-GB"/>
              </w:rPr>
              <w:t xml:space="preserve">velopment area comprised part of the mud flats of Fabian's Bay, providing an important area for inter-tidal industries. The geology of the area is likely to consist of </w:t>
            </w:r>
            <w:r w:rsidR="00800F39" w:rsidRPr="00C430C9">
              <w:rPr>
                <w:rFonts w:ascii="Calibri" w:eastAsia="Times New Roman" w:hAnsi="Calibri" w:cs="Calibri"/>
                <w:b/>
                <w:i/>
                <w:color w:val="000000"/>
                <w:lang w:eastAsia="en-GB"/>
              </w:rPr>
              <w:t>alluvial silts and peat</w:t>
            </w:r>
            <w:r w:rsidR="00800F39" w:rsidRPr="00C430C9">
              <w:rPr>
                <w:rFonts w:ascii="Calibri" w:eastAsia="Times New Roman" w:hAnsi="Calibri" w:cs="Calibri"/>
                <w:i/>
                <w:color w:val="000000"/>
                <w:lang w:eastAsia="en-GB"/>
              </w:rPr>
              <w:t>, increas</w:t>
            </w:r>
            <w:r w:rsidR="00A46347" w:rsidRPr="00A4272E">
              <w:rPr>
                <w:rFonts w:ascii="Calibri" w:eastAsia="Times New Roman" w:hAnsi="Calibri" w:cs="Calibri"/>
                <w:i/>
                <w:color w:val="000000"/>
                <w:lang w:eastAsia="en-GB"/>
              </w:rPr>
              <w:t>i</w:t>
            </w:r>
            <w:r w:rsidR="00800F39" w:rsidRPr="00C430C9">
              <w:rPr>
                <w:rFonts w:ascii="Calibri" w:eastAsia="Times New Roman" w:hAnsi="Calibri" w:cs="Calibri"/>
                <w:i/>
                <w:color w:val="000000"/>
                <w:lang w:eastAsia="en-GB"/>
              </w:rPr>
              <w:t xml:space="preserve">ng the potential for disturbing archaeological remains during groundworks. Several distinct </w:t>
            </w:r>
            <w:r w:rsidR="00800F39" w:rsidRPr="00C430C9">
              <w:rPr>
                <w:rFonts w:ascii="Calibri" w:eastAsia="Times New Roman" w:hAnsi="Calibri" w:cs="Calibri"/>
                <w:b/>
                <w:i/>
                <w:color w:val="000000"/>
                <w:lang w:eastAsia="en-GB"/>
              </w:rPr>
              <w:t>peat</w:t>
            </w:r>
            <w:r w:rsidR="00800F39" w:rsidRPr="00C430C9">
              <w:rPr>
                <w:rFonts w:ascii="Calibri" w:eastAsia="Times New Roman" w:hAnsi="Calibri" w:cs="Calibri"/>
                <w:i/>
                <w:color w:val="000000"/>
                <w:lang w:eastAsia="en-GB"/>
              </w:rPr>
              <w:t xml:space="preserve"> deposits are known to extend across the entirety of Swansea Bay, with associated prehistoric trackwa</w:t>
            </w:r>
            <w:r w:rsidRPr="00A4272E">
              <w:rPr>
                <w:rFonts w:ascii="Calibri" w:eastAsia="Times New Roman" w:hAnsi="Calibri" w:cs="Calibri"/>
                <w:i/>
                <w:color w:val="000000"/>
                <w:lang w:eastAsia="en-GB"/>
              </w:rPr>
              <w:t xml:space="preserve">ys at </w:t>
            </w:r>
            <w:proofErr w:type="spellStart"/>
            <w:r w:rsidRPr="00A4272E">
              <w:rPr>
                <w:rFonts w:ascii="Calibri" w:eastAsia="Times New Roman" w:hAnsi="Calibri" w:cs="Calibri"/>
                <w:i/>
                <w:color w:val="000000"/>
                <w:lang w:eastAsia="en-GB"/>
              </w:rPr>
              <w:t>Brynmill</w:t>
            </w:r>
            <w:proofErr w:type="spellEnd"/>
            <w:r w:rsidRPr="00A4272E">
              <w:rPr>
                <w:rFonts w:ascii="Calibri" w:eastAsia="Times New Roman" w:hAnsi="Calibri" w:cs="Calibri"/>
                <w:i/>
                <w:color w:val="000000"/>
                <w:lang w:eastAsia="en-GB"/>
              </w:rPr>
              <w:t xml:space="preserve"> and </w:t>
            </w:r>
            <w:proofErr w:type="spellStart"/>
            <w:r w:rsidRPr="00A4272E">
              <w:rPr>
                <w:rFonts w:ascii="Calibri" w:eastAsia="Times New Roman" w:hAnsi="Calibri" w:cs="Calibri"/>
                <w:i/>
                <w:color w:val="000000"/>
                <w:lang w:eastAsia="en-GB"/>
              </w:rPr>
              <w:t>Oystermouth</w:t>
            </w:r>
            <w:proofErr w:type="spellEnd"/>
            <w:r w:rsidRPr="00A4272E">
              <w:rPr>
                <w:rFonts w:ascii="Calibri" w:eastAsia="Times New Roman" w:hAnsi="Calibri" w:cs="Calibri"/>
                <w:i/>
                <w:color w:val="000000"/>
                <w:lang w:eastAsia="en-GB"/>
              </w:rPr>
              <w:t>."</w:t>
            </w:r>
          </w:p>
        </w:tc>
      </w:tr>
      <w:tr w:rsidR="00800F39" w:rsidRPr="00C430C9" w:rsidTr="00A4272E">
        <w:trPr>
          <w:trHeight w:val="288"/>
        </w:trPr>
        <w:tc>
          <w:tcPr>
            <w:tcW w:w="9800" w:type="dxa"/>
            <w:tcBorders>
              <w:top w:val="nil"/>
              <w:left w:val="nil"/>
              <w:bottom w:val="nil"/>
              <w:right w:val="nil"/>
            </w:tcBorders>
            <w:shd w:val="clear" w:color="000000" w:fill="FFCCCC"/>
            <w:noWrap/>
            <w:vAlign w:val="bottom"/>
            <w:hideMark/>
          </w:tcPr>
          <w:p w:rsidR="00800F39" w:rsidRPr="00C430C9" w:rsidRDefault="00800F39" w:rsidP="00A4272E">
            <w:pPr>
              <w:spacing w:after="0" w:line="240" w:lineRule="auto"/>
              <w:ind w:left="720"/>
              <w:rPr>
                <w:rFonts w:ascii="Calibri" w:eastAsia="Times New Roman" w:hAnsi="Calibri" w:cs="Calibri"/>
                <w:color w:val="000000"/>
                <w:lang w:eastAsia="en-GB"/>
              </w:rPr>
            </w:pPr>
            <w:r w:rsidRPr="00C430C9">
              <w:rPr>
                <w:rFonts w:ascii="Calibri" w:eastAsia="Times New Roman" w:hAnsi="Calibri" w:cs="Calibri"/>
                <w:color w:val="000000"/>
                <w:lang w:eastAsia="en-GB"/>
              </w:rPr>
              <w:t>(Bowen, 2011)</w:t>
            </w:r>
          </w:p>
        </w:tc>
      </w:tr>
      <w:tr w:rsidR="00800F39" w:rsidRPr="00C430C9" w:rsidTr="00A4272E">
        <w:trPr>
          <w:trHeight w:val="1320"/>
        </w:trPr>
        <w:tc>
          <w:tcPr>
            <w:tcW w:w="9800" w:type="dxa"/>
            <w:tcBorders>
              <w:top w:val="nil"/>
              <w:left w:val="nil"/>
              <w:bottom w:val="nil"/>
              <w:right w:val="nil"/>
            </w:tcBorders>
            <w:shd w:val="clear" w:color="000000" w:fill="FFCCCC"/>
            <w:vAlign w:val="bottom"/>
            <w:hideMark/>
          </w:tcPr>
          <w:p w:rsidR="00800F39" w:rsidRPr="00C430C9" w:rsidRDefault="00A4272E" w:rsidP="00A4272E">
            <w:pPr>
              <w:spacing w:after="0" w:line="240" w:lineRule="auto"/>
              <w:ind w:left="720"/>
              <w:rPr>
                <w:rFonts w:ascii="Calibri" w:eastAsia="Times New Roman" w:hAnsi="Calibri" w:cs="Calibri"/>
                <w:i/>
                <w:color w:val="000000"/>
                <w:lang w:eastAsia="en-GB"/>
              </w:rPr>
            </w:pPr>
            <w:r w:rsidRPr="00A4272E">
              <w:rPr>
                <w:rFonts w:ascii="Calibri" w:eastAsia="Times New Roman" w:hAnsi="Calibri" w:cs="Calibri"/>
                <w:i/>
                <w:color w:val="000000"/>
                <w:lang w:eastAsia="en-GB"/>
              </w:rPr>
              <w:t>“</w:t>
            </w:r>
            <w:r w:rsidR="00800F39" w:rsidRPr="00C430C9">
              <w:rPr>
                <w:rFonts w:ascii="Calibri" w:eastAsia="Times New Roman" w:hAnsi="Calibri" w:cs="Calibri"/>
                <w:i/>
                <w:color w:val="000000"/>
                <w:lang w:eastAsia="en-GB"/>
              </w:rPr>
              <w:t xml:space="preserve">Geotechnical reports conducted to the east-northeast of the development area concluded that the stratigraphy comprised </w:t>
            </w:r>
            <w:r w:rsidR="00800F39" w:rsidRPr="00C430C9">
              <w:rPr>
                <w:rFonts w:ascii="Calibri" w:eastAsia="Times New Roman" w:hAnsi="Calibri" w:cs="Calibri"/>
                <w:b/>
                <w:i/>
                <w:color w:val="000000"/>
                <w:lang w:eastAsia="en-GB"/>
              </w:rPr>
              <w:t>made-ground containing varying amounts of brick and concrete fragments, tile fragments, timber, slag metal and plastic at depths varying between 7.4mOD - 0.93mOD</w:t>
            </w:r>
            <w:r w:rsidR="00800F39" w:rsidRPr="00C430C9">
              <w:rPr>
                <w:rFonts w:ascii="Calibri" w:eastAsia="Times New Roman" w:hAnsi="Calibri" w:cs="Calibri"/>
                <w:i/>
                <w:color w:val="000000"/>
                <w:lang w:eastAsia="en-GB"/>
              </w:rPr>
              <w:t>.</w:t>
            </w:r>
            <w:r w:rsidRPr="00A4272E">
              <w:rPr>
                <w:rFonts w:ascii="Calibri" w:eastAsia="Times New Roman" w:hAnsi="Calibri" w:cs="Calibri"/>
                <w:i/>
                <w:color w:val="000000"/>
                <w:lang w:eastAsia="en-GB"/>
              </w:rPr>
              <w:t>”</w:t>
            </w:r>
          </w:p>
        </w:tc>
      </w:tr>
      <w:tr w:rsidR="00800F39" w:rsidRPr="00C430C9" w:rsidTr="00A4272E">
        <w:trPr>
          <w:trHeight w:val="288"/>
        </w:trPr>
        <w:tc>
          <w:tcPr>
            <w:tcW w:w="9800" w:type="dxa"/>
            <w:tcBorders>
              <w:top w:val="nil"/>
              <w:left w:val="nil"/>
              <w:bottom w:val="nil"/>
              <w:right w:val="nil"/>
            </w:tcBorders>
            <w:shd w:val="clear" w:color="000000" w:fill="FFCCCC"/>
            <w:noWrap/>
            <w:vAlign w:val="bottom"/>
            <w:hideMark/>
          </w:tcPr>
          <w:p w:rsidR="00800F39" w:rsidRPr="00C430C9" w:rsidRDefault="00800F39" w:rsidP="00A4272E">
            <w:pPr>
              <w:spacing w:after="0" w:line="240" w:lineRule="auto"/>
              <w:ind w:left="720"/>
              <w:rPr>
                <w:rFonts w:ascii="Calibri" w:eastAsia="Times New Roman" w:hAnsi="Calibri" w:cs="Calibri"/>
                <w:color w:val="000000"/>
                <w:lang w:eastAsia="en-GB"/>
              </w:rPr>
            </w:pPr>
            <w:r w:rsidRPr="00C430C9">
              <w:rPr>
                <w:rFonts w:ascii="Calibri" w:eastAsia="Times New Roman" w:hAnsi="Calibri" w:cs="Calibri"/>
                <w:color w:val="000000"/>
                <w:lang w:eastAsia="en-GB"/>
              </w:rPr>
              <w:t xml:space="preserve">(Bowen, 2011 citing </w:t>
            </w:r>
            <w:proofErr w:type="spellStart"/>
            <w:r w:rsidRPr="00C430C9">
              <w:rPr>
                <w:rFonts w:ascii="Calibri" w:eastAsia="Times New Roman" w:hAnsi="Calibri" w:cs="Calibri"/>
                <w:color w:val="000000"/>
                <w:lang w:eastAsia="en-GB"/>
              </w:rPr>
              <w:t>CoDA</w:t>
            </w:r>
            <w:proofErr w:type="spellEnd"/>
            <w:r w:rsidRPr="00C430C9">
              <w:rPr>
                <w:rFonts w:ascii="Calibri" w:eastAsia="Times New Roman" w:hAnsi="Calibri" w:cs="Calibri"/>
                <w:color w:val="000000"/>
                <w:lang w:eastAsia="en-GB"/>
              </w:rPr>
              <w:t>, 2006)</w:t>
            </w:r>
          </w:p>
        </w:tc>
      </w:tr>
    </w:tbl>
    <w:p w:rsidR="00342AA2" w:rsidRDefault="00342AA2" w:rsidP="008C58B4">
      <w:pPr>
        <w:rPr>
          <w:b/>
        </w:rPr>
      </w:pPr>
    </w:p>
    <w:p w:rsidR="008C58B4" w:rsidRDefault="00352462" w:rsidP="008C58B4">
      <w:pPr>
        <w:rPr>
          <w:b/>
        </w:rPr>
      </w:pPr>
      <w:r w:rsidRPr="00352462">
        <w:rPr>
          <w:b/>
        </w:rPr>
        <w:t>Ground Remediation</w:t>
      </w:r>
    </w:p>
    <w:p w:rsidR="00484645" w:rsidRDefault="00484645" w:rsidP="00342AA2">
      <w:pPr>
        <w:ind w:firstLine="720"/>
      </w:pPr>
      <w:r>
        <w:t xml:space="preserve">When looking to remediate the ground in order to achieve reduced foundation requirements, we must examine imposed guidelines. </w:t>
      </w:r>
      <w:r w:rsidR="00352462">
        <w:t xml:space="preserve">The borehole information and archaeological study suggest the ground is a make-up of clay, peat and made-ground with inert materials. If we aim to improve the adequacy of bearing stratum to support our structure, we need to assess the suitability of the ground conditions. A suggested method of remediation is often delivered through vibratory ground improvement techniques. NHBC (2023) provide an assessment tool identifying what soil compositions are not generally acceptable for treatment. </w:t>
      </w:r>
      <w:r w:rsidR="00DE6B5D">
        <w:t xml:space="preserve">Given the deduced ground </w:t>
      </w:r>
      <w:r w:rsidR="00DE6B5D">
        <w:lastRenderedPageBreak/>
        <w:t xml:space="preserve">composition, </w:t>
      </w:r>
      <w:r w:rsidR="008C58B4">
        <w:rPr>
          <w:noProof/>
          <w:lang w:eastAsia="en-GB"/>
        </w:rPr>
        <w:drawing>
          <wp:anchor distT="0" distB="0" distL="114300" distR="114300" simplePos="0" relativeHeight="251658240" behindDoc="1" locked="0" layoutInCell="1" allowOverlap="1">
            <wp:simplePos x="0" y="0"/>
            <wp:positionH relativeFrom="margin">
              <wp:align>right</wp:align>
            </wp:positionH>
            <wp:positionV relativeFrom="paragraph">
              <wp:posOffset>631190</wp:posOffset>
            </wp:positionV>
            <wp:extent cx="5731510" cy="2185035"/>
            <wp:effectExtent l="0" t="0" r="2540" b="5715"/>
            <wp:wrapTight wrapText="bothSides">
              <wp:wrapPolygon edited="0">
                <wp:start x="0" y="0"/>
                <wp:lineTo x="0" y="21468"/>
                <wp:lineTo x="21538" y="21468"/>
                <wp:lineTo x="21538" y="0"/>
                <wp:lineTo x="0" y="0"/>
              </wp:wrapPolygon>
            </wp:wrapTight>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5731510" cy="2185035"/>
                    </a:xfrm>
                    <a:prstGeom prst="rect">
                      <a:avLst/>
                    </a:prstGeom>
                  </pic:spPr>
                </pic:pic>
              </a:graphicData>
            </a:graphic>
            <wp14:sizeRelH relativeFrom="page">
              <wp14:pctWidth>0</wp14:pctWidth>
            </wp14:sizeRelH>
            <wp14:sizeRelV relativeFrom="page">
              <wp14:pctHeight>0</wp14:pctHeight>
            </wp14:sizeRelV>
          </wp:anchor>
        </w:drawing>
      </w:r>
      <w:r w:rsidR="00DE6B5D">
        <w:t>the clay content and peat layers are considered ground conditions unacceptable for treatment.</w:t>
      </w:r>
    </w:p>
    <w:p w:rsidR="008C58B4" w:rsidRDefault="008C58B4" w:rsidP="008C58B4">
      <w:pPr>
        <w:rPr>
          <w:b/>
        </w:rPr>
      </w:pPr>
    </w:p>
    <w:p w:rsidR="008C58B4" w:rsidRDefault="008C58B4" w:rsidP="008C58B4">
      <w:r>
        <w:t xml:space="preserve"> (NHBC, 2023)</w:t>
      </w:r>
    </w:p>
    <w:p w:rsidR="008C58B4" w:rsidRDefault="008C58B4" w:rsidP="008C58B4">
      <w:pPr>
        <w:rPr>
          <w:b/>
        </w:rPr>
      </w:pPr>
      <w:r w:rsidRPr="00790340">
        <w:rPr>
          <w:b/>
        </w:rPr>
        <w:t>Foundation Suitability</w:t>
      </w:r>
    </w:p>
    <w:p w:rsidR="00851032" w:rsidRDefault="000F62DA">
      <w:r>
        <w:t xml:space="preserve">Our substrata is suggested as clays and inert fill up to 2.8m </w:t>
      </w:r>
      <w:r w:rsidR="00655C68">
        <w:t xml:space="preserve">depth. </w:t>
      </w:r>
      <w:r w:rsidR="00DB63C1">
        <w:t xml:space="preserve">Given this information, we feel it best to acknowledge the LABC (2023) </w:t>
      </w:r>
      <w:r w:rsidR="00DB63C1" w:rsidRPr="00DB63C1">
        <w:rPr>
          <w:i/>
        </w:rPr>
        <w:t>‘Technical Manual’</w:t>
      </w:r>
      <w:r w:rsidR="00DB63C1" w:rsidRPr="00DB63C1">
        <w:t xml:space="preserve">. </w:t>
      </w:r>
      <w:r w:rsidR="00DB63C1">
        <w:t>Taking the likely effect of soil movement into account, t</w:t>
      </w:r>
      <w:r w:rsidR="00DB63C1" w:rsidRPr="00DB63C1">
        <w:t xml:space="preserve">he foundations </w:t>
      </w:r>
      <w:r w:rsidR="00DB63C1">
        <w:t>recommended to suit depths in excess of 2.5 or 3m are bored piles which have been adopted as part of this scheme.</w:t>
      </w:r>
      <w:r w:rsidR="00E46245">
        <w:t xml:space="preserve"> When considering the clay content of our soil composition, piles help to mitigate settlement of the structure.</w:t>
      </w:r>
      <w:r w:rsidR="00DB63C1">
        <w:t xml:space="preserve"> Further, </w:t>
      </w:r>
      <w:r w:rsidR="00177FC3">
        <w:t>this foundation construction method is proven to be the economical</w:t>
      </w:r>
      <w:r w:rsidR="00E46245">
        <w:t xml:space="preserve"> when designed efficiently in line with the superstructure</w:t>
      </w:r>
      <w:r w:rsidR="00DB63C1">
        <w:t xml:space="preserve"> (LABC, 2023). </w:t>
      </w:r>
      <w:r w:rsidR="008C58B4">
        <w:t xml:space="preserve">As detailed below through the Environmental Agency (2006), the peat deposits and groundwater to our site pose a threat to biodiversity in the area when installing </w:t>
      </w:r>
      <w:r w:rsidR="007B6B88">
        <w:t>foundations</w:t>
      </w:r>
      <w:r w:rsidR="008C58B4">
        <w:t xml:space="preserve">. Bored piles or continuous flight </w:t>
      </w:r>
      <w:r w:rsidR="007B6B88">
        <w:t>auger</w:t>
      </w:r>
      <w:bookmarkStart w:id="0" w:name="_GoBack"/>
      <w:bookmarkEnd w:id="0"/>
      <w:r w:rsidR="008C58B4">
        <w:t xml:space="preserve"> piles (CFA) provide less deformation and better sealed movement in the subsoil, which is why we have opted for such foundations.</w:t>
      </w:r>
    </w:p>
    <w:tbl>
      <w:tblPr>
        <w:tblW w:w="9800" w:type="dxa"/>
        <w:tblLook w:val="04A0" w:firstRow="1" w:lastRow="0" w:firstColumn="1" w:lastColumn="0" w:noHBand="0" w:noVBand="1"/>
      </w:tblPr>
      <w:tblGrid>
        <w:gridCol w:w="9800"/>
      </w:tblGrid>
      <w:tr w:rsidR="00C430C9" w:rsidRPr="00C430C9" w:rsidTr="00C430C9">
        <w:trPr>
          <w:trHeight w:val="288"/>
        </w:trPr>
        <w:tc>
          <w:tcPr>
            <w:tcW w:w="9800" w:type="dxa"/>
            <w:tcBorders>
              <w:top w:val="nil"/>
              <w:left w:val="nil"/>
              <w:bottom w:val="nil"/>
              <w:right w:val="nil"/>
            </w:tcBorders>
            <w:shd w:val="clear" w:color="000000" w:fill="C6E0B4"/>
            <w:noWrap/>
            <w:vAlign w:val="bottom"/>
            <w:hideMark/>
          </w:tcPr>
          <w:p w:rsidR="00C430C9" w:rsidRPr="00C430C9" w:rsidRDefault="00CB5166" w:rsidP="00C430C9">
            <w:pPr>
              <w:spacing w:after="0" w:line="240" w:lineRule="auto"/>
              <w:rPr>
                <w:rFonts w:ascii="Calibri" w:eastAsia="Times New Roman" w:hAnsi="Calibri" w:cs="Calibri"/>
                <w:b/>
                <w:bCs/>
                <w:color w:val="000000"/>
                <w:lang w:eastAsia="en-GB"/>
              </w:rPr>
            </w:pPr>
            <w:r w:rsidRPr="00C430C9">
              <w:rPr>
                <w:rFonts w:ascii="Calibri" w:eastAsia="Times New Roman" w:hAnsi="Calibri" w:cs="Calibri"/>
                <w:b/>
                <w:bCs/>
                <w:color w:val="000000"/>
                <w:lang w:eastAsia="en-GB"/>
              </w:rPr>
              <w:t xml:space="preserve">Environmental </w:t>
            </w:r>
            <w:r w:rsidR="00590AB2" w:rsidRPr="00C430C9">
              <w:rPr>
                <w:rFonts w:ascii="Calibri" w:eastAsia="Times New Roman" w:hAnsi="Calibri" w:cs="Calibri"/>
                <w:b/>
                <w:bCs/>
                <w:color w:val="000000"/>
                <w:lang w:eastAsia="en-GB"/>
              </w:rPr>
              <w:t>Disturbance</w:t>
            </w:r>
            <w:r w:rsidRPr="00C430C9">
              <w:rPr>
                <w:rFonts w:ascii="Calibri" w:eastAsia="Times New Roman" w:hAnsi="Calibri" w:cs="Calibri"/>
                <w:b/>
                <w:bCs/>
                <w:color w:val="000000"/>
                <w:lang w:eastAsia="en-GB"/>
              </w:rPr>
              <w:t xml:space="preserve"> - Ecology And Groundwater</w:t>
            </w:r>
          </w:p>
        </w:tc>
      </w:tr>
      <w:tr w:rsidR="00C430C9" w:rsidRPr="00C430C9" w:rsidTr="00C430C9">
        <w:trPr>
          <w:trHeight w:val="2016"/>
        </w:trPr>
        <w:tc>
          <w:tcPr>
            <w:tcW w:w="9800" w:type="dxa"/>
            <w:tcBorders>
              <w:top w:val="nil"/>
              <w:left w:val="nil"/>
              <w:bottom w:val="nil"/>
              <w:right w:val="nil"/>
            </w:tcBorders>
            <w:shd w:val="clear" w:color="000000" w:fill="E2EFDA"/>
            <w:vAlign w:val="bottom"/>
            <w:hideMark/>
          </w:tcPr>
          <w:p w:rsidR="00C430C9" w:rsidRPr="00C430C9" w:rsidRDefault="00790340" w:rsidP="00C430C9">
            <w:pPr>
              <w:spacing w:after="0" w:line="240" w:lineRule="auto"/>
              <w:rPr>
                <w:rFonts w:ascii="Calibri" w:eastAsia="Times New Roman" w:hAnsi="Calibri" w:cs="Calibri"/>
                <w:i/>
                <w:color w:val="000000"/>
                <w:lang w:eastAsia="en-GB"/>
              </w:rPr>
            </w:pPr>
            <w:r>
              <w:rPr>
                <w:rFonts w:ascii="Calibri" w:eastAsia="Times New Roman" w:hAnsi="Calibri" w:cs="Calibri"/>
                <w:i/>
                <w:color w:val="000000"/>
                <w:lang w:eastAsia="en-GB"/>
              </w:rPr>
              <w:t>“</w:t>
            </w:r>
            <w:r w:rsidR="00C430C9" w:rsidRPr="00C430C9">
              <w:rPr>
                <w:rFonts w:ascii="Calibri" w:eastAsia="Times New Roman" w:hAnsi="Calibri" w:cs="Calibri"/>
                <w:i/>
                <w:color w:val="000000"/>
                <w:lang w:eastAsia="en-GB"/>
              </w:rPr>
              <w:t>In redeveloping urban areas there is a need to provide adequate foundations for new buildings and</w:t>
            </w:r>
            <w:r w:rsidR="00C430C9" w:rsidRPr="00C430C9">
              <w:rPr>
                <w:rFonts w:ascii="Calibri" w:eastAsia="Times New Roman" w:hAnsi="Calibri" w:cs="Calibri"/>
                <w:i/>
                <w:color w:val="000000"/>
                <w:lang w:eastAsia="en-GB"/>
              </w:rPr>
              <w:br w:type="page"/>
              <w:t>structures, while at the same time preserving, as far as possible, sub-surface archaeological remains. It</w:t>
            </w:r>
            <w:r w:rsidR="00C430C9" w:rsidRPr="00C430C9">
              <w:rPr>
                <w:rFonts w:ascii="Calibri" w:eastAsia="Times New Roman" w:hAnsi="Calibri" w:cs="Calibri"/>
                <w:i/>
                <w:color w:val="000000"/>
                <w:lang w:eastAsia="en-GB"/>
              </w:rPr>
              <w:br w:type="page"/>
            </w:r>
            <w:r>
              <w:rPr>
                <w:rFonts w:ascii="Calibri" w:eastAsia="Times New Roman" w:hAnsi="Calibri" w:cs="Calibri"/>
                <w:i/>
                <w:color w:val="000000"/>
                <w:lang w:eastAsia="en-GB"/>
              </w:rPr>
              <w:t xml:space="preserve"> </w:t>
            </w:r>
            <w:r w:rsidR="00C430C9" w:rsidRPr="00C430C9">
              <w:rPr>
                <w:rFonts w:ascii="Calibri" w:eastAsia="Times New Roman" w:hAnsi="Calibri" w:cs="Calibri"/>
                <w:i/>
                <w:color w:val="000000"/>
                <w:lang w:eastAsia="en-GB"/>
              </w:rPr>
              <w:t>is also necessary to preserve groundwater resources. If new deep foundations are required and driven</w:t>
            </w:r>
            <w:r w:rsidR="00C430C9" w:rsidRPr="00C430C9">
              <w:rPr>
                <w:rFonts w:ascii="Calibri" w:eastAsia="Times New Roman" w:hAnsi="Calibri" w:cs="Calibri"/>
                <w:i/>
                <w:color w:val="000000"/>
                <w:lang w:eastAsia="en-GB"/>
              </w:rPr>
              <w:br w:type="page"/>
            </w:r>
            <w:r>
              <w:rPr>
                <w:rFonts w:ascii="Calibri" w:eastAsia="Times New Roman" w:hAnsi="Calibri" w:cs="Calibri"/>
                <w:i/>
                <w:color w:val="000000"/>
                <w:lang w:eastAsia="en-GB"/>
              </w:rPr>
              <w:t xml:space="preserve"> </w:t>
            </w:r>
            <w:r w:rsidR="00C430C9" w:rsidRPr="00C430C9">
              <w:rPr>
                <w:rFonts w:ascii="Calibri" w:eastAsia="Times New Roman" w:hAnsi="Calibri" w:cs="Calibri"/>
                <w:i/>
                <w:color w:val="000000"/>
                <w:lang w:eastAsia="en-GB"/>
              </w:rPr>
              <w:t>piles are installed, there is inevitably some disturbance to the ground whose effects must be evaluated.</w:t>
            </w:r>
            <w:r w:rsidR="00C430C9" w:rsidRPr="00C430C9">
              <w:rPr>
                <w:rFonts w:ascii="Calibri" w:eastAsia="Times New Roman" w:hAnsi="Calibri" w:cs="Calibri"/>
                <w:i/>
                <w:color w:val="000000"/>
                <w:lang w:eastAsia="en-GB"/>
              </w:rPr>
              <w:br w:type="page"/>
              <w:t>These include, firstly, the detrimental effect of deformations on the bu</w:t>
            </w:r>
            <w:r>
              <w:rPr>
                <w:rFonts w:ascii="Calibri" w:eastAsia="Times New Roman" w:hAnsi="Calibri" w:cs="Calibri"/>
                <w:i/>
                <w:color w:val="000000"/>
                <w:lang w:eastAsia="en-GB"/>
              </w:rPr>
              <w:t xml:space="preserve">ried archaeology and, secondly, </w:t>
            </w:r>
            <w:r w:rsidR="00C430C9" w:rsidRPr="00C430C9">
              <w:rPr>
                <w:rFonts w:ascii="Calibri" w:eastAsia="Times New Roman" w:hAnsi="Calibri" w:cs="Calibri"/>
                <w:i/>
                <w:color w:val="000000"/>
                <w:lang w:eastAsia="en-GB"/>
              </w:rPr>
              <w:t>the effect of deformations on the groundwater flow regime and the possible spreading of contamination,</w:t>
            </w:r>
            <w:r w:rsidR="00C430C9" w:rsidRPr="00C430C9">
              <w:rPr>
                <w:rFonts w:ascii="Calibri" w:eastAsia="Times New Roman" w:hAnsi="Calibri" w:cs="Calibri"/>
                <w:i/>
                <w:color w:val="000000"/>
                <w:lang w:eastAsia="en-GB"/>
              </w:rPr>
              <w:br w:type="page"/>
            </w:r>
            <w:r w:rsidR="00917AEE">
              <w:rPr>
                <w:rFonts w:ascii="Calibri" w:eastAsia="Times New Roman" w:hAnsi="Calibri" w:cs="Calibri"/>
                <w:i/>
                <w:color w:val="000000"/>
                <w:lang w:eastAsia="en-GB"/>
              </w:rPr>
              <w:t xml:space="preserve"> </w:t>
            </w:r>
            <w:r w:rsidR="00C430C9" w:rsidRPr="00C430C9">
              <w:rPr>
                <w:rFonts w:ascii="Calibri" w:eastAsia="Times New Roman" w:hAnsi="Calibri" w:cs="Calibri"/>
                <w:i/>
                <w:color w:val="000000"/>
                <w:lang w:eastAsia="en-GB"/>
              </w:rPr>
              <w:t>where this is present.</w:t>
            </w:r>
          </w:p>
        </w:tc>
      </w:tr>
      <w:tr w:rsidR="00C430C9" w:rsidRPr="00C430C9" w:rsidTr="00C430C9">
        <w:trPr>
          <w:trHeight w:val="288"/>
        </w:trPr>
        <w:tc>
          <w:tcPr>
            <w:tcW w:w="9800" w:type="dxa"/>
            <w:tcBorders>
              <w:top w:val="nil"/>
              <w:left w:val="nil"/>
              <w:bottom w:val="nil"/>
              <w:right w:val="nil"/>
            </w:tcBorders>
            <w:shd w:val="clear" w:color="000000" w:fill="E2EFDA"/>
            <w:noWrap/>
            <w:vAlign w:val="bottom"/>
            <w:hideMark/>
          </w:tcPr>
          <w:p w:rsidR="00C430C9" w:rsidRPr="00C430C9" w:rsidRDefault="00C430C9" w:rsidP="00C430C9">
            <w:pPr>
              <w:spacing w:after="0" w:line="240" w:lineRule="auto"/>
              <w:rPr>
                <w:rFonts w:ascii="Calibri" w:eastAsia="Times New Roman" w:hAnsi="Calibri" w:cs="Calibri"/>
                <w:i/>
                <w:color w:val="000000"/>
                <w:lang w:eastAsia="en-GB"/>
              </w:rPr>
            </w:pPr>
            <w:r w:rsidRPr="00C430C9">
              <w:rPr>
                <w:rFonts w:ascii="Calibri" w:eastAsia="Times New Roman" w:hAnsi="Calibri" w:cs="Calibri"/>
                <w:i/>
                <w:color w:val="000000"/>
                <w:lang w:eastAsia="en-GB"/>
              </w:rPr>
              <w:t> </w:t>
            </w:r>
          </w:p>
        </w:tc>
      </w:tr>
      <w:tr w:rsidR="00C430C9" w:rsidRPr="00C430C9" w:rsidTr="00C430C9">
        <w:trPr>
          <w:trHeight w:val="576"/>
        </w:trPr>
        <w:tc>
          <w:tcPr>
            <w:tcW w:w="9800" w:type="dxa"/>
            <w:tcBorders>
              <w:top w:val="nil"/>
              <w:left w:val="nil"/>
              <w:bottom w:val="nil"/>
              <w:right w:val="nil"/>
            </w:tcBorders>
            <w:shd w:val="clear" w:color="000000" w:fill="E2EFDA"/>
            <w:vAlign w:val="bottom"/>
            <w:hideMark/>
          </w:tcPr>
          <w:p w:rsidR="00C430C9" w:rsidRPr="00C430C9" w:rsidRDefault="00C430C9" w:rsidP="00C430C9">
            <w:pPr>
              <w:spacing w:after="0" w:line="240" w:lineRule="auto"/>
              <w:rPr>
                <w:rFonts w:ascii="Calibri" w:eastAsia="Times New Roman" w:hAnsi="Calibri" w:cs="Calibri"/>
                <w:i/>
                <w:color w:val="000000"/>
                <w:lang w:eastAsia="en-GB"/>
              </w:rPr>
            </w:pPr>
            <w:r w:rsidRPr="00C430C9">
              <w:rPr>
                <w:rFonts w:ascii="Calibri" w:eastAsia="Times New Roman" w:hAnsi="Calibri" w:cs="Calibri"/>
                <w:i/>
                <w:color w:val="000000"/>
                <w:lang w:eastAsia="en-GB"/>
              </w:rPr>
              <w:t>The models confirmed that well-constructed CFA piles</w:t>
            </w:r>
            <w:r w:rsidRPr="00C430C9">
              <w:rPr>
                <w:rFonts w:ascii="Calibri" w:eastAsia="Times New Roman" w:hAnsi="Calibri" w:cs="Calibri"/>
                <w:i/>
                <w:color w:val="000000"/>
                <w:lang w:eastAsia="en-GB"/>
              </w:rPr>
              <w:br/>
              <w:t>cause much smaller deformations of the surrounding soil than driven piles.</w:t>
            </w:r>
            <w:r w:rsidR="00790340">
              <w:rPr>
                <w:rFonts w:ascii="Calibri" w:eastAsia="Times New Roman" w:hAnsi="Calibri" w:cs="Calibri"/>
                <w:i/>
                <w:color w:val="000000"/>
                <w:lang w:eastAsia="en-GB"/>
              </w:rPr>
              <w:t>”</w:t>
            </w:r>
          </w:p>
        </w:tc>
      </w:tr>
      <w:tr w:rsidR="00C430C9" w:rsidRPr="00C430C9" w:rsidTr="00C430C9">
        <w:trPr>
          <w:trHeight w:val="288"/>
        </w:trPr>
        <w:tc>
          <w:tcPr>
            <w:tcW w:w="9800" w:type="dxa"/>
            <w:tcBorders>
              <w:top w:val="nil"/>
              <w:left w:val="nil"/>
              <w:bottom w:val="nil"/>
              <w:right w:val="nil"/>
            </w:tcBorders>
            <w:shd w:val="clear" w:color="000000" w:fill="E2EFDA"/>
            <w:noWrap/>
            <w:vAlign w:val="bottom"/>
            <w:hideMark/>
          </w:tcPr>
          <w:p w:rsidR="00C430C9" w:rsidRPr="00C430C9" w:rsidRDefault="00C430C9" w:rsidP="00C430C9">
            <w:pPr>
              <w:spacing w:after="0" w:line="240" w:lineRule="auto"/>
              <w:rPr>
                <w:rFonts w:ascii="Calibri" w:eastAsia="Times New Roman" w:hAnsi="Calibri" w:cs="Calibri"/>
                <w:color w:val="000000"/>
                <w:lang w:eastAsia="en-GB"/>
              </w:rPr>
            </w:pPr>
            <w:r w:rsidRPr="00C430C9">
              <w:rPr>
                <w:rFonts w:ascii="Calibri" w:eastAsia="Times New Roman" w:hAnsi="Calibri" w:cs="Calibri"/>
                <w:color w:val="000000"/>
                <w:lang w:eastAsia="en-GB"/>
              </w:rPr>
              <w:t>(Environmental Agency, 2006)</w:t>
            </w:r>
          </w:p>
        </w:tc>
      </w:tr>
    </w:tbl>
    <w:p w:rsidR="00C430C9" w:rsidRDefault="00C430C9"/>
    <w:p w:rsidR="005D71E2" w:rsidRDefault="005D71E2"/>
    <w:p w:rsidR="00342AA2" w:rsidRDefault="00342AA2"/>
    <w:p w:rsidR="005D71E2" w:rsidRDefault="005D71E2">
      <w:pPr>
        <w:rPr>
          <w:b/>
          <w:u w:val="single"/>
        </w:rPr>
      </w:pPr>
      <w:r w:rsidRPr="005D71E2">
        <w:rPr>
          <w:b/>
          <w:u w:val="single"/>
        </w:rPr>
        <w:lastRenderedPageBreak/>
        <w:t>References</w:t>
      </w:r>
    </w:p>
    <w:p w:rsidR="00907B44" w:rsidRDefault="00907B44" w:rsidP="00342AA2">
      <w:r w:rsidRPr="00342AA2">
        <w:t>Bowen, F. (2011)</w:t>
      </w:r>
      <w:r w:rsidRPr="00342AA2">
        <w:rPr>
          <w:i/>
        </w:rPr>
        <w:t xml:space="preserve"> </w:t>
      </w:r>
      <w:proofErr w:type="spellStart"/>
      <w:r w:rsidRPr="00342AA2">
        <w:rPr>
          <w:i/>
        </w:rPr>
        <w:t>Canolfan</w:t>
      </w:r>
      <w:proofErr w:type="spellEnd"/>
      <w:r w:rsidRPr="00342AA2">
        <w:rPr>
          <w:i/>
        </w:rPr>
        <w:t xml:space="preserve"> </w:t>
      </w:r>
      <w:proofErr w:type="spellStart"/>
      <w:r w:rsidRPr="00342AA2">
        <w:rPr>
          <w:i/>
        </w:rPr>
        <w:t>Glandwr</w:t>
      </w:r>
      <w:proofErr w:type="spellEnd"/>
      <w:r w:rsidRPr="00342AA2">
        <w:rPr>
          <w:i/>
        </w:rPr>
        <w:t>, Prince of Wales Dock, Swansea. Archaeological desk-based assessment</w:t>
      </w:r>
      <w:r>
        <w:t xml:space="preserve">. Available at: </w:t>
      </w:r>
      <w:r w:rsidRPr="00342AA2">
        <w:t>https://coflein.gov.uk/media/314/712/665374.pdf</w:t>
      </w:r>
    </w:p>
    <w:p w:rsidR="00907B44" w:rsidRDefault="00907B44" w:rsidP="00342AA2">
      <w:r>
        <w:t xml:space="preserve">Environmental Agency (2006) </w:t>
      </w:r>
      <w:r w:rsidRPr="00AC27C1">
        <w:rPr>
          <w:i/>
        </w:rPr>
        <w:t>Piling in layered ground: risks to groundwater and archaeology.</w:t>
      </w:r>
      <w:r>
        <w:t xml:space="preserve"> Available at: </w:t>
      </w:r>
      <w:r w:rsidRPr="00AC27C1">
        <w:t>https://assets.publishing.service.gov.uk/government/uploads/system/uploads/attachment_data/file/320701/scho0906bllt-e-e.pdf</w:t>
      </w:r>
    </w:p>
    <w:p w:rsidR="00907B44" w:rsidRDefault="00907B44" w:rsidP="00342AA2">
      <w:r>
        <w:t xml:space="preserve">LABC (2023) </w:t>
      </w:r>
      <w:r w:rsidRPr="00342AA2">
        <w:rPr>
          <w:i/>
        </w:rPr>
        <w:t>Technical Manual. Version 11</w:t>
      </w:r>
      <w:r>
        <w:t xml:space="preserve">. Available at: </w:t>
      </w:r>
      <w:r w:rsidRPr="00342AA2">
        <w:t>https://www.labcwarranty.co.uk/technical-manual-downloads</w:t>
      </w:r>
    </w:p>
    <w:p w:rsidR="00907B44" w:rsidRDefault="00907B44" w:rsidP="00342AA2">
      <w:r>
        <w:t xml:space="preserve">NHBC (2023) </w:t>
      </w:r>
      <w:r w:rsidRPr="00342AA2">
        <w:rPr>
          <w:i/>
        </w:rPr>
        <w:t>NHBC Standards. Effective from 1 January 2023.</w:t>
      </w:r>
      <w:r>
        <w:t xml:space="preserve"> Available at: </w:t>
      </w:r>
      <w:r w:rsidRPr="00342AA2">
        <w:t>https://nhbc-standards.co.uk/</w:t>
      </w:r>
    </w:p>
    <w:p w:rsidR="00342AA2" w:rsidRPr="00342AA2" w:rsidRDefault="00342AA2" w:rsidP="00342AA2"/>
    <w:sectPr w:rsidR="00342AA2" w:rsidRPr="00342AA2" w:rsidSect="00C11353">
      <w:head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7719B" w:rsidRDefault="00F7719B" w:rsidP="00C11353">
      <w:pPr>
        <w:spacing w:after="0" w:line="240" w:lineRule="auto"/>
      </w:pPr>
      <w:r>
        <w:separator/>
      </w:r>
    </w:p>
  </w:endnote>
  <w:endnote w:type="continuationSeparator" w:id="0">
    <w:p w:rsidR="00F7719B" w:rsidRDefault="00F7719B" w:rsidP="00C113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7719B" w:rsidRDefault="00F7719B" w:rsidP="00C11353">
      <w:pPr>
        <w:spacing w:after="0" w:line="240" w:lineRule="auto"/>
      </w:pPr>
      <w:r>
        <w:separator/>
      </w:r>
    </w:p>
  </w:footnote>
  <w:footnote w:type="continuationSeparator" w:id="0">
    <w:p w:rsidR="00F7719B" w:rsidRDefault="00F7719B" w:rsidP="00C113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11353" w:rsidRDefault="00C11353" w:rsidP="00C11353">
    <w:pPr>
      <w:pStyle w:val="Header"/>
      <w:jc w:val="right"/>
    </w:pPr>
    <w:r w:rsidRPr="00C11353">
      <w:rPr>
        <w:noProof/>
        <w:lang w:eastAsia="en-GB"/>
      </w:rPr>
      <w:drawing>
        <wp:inline distT="0" distB="0" distL="0" distR="0">
          <wp:extent cx="633645" cy="506797"/>
          <wp:effectExtent l="0" t="0" r="0" b="7620"/>
          <wp:docPr id="1" name="Picture 1" descr="C:\Users\tadamson\Downloads\icononl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tadamson\Downloads\icononly.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642050" cy="513520"/>
                  </a:xfrm>
                  <a:prstGeom prst="rect">
                    <a:avLst/>
                  </a:prstGeom>
                  <a:noFill/>
                  <a:ln>
                    <a:noFill/>
                  </a:ln>
                </pic:spPr>
              </pic:pic>
            </a:graphicData>
          </a:graphic>
        </wp:inline>
      </w:drawing>
    </w:r>
  </w:p>
  <w:p w:rsidR="00C11353" w:rsidRDefault="00C1135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430C9"/>
    <w:rsid w:val="000F62DA"/>
    <w:rsid w:val="00163140"/>
    <w:rsid w:val="00177FC3"/>
    <w:rsid w:val="001E4151"/>
    <w:rsid w:val="00321824"/>
    <w:rsid w:val="00342AA2"/>
    <w:rsid w:val="00352462"/>
    <w:rsid w:val="00422F1D"/>
    <w:rsid w:val="00484645"/>
    <w:rsid w:val="004A30C0"/>
    <w:rsid w:val="00590AB2"/>
    <w:rsid w:val="005D71E2"/>
    <w:rsid w:val="00655C68"/>
    <w:rsid w:val="00790340"/>
    <w:rsid w:val="007B6B88"/>
    <w:rsid w:val="00800F39"/>
    <w:rsid w:val="00851032"/>
    <w:rsid w:val="008B406C"/>
    <w:rsid w:val="008C58B4"/>
    <w:rsid w:val="008D065D"/>
    <w:rsid w:val="00907B44"/>
    <w:rsid w:val="00917AEE"/>
    <w:rsid w:val="00A4272E"/>
    <w:rsid w:val="00A46347"/>
    <w:rsid w:val="00B0772E"/>
    <w:rsid w:val="00C11353"/>
    <w:rsid w:val="00C430C9"/>
    <w:rsid w:val="00C549DE"/>
    <w:rsid w:val="00CA1382"/>
    <w:rsid w:val="00CB5166"/>
    <w:rsid w:val="00DB63C1"/>
    <w:rsid w:val="00DE6B5D"/>
    <w:rsid w:val="00E26164"/>
    <w:rsid w:val="00E46245"/>
    <w:rsid w:val="00F74E5B"/>
    <w:rsid w:val="00F771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51DDAE3-A967-4DD3-BCE7-854194BA32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00F3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0F39"/>
    <w:rPr>
      <w:rFonts w:asciiTheme="majorHAnsi" w:eastAsiaTheme="majorEastAsia" w:hAnsiTheme="majorHAnsi" w:cstheme="majorBidi"/>
      <w:color w:val="2E74B5" w:themeColor="accent1" w:themeShade="BF"/>
      <w:sz w:val="32"/>
      <w:szCs w:val="32"/>
    </w:rPr>
  </w:style>
  <w:style w:type="paragraph" w:styleId="NoSpacing">
    <w:name w:val="No Spacing"/>
    <w:uiPriority w:val="1"/>
    <w:qFormat/>
    <w:rsid w:val="000F62DA"/>
    <w:pPr>
      <w:spacing w:after="0" w:line="240" w:lineRule="auto"/>
    </w:pPr>
  </w:style>
  <w:style w:type="paragraph" w:styleId="EndnoteText">
    <w:name w:val="endnote text"/>
    <w:basedOn w:val="Normal"/>
    <w:link w:val="EndnoteTextChar"/>
    <w:uiPriority w:val="99"/>
    <w:semiHidden/>
    <w:unhideWhenUsed/>
    <w:rsid w:val="00C11353"/>
    <w:pPr>
      <w:spacing w:after="0" w:line="240" w:lineRule="auto"/>
    </w:pPr>
    <w:rPr>
      <w:sz w:val="20"/>
      <w:szCs w:val="20"/>
    </w:rPr>
  </w:style>
  <w:style w:type="character" w:customStyle="1" w:styleId="EndnoteTextChar">
    <w:name w:val="Endnote Text Char"/>
    <w:basedOn w:val="DefaultParagraphFont"/>
    <w:link w:val="EndnoteText"/>
    <w:uiPriority w:val="99"/>
    <w:semiHidden/>
    <w:rsid w:val="00C11353"/>
    <w:rPr>
      <w:sz w:val="20"/>
      <w:szCs w:val="20"/>
    </w:rPr>
  </w:style>
  <w:style w:type="character" w:styleId="EndnoteReference">
    <w:name w:val="endnote reference"/>
    <w:basedOn w:val="DefaultParagraphFont"/>
    <w:uiPriority w:val="99"/>
    <w:semiHidden/>
    <w:unhideWhenUsed/>
    <w:rsid w:val="00C11353"/>
    <w:rPr>
      <w:vertAlign w:val="superscript"/>
    </w:rPr>
  </w:style>
  <w:style w:type="paragraph" w:styleId="Header">
    <w:name w:val="header"/>
    <w:basedOn w:val="Normal"/>
    <w:link w:val="HeaderChar"/>
    <w:uiPriority w:val="99"/>
    <w:unhideWhenUsed/>
    <w:rsid w:val="00C113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1353"/>
  </w:style>
  <w:style w:type="paragraph" w:styleId="Footer">
    <w:name w:val="footer"/>
    <w:basedOn w:val="Normal"/>
    <w:link w:val="FooterChar"/>
    <w:uiPriority w:val="99"/>
    <w:unhideWhenUsed/>
    <w:rsid w:val="00C113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1353"/>
  </w:style>
  <w:style w:type="character" w:styleId="Hyperlink">
    <w:name w:val="Hyperlink"/>
    <w:basedOn w:val="DefaultParagraphFont"/>
    <w:uiPriority w:val="99"/>
    <w:unhideWhenUsed/>
    <w:rsid w:val="00342AA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5219959">
      <w:bodyDiv w:val="1"/>
      <w:marLeft w:val="0"/>
      <w:marRight w:val="0"/>
      <w:marTop w:val="0"/>
      <w:marBottom w:val="0"/>
      <w:divBdr>
        <w:top w:val="none" w:sz="0" w:space="0" w:color="auto"/>
        <w:left w:val="none" w:sz="0" w:space="0" w:color="auto"/>
        <w:bottom w:val="none" w:sz="0" w:space="0" w:color="auto"/>
        <w:right w:val="none" w:sz="0" w:space="0" w:color="auto"/>
      </w:divBdr>
    </w:div>
    <w:div w:id="1590189927">
      <w:bodyDiv w:val="1"/>
      <w:marLeft w:val="0"/>
      <w:marRight w:val="0"/>
      <w:marTop w:val="0"/>
      <w:marBottom w:val="0"/>
      <w:divBdr>
        <w:top w:val="none" w:sz="0" w:space="0" w:color="auto"/>
        <w:left w:val="none" w:sz="0" w:space="0" w:color="auto"/>
        <w:bottom w:val="none" w:sz="0" w:space="0" w:color="auto"/>
        <w:right w:val="none" w:sz="0" w:space="0" w:color="auto"/>
      </w:divBdr>
    </w:div>
    <w:div w:id="21429150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_rels/header1.xml.rels><?xml version="1.0" encoding="UTF-8" standalone="yes"?>
<Relationships xmlns="http://schemas.openxmlformats.org/package/2006/relationships"><Relationship Id="rId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6A0771-E1DA-494D-BF82-3C37416029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1512</TotalTime>
  <Pages>4</Pages>
  <Words>754</Words>
  <Characters>4304</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Persimmon Homes</Company>
  <LinksUpToDate>false</LinksUpToDate>
  <CharactersWithSpaces>5048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Tobias Adamson</dc:creator>
  <cp:keywords/>
  <dc:description/>
  <cp:lastModifiedBy>Tobias Adamson</cp:lastModifiedBy>
  <cp:revision>21</cp:revision>
  <dcterms:created xsi:type="dcterms:W3CDTF">2023-05-01T08:35:00Z</dcterms:created>
  <dcterms:modified xsi:type="dcterms:W3CDTF">2023-05-03T19:15:00Z</dcterms:modified>
</cp:coreProperties>
</file>