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665D" w:rsidRPr="00A2665D" w:rsidRDefault="00A2665D" w:rsidP="00A2665D">
      <w:pPr>
        <w:shd w:val="clear" w:color="auto" w:fill="FFFFFF"/>
        <w:spacing w:before="100" w:beforeAutospacing="1" w:after="100" w:afterAutospacing="1"/>
        <w:jc w:val="center"/>
        <w:rPr>
          <w:rFonts w:ascii="Open Sans" w:eastAsia="Times New Roman" w:hAnsi="Open Sans" w:cs="Open Sans"/>
          <w:color w:val="373A3C"/>
          <w:sz w:val="21"/>
          <w:szCs w:val="21"/>
        </w:rPr>
      </w:pPr>
      <w:r w:rsidRPr="00A2665D">
        <w:rPr>
          <w:rFonts w:ascii="Open Sans" w:eastAsia="Times New Roman" w:hAnsi="Open Sans" w:cs="Open Sans"/>
          <w:color w:val="373A3C"/>
          <w:sz w:val="21"/>
          <w:szCs w:val="21"/>
        </w:rPr>
        <w:t>Ritual and ceremony in palatial contexts</w:t>
      </w:r>
      <w:r>
        <w:rPr>
          <w:rFonts w:ascii="Open Sans" w:eastAsia="Times New Roman" w:hAnsi="Open Sans" w:cs="Open Sans"/>
          <w:color w:val="373A3C"/>
          <w:sz w:val="21"/>
          <w:szCs w:val="21"/>
        </w:rPr>
        <w:t>.</w:t>
      </w:r>
      <w:r>
        <w:rPr>
          <w:rFonts w:ascii="Open Sans" w:eastAsia="Times New Roman" w:hAnsi="Open Sans" w:cs="Open Sans"/>
          <w:color w:val="373A3C"/>
          <w:sz w:val="21"/>
          <w:szCs w:val="21"/>
        </w:rPr>
        <w:br/>
      </w:r>
      <w:r>
        <w:rPr>
          <w:rFonts w:ascii="Open Sans" w:eastAsia="Times New Roman" w:hAnsi="Open Sans" w:cs="Open Sans"/>
          <w:color w:val="373A3C"/>
          <w:sz w:val="21"/>
          <w:szCs w:val="21"/>
        </w:rPr>
        <w:br/>
      </w:r>
    </w:p>
    <w:p w:rsidR="00101C20" w:rsidRDefault="002873B0" w:rsidP="00A2665D">
      <w:pPr>
        <w:rPr>
          <w:sz w:val="20"/>
          <w:szCs w:val="20"/>
        </w:rPr>
      </w:pPr>
      <w:r>
        <w:rPr>
          <w:sz w:val="20"/>
          <w:szCs w:val="20"/>
        </w:rPr>
        <w:t>The purpose of this paper will to be to examine how archaeological theory is used to explore human action during Bronze Age Crete. The focus will be the “</w:t>
      </w:r>
      <w:r w:rsidR="009F1516">
        <w:rPr>
          <w:sz w:val="20"/>
          <w:szCs w:val="20"/>
        </w:rPr>
        <w:t>Palace-</w:t>
      </w:r>
      <w:r>
        <w:rPr>
          <w:sz w:val="20"/>
          <w:szCs w:val="20"/>
        </w:rPr>
        <w:t xml:space="preserve">Temple” of Knossos located on the island of Crete with an emphasis on the </w:t>
      </w:r>
      <w:r w:rsidR="00CC46A1">
        <w:rPr>
          <w:sz w:val="20"/>
          <w:szCs w:val="20"/>
        </w:rPr>
        <w:t>ritual and ceremony</w:t>
      </w:r>
      <w:r>
        <w:rPr>
          <w:sz w:val="20"/>
          <w:szCs w:val="20"/>
        </w:rPr>
        <w:t xml:space="preserve"> practices that occurred there. Through both the use of Social Theory Practice and Materiality it becomes possible to </w:t>
      </w:r>
      <w:r w:rsidR="00CC46A1">
        <w:rPr>
          <w:sz w:val="20"/>
          <w:szCs w:val="20"/>
        </w:rPr>
        <w:t>decipher</w:t>
      </w:r>
      <w:r w:rsidR="002332E2">
        <w:rPr>
          <w:sz w:val="20"/>
          <w:szCs w:val="20"/>
        </w:rPr>
        <w:t xml:space="preserve"> and perhaps even reconstruct Minoan rituals and ceremony within the palatial context.  The magnificent building that commands the </w:t>
      </w:r>
      <w:proofErr w:type="spellStart"/>
      <w:r w:rsidR="002332E2">
        <w:rPr>
          <w:sz w:val="20"/>
          <w:szCs w:val="20"/>
        </w:rPr>
        <w:t>Kephala</w:t>
      </w:r>
      <w:proofErr w:type="spellEnd"/>
      <w:r w:rsidR="002332E2">
        <w:rPr>
          <w:sz w:val="20"/>
          <w:szCs w:val="20"/>
        </w:rPr>
        <w:t xml:space="preserve"> hill, will be the case study of choice. This building was first named “the Palace” by Arthur Evans during 1899-1900 and has ever since remained central to the analysis of material</w:t>
      </w:r>
      <w:r w:rsidR="00CC46A1">
        <w:rPr>
          <w:sz w:val="20"/>
          <w:szCs w:val="20"/>
        </w:rPr>
        <w:t xml:space="preserve"> culture</w:t>
      </w:r>
      <w:r w:rsidR="002332E2">
        <w:rPr>
          <w:sz w:val="20"/>
          <w:szCs w:val="20"/>
        </w:rPr>
        <w:t xml:space="preserve"> of Knossos and</w:t>
      </w:r>
      <w:r w:rsidR="00CC46A1">
        <w:rPr>
          <w:sz w:val="20"/>
          <w:szCs w:val="20"/>
        </w:rPr>
        <w:t xml:space="preserve"> Bronze Age</w:t>
      </w:r>
      <w:r w:rsidR="002332E2">
        <w:rPr>
          <w:sz w:val="20"/>
          <w:szCs w:val="20"/>
        </w:rPr>
        <w:t xml:space="preserve"> Crete as a whole (Evans 1899-1900, </w:t>
      </w:r>
      <w:proofErr w:type="spellStart"/>
      <w:r w:rsidR="002332E2">
        <w:rPr>
          <w:sz w:val="20"/>
          <w:szCs w:val="20"/>
        </w:rPr>
        <w:t>Hatzaki</w:t>
      </w:r>
      <w:proofErr w:type="spellEnd"/>
      <w:r w:rsidR="002332E2">
        <w:rPr>
          <w:sz w:val="20"/>
          <w:szCs w:val="20"/>
        </w:rPr>
        <w:t xml:space="preserve"> 2009).</w:t>
      </w:r>
      <w:r w:rsidR="00CC46A1">
        <w:rPr>
          <w:sz w:val="20"/>
          <w:szCs w:val="20"/>
        </w:rPr>
        <w:t xml:space="preserve"> </w:t>
      </w:r>
      <w:r w:rsidR="00E30EAA">
        <w:rPr>
          <w:sz w:val="20"/>
          <w:szCs w:val="20"/>
        </w:rPr>
        <w:t>Evans work on this monumental complex undeniably has had a profound effect</w:t>
      </w:r>
      <w:r w:rsidR="00D44994">
        <w:rPr>
          <w:sz w:val="20"/>
          <w:szCs w:val="20"/>
        </w:rPr>
        <w:t xml:space="preserve"> on Minoan Archaeological thinking, to quote</w:t>
      </w:r>
      <w:r w:rsidR="000728EE">
        <w:rPr>
          <w:sz w:val="20"/>
          <w:szCs w:val="20"/>
        </w:rPr>
        <w:t xml:space="preserve"> </w:t>
      </w:r>
      <w:proofErr w:type="spellStart"/>
      <w:r w:rsidR="000728EE">
        <w:rPr>
          <w:sz w:val="20"/>
          <w:szCs w:val="20"/>
        </w:rPr>
        <w:t>Schoep</w:t>
      </w:r>
      <w:proofErr w:type="spellEnd"/>
      <w:r w:rsidR="000728EE">
        <w:rPr>
          <w:sz w:val="20"/>
          <w:szCs w:val="20"/>
        </w:rPr>
        <w:t xml:space="preserve"> ‘</w:t>
      </w:r>
      <w:r w:rsidR="000728EE" w:rsidRPr="000728EE">
        <w:rPr>
          <w:sz w:val="20"/>
          <w:szCs w:val="20"/>
        </w:rPr>
        <w:t>Evans’ Palace-Temple model remains profoundly influential, albeit with minor tweaks and shifts in emphasis, most notably an increased emphasis on the political and economic over the religious and ceremonial</w:t>
      </w:r>
      <w:r w:rsidR="000728EE">
        <w:rPr>
          <w:sz w:val="20"/>
          <w:szCs w:val="20"/>
        </w:rPr>
        <w:t>’</w:t>
      </w:r>
      <w:r w:rsidR="00200C3F">
        <w:rPr>
          <w:sz w:val="20"/>
          <w:szCs w:val="20"/>
        </w:rPr>
        <w:t xml:space="preserve"> (</w:t>
      </w:r>
      <w:proofErr w:type="spellStart"/>
      <w:r w:rsidR="00200C3F">
        <w:rPr>
          <w:sz w:val="20"/>
          <w:szCs w:val="20"/>
        </w:rPr>
        <w:t>Schoep</w:t>
      </w:r>
      <w:proofErr w:type="spellEnd"/>
      <w:r w:rsidR="00200C3F">
        <w:rPr>
          <w:sz w:val="20"/>
          <w:szCs w:val="20"/>
        </w:rPr>
        <w:t xml:space="preserve"> 2011</w:t>
      </w:r>
      <w:r w:rsidR="000728EE">
        <w:rPr>
          <w:sz w:val="20"/>
          <w:szCs w:val="20"/>
        </w:rPr>
        <w:t xml:space="preserve">). </w:t>
      </w:r>
      <w:r w:rsidR="00B90338">
        <w:rPr>
          <w:sz w:val="20"/>
          <w:szCs w:val="20"/>
        </w:rPr>
        <w:t xml:space="preserve"> It was Evan’s belief that Minoan secular and religious spheres within the palatial context were so closely intertwined they must be seen as inseparable, a line of thinking that has persisted throughout the last century (Adams)</w:t>
      </w:r>
      <w:r w:rsidR="00E84601">
        <w:rPr>
          <w:sz w:val="20"/>
          <w:szCs w:val="20"/>
        </w:rPr>
        <w:t>.</w:t>
      </w:r>
      <w:r w:rsidR="00B90338">
        <w:rPr>
          <w:sz w:val="20"/>
          <w:szCs w:val="20"/>
        </w:rPr>
        <w:t xml:space="preserve"> It is with the fairly recent application and development of post processual approaches that the “blurring” of the religious, social, economic, political and ritual spheres have begun to take place within Minoan archaeology</w:t>
      </w:r>
      <w:r w:rsidR="00E84601">
        <w:rPr>
          <w:sz w:val="20"/>
          <w:szCs w:val="20"/>
        </w:rPr>
        <w:t>; which is a step away from a functionalist and arguably biased approach to interpreting the role of ritual as a religious endeavor that simply existed to legitimize the position of the elite (Adams</w:t>
      </w:r>
      <w:r w:rsidR="002B256A">
        <w:rPr>
          <w:sz w:val="20"/>
          <w:szCs w:val="20"/>
        </w:rPr>
        <w:t xml:space="preserve"> 2004</w:t>
      </w:r>
      <w:r w:rsidR="00E84601">
        <w:rPr>
          <w:sz w:val="20"/>
          <w:szCs w:val="20"/>
        </w:rPr>
        <w:t xml:space="preserve">). There will be an attempt to highlight these two contrasting archaeological perspectives and their differences. </w:t>
      </w:r>
    </w:p>
    <w:p w:rsidR="009F1516" w:rsidRDefault="009F1516" w:rsidP="00A2665D">
      <w:pPr>
        <w:rPr>
          <w:sz w:val="20"/>
          <w:szCs w:val="20"/>
        </w:rPr>
      </w:pPr>
    </w:p>
    <w:p w:rsidR="00D40680" w:rsidRPr="00D40680" w:rsidRDefault="009F1516" w:rsidP="00D40680">
      <w:pPr>
        <w:ind w:left="567" w:right="567"/>
        <w:rPr>
          <w:sz w:val="20"/>
          <w:szCs w:val="20"/>
        </w:rPr>
      </w:pPr>
      <w:r>
        <w:rPr>
          <w:sz w:val="20"/>
          <w:szCs w:val="20"/>
        </w:rPr>
        <w:t>When considering how archaeological theor</w:t>
      </w:r>
      <w:r w:rsidR="00840848">
        <w:rPr>
          <w:sz w:val="20"/>
          <w:szCs w:val="20"/>
        </w:rPr>
        <w:t xml:space="preserve">etical perspectives can help archaeologists to interpret the Bronze Age East Mediterranean it is important to look back at the main schools of thought during the last century and how they have influenced academic literature and how it is still continuing to change or be adapted. During the 1960’s the New archaeology took a very functionalist approach towards the understanding of “things” which leads to an extremely </w:t>
      </w:r>
      <w:r w:rsidR="00B946D4">
        <w:rPr>
          <w:sz w:val="20"/>
          <w:szCs w:val="20"/>
        </w:rPr>
        <w:t xml:space="preserve">narrow </w:t>
      </w:r>
      <w:proofErr w:type="spellStart"/>
      <w:r w:rsidR="00B946D4">
        <w:rPr>
          <w:sz w:val="20"/>
          <w:szCs w:val="20"/>
        </w:rPr>
        <w:t>veiw</w:t>
      </w:r>
      <w:proofErr w:type="spellEnd"/>
      <w:r w:rsidR="00840848">
        <w:rPr>
          <w:sz w:val="20"/>
          <w:szCs w:val="20"/>
        </w:rPr>
        <w:t xml:space="preserve"> of them (</w:t>
      </w:r>
      <w:proofErr w:type="spellStart"/>
      <w:r w:rsidR="00840848">
        <w:rPr>
          <w:sz w:val="20"/>
          <w:szCs w:val="20"/>
        </w:rPr>
        <w:t>Stockhammer</w:t>
      </w:r>
      <w:proofErr w:type="spellEnd"/>
      <w:r w:rsidR="00200C3F">
        <w:rPr>
          <w:sz w:val="20"/>
          <w:szCs w:val="20"/>
        </w:rPr>
        <w:t xml:space="preserve"> 2012</w:t>
      </w:r>
      <w:r w:rsidR="00840848">
        <w:rPr>
          <w:sz w:val="20"/>
          <w:szCs w:val="20"/>
        </w:rPr>
        <w:t>). This essentially was th</w:t>
      </w:r>
      <w:r w:rsidR="00B946D4">
        <w:rPr>
          <w:sz w:val="20"/>
          <w:szCs w:val="20"/>
        </w:rPr>
        <w:t>e view that things (objects) were seen</w:t>
      </w:r>
      <w:r w:rsidR="00840848">
        <w:rPr>
          <w:sz w:val="20"/>
          <w:szCs w:val="20"/>
        </w:rPr>
        <w:t xml:space="preserve"> to be just a product of adaption to the environment, used as a way to survive. This meant that objects were seen as having their own specific function and existed to only serve that function exactly (</w:t>
      </w:r>
      <w:proofErr w:type="spellStart"/>
      <w:r w:rsidR="00840848">
        <w:rPr>
          <w:sz w:val="20"/>
          <w:szCs w:val="20"/>
        </w:rPr>
        <w:t>Stockhammer</w:t>
      </w:r>
      <w:proofErr w:type="spellEnd"/>
      <w:r w:rsidR="00200C3F">
        <w:rPr>
          <w:sz w:val="20"/>
          <w:szCs w:val="20"/>
        </w:rPr>
        <w:t xml:space="preserve"> 2012</w:t>
      </w:r>
      <w:r w:rsidR="00B946D4">
        <w:rPr>
          <w:sz w:val="20"/>
          <w:szCs w:val="20"/>
        </w:rPr>
        <w:t>).</w:t>
      </w:r>
      <w:bookmarkStart w:id="0" w:name="_GoBack"/>
      <w:bookmarkEnd w:id="0"/>
      <w:r w:rsidR="00B946D4">
        <w:rPr>
          <w:sz w:val="20"/>
          <w:szCs w:val="20"/>
        </w:rPr>
        <w:t xml:space="preserve"> There would be a focus on what objects such as ceramic vessels</w:t>
      </w:r>
      <w:r w:rsidR="00E56E07">
        <w:rPr>
          <w:sz w:val="20"/>
          <w:szCs w:val="20"/>
        </w:rPr>
        <w:t xml:space="preserve"> did practically – were they used for cooking or storage etc. The inherent problem with this functionalist approach as previously stated is that it’s extremely narrow in its view. Were these vessels used for religious or ritual purposes outside of just their basic function? Did they have higher meaning to the person that created them? Did they denote that person’s status within society? These are questions that allowed archaeologists to start searching for </w:t>
      </w:r>
      <w:r w:rsidR="008F3235">
        <w:rPr>
          <w:sz w:val="20"/>
          <w:szCs w:val="20"/>
        </w:rPr>
        <w:t>social meaning within differing styles of pottery decoration using both a combination of archaeological analyses combined with an ethno archaeological perspective (</w:t>
      </w:r>
      <w:proofErr w:type="spellStart"/>
      <w:r w:rsidR="008F3235">
        <w:rPr>
          <w:sz w:val="20"/>
          <w:szCs w:val="20"/>
        </w:rPr>
        <w:t>Stockhammer</w:t>
      </w:r>
      <w:proofErr w:type="spellEnd"/>
      <w:r w:rsidR="002662BC">
        <w:rPr>
          <w:sz w:val="20"/>
          <w:szCs w:val="20"/>
        </w:rPr>
        <w:t xml:space="preserve"> 2012</w:t>
      </w:r>
      <w:r w:rsidR="008F3235">
        <w:rPr>
          <w:sz w:val="20"/>
          <w:szCs w:val="20"/>
        </w:rPr>
        <w:t>)</w:t>
      </w:r>
      <w:r w:rsidR="00EC355E">
        <w:rPr>
          <w:sz w:val="20"/>
          <w:szCs w:val="20"/>
        </w:rPr>
        <w:t>.</w:t>
      </w:r>
      <w:r w:rsidR="00E56E07">
        <w:rPr>
          <w:sz w:val="20"/>
          <w:szCs w:val="20"/>
        </w:rPr>
        <w:t xml:space="preserve"> These are the questions that have been asked from the 1980’s onwards by post-processual archaeologists. This school of thought argues that there is a dialectic relationship between objects and things; going beyond the functionalistic approach that objects were just merely a means for ensuring survival (</w:t>
      </w:r>
      <w:proofErr w:type="spellStart"/>
      <w:r w:rsidR="00E56E07">
        <w:rPr>
          <w:sz w:val="20"/>
          <w:szCs w:val="20"/>
        </w:rPr>
        <w:t>Stockhammer</w:t>
      </w:r>
      <w:proofErr w:type="spellEnd"/>
      <w:r w:rsidR="002662BC">
        <w:rPr>
          <w:sz w:val="20"/>
          <w:szCs w:val="20"/>
        </w:rPr>
        <w:t xml:space="preserve"> 2012</w:t>
      </w:r>
      <w:r w:rsidR="00E56E07">
        <w:rPr>
          <w:sz w:val="20"/>
          <w:szCs w:val="20"/>
        </w:rPr>
        <w:t xml:space="preserve">). </w:t>
      </w:r>
      <w:r w:rsidR="00247799">
        <w:rPr>
          <w:sz w:val="20"/>
          <w:szCs w:val="20"/>
        </w:rPr>
        <w:t xml:space="preserve">Objects have a </w:t>
      </w:r>
      <w:r w:rsidR="00E617E0">
        <w:rPr>
          <w:sz w:val="20"/>
          <w:szCs w:val="20"/>
        </w:rPr>
        <w:t>plurality</w:t>
      </w:r>
      <w:r w:rsidR="00247799">
        <w:rPr>
          <w:sz w:val="20"/>
          <w:szCs w:val="20"/>
        </w:rPr>
        <w:t xml:space="preserve"> to them, this is what sets post processional archaeologists apart from functionalists, although some elements of functionalism remain. Both of these schools have had been approached in a multitude of ways to try and improve on them. Much has been contributed by to archaeological thought by French </w:t>
      </w:r>
      <w:r w:rsidR="00FF0E81">
        <w:rPr>
          <w:sz w:val="20"/>
          <w:szCs w:val="20"/>
        </w:rPr>
        <w:t>sociologists</w:t>
      </w:r>
      <w:r w:rsidR="00247799">
        <w:rPr>
          <w:sz w:val="20"/>
          <w:szCs w:val="20"/>
        </w:rPr>
        <w:t xml:space="preserve"> Pierre Bourdieu and Bruno </w:t>
      </w:r>
      <w:proofErr w:type="spellStart"/>
      <w:r w:rsidR="00247799">
        <w:rPr>
          <w:sz w:val="20"/>
          <w:szCs w:val="20"/>
        </w:rPr>
        <w:t>Latour</w:t>
      </w:r>
      <w:proofErr w:type="spellEnd"/>
      <w:r w:rsidR="00247799">
        <w:rPr>
          <w:sz w:val="20"/>
          <w:szCs w:val="20"/>
        </w:rPr>
        <w:t xml:space="preserve"> with the </w:t>
      </w:r>
      <w:r w:rsidR="00735AF2">
        <w:rPr>
          <w:sz w:val="20"/>
          <w:szCs w:val="20"/>
        </w:rPr>
        <w:t>concepts</w:t>
      </w:r>
      <w:r w:rsidR="00247799">
        <w:rPr>
          <w:sz w:val="20"/>
          <w:szCs w:val="20"/>
        </w:rPr>
        <w:t xml:space="preserve"> of </w:t>
      </w:r>
      <w:proofErr w:type="spellStart"/>
      <w:r w:rsidR="00247799">
        <w:rPr>
          <w:sz w:val="20"/>
          <w:szCs w:val="20"/>
        </w:rPr>
        <w:t>Latour’s</w:t>
      </w:r>
      <w:proofErr w:type="spellEnd"/>
      <w:r w:rsidR="00247799">
        <w:rPr>
          <w:sz w:val="20"/>
          <w:szCs w:val="20"/>
        </w:rPr>
        <w:t xml:space="preserve"> actor network theory (ANT) and Bourdieu’s habitus. </w:t>
      </w:r>
      <w:proofErr w:type="spellStart"/>
      <w:r w:rsidR="00247799">
        <w:rPr>
          <w:sz w:val="20"/>
          <w:szCs w:val="20"/>
        </w:rPr>
        <w:t>Latour’s</w:t>
      </w:r>
      <w:proofErr w:type="spellEnd"/>
      <w:r w:rsidR="00247799">
        <w:rPr>
          <w:sz w:val="20"/>
          <w:szCs w:val="20"/>
        </w:rPr>
        <w:t xml:space="preserve"> ANT argues that ‘the</w:t>
      </w:r>
      <w:r w:rsidR="00247799" w:rsidRPr="00247799">
        <w:rPr>
          <w:sz w:val="20"/>
          <w:szCs w:val="20"/>
        </w:rPr>
        <w:t xml:space="preserve"> relationship between humans, technologies, and things can only be understood when agency is not only restricted to humans, but also applied to non-human actors. Technologies and objects are not only shaped b</w:t>
      </w:r>
      <w:r w:rsidR="00247799">
        <w:rPr>
          <w:sz w:val="20"/>
          <w:szCs w:val="20"/>
        </w:rPr>
        <w:t>y humans, but also shape humans’ (</w:t>
      </w:r>
      <w:proofErr w:type="spellStart"/>
      <w:r w:rsidR="00247799">
        <w:rPr>
          <w:sz w:val="20"/>
          <w:szCs w:val="20"/>
        </w:rPr>
        <w:t>Stockhammer</w:t>
      </w:r>
      <w:proofErr w:type="spellEnd"/>
      <w:r w:rsidR="00200C3F">
        <w:rPr>
          <w:sz w:val="20"/>
          <w:szCs w:val="20"/>
        </w:rPr>
        <w:t xml:space="preserve"> 2012</w:t>
      </w:r>
      <w:r w:rsidR="00247799">
        <w:rPr>
          <w:sz w:val="20"/>
          <w:szCs w:val="20"/>
        </w:rPr>
        <w:t xml:space="preserve">). </w:t>
      </w:r>
      <w:r w:rsidR="00735AF2">
        <w:rPr>
          <w:sz w:val="20"/>
          <w:szCs w:val="20"/>
        </w:rPr>
        <w:t xml:space="preserve">Bourdieu’s concept of Habitus considers that people in fact know how to go about their everyday lives, they think, act and perceive without considering how or why. In practice this means that archaeologists should pay close attention to everyday routines and practices. </w:t>
      </w:r>
      <w:proofErr w:type="spellStart"/>
      <w:r w:rsidR="007A5A76">
        <w:rPr>
          <w:sz w:val="20"/>
          <w:szCs w:val="20"/>
        </w:rPr>
        <w:t>Stockhammer</w:t>
      </w:r>
      <w:proofErr w:type="spellEnd"/>
      <w:r w:rsidR="007A5A76">
        <w:rPr>
          <w:sz w:val="20"/>
          <w:szCs w:val="20"/>
        </w:rPr>
        <w:t xml:space="preserve"> comments on this thusly “</w:t>
      </w:r>
      <w:r w:rsidR="007A5A76" w:rsidRPr="007A5A76">
        <w:rPr>
          <w:sz w:val="20"/>
          <w:szCs w:val="20"/>
        </w:rPr>
        <w:t xml:space="preserve">Bourdieu’s (1987) concept of habitus is based on the notion </w:t>
      </w:r>
      <w:r w:rsidR="007A5A76" w:rsidRPr="007A5A76">
        <w:rPr>
          <w:sz w:val="20"/>
          <w:szCs w:val="20"/>
        </w:rPr>
        <w:lastRenderedPageBreak/>
        <w:t>that, to a large extent, our practices with things are governed by unconscious internalization of collective dispositions. Therefore, humans act in a way that is specific to their social background, often without being aware of this and without acknowledging the important influence of their material surroundings on them. These material surroundings shape the habitus, where things are integrated within social practices</w:t>
      </w:r>
      <w:r w:rsidR="007B3277">
        <w:rPr>
          <w:sz w:val="20"/>
          <w:szCs w:val="20"/>
        </w:rPr>
        <w:t>”</w:t>
      </w:r>
      <w:r w:rsidR="007A5A76">
        <w:rPr>
          <w:sz w:val="20"/>
          <w:szCs w:val="20"/>
        </w:rPr>
        <w:t xml:space="preserve"> (</w:t>
      </w:r>
      <w:proofErr w:type="spellStart"/>
      <w:r w:rsidR="007A5A76">
        <w:rPr>
          <w:sz w:val="20"/>
          <w:szCs w:val="20"/>
        </w:rPr>
        <w:t>Stockhammer</w:t>
      </w:r>
      <w:proofErr w:type="spellEnd"/>
      <w:r w:rsidR="007B3277">
        <w:rPr>
          <w:sz w:val="20"/>
          <w:szCs w:val="20"/>
        </w:rPr>
        <w:t xml:space="preserve"> 2012</w:t>
      </w:r>
      <w:r w:rsidR="007A5A76">
        <w:rPr>
          <w:sz w:val="20"/>
          <w:szCs w:val="20"/>
        </w:rPr>
        <w:t xml:space="preserve">). </w:t>
      </w:r>
      <w:r w:rsidR="00735AF2">
        <w:rPr>
          <w:sz w:val="20"/>
          <w:szCs w:val="20"/>
        </w:rPr>
        <w:t>This would seem especially pertinent when examining ritual and ceremony in a palatial context</w:t>
      </w:r>
      <w:r w:rsidR="00D40680">
        <w:rPr>
          <w:sz w:val="20"/>
          <w:szCs w:val="20"/>
        </w:rPr>
        <w:t xml:space="preserve">. In </w:t>
      </w:r>
      <w:proofErr w:type="spellStart"/>
      <w:r w:rsidR="00D40680">
        <w:rPr>
          <w:sz w:val="20"/>
          <w:szCs w:val="20"/>
        </w:rPr>
        <w:t>Stockhammer’s</w:t>
      </w:r>
      <w:proofErr w:type="spellEnd"/>
      <w:r w:rsidR="00D40680">
        <w:rPr>
          <w:sz w:val="20"/>
          <w:szCs w:val="20"/>
        </w:rPr>
        <w:t xml:space="preserve"> article for Transcultural Studies </w:t>
      </w:r>
      <w:r w:rsidR="00D40680" w:rsidRPr="00D40680">
        <w:rPr>
          <w:i/>
          <w:sz w:val="20"/>
          <w:szCs w:val="20"/>
        </w:rPr>
        <w:t>Performing the Practice Turn in Archaeology</w:t>
      </w:r>
      <w:r w:rsidR="00D40680">
        <w:rPr>
          <w:i/>
          <w:sz w:val="20"/>
          <w:szCs w:val="20"/>
        </w:rPr>
        <w:t xml:space="preserve"> </w:t>
      </w:r>
      <w:r w:rsidR="00D40680">
        <w:rPr>
          <w:sz w:val="20"/>
          <w:szCs w:val="20"/>
        </w:rPr>
        <w:t>he makes a bold attempt to combine both ANT and Habitus to form a new methodological approach to studying the Eastern Mediterranean Bronze Age. In his concluding thoughts he succinctly sums up the theoretical perspective behind his approach which may be useful for studying ritual and ceremony in Palatial contexts:</w:t>
      </w:r>
    </w:p>
    <w:p w:rsidR="00D40680" w:rsidRDefault="00D40680" w:rsidP="00D40680">
      <w:pPr>
        <w:ind w:left="567" w:right="567"/>
        <w:rPr>
          <w:sz w:val="20"/>
          <w:szCs w:val="20"/>
        </w:rPr>
      </w:pPr>
    </w:p>
    <w:p w:rsidR="003A32E2" w:rsidRDefault="00D40680" w:rsidP="00D40680">
      <w:pPr>
        <w:ind w:left="567" w:right="567"/>
        <w:jc w:val="center"/>
        <w:rPr>
          <w:sz w:val="20"/>
          <w:szCs w:val="20"/>
        </w:rPr>
      </w:pPr>
      <w:r>
        <w:rPr>
          <w:sz w:val="20"/>
          <w:szCs w:val="20"/>
        </w:rPr>
        <w:t>“T</w:t>
      </w:r>
      <w:r w:rsidRPr="00D40680">
        <w:rPr>
          <w:sz w:val="20"/>
          <w:szCs w:val="20"/>
        </w:rPr>
        <w:t>hings shape our social practices and, thus, ultimately also our wor</w:t>
      </w:r>
      <w:r>
        <w:rPr>
          <w:sz w:val="20"/>
          <w:szCs w:val="20"/>
        </w:rPr>
        <w:t>l</w:t>
      </w:r>
      <w:r w:rsidRPr="00D40680">
        <w:rPr>
          <w:sz w:val="20"/>
          <w:szCs w:val="20"/>
        </w:rPr>
        <w:t>d views that are generated when acting with things. Things are neither stable nor static, even if this is supposed by their thingness at first sight. They change their shape, their functions, and their meanings in their biographies of usage. Such processes of transformation become particularly obvious, when humans appropriate foreign or new objects and integrate them into their social practices. At first, things remain unchanged, but they change humans, their practices, their life worlds, and ultimately their world views, as thos</w:t>
      </w:r>
      <w:r>
        <w:rPr>
          <w:sz w:val="20"/>
          <w:szCs w:val="20"/>
        </w:rPr>
        <w:t>e are always views on the world” (</w:t>
      </w:r>
      <w:proofErr w:type="spellStart"/>
      <w:r>
        <w:rPr>
          <w:sz w:val="20"/>
          <w:szCs w:val="20"/>
        </w:rPr>
        <w:t>Stockhammer</w:t>
      </w:r>
      <w:proofErr w:type="spellEnd"/>
      <w:r>
        <w:rPr>
          <w:sz w:val="20"/>
          <w:szCs w:val="20"/>
        </w:rPr>
        <w:t xml:space="preserve"> 2012)</w:t>
      </w:r>
    </w:p>
    <w:p w:rsidR="00D40680" w:rsidRDefault="00D40680" w:rsidP="00D40680">
      <w:pPr>
        <w:ind w:left="567" w:right="567"/>
        <w:jc w:val="center"/>
        <w:rPr>
          <w:sz w:val="20"/>
          <w:szCs w:val="20"/>
        </w:rPr>
      </w:pPr>
    </w:p>
    <w:p w:rsidR="00D40680" w:rsidRDefault="00D40680" w:rsidP="002B3ACE">
      <w:pPr>
        <w:rPr>
          <w:sz w:val="20"/>
          <w:szCs w:val="20"/>
        </w:rPr>
      </w:pPr>
      <w:r>
        <w:rPr>
          <w:sz w:val="20"/>
          <w:szCs w:val="20"/>
        </w:rPr>
        <w:t>With this in mi</w:t>
      </w:r>
      <w:r w:rsidR="00341C54">
        <w:rPr>
          <w:sz w:val="20"/>
          <w:szCs w:val="20"/>
        </w:rPr>
        <w:t>nd the modern archaeologist may have perhaps, a fuller understanding of archaeological objects and the relationship between them and their human actors. Tristan Carter makes a compelling argument that craft was</w:t>
      </w:r>
      <w:r w:rsidR="00E95A36">
        <w:rPr>
          <w:sz w:val="20"/>
          <w:szCs w:val="20"/>
        </w:rPr>
        <w:t xml:space="preserve"> in some instances</w:t>
      </w:r>
      <w:r w:rsidR="00341C54">
        <w:rPr>
          <w:sz w:val="20"/>
          <w:szCs w:val="20"/>
        </w:rPr>
        <w:t xml:space="preserve"> a ritual action, specifically in the Throne Room area of the palace. </w:t>
      </w:r>
      <w:r w:rsidR="00341C54" w:rsidRPr="00FD3C38">
        <w:rPr>
          <w:sz w:val="20"/>
          <w:szCs w:val="20"/>
        </w:rPr>
        <w:t>His paper</w:t>
      </w:r>
      <w:r w:rsidR="00341C54" w:rsidRPr="00FD3C38">
        <w:rPr>
          <w:i/>
          <w:sz w:val="20"/>
          <w:szCs w:val="20"/>
        </w:rPr>
        <w:t xml:space="preserve"> </w:t>
      </w:r>
      <w:r w:rsidR="00FD3C38" w:rsidRPr="00FD3C38">
        <w:rPr>
          <w:i/>
          <w:sz w:val="20"/>
          <w:szCs w:val="20"/>
        </w:rPr>
        <w:t>Transformative processes in liminal spaces: craft as ritual action in the Throne Room area</w:t>
      </w:r>
      <w:r w:rsidR="00FD3C38">
        <w:rPr>
          <w:i/>
          <w:sz w:val="20"/>
          <w:szCs w:val="20"/>
        </w:rPr>
        <w:t xml:space="preserve"> </w:t>
      </w:r>
      <w:r w:rsidR="00FD3C38">
        <w:rPr>
          <w:sz w:val="20"/>
          <w:szCs w:val="20"/>
        </w:rPr>
        <w:t>discusses a deposit of obsidian found in a group of rooms to the west and north of the Throne Room at Knossos that was excavated during 1987, coming from Room 46a and to a lesser extent Room 46b. Discovered here were some of the finest blades yet discovered in Minoan Crete. He postulates that the obsid</w:t>
      </w:r>
      <w:r w:rsidR="00772555">
        <w:rPr>
          <w:sz w:val="20"/>
          <w:szCs w:val="20"/>
        </w:rPr>
        <w:t>ian discovered in these rooms were</w:t>
      </w:r>
      <w:r w:rsidR="00FD3C38">
        <w:rPr>
          <w:sz w:val="20"/>
          <w:szCs w:val="20"/>
        </w:rPr>
        <w:t xml:space="preserve"> in fact deposited deliberately into a foundation fill, not long after the materials manufacture and use (Carter). He notes </w:t>
      </w:r>
      <w:r w:rsidR="00A370C6">
        <w:rPr>
          <w:sz w:val="20"/>
          <w:szCs w:val="20"/>
        </w:rPr>
        <w:t>“</w:t>
      </w:r>
      <w:r w:rsidR="00FD3C38" w:rsidRPr="00FD3C38">
        <w:rPr>
          <w:sz w:val="20"/>
          <w:szCs w:val="20"/>
        </w:rPr>
        <w:t>While specialized craft working</w:t>
      </w:r>
      <w:r w:rsidR="00FD3C38">
        <w:rPr>
          <w:sz w:val="20"/>
          <w:szCs w:val="20"/>
        </w:rPr>
        <w:t xml:space="preserve"> has al</w:t>
      </w:r>
      <w:r w:rsidR="00FD3C38" w:rsidRPr="00FD3C38">
        <w:rPr>
          <w:sz w:val="20"/>
          <w:szCs w:val="20"/>
        </w:rPr>
        <w:t>ways been associated wi</w:t>
      </w:r>
      <w:r w:rsidR="00FD3C38">
        <w:rPr>
          <w:sz w:val="20"/>
          <w:szCs w:val="20"/>
        </w:rPr>
        <w:t>th the Palace, this one-off per</w:t>
      </w:r>
      <w:r w:rsidR="00FD3C38" w:rsidRPr="00FD3C38">
        <w:rPr>
          <w:sz w:val="20"/>
          <w:szCs w:val="20"/>
        </w:rPr>
        <w:t>formance of a highly s</w:t>
      </w:r>
      <w:r w:rsidR="00FD3C38">
        <w:rPr>
          <w:sz w:val="20"/>
          <w:szCs w:val="20"/>
        </w:rPr>
        <w:t>killed technique, in such a sig</w:t>
      </w:r>
      <w:r w:rsidR="00FD3C38" w:rsidRPr="00FD3C38">
        <w:rPr>
          <w:sz w:val="20"/>
          <w:szCs w:val="20"/>
        </w:rPr>
        <w:t>nificant context, represents a quite different affair, where the act of production seems to have been as much a part of the event as was the use of its product</w:t>
      </w:r>
      <w:r w:rsidR="00A370C6">
        <w:rPr>
          <w:sz w:val="20"/>
          <w:szCs w:val="20"/>
        </w:rPr>
        <w:t>” (Carter). A total of 239 pieces of obsidian were recovered from these rooms with the whole collection being almost entirely comprised of “fine, pressure flaked prismatic blades” (Carter) with Carter stating “</w:t>
      </w:r>
      <w:r w:rsidR="00A370C6" w:rsidRPr="00A370C6">
        <w:rPr>
          <w:sz w:val="20"/>
          <w:szCs w:val="20"/>
        </w:rPr>
        <w:t>This material is undoubtedly the finest that the author has seen in C</w:t>
      </w:r>
      <w:r w:rsidR="00A370C6">
        <w:rPr>
          <w:sz w:val="20"/>
          <w:szCs w:val="20"/>
        </w:rPr>
        <w:t xml:space="preserve">rete” (Carter). Because of the similarities in form and size and that a number appear to join together, the argument has been made that these blades are related and were most likely made in the same room (Carter). What is most interesting about this, and what gives Carter’s theory credit is the fact that only between 5% and 10% </w:t>
      </w:r>
      <w:r w:rsidR="009C2F69">
        <w:rPr>
          <w:sz w:val="20"/>
          <w:szCs w:val="20"/>
        </w:rPr>
        <w:t xml:space="preserve">of the blades bear any trace of use at all which shows that most of the material had been buried </w:t>
      </w:r>
      <w:r w:rsidR="00E95A36">
        <w:rPr>
          <w:sz w:val="20"/>
          <w:szCs w:val="20"/>
        </w:rPr>
        <w:t>in the p</w:t>
      </w:r>
      <w:r w:rsidR="009C2F69">
        <w:rPr>
          <w:sz w:val="20"/>
          <w:szCs w:val="20"/>
        </w:rPr>
        <w:t xml:space="preserve">it new and unused (Carter). </w:t>
      </w:r>
      <w:r w:rsidR="00772555">
        <w:rPr>
          <w:sz w:val="20"/>
          <w:szCs w:val="20"/>
        </w:rPr>
        <w:t>There is evidence that indicates that the throne room area at this time was undergoing what was to be its final remodeling</w:t>
      </w:r>
      <w:r w:rsidR="00A370C6">
        <w:rPr>
          <w:sz w:val="20"/>
          <w:szCs w:val="20"/>
        </w:rPr>
        <w:t xml:space="preserve"> </w:t>
      </w:r>
      <w:r w:rsidR="00772555">
        <w:rPr>
          <w:sz w:val="20"/>
          <w:szCs w:val="20"/>
        </w:rPr>
        <w:t xml:space="preserve">and these Obsidian blades were an important part of it. From Carter’s observations it would appear that during this remodeling that some form of ceremony or ritual took place associated with the filling of the pit (Carter) There is strong evidence that two pre-prepared obsidian cores were brought into the room (46a) and were then worked by one or perhaps more </w:t>
      </w:r>
      <w:proofErr w:type="spellStart"/>
      <w:r w:rsidR="00772555">
        <w:rPr>
          <w:sz w:val="20"/>
          <w:szCs w:val="20"/>
        </w:rPr>
        <w:t>knappers</w:t>
      </w:r>
      <w:proofErr w:type="spellEnd"/>
      <w:r w:rsidR="00772555">
        <w:rPr>
          <w:sz w:val="20"/>
          <w:szCs w:val="20"/>
        </w:rPr>
        <w:t xml:space="preserve"> to manufacture over 100 blades. Between 5 to 10 of these were then </w:t>
      </w:r>
      <w:r w:rsidR="000A18FA">
        <w:rPr>
          <w:sz w:val="20"/>
          <w:szCs w:val="20"/>
        </w:rPr>
        <w:t>used to immediately to cut something before being deposited in the pit along with the rest of the unused blades before being sealed by a new floor and cross-wall that sub-divided the room (Carter) The fact that the blades were made in the room they were deposited in, rather than being brought in already pre-made would suggest that the depositing of the blades was only one facet of the ceremony. It was the creation, the act of manufacture that also had a profound significance. Carter describes this as the “</w:t>
      </w:r>
      <w:r w:rsidR="000A18FA" w:rsidRPr="000A18FA">
        <w:rPr>
          <w:sz w:val="20"/>
          <w:szCs w:val="20"/>
        </w:rPr>
        <w:t>the notion of technology as performan</w:t>
      </w:r>
      <w:r w:rsidR="000A18FA">
        <w:rPr>
          <w:sz w:val="20"/>
          <w:szCs w:val="20"/>
        </w:rPr>
        <w:t xml:space="preserve">ce” (Carter). Suggesting that due to the proximity of Room 46a and the nature of the technical skill and knowledge </w:t>
      </w:r>
      <w:r w:rsidR="002B3ACE">
        <w:rPr>
          <w:sz w:val="20"/>
          <w:szCs w:val="20"/>
        </w:rPr>
        <w:t>required for the creation of the high quality blades, that this was a highly significant act: died, sug</w:t>
      </w:r>
      <w:r w:rsidR="002B3ACE" w:rsidRPr="002B3ACE">
        <w:rPr>
          <w:sz w:val="20"/>
          <w:szCs w:val="20"/>
        </w:rPr>
        <w:t xml:space="preserve">gesting that this was a far from insignificant act. The ceremony encapsulated conspicuous production, as much as conspicuous consumption, and it is far from coincidental that the </w:t>
      </w:r>
      <w:r w:rsidR="002B3ACE">
        <w:rPr>
          <w:sz w:val="20"/>
          <w:szCs w:val="20"/>
        </w:rPr>
        <w:t>performance of such a hyper-spe</w:t>
      </w:r>
      <w:r w:rsidR="002B3ACE" w:rsidRPr="002B3ACE">
        <w:rPr>
          <w:sz w:val="20"/>
          <w:szCs w:val="20"/>
        </w:rPr>
        <w:t>cialized craft should have occurred in a space so close to the Throne Room</w:t>
      </w:r>
      <w:r w:rsidR="002B3ACE">
        <w:rPr>
          <w:sz w:val="20"/>
          <w:szCs w:val="20"/>
        </w:rPr>
        <w:t>”</w:t>
      </w:r>
      <w:r w:rsidR="00DC0109">
        <w:rPr>
          <w:sz w:val="20"/>
          <w:szCs w:val="20"/>
        </w:rPr>
        <w:t xml:space="preserve"> (Carter). </w:t>
      </w:r>
    </w:p>
    <w:p w:rsidR="00DC0109" w:rsidRDefault="00DC0109" w:rsidP="002B3ACE">
      <w:pPr>
        <w:rPr>
          <w:sz w:val="20"/>
          <w:szCs w:val="20"/>
        </w:rPr>
      </w:pPr>
    </w:p>
    <w:p w:rsidR="00DC0109" w:rsidRPr="00C60F76" w:rsidRDefault="00DC0109" w:rsidP="00C31B3B">
      <w:pPr>
        <w:rPr>
          <w:sz w:val="20"/>
          <w:szCs w:val="20"/>
        </w:rPr>
      </w:pPr>
      <w:r>
        <w:rPr>
          <w:sz w:val="20"/>
          <w:szCs w:val="20"/>
        </w:rPr>
        <w:lastRenderedPageBreak/>
        <w:t xml:space="preserve">What is important here are the interpretations that can be made by adopting one theoretical perspective or another. The functional approach would argue that the working and use of obsidian was a banal phenomenon and served purely functional tasks such as preparing food or other economic activities. They served no higher purpose, the just existed to serve the exact purpose for which they were created.  There is no greater meaning or ritual involved for the human agents that created and made use of them. On the other hand, </w:t>
      </w:r>
      <w:r w:rsidR="00C31B3B">
        <w:rPr>
          <w:sz w:val="20"/>
          <w:szCs w:val="20"/>
        </w:rPr>
        <w:t>the post processual archaeology allows the plurality of an object to become evident. How were these blades created? Was there greater meaning to the craftsman or the participants involved for the crafting and subsequent deposition? Did the consumption of obsidian in this case constitute elements of ritual or ceremonial behavior?</w:t>
      </w:r>
      <w:r w:rsidR="00C31B3B">
        <w:rPr>
          <w:sz w:val="20"/>
          <w:szCs w:val="20"/>
        </w:rPr>
        <w:br/>
      </w:r>
      <w:r w:rsidR="00C31B3B">
        <w:rPr>
          <w:sz w:val="20"/>
          <w:szCs w:val="20"/>
        </w:rPr>
        <w:br/>
        <w:t xml:space="preserve">Elena </w:t>
      </w:r>
      <w:proofErr w:type="spellStart"/>
      <w:r w:rsidR="00C31B3B">
        <w:rPr>
          <w:sz w:val="20"/>
          <w:szCs w:val="20"/>
        </w:rPr>
        <w:t>Hatzaki</w:t>
      </w:r>
      <w:proofErr w:type="spellEnd"/>
      <w:r w:rsidR="00C31B3B">
        <w:rPr>
          <w:sz w:val="20"/>
          <w:szCs w:val="20"/>
        </w:rPr>
        <w:t xml:space="preserve"> adds to what </w:t>
      </w:r>
      <w:r w:rsidR="00BD7C6E">
        <w:rPr>
          <w:sz w:val="20"/>
          <w:szCs w:val="20"/>
        </w:rPr>
        <w:t>appears to be</w:t>
      </w:r>
      <w:r w:rsidR="00C31B3B" w:rsidRPr="00C31B3B">
        <w:rPr>
          <w:sz w:val="20"/>
          <w:szCs w:val="20"/>
        </w:rPr>
        <w:t xml:space="preserve"> a growing body of evidence from Minoan Crete and elsewhere in the</w:t>
      </w:r>
      <w:r w:rsidR="00BD7C6E">
        <w:rPr>
          <w:sz w:val="20"/>
          <w:szCs w:val="20"/>
        </w:rPr>
        <w:t xml:space="preserve"> Aegean (Carter) for structured deposition being a highly ceremonial and ritual </w:t>
      </w:r>
      <w:r w:rsidR="00C60F76">
        <w:rPr>
          <w:sz w:val="20"/>
          <w:szCs w:val="20"/>
        </w:rPr>
        <w:t>occurrence</w:t>
      </w:r>
      <w:r w:rsidR="00BD7C6E">
        <w:rPr>
          <w:sz w:val="20"/>
          <w:szCs w:val="20"/>
        </w:rPr>
        <w:t xml:space="preserve"> at Knossos</w:t>
      </w:r>
      <w:r w:rsidR="00C60F76">
        <w:rPr>
          <w:sz w:val="20"/>
          <w:szCs w:val="20"/>
        </w:rPr>
        <w:t>, taking place at the palace over many centuries (</w:t>
      </w:r>
      <w:proofErr w:type="spellStart"/>
      <w:r w:rsidR="00C60F76">
        <w:rPr>
          <w:sz w:val="20"/>
          <w:szCs w:val="20"/>
        </w:rPr>
        <w:t>Hatzaki</w:t>
      </w:r>
      <w:proofErr w:type="spellEnd"/>
      <w:r w:rsidR="002662BC">
        <w:rPr>
          <w:sz w:val="20"/>
          <w:szCs w:val="20"/>
        </w:rPr>
        <w:t xml:space="preserve"> 2009</w:t>
      </w:r>
      <w:r w:rsidR="00C60F76">
        <w:rPr>
          <w:sz w:val="20"/>
          <w:szCs w:val="20"/>
        </w:rPr>
        <w:t xml:space="preserve">). </w:t>
      </w:r>
      <w:proofErr w:type="spellStart"/>
      <w:r w:rsidR="00C60F76">
        <w:rPr>
          <w:sz w:val="20"/>
          <w:szCs w:val="20"/>
        </w:rPr>
        <w:t>Hatzaki’s</w:t>
      </w:r>
      <w:proofErr w:type="spellEnd"/>
      <w:r w:rsidR="00C60F76">
        <w:rPr>
          <w:sz w:val="20"/>
          <w:szCs w:val="20"/>
        </w:rPr>
        <w:t xml:space="preserve"> work: </w:t>
      </w:r>
      <w:r w:rsidR="00C60F76" w:rsidRPr="00C60F76">
        <w:rPr>
          <w:i/>
          <w:sz w:val="20"/>
          <w:szCs w:val="20"/>
        </w:rPr>
        <w:t>Structured Deposition as Ritual Action at Knossos</w:t>
      </w:r>
      <w:r w:rsidR="00C60F76">
        <w:rPr>
          <w:i/>
          <w:sz w:val="20"/>
          <w:szCs w:val="20"/>
        </w:rPr>
        <w:t xml:space="preserve"> </w:t>
      </w:r>
      <w:r w:rsidR="00C60F76">
        <w:rPr>
          <w:sz w:val="20"/>
          <w:szCs w:val="20"/>
        </w:rPr>
        <w:t>focusses primarily on the Temple Repositories at the palace at Knossos which is arguably one of the most famous deposits in Minoan archaeology. Two large stone-lined cists that reside on the west side of the Central Court of the palace, they contained a wide variety of objects placed together at the same time (</w:t>
      </w:r>
      <w:proofErr w:type="spellStart"/>
      <w:r w:rsidR="00C60F76">
        <w:rPr>
          <w:sz w:val="20"/>
          <w:szCs w:val="20"/>
        </w:rPr>
        <w:t>Hazaki</w:t>
      </w:r>
      <w:proofErr w:type="spellEnd"/>
      <w:r w:rsidR="002662BC">
        <w:rPr>
          <w:sz w:val="20"/>
          <w:szCs w:val="20"/>
        </w:rPr>
        <w:t xml:space="preserve"> 2009</w:t>
      </w:r>
      <w:r w:rsidR="00C60F76">
        <w:rPr>
          <w:sz w:val="20"/>
          <w:szCs w:val="20"/>
        </w:rPr>
        <w:t xml:space="preserve">). She makes the argument that instead of being a result of </w:t>
      </w:r>
      <w:r w:rsidR="00086F70">
        <w:rPr>
          <w:sz w:val="20"/>
          <w:szCs w:val="20"/>
        </w:rPr>
        <w:t>accidental leavings during a destruction event, they are rather the result of a carefully planned ritual where specific objects were specially chosen for disposal and effectively taken out of circulation. Some of these objects were then intentionally fragmented and carefully placed in the cists (</w:t>
      </w:r>
      <w:proofErr w:type="spellStart"/>
      <w:r w:rsidR="00086F70">
        <w:rPr>
          <w:sz w:val="20"/>
          <w:szCs w:val="20"/>
        </w:rPr>
        <w:t>Hatzaki</w:t>
      </w:r>
      <w:proofErr w:type="spellEnd"/>
      <w:r w:rsidR="002662BC">
        <w:rPr>
          <w:sz w:val="20"/>
          <w:szCs w:val="20"/>
        </w:rPr>
        <w:t xml:space="preserve"> 2009</w:t>
      </w:r>
      <w:r w:rsidR="00086F70">
        <w:rPr>
          <w:sz w:val="20"/>
          <w:szCs w:val="20"/>
        </w:rPr>
        <w:t xml:space="preserve">). Through the careful examination of the </w:t>
      </w:r>
      <w:proofErr w:type="spellStart"/>
      <w:r w:rsidR="00086F70">
        <w:rPr>
          <w:sz w:val="20"/>
          <w:szCs w:val="20"/>
        </w:rPr>
        <w:t>taphonomic</w:t>
      </w:r>
      <w:proofErr w:type="spellEnd"/>
      <w:r w:rsidR="00086F70">
        <w:rPr>
          <w:sz w:val="20"/>
          <w:szCs w:val="20"/>
        </w:rPr>
        <w:t xml:space="preserve"> and </w:t>
      </w:r>
      <w:proofErr w:type="spellStart"/>
      <w:r w:rsidR="00086F70">
        <w:rPr>
          <w:sz w:val="20"/>
          <w:szCs w:val="20"/>
        </w:rPr>
        <w:t>artifactual</w:t>
      </w:r>
      <w:proofErr w:type="spellEnd"/>
      <w:r w:rsidR="00086F70">
        <w:rPr>
          <w:sz w:val="20"/>
          <w:szCs w:val="20"/>
        </w:rPr>
        <w:t xml:space="preserve"> evidence</w:t>
      </w:r>
      <w:r w:rsidR="009D14B3">
        <w:rPr>
          <w:sz w:val="20"/>
          <w:szCs w:val="20"/>
        </w:rPr>
        <w:t xml:space="preserve"> </w:t>
      </w:r>
      <w:proofErr w:type="spellStart"/>
      <w:r w:rsidR="009D14B3">
        <w:rPr>
          <w:sz w:val="20"/>
          <w:szCs w:val="20"/>
        </w:rPr>
        <w:t>Hatzaki</w:t>
      </w:r>
      <w:proofErr w:type="spellEnd"/>
      <w:r w:rsidR="009D14B3">
        <w:rPr>
          <w:sz w:val="20"/>
          <w:szCs w:val="20"/>
        </w:rPr>
        <w:t xml:space="preserve"> was able to</w:t>
      </w:r>
      <w:r w:rsidR="00F7175D">
        <w:rPr>
          <w:sz w:val="20"/>
          <w:szCs w:val="20"/>
        </w:rPr>
        <w:t xml:space="preserve"> reconstruct “</w:t>
      </w:r>
      <w:r w:rsidR="00F7175D" w:rsidRPr="00F7175D">
        <w:rPr>
          <w:sz w:val="20"/>
          <w:szCs w:val="20"/>
        </w:rPr>
        <w:t>a series of symbolically charged actions involving the removal of certain objects and subsistence provisions from circulation by deliberately breaking or burning and collectively disposing of them within th</w:t>
      </w:r>
      <w:r w:rsidR="00F7175D">
        <w:rPr>
          <w:sz w:val="20"/>
          <w:szCs w:val="20"/>
        </w:rPr>
        <w:t>em” (</w:t>
      </w:r>
      <w:proofErr w:type="spellStart"/>
      <w:r w:rsidR="00F7175D">
        <w:rPr>
          <w:sz w:val="20"/>
          <w:szCs w:val="20"/>
        </w:rPr>
        <w:t>Hatzaki</w:t>
      </w:r>
      <w:proofErr w:type="spellEnd"/>
      <w:r w:rsidR="002662BC">
        <w:rPr>
          <w:sz w:val="20"/>
          <w:szCs w:val="20"/>
        </w:rPr>
        <w:t xml:space="preserve"> 2009</w:t>
      </w:r>
      <w:r w:rsidR="00F7175D">
        <w:rPr>
          <w:sz w:val="20"/>
          <w:szCs w:val="20"/>
        </w:rPr>
        <w:t xml:space="preserve">). </w:t>
      </w:r>
      <w:r w:rsidR="00941AB6">
        <w:rPr>
          <w:sz w:val="20"/>
          <w:szCs w:val="20"/>
        </w:rPr>
        <w:t xml:space="preserve">Concluding that in a </w:t>
      </w:r>
      <w:proofErr w:type="spellStart"/>
      <w:r w:rsidR="00941AB6">
        <w:rPr>
          <w:sz w:val="20"/>
          <w:szCs w:val="20"/>
        </w:rPr>
        <w:t>Knossian</w:t>
      </w:r>
      <w:proofErr w:type="spellEnd"/>
      <w:r w:rsidR="00941AB6">
        <w:rPr>
          <w:sz w:val="20"/>
          <w:szCs w:val="20"/>
        </w:rPr>
        <w:t xml:space="preserve"> palatial context, structured deposition, especially in the West Wing of the palace provide a window into elaborate rituals conducted by the elite social groups within the palace. </w:t>
      </w:r>
      <w:r w:rsidR="002662BC">
        <w:rPr>
          <w:sz w:val="20"/>
          <w:szCs w:val="20"/>
        </w:rPr>
        <w:t xml:space="preserve">This again shows how a post processual approach can allow for social ideas to be explored behind objects and there many meanings and use to humans. </w:t>
      </w:r>
    </w:p>
    <w:p w:rsidR="00D40680" w:rsidRDefault="00D40680" w:rsidP="00D40680">
      <w:pPr>
        <w:ind w:left="567" w:right="567"/>
        <w:rPr>
          <w:sz w:val="20"/>
          <w:szCs w:val="20"/>
        </w:rPr>
      </w:pPr>
    </w:p>
    <w:p w:rsidR="00F10724" w:rsidRDefault="00F10724" w:rsidP="00E84601">
      <w:pPr>
        <w:rPr>
          <w:sz w:val="20"/>
          <w:szCs w:val="20"/>
        </w:rPr>
      </w:pPr>
    </w:p>
    <w:p w:rsidR="00401CBE" w:rsidRDefault="003A32E2" w:rsidP="00A2665D">
      <w:pPr>
        <w:rPr>
          <w:sz w:val="20"/>
          <w:szCs w:val="20"/>
        </w:rPr>
      </w:pPr>
      <w:r>
        <w:rPr>
          <w:sz w:val="20"/>
          <w:szCs w:val="20"/>
        </w:rPr>
        <w:t xml:space="preserve">What is the relationship between power and religion in </w:t>
      </w:r>
      <w:proofErr w:type="spellStart"/>
      <w:r>
        <w:rPr>
          <w:sz w:val="20"/>
          <w:szCs w:val="20"/>
        </w:rPr>
        <w:t>Neopalatial</w:t>
      </w:r>
      <w:proofErr w:type="spellEnd"/>
      <w:r>
        <w:rPr>
          <w:sz w:val="20"/>
          <w:szCs w:val="20"/>
        </w:rPr>
        <w:t xml:space="preserve"> Crete? Can archaeological theory along with investigation give us an accurate picture? Adams comments that ritual is a forum for both the expression of cultural identities and social strategy and there is a trend in scholarly thinking to ass there is a “sharp distinction” between religious rituals and non. Through the study of the distribution of objects of dedication across the entire landscape of north-central Crete she argues that a new perspective may be achieved. (Adams) There would seem to be a substantially different relationship between Knossos and </w:t>
      </w:r>
      <w:proofErr w:type="spellStart"/>
      <w:r>
        <w:rPr>
          <w:sz w:val="20"/>
          <w:szCs w:val="20"/>
        </w:rPr>
        <w:t>Malia</w:t>
      </w:r>
      <w:proofErr w:type="spellEnd"/>
      <w:r>
        <w:rPr>
          <w:sz w:val="20"/>
          <w:szCs w:val="20"/>
        </w:rPr>
        <w:t xml:space="preserve"> alone which is just one part of Crete. While </w:t>
      </w:r>
      <w:r w:rsidR="00101C20">
        <w:rPr>
          <w:sz w:val="20"/>
          <w:szCs w:val="20"/>
        </w:rPr>
        <w:t xml:space="preserve">artifacts from </w:t>
      </w:r>
      <w:r>
        <w:rPr>
          <w:sz w:val="20"/>
          <w:szCs w:val="20"/>
        </w:rPr>
        <w:t>the ritual sites with</w:t>
      </w:r>
      <w:r w:rsidR="00101C20">
        <w:rPr>
          <w:sz w:val="20"/>
          <w:szCs w:val="20"/>
        </w:rPr>
        <w:t>in</w:t>
      </w:r>
      <w:r>
        <w:rPr>
          <w:sz w:val="20"/>
          <w:szCs w:val="20"/>
        </w:rPr>
        <w:t xml:space="preserve"> the Knossos region seem to be more widespread and fall</w:t>
      </w:r>
      <w:r w:rsidR="00101C20">
        <w:rPr>
          <w:sz w:val="20"/>
          <w:szCs w:val="20"/>
        </w:rPr>
        <w:t xml:space="preserve"> into different categories suggesting they served varying roles, the artifacts found further east are mostly concentrated at the site of </w:t>
      </w:r>
      <w:proofErr w:type="spellStart"/>
      <w:r w:rsidR="00101C20">
        <w:rPr>
          <w:sz w:val="20"/>
          <w:szCs w:val="20"/>
        </w:rPr>
        <w:t>Malia</w:t>
      </w:r>
      <w:proofErr w:type="spellEnd"/>
      <w:r w:rsidR="00B90338">
        <w:rPr>
          <w:sz w:val="20"/>
          <w:szCs w:val="20"/>
        </w:rPr>
        <w:t xml:space="preserve"> (Adams). </w:t>
      </w:r>
      <w:r w:rsidR="002662BC">
        <w:rPr>
          <w:sz w:val="20"/>
          <w:szCs w:val="20"/>
        </w:rPr>
        <w:t xml:space="preserve">By studying the distribution and life of objects we can see the ritualistic significance of not only differing objects but also how this varied in different locales. </w:t>
      </w:r>
    </w:p>
    <w:p w:rsidR="00482964" w:rsidRDefault="00482964" w:rsidP="00A2665D">
      <w:pPr>
        <w:rPr>
          <w:sz w:val="20"/>
          <w:szCs w:val="20"/>
        </w:rPr>
      </w:pPr>
    </w:p>
    <w:p w:rsidR="00482964" w:rsidRDefault="00482964" w:rsidP="00A2665D">
      <w:pPr>
        <w:rPr>
          <w:sz w:val="20"/>
          <w:szCs w:val="20"/>
        </w:rPr>
      </w:pPr>
    </w:p>
    <w:p w:rsidR="00F7175D" w:rsidRDefault="00F7175D" w:rsidP="00F7175D">
      <w:pPr>
        <w:rPr>
          <w:sz w:val="20"/>
          <w:szCs w:val="20"/>
        </w:rPr>
      </w:pPr>
    </w:p>
    <w:p w:rsidR="00941AB6" w:rsidRDefault="00941AB6" w:rsidP="00F7175D">
      <w:pPr>
        <w:rPr>
          <w:sz w:val="20"/>
          <w:szCs w:val="20"/>
        </w:rPr>
      </w:pPr>
    </w:p>
    <w:p w:rsidR="00941AB6" w:rsidRDefault="00941AB6" w:rsidP="00F7175D">
      <w:pPr>
        <w:rPr>
          <w:sz w:val="20"/>
          <w:szCs w:val="20"/>
        </w:rPr>
      </w:pPr>
      <w:r>
        <w:rPr>
          <w:sz w:val="20"/>
          <w:szCs w:val="20"/>
        </w:rPr>
        <w:t xml:space="preserve">To conclude, it is the hope that with the case studies shown in this work that archaeological theoretical perspectives are of critical importance to excavating and interpreting the archaeological material of Bronze Age Crete. Having examined two of the main different schools of thought – New Archaeology with its functionalist basis and post processual archaeology </w:t>
      </w:r>
      <w:r w:rsidR="002D21D1">
        <w:rPr>
          <w:sz w:val="20"/>
          <w:szCs w:val="20"/>
        </w:rPr>
        <w:t xml:space="preserve">that argues that there is a dialectical relationship between objects and things, and that objects have a plurality of meanings and use. The work of </w:t>
      </w:r>
      <w:proofErr w:type="spellStart"/>
      <w:r w:rsidR="002D21D1">
        <w:rPr>
          <w:sz w:val="20"/>
          <w:szCs w:val="20"/>
        </w:rPr>
        <w:t>Latour</w:t>
      </w:r>
      <w:proofErr w:type="spellEnd"/>
      <w:r w:rsidR="002D21D1">
        <w:rPr>
          <w:sz w:val="20"/>
          <w:szCs w:val="20"/>
        </w:rPr>
        <w:t xml:space="preserve"> with his concept of ANT theory and </w:t>
      </w:r>
      <w:r w:rsidR="002D21D1" w:rsidRPr="002D21D1">
        <w:rPr>
          <w:sz w:val="20"/>
          <w:szCs w:val="20"/>
        </w:rPr>
        <w:t>Bourdieu’s</w:t>
      </w:r>
      <w:r w:rsidR="002D21D1">
        <w:rPr>
          <w:sz w:val="20"/>
          <w:szCs w:val="20"/>
        </w:rPr>
        <w:t xml:space="preserve"> concept of habitus have had a long and profound effect on archaeological thinking among many others such as Childe and Trigger just to name a few. Would Carter have reached the same conclusions about the ritual of crafting obsidian blades if not for the theoretical perspectives that have developed over the last century?</w:t>
      </w:r>
    </w:p>
    <w:p w:rsidR="002D21D1" w:rsidRDefault="002D21D1" w:rsidP="002D21D1">
      <w:pPr>
        <w:rPr>
          <w:sz w:val="20"/>
          <w:szCs w:val="20"/>
        </w:rPr>
      </w:pPr>
    </w:p>
    <w:p w:rsidR="00CC46A1" w:rsidRDefault="002D21D1" w:rsidP="00A2665D">
      <w:pPr>
        <w:rPr>
          <w:sz w:val="20"/>
          <w:szCs w:val="20"/>
        </w:rPr>
      </w:pPr>
      <w:r>
        <w:rPr>
          <w:sz w:val="20"/>
          <w:szCs w:val="20"/>
        </w:rPr>
        <w:t>The Palace at Knossos has and still is seen as central for discussion on Minoan Crete. Owing to the fact it is both the largest of its type and also the longest surviving monumental structure of its kind in the area. Archaeologically</w:t>
      </w:r>
      <w:r w:rsidRPr="00E84601">
        <w:rPr>
          <w:sz w:val="20"/>
          <w:szCs w:val="20"/>
        </w:rPr>
        <w:t xml:space="preserve"> speaking, Knossos is one of the most thoroughly investigated sites in Crete, with an archaeological sequence that </w:t>
      </w:r>
      <w:r w:rsidRPr="00E84601">
        <w:rPr>
          <w:sz w:val="20"/>
          <w:szCs w:val="20"/>
        </w:rPr>
        <w:lastRenderedPageBreak/>
        <w:t>dates from Neolithic right up to the Roman Period (</w:t>
      </w:r>
      <w:proofErr w:type="spellStart"/>
      <w:r w:rsidRPr="00E84601">
        <w:rPr>
          <w:sz w:val="20"/>
          <w:szCs w:val="20"/>
        </w:rPr>
        <w:t>Boileau</w:t>
      </w:r>
      <w:proofErr w:type="spellEnd"/>
      <w:r w:rsidRPr="00E84601">
        <w:rPr>
          <w:sz w:val="20"/>
          <w:szCs w:val="20"/>
        </w:rPr>
        <w:t>, Whitley</w:t>
      </w:r>
      <w:r>
        <w:rPr>
          <w:sz w:val="20"/>
          <w:szCs w:val="20"/>
        </w:rPr>
        <w:t xml:space="preserve">). </w:t>
      </w:r>
      <w:r>
        <w:rPr>
          <w:sz w:val="20"/>
          <w:szCs w:val="20"/>
        </w:rPr>
        <w:t xml:space="preserve">It will continue to be a source of heated academic debate for years to come, with new interpretations developing with new archaeological </w:t>
      </w:r>
      <w:r w:rsidR="002662BC">
        <w:rPr>
          <w:sz w:val="20"/>
          <w:szCs w:val="20"/>
        </w:rPr>
        <w:t>theoretical perspectives.</w:t>
      </w:r>
    </w:p>
    <w:p w:rsidR="00CC46A1" w:rsidRDefault="00CC46A1" w:rsidP="00A2665D">
      <w:pPr>
        <w:rPr>
          <w:sz w:val="20"/>
          <w:szCs w:val="20"/>
        </w:rPr>
      </w:pPr>
    </w:p>
    <w:p w:rsidR="00CC46A1" w:rsidRDefault="00CC46A1" w:rsidP="00A2665D">
      <w:pPr>
        <w:rPr>
          <w:sz w:val="20"/>
          <w:szCs w:val="20"/>
        </w:rPr>
      </w:pPr>
    </w:p>
    <w:p w:rsidR="00CC46A1" w:rsidRDefault="00CC46A1" w:rsidP="00A2665D">
      <w:pPr>
        <w:rPr>
          <w:sz w:val="20"/>
          <w:szCs w:val="20"/>
        </w:rPr>
      </w:pPr>
    </w:p>
    <w:p w:rsidR="00CC46A1" w:rsidRDefault="00CC46A1" w:rsidP="00A2665D">
      <w:pPr>
        <w:rPr>
          <w:sz w:val="20"/>
          <w:szCs w:val="20"/>
        </w:rPr>
      </w:pPr>
    </w:p>
    <w:p w:rsidR="00CC46A1" w:rsidRDefault="00CC46A1" w:rsidP="00A2665D">
      <w:pPr>
        <w:rPr>
          <w:sz w:val="20"/>
          <w:szCs w:val="20"/>
        </w:rPr>
      </w:pPr>
    </w:p>
    <w:p w:rsidR="004F0DCF" w:rsidRPr="004F0DCF" w:rsidRDefault="004F0DCF" w:rsidP="004F0DCF">
      <w:pPr>
        <w:rPr>
          <w:sz w:val="20"/>
          <w:szCs w:val="20"/>
        </w:rPr>
      </w:pPr>
      <w:r w:rsidRPr="004F0DCF">
        <w:rPr>
          <w:sz w:val="20"/>
          <w:szCs w:val="20"/>
        </w:rPr>
        <w:t>References</w:t>
      </w:r>
    </w:p>
    <w:p w:rsidR="004F0DCF" w:rsidRDefault="004F0DCF" w:rsidP="004F0DCF">
      <w:pPr>
        <w:rPr>
          <w:sz w:val="20"/>
          <w:szCs w:val="20"/>
        </w:rPr>
      </w:pPr>
    </w:p>
    <w:p w:rsidR="004F0DCF" w:rsidRDefault="004F0DCF" w:rsidP="004F0DCF">
      <w:pPr>
        <w:rPr>
          <w:sz w:val="20"/>
          <w:szCs w:val="20"/>
        </w:rPr>
      </w:pPr>
      <w:r w:rsidRPr="004F0DCF">
        <w:rPr>
          <w:sz w:val="20"/>
          <w:szCs w:val="20"/>
        </w:rPr>
        <w:t xml:space="preserve">Adams, E. (2004). Power and ritual in </w:t>
      </w:r>
      <w:proofErr w:type="spellStart"/>
      <w:r w:rsidRPr="004F0DCF">
        <w:rPr>
          <w:sz w:val="20"/>
          <w:szCs w:val="20"/>
        </w:rPr>
        <w:t>Neopalatial</w:t>
      </w:r>
      <w:proofErr w:type="spellEnd"/>
      <w:r w:rsidRPr="004F0DCF">
        <w:rPr>
          <w:sz w:val="20"/>
          <w:szCs w:val="20"/>
        </w:rPr>
        <w:t xml:space="preserve"> Crete: a regional comparison. World Archaeology, [online] 36(1), pp.26-42. Available at: http://web.b.ebscohost.com.ezproxy.uwtsd.ac.uk/ehost/pdfviewer/pdfviewer?vid=1&amp;sid=63b9fdf0-3182-4ff9-a6fe-f70f02e9eb59%40sessionmgr104 [Accessed 15 Dec. 2017].</w:t>
      </w:r>
    </w:p>
    <w:p w:rsidR="004F0DCF" w:rsidRPr="004F0DCF" w:rsidRDefault="004F0DCF" w:rsidP="004F0DCF">
      <w:pPr>
        <w:rPr>
          <w:sz w:val="20"/>
          <w:szCs w:val="20"/>
        </w:rPr>
      </w:pPr>
      <w:proofErr w:type="spellStart"/>
      <w:r w:rsidRPr="004F0DCF">
        <w:rPr>
          <w:sz w:val="20"/>
          <w:szCs w:val="20"/>
        </w:rPr>
        <w:t>Boileau</w:t>
      </w:r>
      <w:proofErr w:type="spellEnd"/>
      <w:r w:rsidRPr="004F0DCF">
        <w:rPr>
          <w:sz w:val="20"/>
          <w:szCs w:val="20"/>
        </w:rPr>
        <w:t>, M. and Whitley, J. (2010). Patterns of Production and Consumption of Coarse to Semi-Fine Pottery at Early Iron Age Knossos. The Annual of the British School at Athens, [online] 105, pp.225-268. Available at: http://www.jstor.org.ezproxy.uwtsd.ac.uk/stable/41420118 [Accessed 19 Dec. 2017].</w:t>
      </w:r>
    </w:p>
    <w:p w:rsidR="004F0DCF" w:rsidRPr="004F0DCF" w:rsidRDefault="004F0DCF" w:rsidP="004F0DCF">
      <w:pPr>
        <w:rPr>
          <w:sz w:val="20"/>
          <w:szCs w:val="20"/>
        </w:rPr>
      </w:pPr>
    </w:p>
    <w:p w:rsidR="004F0DCF" w:rsidRPr="004F0DCF" w:rsidRDefault="004F0DCF" w:rsidP="004F0DCF">
      <w:pPr>
        <w:rPr>
          <w:sz w:val="20"/>
          <w:szCs w:val="20"/>
        </w:rPr>
      </w:pPr>
      <w:proofErr w:type="spellStart"/>
      <w:r w:rsidRPr="004F0DCF">
        <w:rPr>
          <w:sz w:val="20"/>
          <w:szCs w:val="20"/>
        </w:rPr>
        <w:t>Borgna</w:t>
      </w:r>
      <w:proofErr w:type="spellEnd"/>
      <w:r w:rsidRPr="004F0DCF">
        <w:rPr>
          <w:sz w:val="20"/>
          <w:szCs w:val="20"/>
        </w:rPr>
        <w:t>, E. (2004). Aegean Feasting: A Minoan Perspective. Hesperia, [online] 73(2), pp.247-279. Available at: http://www.jstor.org/stable/4134895 [Accessed 13 Dec. 2017].</w:t>
      </w:r>
    </w:p>
    <w:p w:rsidR="004F0DCF" w:rsidRDefault="004F0DCF" w:rsidP="004F0DCF">
      <w:pPr>
        <w:rPr>
          <w:sz w:val="20"/>
          <w:szCs w:val="20"/>
        </w:rPr>
      </w:pPr>
    </w:p>
    <w:p w:rsidR="004F0DCF" w:rsidRDefault="004F0DCF" w:rsidP="004F0DCF">
      <w:pPr>
        <w:rPr>
          <w:sz w:val="20"/>
          <w:szCs w:val="20"/>
        </w:rPr>
      </w:pPr>
      <w:r>
        <w:rPr>
          <w:sz w:val="20"/>
          <w:szCs w:val="20"/>
        </w:rPr>
        <w:t>Carter, T</w:t>
      </w:r>
      <w:r w:rsidRPr="00C71687">
        <w:rPr>
          <w:sz w:val="20"/>
          <w:szCs w:val="20"/>
        </w:rPr>
        <w:t>. “Transformative Processes in Liminal Spaces: Craft as Ritual Action in the Throne Room Area.” </w:t>
      </w:r>
      <w:r w:rsidRPr="00C71687">
        <w:rPr>
          <w:i/>
          <w:iCs/>
          <w:sz w:val="20"/>
          <w:szCs w:val="20"/>
        </w:rPr>
        <w:t>British School at Athens Studies</w:t>
      </w:r>
      <w:r w:rsidRPr="00C71687">
        <w:rPr>
          <w:sz w:val="20"/>
          <w:szCs w:val="20"/>
        </w:rPr>
        <w:t>, vol. 12, 2004, pp. 273–282. </w:t>
      </w:r>
      <w:r w:rsidRPr="00C71687">
        <w:rPr>
          <w:i/>
          <w:iCs/>
          <w:sz w:val="20"/>
          <w:szCs w:val="20"/>
        </w:rPr>
        <w:t>JSTOR</w:t>
      </w:r>
      <w:r w:rsidRPr="00C71687">
        <w:rPr>
          <w:sz w:val="20"/>
          <w:szCs w:val="20"/>
        </w:rPr>
        <w:t>, JSTOR, www.jstor.org/stable/40960785.</w:t>
      </w:r>
    </w:p>
    <w:p w:rsidR="004F0DCF" w:rsidRPr="004F0DCF" w:rsidRDefault="004F0DCF" w:rsidP="004F0DCF">
      <w:pPr>
        <w:rPr>
          <w:sz w:val="20"/>
          <w:szCs w:val="20"/>
        </w:rPr>
      </w:pPr>
    </w:p>
    <w:p w:rsidR="004F0DCF" w:rsidRPr="004F0DCF" w:rsidRDefault="004F0DCF" w:rsidP="004F0DCF">
      <w:pPr>
        <w:rPr>
          <w:sz w:val="20"/>
          <w:szCs w:val="20"/>
        </w:rPr>
      </w:pPr>
      <w:r w:rsidRPr="004F0DCF">
        <w:rPr>
          <w:sz w:val="20"/>
          <w:szCs w:val="20"/>
        </w:rPr>
        <w:t>Cromarty, R. (2007). Burning Bulls, Broken Bones. Sacrificial Ritual in the Context of Palace Period Minoan Religion. PHD. Durham.</w:t>
      </w:r>
    </w:p>
    <w:p w:rsidR="004F0DCF" w:rsidRPr="004F0DCF" w:rsidRDefault="004F0DCF" w:rsidP="004F0DCF">
      <w:pPr>
        <w:rPr>
          <w:sz w:val="20"/>
          <w:szCs w:val="20"/>
        </w:rPr>
      </w:pPr>
    </w:p>
    <w:p w:rsidR="004F0DCF" w:rsidRPr="004F0DCF" w:rsidRDefault="004F0DCF" w:rsidP="004F0DCF">
      <w:pPr>
        <w:rPr>
          <w:sz w:val="20"/>
          <w:szCs w:val="20"/>
        </w:rPr>
      </w:pPr>
      <w:r w:rsidRPr="004F0DCF">
        <w:rPr>
          <w:sz w:val="20"/>
          <w:szCs w:val="20"/>
        </w:rPr>
        <w:t xml:space="preserve">Demand, N. (2011). The Mediterranean context of early Greek history. </w:t>
      </w:r>
      <w:proofErr w:type="spellStart"/>
      <w:r w:rsidRPr="004F0DCF">
        <w:rPr>
          <w:sz w:val="20"/>
          <w:szCs w:val="20"/>
        </w:rPr>
        <w:t>Chichester</w:t>
      </w:r>
      <w:proofErr w:type="spellEnd"/>
      <w:r w:rsidRPr="004F0DCF">
        <w:rPr>
          <w:sz w:val="20"/>
          <w:szCs w:val="20"/>
        </w:rPr>
        <w:t>, U.K.: Wiley-Blackwell.</w:t>
      </w:r>
    </w:p>
    <w:p w:rsidR="004F0DCF" w:rsidRPr="004F0DCF" w:rsidRDefault="004F0DCF" w:rsidP="004F0DCF">
      <w:pPr>
        <w:rPr>
          <w:sz w:val="20"/>
          <w:szCs w:val="20"/>
        </w:rPr>
      </w:pPr>
    </w:p>
    <w:p w:rsidR="004F0DCF" w:rsidRPr="004F0DCF" w:rsidRDefault="004F0DCF" w:rsidP="004F0DCF">
      <w:pPr>
        <w:rPr>
          <w:sz w:val="20"/>
          <w:szCs w:val="20"/>
        </w:rPr>
      </w:pPr>
      <w:proofErr w:type="spellStart"/>
      <w:r w:rsidRPr="004F0DCF">
        <w:rPr>
          <w:sz w:val="20"/>
          <w:szCs w:val="20"/>
        </w:rPr>
        <w:t>Hägg</w:t>
      </w:r>
      <w:proofErr w:type="spellEnd"/>
      <w:r w:rsidRPr="004F0DCF">
        <w:rPr>
          <w:sz w:val="20"/>
          <w:szCs w:val="20"/>
        </w:rPr>
        <w:t xml:space="preserve">, R. (1985). Pictorial </w:t>
      </w:r>
      <w:proofErr w:type="spellStart"/>
      <w:r w:rsidRPr="004F0DCF">
        <w:rPr>
          <w:sz w:val="20"/>
          <w:szCs w:val="20"/>
        </w:rPr>
        <w:t>programmes</w:t>
      </w:r>
      <w:proofErr w:type="spellEnd"/>
      <w:r w:rsidRPr="004F0DCF">
        <w:rPr>
          <w:sz w:val="20"/>
          <w:szCs w:val="20"/>
        </w:rPr>
        <w:t xml:space="preserve"> in the Minoan palaces and </w:t>
      </w:r>
      <w:proofErr w:type="gramStart"/>
      <w:r w:rsidRPr="004F0DCF">
        <w:rPr>
          <w:sz w:val="20"/>
          <w:szCs w:val="20"/>
        </w:rPr>
        <w:t>villas?.</w:t>
      </w:r>
      <w:proofErr w:type="gramEnd"/>
      <w:r w:rsidRPr="004F0DCF">
        <w:rPr>
          <w:sz w:val="20"/>
          <w:szCs w:val="20"/>
        </w:rPr>
        <w:t xml:space="preserve"> Bulletin de </w:t>
      </w:r>
      <w:proofErr w:type="spellStart"/>
      <w:r w:rsidRPr="004F0DCF">
        <w:rPr>
          <w:sz w:val="20"/>
          <w:szCs w:val="20"/>
        </w:rPr>
        <w:t>correspondance</w:t>
      </w:r>
      <w:proofErr w:type="spellEnd"/>
      <w:r w:rsidRPr="004F0DCF">
        <w:rPr>
          <w:sz w:val="20"/>
          <w:szCs w:val="20"/>
        </w:rPr>
        <w:t xml:space="preserve"> </w:t>
      </w:r>
      <w:proofErr w:type="spellStart"/>
      <w:r w:rsidRPr="004F0DCF">
        <w:rPr>
          <w:sz w:val="20"/>
          <w:szCs w:val="20"/>
        </w:rPr>
        <w:t>hellénique</w:t>
      </w:r>
      <w:proofErr w:type="spellEnd"/>
      <w:r w:rsidRPr="004F0DCF">
        <w:rPr>
          <w:sz w:val="20"/>
          <w:szCs w:val="20"/>
        </w:rPr>
        <w:t xml:space="preserve">. </w:t>
      </w:r>
      <w:proofErr w:type="spellStart"/>
      <w:r w:rsidRPr="004F0DCF">
        <w:rPr>
          <w:sz w:val="20"/>
          <w:szCs w:val="20"/>
        </w:rPr>
        <w:t>Supplément</w:t>
      </w:r>
      <w:proofErr w:type="spellEnd"/>
      <w:r w:rsidRPr="004F0DCF">
        <w:rPr>
          <w:sz w:val="20"/>
          <w:szCs w:val="20"/>
        </w:rPr>
        <w:t>, [online] 11(1), pp.209-217. Available at: http://www.persee.fr/doc/bch_0304-2456_1985_sup_11_1_5280 [Accessed 8 Dec. 2017].</w:t>
      </w:r>
    </w:p>
    <w:p w:rsidR="004F0DCF" w:rsidRDefault="004F0DCF" w:rsidP="004F0DCF">
      <w:pPr>
        <w:rPr>
          <w:sz w:val="20"/>
          <w:szCs w:val="20"/>
        </w:rPr>
      </w:pPr>
    </w:p>
    <w:p w:rsidR="004F0DCF" w:rsidRDefault="004F0DCF" w:rsidP="004F0DCF">
      <w:pPr>
        <w:rPr>
          <w:sz w:val="20"/>
          <w:szCs w:val="20"/>
        </w:rPr>
      </w:pPr>
      <w:proofErr w:type="spellStart"/>
      <w:r w:rsidRPr="002B256A">
        <w:rPr>
          <w:sz w:val="20"/>
          <w:szCs w:val="20"/>
        </w:rPr>
        <w:t>Hatzaki</w:t>
      </w:r>
      <w:proofErr w:type="spellEnd"/>
      <w:r w:rsidRPr="002B256A">
        <w:rPr>
          <w:sz w:val="20"/>
          <w:szCs w:val="20"/>
        </w:rPr>
        <w:t>, E. (2009). Structured Deposition as Ritual Action at Knossos. </w:t>
      </w:r>
      <w:r w:rsidRPr="002B256A">
        <w:rPr>
          <w:i/>
          <w:iCs/>
          <w:sz w:val="20"/>
          <w:szCs w:val="20"/>
        </w:rPr>
        <w:t>Hesperia Supplements,</w:t>
      </w:r>
      <w:r w:rsidRPr="002B256A">
        <w:rPr>
          <w:sz w:val="20"/>
          <w:szCs w:val="20"/>
        </w:rPr>
        <w:t> </w:t>
      </w:r>
      <w:r w:rsidRPr="002B256A">
        <w:rPr>
          <w:i/>
          <w:iCs/>
          <w:sz w:val="20"/>
          <w:szCs w:val="20"/>
        </w:rPr>
        <w:t>42</w:t>
      </w:r>
      <w:r w:rsidRPr="002B256A">
        <w:rPr>
          <w:sz w:val="20"/>
          <w:szCs w:val="20"/>
        </w:rPr>
        <w:t xml:space="preserve">, 19-30. Retrieved from </w:t>
      </w:r>
      <w:hyperlink r:id="rId8" w:history="1">
        <w:r w:rsidRPr="00D65556">
          <w:rPr>
            <w:rStyle w:val="Hyperlink"/>
            <w:sz w:val="20"/>
            <w:szCs w:val="20"/>
          </w:rPr>
          <w:t>http://www.jstor.org/stable/27759927</w:t>
        </w:r>
      </w:hyperlink>
    </w:p>
    <w:p w:rsidR="004F0DCF" w:rsidRPr="004F0DCF" w:rsidRDefault="004F0DCF" w:rsidP="004F0DCF">
      <w:pPr>
        <w:rPr>
          <w:sz w:val="20"/>
          <w:szCs w:val="20"/>
        </w:rPr>
      </w:pPr>
    </w:p>
    <w:p w:rsidR="004F0DCF" w:rsidRPr="004F0DCF" w:rsidRDefault="004F0DCF" w:rsidP="004F0DCF">
      <w:pPr>
        <w:rPr>
          <w:sz w:val="20"/>
          <w:szCs w:val="20"/>
        </w:rPr>
      </w:pPr>
      <w:proofErr w:type="spellStart"/>
      <w:r w:rsidRPr="004F0DCF">
        <w:rPr>
          <w:sz w:val="20"/>
          <w:szCs w:val="20"/>
        </w:rPr>
        <w:t>Insoll</w:t>
      </w:r>
      <w:proofErr w:type="spellEnd"/>
      <w:r w:rsidRPr="004F0DCF">
        <w:rPr>
          <w:sz w:val="20"/>
          <w:szCs w:val="20"/>
        </w:rPr>
        <w:t>, T. (2006). Reader in the Archaeology of Identities. Hoboken: Taylor &amp; Francis.</w:t>
      </w:r>
    </w:p>
    <w:p w:rsidR="004F0DCF" w:rsidRDefault="004F0DCF" w:rsidP="004F0DCF">
      <w:pPr>
        <w:rPr>
          <w:sz w:val="20"/>
          <w:szCs w:val="20"/>
        </w:rPr>
      </w:pPr>
    </w:p>
    <w:p w:rsidR="004F0DCF" w:rsidRPr="004F0DCF" w:rsidRDefault="004F0DCF" w:rsidP="004F0DCF">
      <w:pPr>
        <w:rPr>
          <w:sz w:val="20"/>
          <w:szCs w:val="20"/>
        </w:rPr>
      </w:pPr>
      <w:r w:rsidRPr="004F0DCF">
        <w:rPr>
          <w:sz w:val="20"/>
          <w:szCs w:val="20"/>
        </w:rPr>
        <w:t xml:space="preserve">J. </w:t>
      </w:r>
      <w:proofErr w:type="spellStart"/>
      <w:r w:rsidRPr="004F0DCF">
        <w:rPr>
          <w:sz w:val="20"/>
          <w:szCs w:val="20"/>
        </w:rPr>
        <w:t>Driessen</w:t>
      </w:r>
      <w:proofErr w:type="spellEnd"/>
      <w:r w:rsidRPr="004F0DCF">
        <w:rPr>
          <w:sz w:val="20"/>
          <w:szCs w:val="20"/>
        </w:rPr>
        <w:t xml:space="preserve">, I. </w:t>
      </w:r>
      <w:proofErr w:type="spellStart"/>
      <w:r w:rsidRPr="004F0DCF">
        <w:rPr>
          <w:sz w:val="20"/>
          <w:szCs w:val="20"/>
        </w:rPr>
        <w:t>Schoep</w:t>
      </w:r>
      <w:proofErr w:type="spellEnd"/>
      <w:r w:rsidRPr="004F0DCF">
        <w:rPr>
          <w:sz w:val="20"/>
          <w:szCs w:val="20"/>
        </w:rPr>
        <w:t xml:space="preserve"> &amp; R. </w:t>
      </w:r>
      <w:proofErr w:type="spellStart"/>
      <w:r w:rsidRPr="004F0DCF">
        <w:rPr>
          <w:sz w:val="20"/>
          <w:szCs w:val="20"/>
        </w:rPr>
        <w:t>Laffineur</w:t>
      </w:r>
      <w:proofErr w:type="spellEnd"/>
      <w:r w:rsidRPr="004F0DCF">
        <w:rPr>
          <w:sz w:val="20"/>
          <w:szCs w:val="20"/>
        </w:rPr>
        <w:t xml:space="preserve"> (</w:t>
      </w:r>
      <w:proofErr w:type="spellStart"/>
      <w:r w:rsidRPr="004F0DCF">
        <w:rPr>
          <w:sz w:val="20"/>
          <w:szCs w:val="20"/>
        </w:rPr>
        <w:t>eds</w:t>
      </w:r>
      <w:proofErr w:type="spellEnd"/>
      <w:r w:rsidRPr="004F0DCF">
        <w:rPr>
          <w:sz w:val="20"/>
          <w:szCs w:val="20"/>
        </w:rPr>
        <w:t xml:space="preserve">), Monuments of Minos. Rethinking the Minoan Palaces. Proceedings of an International Workshop held in </w:t>
      </w:r>
      <w:proofErr w:type="spellStart"/>
      <w:r w:rsidRPr="004F0DCF">
        <w:rPr>
          <w:sz w:val="20"/>
          <w:szCs w:val="20"/>
        </w:rPr>
        <w:t>Louvainla-Neuve</w:t>
      </w:r>
      <w:proofErr w:type="spellEnd"/>
      <w:r w:rsidRPr="004F0DCF">
        <w:rPr>
          <w:sz w:val="20"/>
          <w:szCs w:val="20"/>
        </w:rPr>
        <w:t>, 2001 (</w:t>
      </w:r>
      <w:proofErr w:type="spellStart"/>
      <w:r w:rsidRPr="004F0DCF">
        <w:rPr>
          <w:sz w:val="20"/>
          <w:szCs w:val="20"/>
        </w:rPr>
        <w:t>Aegaeum</w:t>
      </w:r>
      <w:proofErr w:type="spellEnd"/>
      <w:r w:rsidRPr="004F0DCF">
        <w:rPr>
          <w:sz w:val="20"/>
          <w:szCs w:val="20"/>
        </w:rPr>
        <w:t xml:space="preserve"> 23), Liège, 2002, 1-15</w:t>
      </w:r>
    </w:p>
    <w:p w:rsidR="004F0DCF" w:rsidRPr="004F0DCF" w:rsidRDefault="004F0DCF" w:rsidP="004F0DCF">
      <w:pPr>
        <w:rPr>
          <w:sz w:val="20"/>
          <w:szCs w:val="20"/>
        </w:rPr>
      </w:pPr>
      <w:proofErr w:type="spellStart"/>
      <w:r w:rsidRPr="004F0DCF">
        <w:rPr>
          <w:sz w:val="20"/>
          <w:szCs w:val="20"/>
        </w:rPr>
        <w:t>Letesson</w:t>
      </w:r>
      <w:proofErr w:type="spellEnd"/>
      <w:r w:rsidRPr="004F0DCF">
        <w:rPr>
          <w:sz w:val="20"/>
          <w:szCs w:val="20"/>
        </w:rPr>
        <w:t xml:space="preserve">, Q. and </w:t>
      </w:r>
      <w:proofErr w:type="spellStart"/>
      <w:r w:rsidRPr="004F0DCF">
        <w:rPr>
          <w:sz w:val="20"/>
          <w:szCs w:val="20"/>
        </w:rPr>
        <w:t>Vansteenhuyse</w:t>
      </w:r>
      <w:proofErr w:type="spellEnd"/>
      <w:r w:rsidRPr="004F0DCF">
        <w:rPr>
          <w:sz w:val="20"/>
          <w:szCs w:val="20"/>
        </w:rPr>
        <w:t>, K. (2007). Towards an Archaeology of Perception: ‘Looking’ at the Minoan Palaces. Journal of Mediterranean Archaeology, 19(1), pp.91-119.</w:t>
      </w:r>
    </w:p>
    <w:p w:rsidR="004F0DCF" w:rsidRPr="004F0DCF" w:rsidRDefault="004F0DCF" w:rsidP="004F0DCF">
      <w:pPr>
        <w:rPr>
          <w:sz w:val="20"/>
          <w:szCs w:val="20"/>
        </w:rPr>
      </w:pPr>
    </w:p>
    <w:p w:rsidR="004F0DCF" w:rsidRPr="004F0DCF" w:rsidRDefault="004F0DCF" w:rsidP="004F0DCF">
      <w:pPr>
        <w:rPr>
          <w:sz w:val="20"/>
          <w:szCs w:val="20"/>
        </w:rPr>
      </w:pPr>
      <w:proofErr w:type="spellStart"/>
      <w:r w:rsidRPr="004F0DCF">
        <w:rPr>
          <w:sz w:val="20"/>
          <w:szCs w:val="20"/>
        </w:rPr>
        <w:t>Schoep</w:t>
      </w:r>
      <w:proofErr w:type="spellEnd"/>
      <w:r w:rsidRPr="004F0DCF">
        <w:rPr>
          <w:sz w:val="20"/>
          <w:szCs w:val="20"/>
        </w:rPr>
        <w:t xml:space="preserve">, I. (2002). Social and Political </w:t>
      </w:r>
      <w:proofErr w:type="spellStart"/>
      <w:r w:rsidRPr="004F0DCF">
        <w:rPr>
          <w:sz w:val="20"/>
          <w:szCs w:val="20"/>
        </w:rPr>
        <w:t>Organisation</w:t>
      </w:r>
      <w:proofErr w:type="spellEnd"/>
      <w:r w:rsidRPr="004F0DCF">
        <w:rPr>
          <w:sz w:val="20"/>
          <w:szCs w:val="20"/>
        </w:rPr>
        <w:t xml:space="preserve"> on Crete in the Proto-palatial Period: The Case of Middle Minoan II </w:t>
      </w:r>
      <w:proofErr w:type="spellStart"/>
      <w:r w:rsidRPr="004F0DCF">
        <w:rPr>
          <w:sz w:val="20"/>
          <w:szCs w:val="20"/>
        </w:rPr>
        <w:t>Malia</w:t>
      </w:r>
      <w:proofErr w:type="spellEnd"/>
      <w:r w:rsidRPr="004F0DCF">
        <w:rPr>
          <w:sz w:val="20"/>
          <w:szCs w:val="20"/>
        </w:rPr>
        <w:t>. Journal of Mediterranean Archaeology, 15(1).</w:t>
      </w:r>
    </w:p>
    <w:p w:rsidR="004F0DCF" w:rsidRPr="004F0DCF" w:rsidRDefault="004F0DCF" w:rsidP="004F0DCF">
      <w:pPr>
        <w:rPr>
          <w:sz w:val="20"/>
          <w:szCs w:val="20"/>
        </w:rPr>
      </w:pPr>
    </w:p>
    <w:p w:rsidR="004F0DCF" w:rsidRDefault="004F0DCF" w:rsidP="004F0DCF">
      <w:pPr>
        <w:rPr>
          <w:sz w:val="20"/>
          <w:szCs w:val="20"/>
        </w:rPr>
      </w:pPr>
      <w:proofErr w:type="spellStart"/>
      <w:r w:rsidRPr="004F0DCF">
        <w:rPr>
          <w:sz w:val="20"/>
          <w:szCs w:val="20"/>
        </w:rPr>
        <w:t>Schoep</w:t>
      </w:r>
      <w:proofErr w:type="spellEnd"/>
      <w:r w:rsidRPr="004F0DCF">
        <w:rPr>
          <w:sz w:val="20"/>
          <w:szCs w:val="20"/>
        </w:rPr>
        <w:t>, I. (2011). The Minoan ‘Palace-Temple’ Reconsidered: A Critical Assessment of the Spatial Concentration of Political, Religious and Economic Power in Bronze Age Crete. Journal of Mediterranean Archaeology, 23(2).</w:t>
      </w:r>
    </w:p>
    <w:p w:rsidR="004F0DCF" w:rsidRDefault="004F0DCF" w:rsidP="00A2665D">
      <w:pPr>
        <w:rPr>
          <w:sz w:val="20"/>
          <w:szCs w:val="20"/>
        </w:rPr>
      </w:pPr>
    </w:p>
    <w:p w:rsidR="00B946D4" w:rsidRPr="00434582" w:rsidRDefault="00B946D4" w:rsidP="00B946D4">
      <w:pPr>
        <w:rPr>
          <w:sz w:val="20"/>
          <w:szCs w:val="20"/>
        </w:rPr>
      </w:pPr>
      <w:proofErr w:type="spellStart"/>
      <w:r>
        <w:rPr>
          <w:sz w:val="20"/>
          <w:szCs w:val="20"/>
        </w:rPr>
        <w:t>Stockhammer</w:t>
      </w:r>
      <w:proofErr w:type="spellEnd"/>
      <w:r>
        <w:rPr>
          <w:sz w:val="20"/>
          <w:szCs w:val="20"/>
        </w:rPr>
        <w:t>, P, W</w:t>
      </w:r>
      <w:r w:rsidRPr="00200C3F">
        <w:rPr>
          <w:sz w:val="20"/>
          <w:szCs w:val="20"/>
        </w:rPr>
        <w:t>. Performing the Practice Turn in Archaeology. Transcultural Studies, [</w:t>
      </w:r>
      <w:proofErr w:type="spellStart"/>
      <w:r w:rsidRPr="00200C3F">
        <w:rPr>
          <w:sz w:val="20"/>
          <w:szCs w:val="20"/>
        </w:rPr>
        <w:t>S.l.</w:t>
      </w:r>
      <w:proofErr w:type="spellEnd"/>
      <w:r w:rsidRPr="00200C3F">
        <w:rPr>
          <w:sz w:val="20"/>
          <w:szCs w:val="20"/>
        </w:rPr>
        <w:t xml:space="preserve">], n. 1, p. 7-42, </w:t>
      </w:r>
      <w:proofErr w:type="spellStart"/>
      <w:r w:rsidRPr="00200C3F">
        <w:rPr>
          <w:sz w:val="20"/>
          <w:szCs w:val="20"/>
        </w:rPr>
        <w:t>july</w:t>
      </w:r>
      <w:proofErr w:type="spellEnd"/>
      <w:r w:rsidRPr="00200C3F">
        <w:rPr>
          <w:sz w:val="20"/>
          <w:szCs w:val="20"/>
        </w:rPr>
        <w:t xml:space="preserve"> 2012. ISSN 2191-6411. </w:t>
      </w:r>
      <w:r>
        <w:rPr>
          <w:sz w:val="20"/>
          <w:szCs w:val="20"/>
        </w:rPr>
        <w:t>Available at: &lt;http://heiup.uni</w:t>
      </w:r>
      <w:r w:rsidRPr="00200C3F">
        <w:rPr>
          <w:sz w:val="20"/>
          <w:szCs w:val="20"/>
        </w:rPr>
        <w:t>heidelberg.de/journals/index.php/transcultural/article/vi</w:t>
      </w:r>
      <w:r>
        <w:rPr>
          <w:sz w:val="20"/>
          <w:szCs w:val="20"/>
        </w:rPr>
        <w:t>ew/9263/3223&gt;. Date accessed: 16</w:t>
      </w:r>
      <w:r w:rsidRPr="00200C3F">
        <w:rPr>
          <w:sz w:val="20"/>
          <w:szCs w:val="20"/>
        </w:rPr>
        <w:t xml:space="preserve"> </w:t>
      </w:r>
      <w:proofErr w:type="spellStart"/>
      <w:r w:rsidRPr="00200C3F">
        <w:rPr>
          <w:sz w:val="20"/>
          <w:szCs w:val="20"/>
        </w:rPr>
        <w:t>dec.</w:t>
      </w:r>
      <w:proofErr w:type="spellEnd"/>
      <w:r w:rsidRPr="00200C3F">
        <w:rPr>
          <w:sz w:val="20"/>
          <w:szCs w:val="20"/>
        </w:rPr>
        <w:t xml:space="preserve"> 2017. </w:t>
      </w:r>
      <w:proofErr w:type="spellStart"/>
      <w:r w:rsidRPr="00200C3F">
        <w:rPr>
          <w:sz w:val="20"/>
          <w:szCs w:val="20"/>
        </w:rPr>
        <w:t>doi:http</w:t>
      </w:r>
      <w:proofErr w:type="spellEnd"/>
      <w:r w:rsidRPr="00200C3F">
        <w:rPr>
          <w:sz w:val="20"/>
          <w:szCs w:val="20"/>
        </w:rPr>
        <w:t>://dx.doi.org/10.11588/ts.2012.1.9263.</w:t>
      </w:r>
    </w:p>
    <w:p w:rsidR="004F0DCF" w:rsidRDefault="004F0DCF" w:rsidP="00A2665D">
      <w:pPr>
        <w:rPr>
          <w:sz w:val="20"/>
          <w:szCs w:val="20"/>
        </w:rPr>
      </w:pPr>
    </w:p>
    <w:p w:rsidR="00B946D4" w:rsidRDefault="00B946D4" w:rsidP="00B946D4">
      <w:pPr>
        <w:rPr>
          <w:sz w:val="20"/>
          <w:szCs w:val="20"/>
        </w:rPr>
      </w:pPr>
      <w:r w:rsidRPr="00200C3F">
        <w:rPr>
          <w:sz w:val="20"/>
          <w:szCs w:val="20"/>
        </w:rPr>
        <w:t>Tomkins, P. D. In Press. Behind the Horizon. Reconsidering the G</w:t>
      </w:r>
      <w:r>
        <w:rPr>
          <w:sz w:val="20"/>
          <w:szCs w:val="20"/>
        </w:rPr>
        <w:t>enesis and Function of the First Palace</w:t>
      </w:r>
      <w:r w:rsidRPr="00200C3F">
        <w:rPr>
          <w:sz w:val="20"/>
          <w:szCs w:val="20"/>
        </w:rPr>
        <w:t xml:space="preserve"> at Knossos (Final Neolithic IV-Middle Minoan IB). In I. </w:t>
      </w:r>
      <w:proofErr w:type="spellStart"/>
      <w:r w:rsidRPr="00200C3F">
        <w:rPr>
          <w:sz w:val="20"/>
          <w:szCs w:val="20"/>
        </w:rPr>
        <w:t>Schoep</w:t>
      </w:r>
      <w:proofErr w:type="spellEnd"/>
      <w:r w:rsidRPr="00200C3F">
        <w:rPr>
          <w:sz w:val="20"/>
          <w:szCs w:val="20"/>
        </w:rPr>
        <w:t xml:space="preserve">, J. </w:t>
      </w:r>
      <w:proofErr w:type="spellStart"/>
      <w:r w:rsidRPr="00200C3F">
        <w:rPr>
          <w:sz w:val="20"/>
          <w:szCs w:val="20"/>
        </w:rPr>
        <w:t>Driessen</w:t>
      </w:r>
      <w:proofErr w:type="spellEnd"/>
      <w:r w:rsidRPr="00200C3F">
        <w:rPr>
          <w:sz w:val="20"/>
          <w:szCs w:val="20"/>
        </w:rPr>
        <w:t xml:space="preserve"> and P. D. Tomkins (eds.), Back to the Beginning. Reassessing Social, Economic and Political Complexity on Crete in the Early and Middle Bronze Age. Proceedings of an International Workshop held at Leuven, 1-2 February 2009. Oxford: Oxbow Books.</w:t>
      </w: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4F0DCF" w:rsidRDefault="004F0DCF" w:rsidP="00A2665D">
      <w:pPr>
        <w:rPr>
          <w:sz w:val="20"/>
          <w:szCs w:val="20"/>
        </w:rPr>
      </w:pPr>
    </w:p>
    <w:p w:rsidR="00C71687" w:rsidRDefault="00C71687" w:rsidP="00A2665D">
      <w:pPr>
        <w:rPr>
          <w:sz w:val="20"/>
          <w:szCs w:val="20"/>
        </w:rPr>
      </w:pPr>
    </w:p>
    <w:p w:rsidR="002B256A" w:rsidRDefault="002B256A" w:rsidP="00A2665D">
      <w:pPr>
        <w:rPr>
          <w:sz w:val="20"/>
          <w:szCs w:val="20"/>
        </w:rPr>
      </w:pPr>
    </w:p>
    <w:p w:rsidR="004F0DCF" w:rsidRDefault="004F0DCF" w:rsidP="00A2665D">
      <w:pPr>
        <w:rPr>
          <w:sz w:val="20"/>
          <w:szCs w:val="20"/>
        </w:rPr>
      </w:pPr>
    </w:p>
    <w:p w:rsidR="004F0DCF" w:rsidRDefault="004F0DCF" w:rsidP="00A2665D">
      <w:pPr>
        <w:rPr>
          <w:sz w:val="20"/>
          <w:szCs w:val="20"/>
        </w:rPr>
      </w:pPr>
    </w:p>
    <w:p w:rsidR="00200C3F" w:rsidRDefault="00200C3F" w:rsidP="00A2665D">
      <w:pPr>
        <w:rPr>
          <w:sz w:val="20"/>
          <w:szCs w:val="20"/>
        </w:rPr>
      </w:pPr>
    </w:p>
    <w:p w:rsidR="00B946D4" w:rsidRPr="00434582" w:rsidRDefault="00B946D4">
      <w:pPr>
        <w:rPr>
          <w:sz w:val="20"/>
          <w:szCs w:val="20"/>
        </w:rPr>
      </w:pPr>
    </w:p>
    <w:sectPr w:rsidR="00B946D4" w:rsidRPr="0043458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C182404"/>
    <w:multiLevelType w:val="multilevel"/>
    <w:tmpl w:val="A83EE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2"/>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3"/>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665D"/>
    <w:rsid w:val="000728EE"/>
    <w:rsid w:val="00086F70"/>
    <w:rsid w:val="000A18FA"/>
    <w:rsid w:val="000C127F"/>
    <w:rsid w:val="00101C20"/>
    <w:rsid w:val="001C1B77"/>
    <w:rsid w:val="00200C3F"/>
    <w:rsid w:val="00215CA5"/>
    <w:rsid w:val="002332E2"/>
    <w:rsid w:val="00247799"/>
    <w:rsid w:val="002662BC"/>
    <w:rsid w:val="002873B0"/>
    <w:rsid w:val="002B256A"/>
    <w:rsid w:val="002B3ACE"/>
    <w:rsid w:val="002D21D1"/>
    <w:rsid w:val="00341C54"/>
    <w:rsid w:val="003A32E2"/>
    <w:rsid w:val="00401CBE"/>
    <w:rsid w:val="00434582"/>
    <w:rsid w:val="00482964"/>
    <w:rsid w:val="004E7AC7"/>
    <w:rsid w:val="004F0DCF"/>
    <w:rsid w:val="00645252"/>
    <w:rsid w:val="006D3D74"/>
    <w:rsid w:val="00735AF2"/>
    <w:rsid w:val="00772555"/>
    <w:rsid w:val="007A5A76"/>
    <w:rsid w:val="007B3277"/>
    <w:rsid w:val="00840848"/>
    <w:rsid w:val="008F3235"/>
    <w:rsid w:val="00941AB6"/>
    <w:rsid w:val="009C2F69"/>
    <w:rsid w:val="009D14B3"/>
    <w:rsid w:val="009F1516"/>
    <w:rsid w:val="00A2665D"/>
    <w:rsid w:val="00A370C6"/>
    <w:rsid w:val="00A9204E"/>
    <w:rsid w:val="00B90338"/>
    <w:rsid w:val="00B946D4"/>
    <w:rsid w:val="00BD7C6E"/>
    <w:rsid w:val="00C31B3B"/>
    <w:rsid w:val="00C60F76"/>
    <w:rsid w:val="00C71687"/>
    <w:rsid w:val="00CC46A1"/>
    <w:rsid w:val="00D162AE"/>
    <w:rsid w:val="00D40680"/>
    <w:rsid w:val="00D44994"/>
    <w:rsid w:val="00DC0109"/>
    <w:rsid w:val="00E30EAA"/>
    <w:rsid w:val="00E334CC"/>
    <w:rsid w:val="00E56E07"/>
    <w:rsid w:val="00E617E0"/>
    <w:rsid w:val="00E84601"/>
    <w:rsid w:val="00E95A36"/>
    <w:rsid w:val="00EC355E"/>
    <w:rsid w:val="00F00507"/>
    <w:rsid w:val="00F10724"/>
    <w:rsid w:val="00F7175D"/>
    <w:rsid w:val="00FD3C38"/>
    <w:rsid w:val="00FF0E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14FE6"/>
  <w15:chartTrackingRefBased/>
  <w15:docId w15:val="{72D9D42C-EA9A-4DC9-91BA-1F25C2BF4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8360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7759927"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amie\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Single spaced (blank)</Template>
  <TotalTime>1</TotalTime>
  <Pages>5</Pages>
  <Words>2760</Words>
  <Characters>15738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dc:creator>
  <cp:keywords/>
  <dc:description/>
  <cp:lastModifiedBy>Jamie</cp:lastModifiedBy>
  <cp:revision>2</cp:revision>
  <dcterms:created xsi:type="dcterms:W3CDTF">2017-12-21T23:49:00Z</dcterms:created>
  <dcterms:modified xsi:type="dcterms:W3CDTF">2017-12-21T23:49:00Z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