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3563E" w:rsidRPr="0043563E" w:rsidRDefault="0043563E" w:rsidP="0043563E">
      <w:pPr>
        <w:pStyle w:val="Title"/>
        <w:jc w:val="center"/>
        <w:rPr>
          <w:rFonts w:ascii="Arial" w:hAnsi="Arial" w:cs="Arial"/>
          <w:color w:val="auto"/>
          <w:sz w:val="40"/>
          <w:szCs w:val="40"/>
        </w:rPr>
      </w:pPr>
      <w:r w:rsidRPr="0043563E">
        <w:rPr>
          <w:rFonts w:ascii="Arial" w:hAnsi="Arial" w:cs="Arial"/>
          <w:color w:val="auto"/>
          <w:sz w:val="40"/>
          <w:szCs w:val="40"/>
        </w:rPr>
        <w:t>Cash Co</w:t>
      </w:r>
      <w:r w:rsidRPr="0043563E">
        <w:rPr>
          <w:rFonts w:ascii="Arial" w:hAnsi="Arial" w:cs="Arial"/>
          <w:color w:val="auto"/>
          <w:sz w:val="40"/>
          <w:szCs w:val="40"/>
        </w:rPr>
        <w:t xml:space="preserve">nversion Cycle (CCC) Explained </w:t>
      </w:r>
      <w:r w:rsidRPr="0043563E">
        <w:rPr>
          <w:rFonts w:ascii="Arial" w:hAnsi="Arial" w:cs="Arial"/>
          <w:color w:val="auto"/>
          <w:sz w:val="40"/>
          <w:szCs w:val="40"/>
        </w:rPr>
        <w:t>IHG Analysis</w:t>
      </w:r>
    </w:p>
    <w:p w:rsidR="0043563E" w:rsidRPr="0043563E" w:rsidRDefault="0043563E" w:rsidP="0043563E">
      <w:pPr>
        <w:jc w:val="center"/>
        <w:rPr>
          <w:rFonts w:ascii="Arial" w:hAnsi="Arial" w:cs="Arial"/>
        </w:rPr>
      </w:pPr>
      <w:r w:rsidRPr="0043563E">
        <w:rPr>
          <w:rFonts w:ascii="Arial" w:hAnsi="Arial" w:cs="Arial"/>
          <w:i/>
          <w:sz w:val="24"/>
        </w:rPr>
        <w:t>Working Capital Management | 2021–2025</w:t>
      </w:r>
    </w:p>
    <w:p w:rsidR="0043563E" w:rsidRDefault="0043563E" w:rsidP="0043563E"/>
    <w:p w:rsidR="0043563E" w:rsidRPr="0043563E" w:rsidRDefault="0043563E" w:rsidP="0043563E">
      <w:pPr>
        <w:pStyle w:val="Heading1"/>
        <w:rPr>
          <w:rFonts w:ascii="Arial" w:hAnsi="Arial" w:cs="Arial"/>
          <w:color w:val="auto"/>
        </w:rPr>
      </w:pPr>
      <w:r w:rsidRPr="0043563E">
        <w:rPr>
          <w:rFonts w:ascii="Arial" w:hAnsi="Arial" w:cs="Arial"/>
          <w:color w:val="auto"/>
        </w:rPr>
        <w:t>1. What is the Cash Conversion Cycle?</w:t>
      </w:r>
    </w:p>
    <w:p w:rsidR="0043563E" w:rsidRPr="0043563E" w:rsidRDefault="0043563E" w:rsidP="0043563E">
      <w:pPr>
        <w:spacing w:line="360" w:lineRule="auto"/>
        <w:jc w:val="both"/>
        <w:rPr>
          <w:rFonts w:ascii="Arial" w:hAnsi="Arial" w:cs="Arial"/>
          <w:sz w:val="24"/>
          <w:szCs w:val="24"/>
        </w:rPr>
      </w:pPr>
      <w:r w:rsidRPr="0043563E">
        <w:rPr>
          <w:rFonts w:ascii="Arial" w:hAnsi="Arial" w:cs="Arial"/>
          <w:sz w:val="24"/>
          <w:szCs w:val="24"/>
        </w:rPr>
        <w:t>The Cash Conversion Cycle (CCC), also called the Net Operating Cycle or Working Capital Cycle, measures how long it takes a company to convert its investments in inventory and other resources into cash from sales, after accounting for the time it takes to pay suppliers.</w:t>
      </w:r>
    </w:p>
    <w:p w:rsidR="0043563E" w:rsidRDefault="0043563E" w:rsidP="0043563E">
      <w:r>
        <w:rPr>
          <w:b/>
        </w:rPr>
        <w:t>Formula:</w:t>
      </w:r>
    </w:p>
    <w:p w:rsidR="0043563E" w:rsidRDefault="0043563E" w:rsidP="0043563E">
      <w:pPr>
        <w:spacing w:line="360" w:lineRule="auto"/>
        <w:jc w:val="both"/>
      </w:pPr>
      <w:r>
        <w:t>CCC = Days Inventory Outstanding (DIO) + Days Sales Outstanding (DSO) − Days Payable Outstanding (DPO)</w:t>
      </w:r>
    </w:p>
    <w:p w:rsidR="0043563E" w:rsidRDefault="0043563E" w:rsidP="0043563E">
      <w:pPr>
        <w:spacing w:line="360" w:lineRule="auto"/>
        <w:jc w:val="both"/>
      </w:pPr>
      <w:r>
        <w:rPr>
          <w:b/>
        </w:rPr>
        <w:t xml:space="preserve">• DIO (Inventory Days) </w:t>
      </w:r>
      <w:r>
        <w:t xml:space="preserve">= (Inventory ÷ Cost of Sales) × </w:t>
      </w:r>
      <w:proofErr w:type="gramStart"/>
      <w:r>
        <w:t>365  →</w:t>
      </w:r>
      <w:proofErr w:type="gramEnd"/>
      <w:r>
        <w:t xml:space="preserve">  How many days inventory sits before being sold.</w:t>
      </w:r>
    </w:p>
    <w:p w:rsidR="0043563E" w:rsidRDefault="0043563E" w:rsidP="0043563E">
      <w:pPr>
        <w:spacing w:line="360" w:lineRule="auto"/>
        <w:jc w:val="both"/>
      </w:pPr>
      <w:r>
        <w:rPr>
          <w:b/>
        </w:rPr>
        <w:t xml:space="preserve">• DSO (Receivable Days) </w:t>
      </w:r>
      <w:r>
        <w:t xml:space="preserve">= (Trade Receivables ÷ Revenue) × </w:t>
      </w:r>
      <w:proofErr w:type="gramStart"/>
      <w:r>
        <w:t>365  →</w:t>
      </w:r>
      <w:proofErr w:type="gramEnd"/>
      <w:r>
        <w:t xml:space="preserve">  How many days to collect cash from customers.</w:t>
      </w:r>
    </w:p>
    <w:p w:rsidR="0043563E" w:rsidRDefault="0043563E" w:rsidP="0043563E">
      <w:pPr>
        <w:spacing w:line="360" w:lineRule="auto"/>
        <w:jc w:val="both"/>
      </w:pPr>
      <w:r>
        <w:rPr>
          <w:b/>
        </w:rPr>
        <w:t xml:space="preserve">• DPO (Payable Days) </w:t>
      </w:r>
      <w:r>
        <w:t xml:space="preserve">= (Trade Payables ÷ Cost of Sales) × </w:t>
      </w:r>
      <w:proofErr w:type="gramStart"/>
      <w:r>
        <w:t>365  →</w:t>
      </w:r>
      <w:proofErr w:type="gramEnd"/>
      <w:r>
        <w:t xml:space="preserve">  How many days the company takes to pay its suppliers.</w:t>
      </w:r>
    </w:p>
    <w:p w:rsidR="0043563E" w:rsidRDefault="0043563E" w:rsidP="0043563E">
      <w:r>
        <w:rPr>
          <w:b/>
        </w:rPr>
        <w:t>Interpretation:</w:t>
      </w:r>
    </w:p>
    <w:p w:rsidR="0043563E" w:rsidRPr="0043563E" w:rsidRDefault="0043563E" w:rsidP="0043563E">
      <w:pPr>
        <w:spacing w:line="360" w:lineRule="auto"/>
        <w:jc w:val="both"/>
        <w:rPr>
          <w:rFonts w:ascii="Arial" w:hAnsi="Arial" w:cs="Arial"/>
          <w:sz w:val="24"/>
          <w:szCs w:val="24"/>
        </w:rPr>
      </w:pPr>
      <w:r w:rsidRPr="0043563E">
        <w:rPr>
          <w:rFonts w:ascii="Arial" w:hAnsi="Arial" w:cs="Arial"/>
          <w:sz w:val="24"/>
          <w:szCs w:val="24"/>
        </w:rPr>
        <w:t>A shorter (or neg</w:t>
      </w:r>
      <w:r>
        <w:rPr>
          <w:rFonts w:ascii="Arial" w:hAnsi="Arial" w:cs="Arial"/>
          <w:sz w:val="24"/>
          <w:szCs w:val="24"/>
        </w:rPr>
        <w:t xml:space="preserve">ative) CCC is generally </w:t>
      </w:r>
      <w:proofErr w:type="gramStart"/>
      <w:r>
        <w:rPr>
          <w:rFonts w:ascii="Arial" w:hAnsi="Arial" w:cs="Arial"/>
          <w:sz w:val="24"/>
          <w:szCs w:val="24"/>
        </w:rPr>
        <w:t xml:space="preserve">better </w:t>
      </w:r>
      <w:r w:rsidRPr="0043563E">
        <w:rPr>
          <w:rFonts w:ascii="Arial" w:hAnsi="Arial" w:cs="Arial"/>
          <w:sz w:val="24"/>
          <w:szCs w:val="24"/>
        </w:rPr>
        <w:t xml:space="preserve"> it</w:t>
      </w:r>
      <w:proofErr w:type="gramEnd"/>
      <w:r w:rsidRPr="0043563E">
        <w:rPr>
          <w:rFonts w:ascii="Arial" w:hAnsi="Arial" w:cs="Arial"/>
          <w:sz w:val="24"/>
          <w:szCs w:val="24"/>
        </w:rPr>
        <w:t xml:space="preserve"> means the company recovers cash quickly and can use supplier credit effectively. A long positive CCC ties up cash in working capital.</w:t>
      </w:r>
    </w:p>
    <w:p w:rsidR="0043563E" w:rsidRPr="0043563E" w:rsidRDefault="0043563E" w:rsidP="0043563E">
      <w:pPr>
        <w:pStyle w:val="Heading1"/>
        <w:jc w:val="both"/>
        <w:rPr>
          <w:rFonts w:ascii="Arial" w:hAnsi="Arial" w:cs="Arial"/>
          <w:color w:val="auto"/>
        </w:rPr>
      </w:pPr>
      <w:r w:rsidRPr="0043563E">
        <w:rPr>
          <w:rFonts w:ascii="Arial" w:hAnsi="Arial" w:cs="Arial"/>
          <w:color w:val="auto"/>
        </w:rPr>
        <w:t>2. Why CCC Matters (and its Limitations) for IHG</w:t>
      </w:r>
    </w:p>
    <w:p w:rsidR="0043563E" w:rsidRPr="0043563E" w:rsidRDefault="0043563E" w:rsidP="0043563E">
      <w:pPr>
        <w:rPr>
          <w:rFonts w:ascii="Arial" w:hAnsi="Arial" w:cs="Arial"/>
          <w:sz w:val="24"/>
          <w:szCs w:val="24"/>
        </w:rPr>
      </w:pPr>
      <w:r w:rsidRPr="0043563E">
        <w:rPr>
          <w:rFonts w:ascii="Arial" w:hAnsi="Arial" w:cs="Arial"/>
          <w:sz w:val="24"/>
          <w:szCs w:val="24"/>
        </w:rPr>
        <w:t>IHG operates a highly asset-light model (predominantly franchising and managing hotels). As a result:</w:t>
      </w:r>
    </w:p>
    <w:p w:rsidR="0043563E" w:rsidRPr="0043563E" w:rsidRDefault="0043563E" w:rsidP="0043563E">
      <w:pPr>
        <w:pStyle w:val="ListBullet"/>
        <w:numPr>
          <w:ilvl w:val="0"/>
          <w:numId w:val="0"/>
        </w:numPr>
        <w:ind w:left="360"/>
        <w:rPr>
          <w:rFonts w:ascii="Arial" w:hAnsi="Arial" w:cs="Arial"/>
          <w:sz w:val="24"/>
          <w:szCs w:val="24"/>
        </w:rPr>
      </w:pPr>
      <w:r w:rsidRPr="0043563E">
        <w:rPr>
          <w:rFonts w:ascii="Arial" w:hAnsi="Arial" w:cs="Arial"/>
          <w:sz w:val="24"/>
          <w:szCs w:val="24"/>
        </w:rPr>
        <w:t>• Inventory is almost non-existent (only a few million dollars), so DIO is effectively zero every year.</w:t>
      </w:r>
    </w:p>
    <w:p w:rsidR="0043563E" w:rsidRPr="0043563E" w:rsidRDefault="0043563E" w:rsidP="0043563E">
      <w:pPr>
        <w:pStyle w:val="ListBullet"/>
        <w:numPr>
          <w:ilvl w:val="0"/>
          <w:numId w:val="0"/>
        </w:numPr>
        <w:spacing w:line="360" w:lineRule="auto"/>
        <w:ind w:left="360"/>
        <w:jc w:val="both"/>
        <w:rPr>
          <w:rFonts w:ascii="Arial" w:hAnsi="Arial" w:cs="Arial"/>
          <w:sz w:val="24"/>
          <w:szCs w:val="24"/>
        </w:rPr>
      </w:pPr>
      <w:r w:rsidRPr="0043563E">
        <w:rPr>
          <w:rFonts w:ascii="Arial" w:hAnsi="Arial" w:cs="Arial"/>
          <w:sz w:val="24"/>
          <w:szCs w:val="24"/>
        </w:rPr>
        <w:lastRenderedPageBreak/>
        <w:t>• The classic manufacturing-style working capital cycle is less relevant. Cash generation comes mainly from fee income rather than buying, holding and selling physical goods.</w:t>
      </w:r>
    </w:p>
    <w:p w:rsidR="0043563E" w:rsidRPr="0043563E" w:rsidRDefault="0043563E" w:rsidP="0043563E">
      <w:pPr>
        <w:pStyle w:val="ListBullet"/>
        <w:numPr>
          <w:ilvl w:val="0"/>
          <w:numId w:val="0"/>
        </w:numPr>
        <w:spacing w:line="360" w:lineRule="auto"/>
        <w:ind w:left="360"/>
        <w:jc w:val="both"/>
        <w:rPr>
          <w:rFonts w:ascii="Arial" w:hAnsi="Arial" w:cs="Arial"/>
          <w:sz w:val="24"/>
          <w:szCs w:val="24"/>
        </w:rPr>
      </w:pPr>
      <w:r w:rsidRPr="0043563E">
        <w:rPr>
          <w:rFonts w:ascii="Arial" w:hAnsi="Arial" w:cs="Arial"/>
          <w:sz w:val="24"/>
          <w:szCs w:val="24"/>
        </w:rPr>
        <w:t xml:space="preserve">• “Trade and other payables” include large amounts of deferred revenue, loyalty </w:t>
      </w:r>
      <w:proofErr w:type="spellStart"/>
      <w:r w:rsidRPr="0043563E">
        <w:rPr>
          <w:rFonts w:ascii="Arial" w:hAnsi="Arial" w:cs="Arial"/>
          <w:sz w:val="24"/>
          <w:szCs w:val="24"/>
        </w:rPr>
        <w:t>programme</w:t>
      </w:r>
      <w:proofErr w:type="spellEnd"/>
      <w:r w:rsidRPr="0043563E">
        <w:rPr>
          <w:rFonts w:ascii="Arial" w:hAnsi="Arial" w:cs="Arial"/>
          <w:sz w:val="24"/>
          <w:szCs w:val="24"/>
        </w:rPr>
        <w:t xml:space="preserve"> liabilities and System Fund balances. This inflates DPO and makes the CCC appear strongly negative.</w:t>
      </w:r>
    </w:p>
    <w:p w:rsidR="0043563E" w:rsidRDefault="0043563E" w:rsidP="0043563E">
      <w:r>
        <w:t>Nevertheless, tracking DSO remains useful as an indicator of fee collection efficiency from hotel owners, and the overall negative CCC confirms the cash-generative nature of the business model.</w:t>
      </w:r>
    </w:p>
    <w:p w:rsidR="00CF1606" w:rsidRDefault="00CF1606"/>
    <w:p w:rsidR="0043563E" w:rsidRPr="0043563E" w:rsidRDefault="0043563E" w:rsidP="0043563E">
      <w:pPr>
        <w:pStyle w:val="Heading1"/>
        <w:rPr>
          <w:rFonts w:ascii="Arial" w:hAnsi="Arial" w:cs="Arial"/>
          <w:color w:val="auto"/>
        </w:rPr>
      </w:pPr>
      <w:r w:rsidRPr="0043563E">
        <w:rPr>
          <w:rFonts w:ascii="Arial" w:hAnsi="Arial" w:cs="Arial"/>
          <w:color w:val="auto"/>
        </w:rPr>
        <w:t>3. IHG CCC Results 2021–2025</w:t>
      </w:r>
    </w:p>
    <w:p w:rsidR="0043563E" w:rsidRDefault="0043563E" w:rsidP="0043563E">
      <w:r>
        <w:rPr>
          <w:b/>
        </w:rPr>
        <w:t>Summary of calculated days:</w:t>
      </w:r>
    </w:p>
    <w:tbl>
      <w:tblPr>
        <w:tblStyle w:val="TableGrid"/>
        <w:tblW w:w="0" w:type="auto"/>
        <w:tblLook w:val="04A0" w:firstRow="1" w:lastRow="0" w:firstColumn="1" w:lastColumn="0" w:noHBand="0" w:noVBand="1"/>
      </w:tblPr>
      <w:tblGrid>
        <w:gridCol w:w="1546"/>
        <w:gridCol w:w="1534"/>
        <w:gridCol w:w="1534"/>
        <w:gridCol w:w="1534"/>
        <w:gridCol w:w="1547"/>
        <w:gridCol w:w="1547"/>
      </w:tblGrid>
      <w:tr w:rsidR="0043563E" w:rsidTr="00BD4060">
        <w:tc>
          <w:tcPr>
            <w:tcW w:w="1608" w:type="dxa"/>
          </w:tcPr>
          <w:p w:rsidR="0043563E" w:rsidRDefault="0043563E" w:rsidP="00BD4060">
            <w:r>
              <w:t>Metric</w:t>
            </w:r>
          </w:p>
        </w:tc>
        <w:tc>
          <w:tcPr>
            <w:tcW w:w="1608" w:type="dxa"/>
          </w:tcPr>
          <w:p w:rsidR="0043563E" w:rsidRDefault="0043563E" w:rsidP="00BD4060">
            <w:r>
              <w:t>2021</w:t>
            </w:r>
          </w:p>
        </w:tc>
        <w:tc>
          <w:tcPr>
            <w:tcW w:w="1608" w:type="dxa"/>
          </w:tcPr>
          <w:p w:rsidR="0043563E" w:rsidRDefault="0043563E" w:rsidP="00BD4060">
            <w:r>
              <w:t>2022</w:t>
            </w:r>
          </w:p>
        </w:tc>
        <w:tc>
          <w:tcPr>
            <w:tcW w:w="1608" w:type="dxa"/>
          </w:tcPr>
          <w:p w:rsidR="0043563E" w:rsidRDefault="0043563E" w:rsidP="00BD4060">
            <w:r>
              <w:t>2023</w:t>
            </w:r>
          </w:p>
        </w:tc>
        <w:tc>
          <w:tcPr>
            <w:tcW w:w="1608" w:type="dxa"/>
          </w:tcPr>
          <w:p w:rsidR="0043563E" w:rsidRDefault="0043563E" w:rsidP="00BD4060">
            <w:r>
              <w:t>2024</w:t>
            </w:r>
          </w:p>
        </w:tc>
        <w:tc>
          <w:tcPr>
            <w:tcW w:w="1608" w:type="dxa"/>
          </w:tcPr>
          <w:p w:rsidR="0043563E" w:rsidRDefault="0043563E" w:rsidP="00BD4060">
            <w:r>
              <w:t>2025</w:t>
            </w:r>
          </w:p>
        </w:tc>
      </w:tr>
      <w:tr w:rsidR="0043563E" w:rsidTr="00BD4060">
        <w:tc>
          <w:tcPr>
            <w:tcW w:w="1608" w:type="dxa"/>
          </w:tcPr>
          <w:p w:rsidR="0043563E" w:rsidRDefault="0043563E" w:rsidP="00BD4060">
            <w:r>
              <w:t>DSO (days)</w:t>
            </w:r>
          </w:p>
        </w:tc>
        <w:tc>
          <w:tcPr>
            <w:tcW w:w="1608" w:type="dxa"/>
          </w:tcPr>
          <w:p w:rsidR="0043563E" w:rsidRDefault="0043563E" w:rsidP="00BD4060">
            <w:r>
              <w:t>72.2</w:t>
            </w:r>
          </w:p>
        </w:tc>
        <w:tc>
          <w:tcPr>
            <w:tcW w:w="1608" w:type="dxa"/>
          </w:tcPr>
          <w:p w:rsidR="0043563E" w:rsidRDefault="0043563E" w:rsidP="00BD4060">
            <w:r>
              <w:t>62.1</w:t>
            </w:r>
          </w:p>
        </w:tc>
        <w:tc>
          <w:tcPr>
            <w:tcW w:w="1608" w:type="dxa"/>
          </w:tcPr>
          <w:p w:rsidR="0043563E" w:rsidRDefault="0043563E" w:rsidP="00BD4060">
            <w:r>
              <w:t>59.6</w:t>
            </w:r>
          </w:p>
        </w:tc>
        <w:tc>
          <w:tcPr>
            <w:tcW w:w="1608" w:type="dxa"/>
          </w:tcPr>
          <w:p w:rsidR="0043563E" w:rsidRDefault="0043563E" w:rsidP="00BD4060">
            <w:r>
              <w:t>59.8</w:t>
            </w:r>
          </w:p>
        </w:tc>
        <w:tc>
          <w:tcPr>
            <w:tcW w:w="1608" w:type="dxa"/>
          </w:tcPr>
          <w:p w:rsidR="0043563E" w:rsidRDefault="0043563E" w:rsidP="00BD4060">
            <w:r>
              <w:t>60.5</w:t>
            </w:r>
          </w:p>
        </w:tc>
      </w:tr>
      <w:tr w:rsidR="0043563E" w:rsidTr="00BD4060">
        <w:tc>
          <w:tcPr>
            <w:tcW w:w="1608" w:type="dxa"/>
          </w:tcPr>
          <w:p w:rsidR="0043563E" w:rsidRDefault="0043563E" w:rsidP="00BD4060">
            <w:r>
              <w:t>DIO (days)</w:t>
            </w:r>
          </w:p>
        </w:tc>
        <w:tc>
          <w:tcPr>
            <w:tcW w:w="1608" w:type="dxa"/>
          </w:tcPr>
          <w:p w:rsidR="0043563E" w:rsidRDefault="0043563E" w:rsidP="00BD4060">
            <w:r>
              <w:t>~1.0</w:t>
            </w:r>
          </w:p>
        </w:tc>
        <w:tc>
          <w:tcPr>
            <w:tcW w:w="1608" w:type="dxa"/>
          </w:tcPr>
          <w:p w:rsidR="0043563E" w:rsidRDefault="0043563E" w:rsidP="00BD4060">
            <w:r>
              <w:t>~0.8</w:t>
            </w:r>
          </w:p>
        </w:tc>
        <w:tc>
          <w:tcPr>
            <w:tcW w:w="1608" w:type="dxa"/>
          </w:tcPr>
          <w:p w:rsidR="0043563E" w:rsidRDefault="0043563E" w:rsidP="00BD4060">
            <w:r>
              <w:t>~0.8</w:t>
            </w:r>
          </w:p>
        </w:tc>
        <w:tc>
          <w:tcPr>
            <w:tcW w:w="1608" w:type="dxa"/>
          </w:tcPr>
          <w:p w:rsidR="0043563E" w:rsidRDefault="0043563E" w:rsidP="00BD4060">
            <w:r>
              <w:t>2.0</w:t>
            </w:r>
          </w:p>
        </w:tc>
        <w:tc>
          <w:tcPr>
            <w:tcW w:w="1608" w:type="dxa"/>
          </w:tcPr>
          <w:p w:rsidR="0043563E" w:rsidRDefault="0043563E" w:rsidP="00BD4060">
            <w:r>
              <w:t>2.4</w:t>
            </w:r>
          </w:p>
        </w:tc>
      </w:tr>
      <w:tr w:rsidR="0043563E" w:rsidTr="00BD4060">
        <w:tc>
          <w:tcPr>
            <w:tcW w:w="1608" w:type="dxa"/>
          </w:tcPr>
          <w:p w:rsidR="0043563E" w:rsidRDefault="0043563E" w:rsidP="00BD4060">
            <w:r>
              <w:t>DPO (days)</w:t>
            </w:r>
          </w:p>
        </w:tc>
        <w:tc>
          <w:tcPr>
            <w:tcW w:w="1608" w:type="dxa"/>
          </w:tcPr>
          <w:p w:rsidR="0043563E" w:rsidRDefault="0043563E" w:rsidP="00BD4060">
            <w:r>
              <w:t>n/a</w:t>
            </w:r>
          </w:p>
        </w:tc>
        <w:tc>
          <w:tcPr>
            <w:tcW w:w="1608" w:type="dxa"/>
          </w:tcPr>
          <w:p w:rsidR="0043563E" w:rsidRDefault="0043563E" w:rsidP="00BD4060">
            <w:r>
              <w:t>n/a</w:t>
            </w:r>
          </w:p>
        </w:tc>
        <w:tc>
          <w:tcPr>
            <w:tcW w:w="1608" w:type="dxa"/>
          </w:tcPr>
          <w:p w:rsidR="0043563E" w:rsidRDefault="0043563E" w:rsidP="00BD4060">
            <w:r>
              <w:t>n/a*</w:t>
            </w:r>
          </w:p>
        </w:tc>
        <w:tc>
          <w:tcPr>
            <w:tcW w:w="1608" w:type="dxa"/>
          </w:tcPr>
          <w:p w:rsidR="0043563E" w:rsidRDefault="0043563E" w:rsidP="00BD4060">
            <w:r>
              <w:t>318.5</w:t>
            </w:r>
          </w:p>
        </w:tc>
        <w:tc>
          <w:tcPr>
            <w:tcW w:w="1608" w:type="dxa"/>
          </w:tcPr>
          <w:p w:rsidR="0043563E" w:rsidRDefault="0043563E" w:rsidP="00BD4060">
            <w:r>
              <w:t>323.0</w:t>
            </w:r>
          </w:p>
        </w:tc>
      </w:tr>
      <w:tr w:rsidR="0043563E" w:rsidTr="00BD4060">
        <w:tc>
          <w:tcPr>
            <w:tcW w:w="1608" w:type="dxa"/>
          </w:tcPr>
          <w:p w:rsidR="0043563E" w:rsidRDefault="0043563E" w:rsidP="00BD4060">
            <w:r>
              <w:t>CCC (days)</w:t>
            </w:r>
          </w:p>
        </w:tc>
        <w:tc>
          <w:tcPr>
            <w:tcW w:w="1608" w:type="dxa"/>
          </w:tcPr>
          <w:p w:rsidR="0043563E" w:rsidRDefault="0043563E" w:rsidP="00BD4060">
            <w:r>
              <w:t>n/a</w:t>
            </w:r>
          </w:p>
        </w:tc>
        <w:tc>
          <w:tcPr>
            <w:tcW w:w="1608" w:type="dxa"/>
          </w:tcPr>
          <w:p w:rsidR="0043563E" w:rsidRDefault="0043563E" w:rsidP="00BD4060">
            <w:r>
              <w:t>n/a</w:t>
            </w:r>
          </w:p>
        </w:tc>
        <w:tc>
          <w:tcPr>
            <w:tcW w:w="1608" w:type="dxa"/>
          </w:tcPr>
          <w:p w:rsidR="0043563E" w:rsidRDefault="0043563E" w:rsidP="00BD4060">
            <w:r>
              <w:t>n/a*</w:t>
            </w:r>
          </w:p>
        </w:tc>
        <w:tc>
          <w:tcPr>
            <w:tcW w:w="1608" w:type="dxa"/>
          </w:tcPr>
          <w:p w:rsidR="0043563E" w:rsidRDefault="0043563E" w:rsidP="00BD4060">
            <w:r>
              <w:t>−256.7</w:t>
            </w:r>
          </w:p>
        </w:tc>
        <w:tc>
          <w:tcPr>
            <w:tcW w:w="1608" w:type="dxa"/>
          </w:tcPr>
          <w:p w:rsidR="0043563E" w:rsidRDefault="0043563E" w:rsidP="00BD4060">
            <w:r>
              <w:t>−260.1</w:t>
            </w:r>
          </w:p>
        </w:tc>
      </w:tr>
    </w:tbl>
    <w:p w:rsidR="0043563E" w:rsidRDefault="0043563E" w:rsidP="0043563E">
      <w:r>
        <w:rPr>
          <w:i/>
          <w:sz w:val="18"/>
        </w:rPr>
        <w:t>* DPO and CCC for earlier years limited by incomplete public Cost of Sales and detailed payables data.</w:t>
      </w:r>
    </w:p>
    <w:p w:rsidR="0043563E" w:rsidRPr="0043563E" w:rsidRDefault="0043563E" w:rsidP="0043563E">
      <w:pPr>
        <w:pStyle w:val="Heading1"/>
        <w:rPr>
          <w:rFonts w:ascii="Arial" w:hAnsi="Arial" w:cs="Arial"/>
          <w:color w:val="auto"/>
        </w:rPr>
      </w:pPr>
      <w:r w:rsidRPr="0043563E">
        <w:rPr>
          <w:rFonts w:ascii="Arial" w:hAnsi="Arial" w:cs="Arial"/>
          <w:color w:val="auto"/>
        </w:rPr>
        <w:t>4. Significant Year-on-Year Changes</w:t>
      </w:r>
    </w:p>
    <w:p w:rsidR="0043563E" w:rsidRPr="0043563E" w:rsidRDefault="0043563E" w:rsidP="0043563E">
      <w:pPr>
        <w:spacing w:line="360" w:lineRule="auto"/>
        <w:jc w:val="both"/>
        <w:rPr>
          <w:rFonts w:ascii="Arial" w:hAnsi="Arial" w:cs="Arial"/>
          <w:sz w:val="24"/>
          <w:szCs w:val="24"/>
        </w:rPr>
      </w:pPr>
      <w:r w:rsidRPr="0043563E">
        <w:rPr>
          <w:rFonts w:ascii="Arial" w:hAnsi="Arial" w:cs="Arial"/>
          <w:b/>
          <w:sz w:val="24"/>
          <w:szCs w:val="24"/>
        </w:rPr>
        <w:t xml:space="preserve">Receivable Days (DSO): </w:t>
      </w:r>
      <w:r w:rsidRPr="0043563E">
        <w:rPr>
          <w:rFonts w:ascii="Arial" w:hAnsi="Arial" w:cs="Arial"/>
          <w:sz w:val="24"/>
          <w:szCs w:val="24"/>
        </w:rPr>
        <w:t xml:space="preserve">Improved sharply from 72 days in 2021 to around 60 days by 2023 and then </w:t>
      </w:r>
      <w:r w:rsidRPr="0043563E">
        <w:rPr>
          <w:rFonts w:ascii="Arial" w:hAnsi="Arial" w:cs="Arial"/>
          <w:sz w:val="24"/>
          <w:szCs w:val="24"/>
        </w:rPr>
        <w:t>stabilized</w:t>
      </w:r>
      <w:r w:rsidRPr="0043563E">
        <w:rPr>
          <w:rFonts w:ascii="Arial" w:hAnsi="Arial" w:cs="Arial"/>
          <w:sz w:val="24"/>
          <w:szCs w:val="24"/>
        </w:rPr>
        <w:t>. The 2021–2022 drop of ~10 days reflected strong post-pandemic revenue recovery that outpaced growth in receivables. Since 2023 the collection period has remained steady and healthy for a global fee-based company.</w:t>
      </w:r>
    </w:p>
    <w:p w:rsidR="0043563E" w:rsidRPr="0043563E" w:rsidRDefault="0043563E" w:rsidP="0043563E">
      <w:pPr>
        <w:spacing w:line="360" w:lineRule="auto"/>
        <w:jc w:val="both"/>
        <w:rPr>
          <w:rFonts w:ascii="Arial" w:hAnsi="Arial" w:cs="Arial"/>
          <w:sz w:val="24"/>
          <w:szCs w:val="24"/>
        </w:rPr>
      </w:pPr>
      <w:proofErr w:type="gramStart"/>
      <w:r w:rsidRPr="0043563E">
        <w:rPr>
          <w:rFonts w:ascii="Arial" w:hAnsi="Arial" w:cs="Arial"/>
          <w:b/>
          <w:sz w:val="24"/>
          <w:szCs w:val="24"/>
        </w:rPr>
        <w:t xml:space="preserve">Inventory Days (DIO): </w:t>
      </w:r>
      <w:r w:rsidRPr="0043563E">
        <w:rPr>
          <w:rFonts w:ascii="Arial" w:hAnsi="Arial" w:cs="Arial"/>
          <w:sz w:val="24"/>
          <w:szCs w:val="24"/>
        </w:rPr>
        <w:t>No meaningful change.</w:t>
      </w:r>
      <w:proofErr w:type="gramEnd"/>
      <w:r w:rsidRPr="0043563E">
        <w:rPr>
          <w:rFonts w:ascii="Arial" w:hAnsi="Arial" w:cs="Arial"/>
          <w:sz w:val="24"/>
          <w:szCs w:val="24"/>
        </w:rPr>
        <w:t xml:space="preserve"> </w:t>
      </w:r>
      <w:proofErr w:type="gramStart"/>
      <w:r w:rsidRPr="0043563E">
        <w:rPr>
          <w:rFonts w:ascii="Arial" w:hAnsi="Arial" w:cs="Arial"/>
          <w:sz w:val="24"/>
          <w:szCs w:val="24"/>
        </w:rPr>
        <w:t>Stayed at essentially zero throughout the five years, consistent with the asset-light model.</w:t>
      </w:r>
      <w:proofErr w:type="gramEnd"/>
    </w:p>
    <w:p w:rsidR="0043563E" w:rsidRPr="0043563E" w:rsidRDefault="0043563E" w:rsidP="0043563E">
      <w:pPr>
        <w:spacing w:line="360" w:lineRule="auto"/>
        <w:jc w:val="both"/>
        <w:rPr>
          <w:rFonts w:ascii="Arial" w:hAnsi="Arial" w:cs="Arial"/>
          <w:sz w:val="24"/>
          <w:szCs w:val="24"/>
        </w:rPr>
      </w:pPr>
      <w:r w:rsidRPr="0043563E">
        <w:rPr>
          <w:rFonts w:ascii="Arial" w:hAnsi="Arial" w:cs="Arial"/>
          <w:b/>
          <w:sz w:val="24"/>
          <w:szCs w:val="24"/>
        </w:rPr>
        <w:t xml:space="preserve">Payable Days &amp; CCC: </w:t>
      </w:r>
      <w:r w:rsidRPr="0043563E">
        <w:rPr>
          <w:rFonts w:ascii="Arial" w:hAnsi="Arial" w:cs="Arial"/>
          <w:sz w:val="24"/>
          <w:szCs w:val="24"/>
        </w:rPr>
        <w:t>Complete data available mainly for 2024–2025. Both years show a strongly negative CCC (approximately −257 to −260 days). This indicates that IHG converts its operating activities into cash very efficiently and benefits from the timing of deferred revenue and loyalty-related balances. There was no deterioration between 2024 and 2025.</w:t>
      </w:r>
    </w:p>
    <w:p w:rsidR="0043563E" w:rsidRPr="0043563E" w:rsidRDefault="0043563E" w:rsidP="0043563E">
      <w:pPr>
        <w:pStyle w:val="Heading1"/>
        <w:rPr>
          <w:rFonts w:ascii="Arial" w:hAnsi="Arial" w:cs="Arial"/>
          <w:color w:val="auto"/>
        </w:rPr>
      </w:pPr>
      <w:r w:rsidRPr="0043563E">
        <w:rPr>
          <w:rFonts w:ascii="Arial" w:hAnsi="Arial" w:cs="Arial"/>
          <w:color w:val="auto"/>
        </w:rPr>
        <w:lastRenderedPageBreak/>
        <w:t>5. Conclusion on Working Capital Management</w:t>
      </w:r>
    </w:p>
    <w:p w:rsidR="0043563E" w:rsidRPr="0043563E" w:rsidRDefault="0043563E" w:rsidP="0043563E">
      <w:pPr>
        <w:spacing w:line="360" w:lineRule="auto"/>
        <w:jc w:val="both"/>
        <w:rPr>
          <w:rFonts w:ascii="Arial" w:hAnsi="Arial" w:cs="Arial"/>
          <w:sz w:val="24"/>
          <w:szCs w:val="24"/>
        </w:rPr>
      </w:pPr>
      <w:r w:rsidRPr="0043563E">
        <w:rPr>
          <w:rFonts w:ascii="Arial" w:hAnsi="Arial" w:cs="Arial"/>
          <w:sz w:val="24"/>
          <w:szCs w:val="24"/>
        </w:rPr>
        <w:t>IHG demonstrates strong working capital management characteristics typical of a successful asset-light hospitality platform:</w:t>
      </w:r>
    </w:p>
    <w:p w:rsidR="0043563E" w:rsidRPr="0043563E" w:rsidRDefault="0043563E" w:rsidP="0043563E">
      <w:pPr>
        <w:pStyle w:val="ListBullet"/>
        <w:numPr>
          <w:ilvl w:val="0"/>
          <w:numId w:val="0"/>
        </w:numPr>
        <w:spacing w:line="360" w:lineRule="auto"/>
        <w:ind w:left="360"/>
        <w:jc w:val="both"/>
        <w:rPr>
          <w:rFonts w:ascii="Arial" w:hAnsi="Arial" w:cs="Arial"/>
          <w:sz w:val="24"/>
          <w:szCs w:val="24"/>
        </w:rPr>
      </w:pPr>
      <w:r w:rsidRPr="0043563E">
        <w:rPr>
          <w:rFonts w:ascii="Arial" w:hAnsi="Arial" w:cs="Arial"/>
          <w:sz w:val="24"/>
          <w:szCs w:val="24"/>
        </w:rPr>
        <w:t>• Near-zero inventory investment</w:t>
      </w:r>
    </w:p>
    <w:p w:rsidR="0043563E" w:rsidRPr="0043563E" w:rsidRDefault="0043563E" w:rsidP="0043563E">
      <w:pPr>
        <w:pStyle w:val="ListBullet"/>
        <w:numPr>
          <w:ilvl w:val="0"/>
          <w:numId w:val="0"/>
        </w:numPr>
        <w:spacing w:line="360" w:lineRule="auto"/>
        <w:ind w:left="360"/>
        <w:jc w:val="both"/>
        <w:rPr>
          <w:rFonts w:ascii="Arial" w:hAnsi="Arial" w:cs="Arial"/>
          <w:sz w:val="24"/>
          <w:szCs w:val="24"/>
        </w:rPr>
      </w:pPr>
      <w:r w:rsidRPr="0043563E">
        <w:rPr>
          <w:rFonts w:ascii="Arial" w:hAnsi="Arial" w:cs="Arial"/>
          <w:sz w:val="24"/>
          <w:szCs w:val="24"/>
        </w:rPr>
        <w:t>• Stable and reasonable receivable collection period (~60 days)</w:t>
      </w:r>
    </w:p>
    <w:p w:rsidR="0043563E" w:rsidRPr="0043563E" w:rsidRDefault="0043563E" w:rsidP="0043563E">
      <w:pPr>
        <w:pStyle w:val="ListBullet"/>
        <w:numPr>
          <w:ilvl w:val="0"/>
          <w:numId w:val="0"/>
        </w:numPr>
        <w:spacing w:line="360" w:lineRule="auto"/>
        <w:ind w:left="360"/>
        <w:jc w:val="both"/>
        <w:rPr>
          <w:rFonts w:ascii="Arial" w:hAnsi="Arial" w:cs="Arial"/>
          <w:sz w:val="24"/>
          <w:szCs w:val="24"/>
        </w:rPr>
      </w:pPr>
      <w:r w:rsidRPr="0043563E">
        <w:rPr>
          <w:rFonts w:ascii="Arial" w:hAnsi="Arial" w:cs="Arial"/>
          <w:sz w:val="24"/>
          <w:szCs w:val="24"/>
        </w:rPr>
        <w:t>• Structurally negative cash conversion cycle, meaning the business is a net generator of cash from its operating cycle</w:t>
      </w:r>
    </w:p>
    <w:p w:rsidR="0043563E" w:rsidRPr="0043563E" w:rsidRDefault="0043563E" w:rsidP="0043563E">
      <w:pPr>
        <w:spacing w:line="360" w:lineRule="auto"/>
        <w:jc w:val="both"/>
        <w:rPr>
          <w:rFonts w:ascii="Arial" w:hAnsi="Arial" w:cs="Arial"/>
          <w:sz w:val="24"/>
          <w:szCs w:val="24"/>
        </w:rPr>
      </w:pPr>
      <w:r w:rsidRPr="0043563E">
        <w:rPr>
          <w:rFonts w:ascii="Arial" w:hAnsi="Arial" w:cs="Arial"/>
          <w:sz w:val="24"/>
          <w:szCs w:val="24"/>
        </w:rPr>
        <w:t xml:space="preserve">Working capital is not a material constraint on IHG’s growth or cash returns to shareholders. Management focus correctly remains on fee growth, margin expansion, system size and free cash flow conversion rather than traditional inventory or payable </w:t>
      </w:r>
      <w:r w:rsidRPr="0043563E">
        <w:rPr>
          <w:rFonts w:ascii="Arial" w:hAnsi="Arial" w:cs="Arial"/>
          <w:sz w:val="24"/>
          <w:szCs w:val="24"/>
        </w:rPr>
        <w:t>optimization</w:t>
      </w:r>
      <w:r w:rsidRPr="0043563E">
        <w:rPr>
          <w:rFonts w:ascii="Arial" w:hAnsi="Arial" w:cs="Arial"/>
          <w:sz w:val="24"/>
          <w:szCs w:val="24"/>
        </w:rPr>
        <w:t>.</w:t>
      </w:r>
      <w:bookmarkStart w:id="0" w:name="_GoBack"/>
      <w:bookmarkEnd w:id="0"/>
    </w:p>
    <w:p w:rsidR="0043563E" w:rsidRPr="0043563E" w:rsidRDefault="0043563E" w:rsidP="0043563E">
      <w:pPr>
        <w:rPr>
          <w:rFonts w:ascii="Arial" w:hAnsi="Arial" w:cs="Arial"/>
        </w:rPr>
      </w:pPr>
      <w:r w:rsidRPr="0043563E">
        <w:rPr>
          <w:rFonts w:ascii="Arial" w:hAnsi="Arial" w:cs="Arial"/>
        </w:rPr>
        <w:t xml:space="preserve">Source: Calculated from IHG Full Year Results and balance sheet data 2021–2025. </w:t>
      </w:r>
      <w:proofErr w:type="gramStart"/>
      <w:r w:rsidRPr="0043563E">
        <w:rPr>
          <w:rFonts w:ascii="Arial" w:hAnsi="Arial" w:cs="Arial"/>
        </w:rPr>
        <w:t>Prepared July 2026.</w:t>
      </w:r>
      <w:proofErr w:type="gramEnd"/>
    </w:p>
    <w:p w:rsidR="0043563E" w:rsidRDefault="0043563E"/>
    <w:sectPr w:rsidR="004356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89"/>
    <w:multiLevelType w:val="singleLevel"/>
    <w:tmpl w:val="C0B0982A"/>
    <w:lvl w:ilvl="0">
      <w:start w:val="1"/>
      <w:numFmt w:val="bullet"/>
      <w:pStyle w:val="ListBullet"/>
      <w:lvlText w:val=""/>
      <w:lvlJc w:val="left"/>
      <w:pPr>
        <w:tabs>
          <w:tab w:val="num" w:pos="360"/>
        </w:tabs>
        <w:ind w:left="360" w:hanging="360"/>
      </w:pPr>
      <w:rPr>
        <w:rFonts w:ascii="Symbol" w:hAnsi="Symbo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3563E"/>
    <w:rsid w:val="0043563E"/>
    <w:rsid w:val="00CF16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3563E"/>
    <w:rPr>
      <w:rFonts w:eastAsiaTheme="minorEastAsia"/>
      <w:lang w:val="en-US"/>
    </w:rPr>
  </w:style>
  <w:style w:type="paragraph" w:styleId="Heading1">
    <w:name w:val="heading 1"/>
    <w:basedOn w:val="Normal"/>
    <w:next w:val="Normal"/>
    <w:link w:val="Heading1Char"/>
    <w:uiPriority w:val="9"/>
    <w:qFormat/>
    <w:rsid w:val="0043563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563E"/>
    <w:rPr>
      <w:rFonts w:asciiTheme="majorHAnsi" w:eastAsiaTheme="majorEastAsia" w:hAnsiTheme="majorHAnsi" w:cstheme="majorBidi"/>
      <w:b/>
      <w:bCs/>
      <w:color w:val="365F91" w:themeColor="accent1" w:themeShade="BF"/>
      <w:sz w:val="28"/>
      <w:szCs w:val="28"/>
      <w:lang w:val="en-US"/>
    </w:rPr>
  </w:style>
  <w:style w:type="paragraph" w:styleId="Title">
    <w:name w:val="Title"/>
    <w:basedOn w:val="Normal"/>
    <w:next w:val="Normal"/>
    <w:link w:val="TitleChar"/>
    <w:uiPriority w:val="10"/>
    <w:qFormat/>
    <w:rsid w:val="0043563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3563E"/>
    <w:rPr>
      <w:rFonts w:asciiTheme="majorHAnsi" w:eastAsiaTheme="majorEastAsia" w:hAnsiTheme="majorHAnsi" w:cstheme="majorBidi"/>
      <w:color w:val="17365D" w:themeColor="text2" w:themeShade="BF"/>
      <w:spacing w:val="5"/>
      <w:kern w:val="28"/>
      <w:sz w:val="52"/>
      <w:szCs w:val="52"/>
      <w:lang w:val="en-US"/>
    </w:rPr>
  </w:style>
  <w:style w:type="paragraph" w:styleId="ListBullet">
    <w:name w:val="List Bullet"/>
    <w:basedOn w:val="Normal"/>
    <w:uiPriority w:val="99"/>
    <w:unhideWhenUsed/>
    <w:rsid w:val="0043563E"/>
    <w:pPr>
      <w:numPr>
        <w:numId w:val="1"/>
      </w:numPr>
      <w:contextualSpacing/>
    </w:pPr>
  </w:style>
  <w:style w:type="table" w:styleId="TableGrid">
    <w:name w:val="Table Grid"/>
    <w:basedOn w:val="TableNormal"/>
    <w:uiPriority w:val="59"/>
    <w:rsid w:val="0043563E"/>
    <w:pPr>
      <w:spacing w:after="0" w:line="240" w:lineRule="auto"/>
    </w:pPr>
    <w:rPr>
      <w:rFonts w:eastAsiaTheme="minorEastAsia"/>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3563E"/>
    <w:rPr>
      <w:rFonts w:eastAsiaTheme="minorEastAsia"/>
      <w:lang w:val="en-US"/>
    </w:rPr>
  </w:style>
  <w:style w:type="paragraph" w:styleId="Heading1">
    <w:name w:val="heading 1"/>
    <w:basedOn w:val="Normal"/>
    <w:next w:val="Normal"/>
    <w:link w:val="Heading1Char"/>
    <w:uiPriority w:val="9"/>
    <w:qFormat/>
    <w:rsid w:val="0043563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563E"/>
    <w:rPr>
      <w:rFonts w:asciiTheme="majorHAnsi" w:eastAsiaTheme="majorEastAsia" w:hAnsiTheme="majorHAnsi" w:cstheme="majorBidi"/>
      <w:b/>
      <w:bCs/>
      <w:color w:val="365F91" w:themeColor="accent1" w:themeShade="BF"/>
      <w:sz w:val="28"/>
      <w:szCs w:val="28"/>
      <w:lang w:val="en-US"/>
    </w:rPr>
  </w:style>
  <w:style w:type="paragraph" w:styleId="Title">
    <w:name w:val="Title"/>
    <w:basedOn w:val="Normal"/>
    <w:next w:val="Normal"/>
    <w:link w:val="TitleChar"/>
    <w:uiPriority w:val="10"/>
    <w:qFormat/>
    <w:rsid w:val="0043563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3563E"/>
    <w:rPr>
      <w:rFonts w:asciiTheme="majorHAnsi" w:eastAsiaTheme="majorEastAsia" w:hAnsiTheme="majorHAnsi" w:cstheme="majorBidi"/>
      <w:color w:val="17365D" w:themeColor="text2" w:themeShade="BF"/>
      <w:spacing w:val="5"/>
      <w:kern w:val="28"/>
      <w:sz w:val="52"/>
      <w:szCs w:val="52"/>
      <w:lang w:val="en-US"/>
    </w:rPr>
  </w:style>
  <w:style w:type="paragraph" w:styleId="ListBullet">
    <w:name w:val="List Bullet"/>
    <w:basedOn w:val="Normal"/>
    <w:uiPriority w:val="99"/>
    <w:unhideWhenUsed/>
    <w:rsid w:val="0043563E"/>
    <w:pPr>
      <w:numPr>
        <w:numId w:val="1"/>
      </w:numPr>
      <w:contextualSpacing/>
    </w:pPr>
  </w:style>
  <w:style w:type="table" w:styleId="TableGrid">
    <w:name w:val="Table Grid"/>
    <w:basedOn w:val="TableNormal"/>
    <w:uiPriority w:val="59"/>
    <w:rsid w:val="0043563E"/>
    <w:pPr>
      <w:spacing w:after="0" w:line="240" w:lineRule="auto"/>
    </w:pPr>
    <w:rPr>
      <w:rFonts w:eastAsiaTheme="minorEastAsia"/>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3</Pages>
  <Words>568</Words>
  <Characters>3244</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cp:revision>
  <dcterms:created xsi:type="dcterms:W3CDTF">2026-07-23T21:25:00Z</dcterms:created>
  <dcterms:modified xsi:type="dcterms:W3CDTF">2026-07-23T21:34:00Z</dcterms:modified>
</cp:coreProperties>
</file>