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BF93F3" w14:textId="77777777" w:rsidR="006E6AC5" w:rsidRPr="00270BA8" w:rsidRDefault="006E6AC5" w:rsidP="00270BA8">
      <w:pPr>
        <w:spacing w:before="120" w:after="360" w:line="360" w:lineRule="auto"/>
        <w:jc w:val="both"/>
        <w:rPr>
          <w:rFonts w:ascii="Garamond" w:hAnsi="Garamond" w:cs="Times New Roman"/>
          <w:lang w:val="en-GB"/>
        </w:rPr>
      </w:pPr>
      <w:bookmarkStart w:id="0" w:name="_GoBack"/>
      <w:bookmarkEnd w:id="0"/>
      <w:r w:rsidRPr="00270BA8">
        <w:rPr>
          <w:rFonts w:ascii="Garamond" w:hAnsi="Garamond" w:cs="Times New Roman"/>
          <w:noProof/>
        </w:rPr>
        <w:drawing>
          <wp:inline distT="0" distB="0" distL="0" distR="0" wp14:anchorId="6CDD0774" wp14:editId="7673F0DD">
            <wp:extent cx="3482671" cy="1017767"/>
            <wp:effectExtent l="0" t="0" r="3810" b="0"/>
            <wp:docPr id="11" name="Picture 1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9626" cy="1016877"/>
                    </a:xfrm>
                    <a:prstGeom prst="rect">
                      <a:avLst/>
                    </a:prstGeom>
                    <a:noFill/>
                    <a:ln>
                      <a:noFill/>
                    </a:ln>
                  </pic:spPr>
                </pic:pic>
              </a:graphicData>
            </a:graphic>
          </wp:inline>
        </w:drawing>
      </w:r>
    </w:p>
    <w:p w14:paraId="0E2E581A" w14:textId="5516A844" w:rsidR="00084E2D" w:rsidRPr="00270BA8" w:rsidRDefault="00084E2D" w:rsidP="00270BA8">
      <w:pPr>
        <w:spacing w:before="120" w:after="360" w:line="360" w:lineRule="auto"/>
        <w:jc w:val="both"/>
        <w:rPr>
          <w:rFonts w:ascii="Garamond" w:hAnsi="Garamond" w:cs="Times New Roman"/>
          <w:lang w:val="en-GB"/>
        </w:rPr>
      </w:pPr>
    </w:p>
    <w:p w14:paraId="61421AB5" w14:textId="24D06921" w:rsidR="00B41F94" w:rsidRPr="00270BA8" w:rsidRDefault="00B41F94" w:rsidP="00270BA8">
      <w:pPr>
        <w:spacing w:before="120" w:after="360" w:line="360" w:lineRule="auto"/>
        <w:jc w:val="both"/>
        <w:rPr>
          <w:rFonts w:ascii="Garamond" w:hAnsi="Garamond" w:cs="Times New Roman"/>
          <w:lang w:val="en-GB"/>
        </w:rPr>
      </w:pPr>
    </w:p>
    <w:p w14:paraId="5C660C34" w14:textId="35B880C7" w:rsidR="00B41F94" w:rsidRPr="00270BA8" w:rsidRDefault="00BA633F" w:rsidP="00270BA8">
      <w:pPr>
        <w:spacing w:before="120" w:after="360" w:line="360" w:lineRule="auto"/>
        <w:jc w:val="center"/>
        <w:rPr>
          <w:rFonts w:ascii="Garamond" w:hAnsi="Garamond" w:cs="Times New Roman"/>
          <w:sz w:val="20"/>
          <w:szCs w:val="20"/>
          <w:lang w:val="en-GB"/>
        </w:rPr>
      </w:pPr>
      <w:r w:rsidRPr="00270BA8">
        <w:rPr>
          <w:rFonts w:ascii="Garamond" w:hAnsi="Garamond" w:cs="Times New Roman"/>
          <w:color w:val="404040" w:themeColor="text1" w:themeTint="BF"/>
          <w:spacing w:val="20"/>
          <w:sz w:val="28"/>
          <w:szCs w:val="28"/>
          <w:lang w:val="en-GB"/>
        </w:rPr>
        <w:t>Module Name and Code: Business Research (BMMB7028)</w:t>
      </w:r>
    </w:p>
    <w:p w14:paraId="31A43582" w14:textId="6CC12CF5" w:rsidR="00F42F91" w:rsidRPr="00270BA8" w:rsidRDefault="00BA633F" w:rsidP="00270BA8">
      <w:pPr>
        <w:pStyle w:val="a9"/>
        <w:spacing w:before="120" w:after="360" w:line="360" w:lineRule="auto"/>
        <w:jc w:val="center"/>
        <w:rPr>
          <w:rFonts w:ascii="Garamond" w:hAnsi="Garamond" w:cs="Times New Roman"/>
          <w:b/>
          <w:bCs/>
          <w:sz w:val="28"/>
          <w:szCs w:val="28"/>
          <w:lang w:val="en-GB"/>
        </w:rPr>
      </w:pPr>
      <w:r w:rsidRPr="00270BA8">
        <w:rPr>
          <w:rFonts w:ascii="Garamond" w:hAnsi="Garamond" w:cs="Times New Roman"/>
          <w:b/>
          <w:bCs/>
          <w:sz w:val="28"/>
          <w:szCs w:val="28"/>
          <w:lang w:val="en-GB"/>
        </w:rPr>
        <w:t>An empirical study</w:t>
      </w:r>
      <w:r w:rsidR="00084E2D" w:rsidRPr="00270BA8">
        <w:rPr>
          <w:rFonts w:ascii="Garamond" w:hAnsi="Garamond" w:cs="Times New Roman"/>
          <w:b/>
          <w:bCs/>
          <w:sz w:val="28"/>
          <w:szCs w:val="28"/>
          <w:lang w:val="en-GB"/>
        </w:rPr>
        <w:t xml:space="preserve"> on the impact of </w:t>
      </w:r>
      <w:r w:rsidR="00681DE4" w:rsidRPr="00270BA8">
        <w:rPr>
          <w:rFonts w:ascii="Garamond" w:hAnsi="Garamond" w:cs="Times New Roman"/>
          <w:b/>
          <w:bCs/>
          <w:sz w:val="28"/>
          <w:szCs w:val="28"/>
          <w:lang w:val="en-GB"/>
        </w:rPr>
        <w:t>HRM</w:t>
      </w:r>
      <w:r w:rsidR="00084E2D" w:rsidRPr="00270BA8">
        <w:rPr>
          <w:rFonts w:ascii="Garamond" w:hAnsi="Garamond" w:cs="Times New Roman"/>
          <w:b/>
          <w:bCs/>
          <w:sz w:val="28"/>
          <w:szCs w:val="28"/>
          <w:lang w:val="en-GB"/>
        </w:rPr>
        <w:t xml:space="preserve"> strengths on employees’ innovation</w:t>
      </w:r>
      <w:r w:rsidR="005C35C7" w:rsidRPr="00270BA8">
        <w:rPr>
          <w:rFonts w:ascii="Garamond" w:hAnsi="Garamond" w:cs="Times New Roman"/>
          <w:b/>
          <w:bCs/>
          <w:sz w:val="28"/>
          <w:szCs w:val="28"/>
          <w:lang w:val="en-GB"/>
        </w:rPr>
        <w:t xml:space="preserve"> behavio</w:t>
      </w:r>
      <w:r w:rsidR="00220707" w:rsidRPr="00270BA8">
        <w:rPr>
          <w:rFonts w:ascii="Garamond" w:hAnsi="Garamond" w:cs="Times New Roman"/>
          <w:b/>
          <w:bCs/>
          <w:sz w:val="28"/>
          <w:szCs w:val="28"/>
          <w:lang w:val="en-GB"/>
        </w:rPr>
        <w:t>u</w:t>
      </w:r>
      <w:r w:rsidR="005C35C7" w:rsidRPr="00270BA8">
        <w:rPr>
          <w:rFonts w:ascii="Garamond" w:hAnsi="Garamond" w:cs="Times New Roman"/>
          <w:b/>
          <w:bCs/>
          <w:sz w:val="28"/>
          <w:szCs w:val="28"/>
          <w:lang w:val="en-GB"/>
        </w:rPr>
        <w:t>rs</w:t>
      </w:r>
      <w:r w:rsidRPr="00270BA8">
        <w:rPr>
          <w:rFonts w:ascii="Garamond" w:hAnsi="Garamond" w:cs="Times New Roman"/>
          <w:b/>
          <w:bCs/>
          <w:sz w:val="28"/>
          <w:szCs w:val="28"/>
          <w:lang w:val="en-GB"/>
        </w:rPr>
        <w:t xml:space="preserve"> in the </w:t>
      </w:r>
      <w:r w:rsidR="00245439" w:rsidRPr="00270BA8">
        <w:rPr>
          <w:rFonts w:ascii="Garamond" w:hAnsi="Garamond" w:cs="Times New Roman"/>
          <w:b/>
          <w:bCs/>
          <w:sz w:val="28"/>
          <w:szCs w:val="28"/>
          <w:lang w:val="en-GB"/>
        </w:rPr>
        <w:t>biopharmaceutical</w:t>
      </w:r>
      <w:r w:rsidRPr="00270BA8">
        <w:rPr>
          <w:rFonts w:ascii="Garamond" w:hAnsi="Garamond" w:cs="Times New Roman"/>
          <w:b/>
          <w:bCs/>
          <w:sz w:val="28"/>
          <w:szCs w:val="28"/>
          <w:lang w:val="en-GB"/>
        </w:rPr>
        <w:t xml:space="preserve"> industry</w:t>
      </w:r>
    </w:p>
    <w:p w14:paraId="385630AD" w14:textId="77777777" w:rsidR="00B41F94" w:rsidRPr="00270BA8" w:rsidRDefault="00B41F94" w:rsidP="00270BA8">
      <w:pPr>
        <w:spacing w:before="120" w:after="360" w:line="360" w:lineRule="auto"/>
        <w:jc w:val="center"/>
        <w:rPr>
          <w:rFonts w:ascii="Garamond" w:hAnsi="Garamond" w:cs="Times New Roman"/>
          <w:color w:val="404040" w:themeColor="text1" w:themeTint="BF"/>
          <w:spacing w:val="20"/>
          <w:sz w:val="28"/>
          <w:szCs w:val="28"/>
          <w:lang w:val="en-GB"/>
        </w:rPr>
      </w:pPr>
      <w:r w:rsidRPr="00270BA8">
        <w:rPr>
          <w:rFonts w:ascii="Garamond" w:hAnsi="Garamond" w:cs="Times New Roman"/>
          <w:color w:val="404040" w:themeColor="text1" w:themeTint="BF"/>
          <w:spacing w:val="20"/>
          <w:sz w:val="28"/>
          <w:szCs w:val="28"/>
          <w:lang w:val="en-GB"/>
        </w:rPr>
        <w:t>Student Name: Jing Cai</w:t>
      </w:r>
    </w:p>
    <w:p w14:paraId="00576FDD" w14:textId="57A747E3" w:rsidR="00B41F94" w:rsidRPr="00270BA8" w:rsidRDefault="00B41F94" w:rsidP="00270BA8">
      <w:pPr>
        <w:spacing w:before="120" w:after="360" w:line="360" w:lineRule="auto"/>
        <w:jc w:val="center"/>
        <w:rPr>
          <w:rFonts w:ascii="Garamond" w:hAnsi="Garamond" w:cs="Times New Roman"/>
          <w:color w:val="404040" w:themeColor="text1" w:themeTint="BF"/>
          <w:spacing w:val="20"/>
          <w:sz w:val="28"/>
          <w:szCs w:val="28"/>
          <w:lang w:val="en-GB"/>
        </w:rPr>
      </w:pPr>
      <w:r w:rsidRPr="00270BA8">
        <w:rPr>
          <w:rFonts w:ascii="Garamond" w:hAnsi="Garamond" w:cs="Times New Roman"/>
          <w:color w:val="404040" w:themeColor="text1" w:themeTint="BF"/>
          <w:spacing w:val="20"/>
          <w:sz w:val="28"/>
          <w:szCs w:val="28"/>
          <w:lang w:val="en-GB"/>
        </w:rPr>
        <w:t>Student ID: 2200245</w:t>
      </w:r>
    </w:p>
    <w:p w14:paraId="655D69A8" w14:textId="42080D73" w:rsidR="00B41F94" w:rsidRPr="00270BA8" w:rsidRDefault="00B41F94" w:rsidP="00270BA8">
      <w:pPr>
        <w:spacing w:before="120" w:after="360" w:line="360" w:lineRule="auto"/>
        <w:jc w:val="center"/>
        <w:rPr>
          <w:rFonts w:ascii="Garamond" w:hAnsi="Garamond" w:cs="Times New Roman"/>
          <w:color w:val="404040" w:themeColor="text1" w:themeTint="BF"/>
          <w:spacing w:val="20"/>
          <w:sz w:val="28"/>
          <w:szCs w:val="28"/>
          <w:lang w:val="en-GB"/>
        </w:rPr>
      </w:pPr>
      <w:r w:rsidRPr="00270BA8">
        <w:rPr>
          <w:rFonts w:ascii="Garamond" w:hAnsi="Garamond" w:cs="Times New Roman"/>
          <w:color w:val="404040" w:themeColor="text1" w:themeTint="BF"/>
          <w:spacing w:val="20"/>
          <w:sz w:val="28"/>
          <w:szCs w:val="28"/>
          <w:lang w:val="en-GB"/>
        </w:rPr>
        <w:t>Submitted to Helen Evans</w:t>
      </w:r>
    </w:p>
    <w:p w14:paraId="4BAB3576" w14:textId="77777777" w:rsidR="00B41F94" w:rsidRPr="00270BA8" w:rsidRDefault="00B41F94" w:rsidP="00270BA8">
      <w:pPr>
        <w:spacing w:before="120" w:after="360" w:line="360" w:lineRule="auto"/>
        <w:jc w:val="center"/>
        <w:rPr>
          <w:rFonts w:ascii="Garamond" w:hAnsi="Garamond" w:cs="Times New Roman"/>
          <w:color w:val="404040" w:themeColor="text1" w:themeTint="BF"/>
          <w:spacing w:val="20"/>
          <w:sz w:val="28"/>
          <w:szCs w:val="28"/>
          <w:lang w:val="en-GB"/>
        </w:rPr>
      </w:pPr>
      <w:r w:rsidRPr="00270BA8">
        <w:rPr>
          <w:rFonts w:ascii="Garamond" w:hAnsi="Garamond" w:cs="Times New Roman"/>
          <w:color w:val="404040" w:themeColor="text1" w:themeTint="BF"/>
          <w:spacing w:val="20"/>
          <w:sz w:val="28"/>
          <w:szCs w:val="28"/>
          <w:lang w:val="en-GB"/>
        </w:rPr>
        <w:t>Reported by Jing Cai</w:t>
      </w:r>
    </w:p>
    <w:p w14:paraId="77CCC6DC" w14:textId="4A7AFB9C" w:rsidR="00E420DB" w:rsidRPr="00270BA8" w:rsidRDefault="004305F5" w:rsidP="00270BA8">
      <w:pPr>
        <w:spacing w:before="120" w:after="360" w:line="360" w:lineRule="auto"/>
        <w:jc w:val="center"/>
        <w:rPr>
          <w:rFonts w:ascii="Garamond" w:hAnsi="Garamond" w:cs="Times New Roman"/>
          <w:color w:val="404040" w:themeColor="text1" w:themeTint="BF"/>
          <w:spacing w:val="20"/>
          <w:sz w:val="32"/>
          <w:szCs w:val="32"/>
          <w:lang w:val="en-GB"/>
        </w:rPr>
      </w:pPr>
      <w:r>
        <w:rPr>
          <w:rFonts w:ascii="Garamond" w:hAnsi="Garamond" w:cs="Times New Roman"/>
          <w:color w:val="404040" w:themeColor="text1" w:themeTint="BF"/>
          <w:spacing w:val="20"/>
          <w:sz w:val="28"/>
          <w:szCs w:val="28"/>
          <w:lang w:val="en-GB"/>
        </w:rPr>
        <w:t>Due Date: 19</w:t>
      </w:r>
      <w:r w:rsidR="00B41F94" w:rsidRPr="00270BA8">
        <w:rPr>
          <w:rFonts w:ascii="Garamond" w:hAnsi="Garamond" w:cs="Times New Roman"/>
          <w:color w:val="404040" w:themeColor="text1" w:themeTint="BF"/>
          <w:spacing w:val="20"/>
          <w:sz w:val="28"/>
          <w:szCs w:val="28"/>
          <w:lang w:val="en-GB"/>
        </w:rPr>
        <w:t>.</w:t>
      </w:r>
      <w:r>
        <w:rPr>
          <w:rFonts w:ascii="Garamond" w:hAnsi="Garamond" w:cs="Times New Roman"/>
          <w:color w:val="404040" w:themeColor="text1" w:themeTint="BF"/>
          <w:spacing w:val="20"/>
          <w:sz w:val="28"/>
          <w:szCs w:val="28"/>
          <w:lang w:val="en-GB"/>
        </w:rPr>
        <w:t>07.</w:t>
      </w:r>
      <w:r w:rsidR="00B41F94" w:rsidRPr="00270BA8">
        <w:rPr>
          <w:rFonts w:ascii="Garamond" w:hAnsi="Garamond" w:cs="Times New Roman"/>
          <w:color w:val="404040" w:themeColor="text1" w:themeTint="BF"/>
          <w:spacing w:val="20"/>
          <w:sz w:val="28"/>
          <w:szCs w:val="28"/>
          <w:lang w:val="en-GB"/>
        </w:rPr>
        <w:t>2024</w:t>
      </w:r>
      <w:r w:rsidR="00E420DB" w:rsidRPr="00270BA8">
        <w:rPr>
          <w:rFonts w:ascii="Garamond" w:hAnsi="Garamond" w:cs="Times New Roman"/>
          <w:caps/>
          <w:sz w:val="32"/>
          <w:szCs w:val="32"/>
          <w:lang w:val="en-GB"/>
        </w:rPr>
        <w:br w:type="page"/>
      </w:r>
    </w:p>
    <w:sdt>
      <w:sdtPr>
        <w:rPr>
          <w:rFonts w:ascii="Garamond" w:eastAsiaTheme="minorEastAsia" w:hAnsi="Garamond" w:cstheme="minorBidi"/>
          <w:color w:val="auto"/>
          <w:sz w:val="22"/>
          <w:szCs w:val="22"/>
          <w:lang w:val="zh-CN"/>
        </w:rPr>
        <w:id w:val="598061129"/>
        <w:docPartObj>
          <w:docPartGallery w:val="Table of Contents"/>
          <w:docPartUnique/>
        </w:docPartObj>
      </w:sdtPr>
      <w:sdtEndPr>
        <w:rPr>
          <w:b/>
          <w:bCs/>
        </w:rPr>
      </w:sdtEndPr>
      <w:sdtContent>
        <w:p w14:paraId="4B2E7F4F" w14:textId="799323AA" w:rsidR="00270BA8" w:rsidRPr="00270BA8" w:rsidRDefault="00270BA8">
          <w:pPr>
            <w:pStyle w:val="TOC"/>
            <w:rPr>
              <w:rFonts w:ascii="Garamond" w:hAnsi="Garamond"/>
            </w:rPr>
          </w:pPr>
          <w:r w:rsidRPr="00270BA8">
            <w:rPr>
              <w:rFonts w:ascii="Garamond" w:hAnsi="Garamond"/>
              <w:lang w:val="zh-CN"/>
            </w:rPr>
            <w:t>Table of contents</w:t>
          </w:r>
        </w:p>
        <w:p w14:paraId="71B03CE7" w14:textId="17DBCC4B" w:rsidR="00270BA8" w:rsidRPr="00270BA8" w:rsidRDefault="00270BA8">
          <w:pPr>
            <w:pStyle w:val="12"/>
            <w:tabs>
              <w:tab w:val="left" w:pos="420"/>
              <w:tab w:val="right" w:leader="dot" w:pos="10456"/>
            </w:tabs>
            <w:rPr>
              <w:rFonts w:ascii="Garamond" w:hAnsi="Garamond"/>
              <w:noProof/>
              <w:kern w:val="2"/>
              <w:sz w:val="24"/>
              <w:szCs w:val="24"/>
              <w:lang w:val="en-GB"/>
              <w14:ligatures w14:val="standardContextual"/>
            </w:rPr>
          </w:pPr>
          <w:r w:rsidRPr="00270BA8">
            <w:rPr>
              <w:rFonts w:ascii="Garamond" w:hAnsi="Garamond"/>
            </w:rPr>
            <w:fldChar w:fldCharType="begin"/>
          </w:r>
          <w:r w:rsidRPr="00270BA8">
            <w:rPr>
              <w:rFonts w:ascii="Garamond" w:hAnsi="Garamond"/>
            </w:rPr>
            <w:instrText xml:space="preserve"> TOC \o "1-3" \h \z \u </w:instrText>
          </w:r>
          <w:r w:rsidRPr="00270BA8">
            <w:rPr>
              <w:rFonts w:ascii="Garamond" w:hAnsi="Garamond"/>
            </w:rPr>
            <w:fldChar w:fldCharType="separate"/>
          </w:r>
          <w:hyperlink w:anchor="_Toc171702274" w:history="1">
            <w:r w:rsidRPr="00270BA8">
              <w:rPr>
                <w:rStyle w:val="af9"/>
                <w:rFonts w:ascii="Garamond" w:hAnsi="Garamond" w:cs="Times New Roman"/>
                <w:noProof/>
                <w:sz w:val="24"/>
                <w:szCs w:val="24"/>
                <w:lang w:val="en-GB"/>
              </w:rPr>
              <w:t>1.</w:t>
            </w:r>
            <w:r w:rsidRPr="00270BA8">
              <w:rPr>
                <w:rFonts w:ascii="Garamond" w:hAnsi="Garamond"/>
                <w:noProof/>
                <w:kern w:val="2"/>
                <w:sz w:val="24"/>
                <w:szCs w:val="24"/>
                <w:lang w:val="en-GB"/>
                <w14:ligatures w14:val="standardContextual"/>
              </w:rPr>
              <w:tab/>
            </w:r>
            <w:r w:rsidRPr="00270BA8">
              <w:rPr>
                <w:rStyle w:val="af9"/>
                <w:rFonts w:ascii="Garamond" w:hAnsi="Garamond" w:cs="Times New Roman"/>
                <w:noProof/>
                <w:sz w:val="24"/>
                <w:szCs w:val="24"/>
                <w:lang w:val="en-GB"/>
              </w:rPr>
              <w:t>Academic focus and research rationale</w:t>
            </w:r>
            <w:r w:rsidRPr="00270BA8">
              <w:rPr>
                <w:rFonts w:ascii="Garamond" w:hAnsi="Garamond"/>
                <w:noProof/>
                <w:webHidden/>
                <w:sz w:val="24"/>
                <w:szCs w:val="24"/>
              </w:rPr>
              <w:tab/>
            </w:r>
            <w:r w:rsidRPr="00270BA8">
              <w:rPr>
                <w:rFonts w:ascii="Garamond" w:hAnsi="Garamond"/>
                <w:noProof/>
                <w:webHidden/>
                <w:sz w:val="24"/>
                <w:szCs w:val="24"/>
              </w:rPr>
              <w:fldChar w:fldCharType="begin"/>
            </w:r>
            <w:r w:rsidRPr="00270BA8">
              <w:rPr>
                <w:rFonts w:ascii="Garamond" w:hAnsi="Garamond"/>
                <w:noProof/>
                <w:webHidden/>
                <w:sz w:val="24"/>
                <w:szCs w:val="24"/>
              </w:rPr>
              <w:instrText xml:space="preserve"> PAGEREF _Toc171702274 \h </w:instrText>
            </w:r>
            <w:r w:rsidRPr="00270BA8">
              <w:rPr>
                <w:rFonts w:ascii="Garamond" w:hAnsi="Garamond"/>
                <w:noProof/>
                <w:webHidden/>
                <w:sz w:val="24"/>
                <w:szCs w:val="24"/>
              </w:rPr>
            </w:r>
            <w:r w:rsidRPr="00270BA8">
              <w:rPr>
                <w:rFonts w:ascii="Garamond" w:hAnsi="Garamond"/>
                <w:noProof/>
                <w:webHidden/>
                <w:sz w:val="24"/>
                <w:szCs w:val="24"/>
              </w:rPr>
              <w:fldChar w:fldCharType="separate"/>
            </w:r>
            <w:r w:rsidRPr="00270BA8">
              <w:rPr>
                <w:rFonts w:ascii="Garamond" w:hAnsi="Garamond"/>
                <w:noProof/>
                <w:webHidden/>
                <w:sz w:val="24"/>
                <w:szCs w:val="24"/>
              </w:rPr>
              <w:t>1</w:t>
            </w:r>
            <w:r w:rsidRPr="00270BA8">
              <w:rPr>
                <w:rFonts w:ascii="Garamond" w:hAnsi="Garamond"/>
                <w:noProof/>
                <w:webHidden/>
                <w:sz w:val="24"/>
                <w:szCs w:val="24"/>
              </w:rPr>
              <w:fldChar w:fldCharType="end"/>
            </w:r>
          </w:hyperlink>
        </w:p>
        <w:p w14:paraId="111D69F9" w14:textId="33D02AAD" w:rsidR="00270BA8" w:rsidRPr="00270BA8" w:rsidRDefault="00E91CC3">
          <w:pPr>
            <w:pStyle w:val="21"/>
            <w:tabs>
              <w:tab w:val="right" w:leader="dot" w:pos="10456"/>
            </w:tabs>
            <w:ind w:left="440"/>
            <w:rPr>
              <w:rFonts w:ascii="Garamond" w:hAnsi="Garamond"/>
              <w:noProof/>
              <w:kern w:val="2"/>
              <w:sz w:val="24"/>
              <w:szCs w:val="24"/>
              <w:lang w:val="en-GB"/>
              <w14:ligatures w14:val="standardContextual"/>
            </w:rPr>
          </w:pPr>
          <w:hyperlink w:anchor="_Toc171702275" w:history="1">
            <w:r w:rsidR="00270BA8" w:rsidRPr="00270BA8">
              <w:rPr>
                <w:rStyle w:val="af9"/>
                <w:rFonts w:ascii="Garamond" w:hAnsi="Garamond"/>
                <w:noProof/>
                <w:sz w:val="24"/>
                <w:szCs w:val="24"/>
                <w:lang w:val="en-GB"/>
              </w:rPr>
              <w:t>Research question</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_Toc171702275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w:t>
            </w:r>
            <w:r w:rsidR="00270BA8" w:rsidRPr="00270BA8">
              <w:rPr>
                <w:rFonts w:ascii="Garamond" w:hAnsi="Garamond"/>
                <w:noProof/>
                <w:webHidden/>
                <w:sz w:val="24"/>
                <w:szCs w:val="24"/>
              </w:rPr>
              <w:fldChar w:fldCharType="end"/>
            </w:r>
          </w:hyperlink>
        </w:p>
        <w:p w14:paraId="30773945" w14:textId="280F4BA9" w:rsidR="00270BA8" w:rsidRPr="00270BA8" w:rsidRDefault="00E91CC3">
          <w:pPr>
            <w:pStyle w:val="21"/>
            <w:tabs>
              <w:tab w:val="right" w:leader="dot" w:pos="10456"/>
            </w:tabs>
            <w:ind w:left="440"/>
            <w:rPr>
              <w:rFonts w:ascii="Garamond" w:hAnsi="Garamond"/>
              <w:noProof/>
              <w:kern w:val="2"/>
              <w:sz w:val="24"/>
              <w:szCs w:val="24"/>
              <w:lang w:val="en-GB"/>
              <w14:ligatures w14:val="standardContextual"/>
            </w:rPr>
          </w:pPr>
          <w:hyperlink w:anchor="_Toc171702276" w:history="1">
            <w:r w:rsidR="00270BA8" w:rsidRPr="00270BA8">
              <w:rPr>
                <w:rStyle w:val="af9"/>
                <w:rFonts w:ascii="Garamond" w:hAnsi="Garamond"/>
                <w:noProof/>
                <w:sz w:val="24"/>
                <w:szCs w:val="24"/>
                <w:lang w:val="en-GB"/>
              </w:rPr>
              <w:t>Research aims and objectives</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_Toc171702276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w:t>
            </w:r>
            <w:r w:rsidR="00270BA8" w:rsidRPr="00270BA8">
              <w:rPr>
                <w:rFonts w:ascii="Garamond" w:hAnsi="Garamond"/>
                <w:noProof/>
                <w:webHidden/>
                <w:sz w:val="24"/>
                <w:szCs w:val="24"/>
              </w:rPr>
              <w:fldChar w:fldCharType="end"/>
            </w:r>
          </w:hyperlink>
        </w:p>
        <w:p w14:paraId="68DCCE4D" w14:textId="643CFE1E" w:rsidR="00270BA8" w:rsidRPr="00270BA8" w:rsidRDefault="00E91CC3">
          <w:pPr>
            <w:pStyle w:val="21"/>
            <w:tabs>
              <w:tab w:val="right" w:leader="dot" w:pos="10456"/>
            </w:tabs>
            <w:ind w:left="440"/>
            <w:rPr>
              <w:rFonts w:ascii="Garamond" w:hAnsi="Garamond"/>
              <w:noProof/>
              <w:kern w:val="2"/>
              <w:sz w:val="24"/>
              <w:szCs w:val="24"/>
              <w:lang w:val="en-GB"/>
              <w14:ligatures w14:val="standardContextual"/>
            </w:rPr>
          </w:pPr>
          <w:hyperlink w:anchor="_Toc171702277" w:history="1">
            <w:r w:rsidR="00270BA8" w:rsidRPr="00270BA8">
              <w:rPr>
                <w:rStyle w:val="af9"/>
                <w:rFonts w:ascii="Garamond" w:hAnsi="Garamond" w:cs="Times New Roman"/>
                <w:noProof/>
                <w:sz w:val="24"/>
                <w:szCs w:val="24"/>
                <w:lang w:val="en-GB"/>
              </w:rPr>
              <w:t>Research background/context</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_Toc171702277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w:t>
            </w:r>
            <w:r w:rsidR="00270BA8" w:rsidRPr="00270BA8">
              <w:rPr>
                <w:rFonts w:ascii="Garamond" w:hAnsi="Garamond"/>
                <w:noProof/>
                <w:webHidden/>
                <w:sz w:val="24"/>
                <w:szCs w:val="24"/>
              </w:rPr>
              <w:fldChar w:fldCharType="end"/>
            </w:r>
          </w:hyperlink>
        </w:p>
        <w:p w14:paraId="79E34FB0" w14:textId="3E567CE2" w:rsidR="00270BA8" w:rsidRPr="00270BA8" w:rsidRDefault="00E91CC3">
          <w:pPr>
            <w:pStyle w:val="12"/>
            <w:tabs>
              <w:tab w:val="left" w:pos="420"/>
              <w:tab w:val="right" w:leader="dot" w:pos="10456"/>
            </w:tabs>
            <w:rPr>
              <w:rFonts w:ascii="Garamond" w:hAnsi="Garamond"/>
              <w:noProof/>
              <w:kern w:val="2"/>
              <w:sz w:val="24"/>
              <w:szCs w:val="24"/>
              <w:lang w:val="en-GB"/>
              <w14:ligatures w14:val="standardContextual"/>
            </w:rPr>
          </w:pPr>
          <w:hyperlink w:anchor="_Toc171702278" w:history="1">
            <w:r w:rsidR="00270BA8" w:rsidRPr="00270BA8">
              <w:rPr>
                <w:rStyle w:val="af9"/>
                <w:rFonts w:ascii="Garamond" w:hAnsi="Garamond" w:cs="Times New Roman"/>
                <w:noProof/>
                <w:sz w:val="24"/>
                <w:szCs w:val="24"/>
                <w:lang w:val="en-GB"/>
              </w:rPr>
              <w:t>2.</w:t>
            </w:r>
            <w:r w:rsidR="00270BA8" w:rsidRPr="00270BA8">
              <w:rPr>
                <w:rFonts w:ascii="Garamond" w:hAnsi="Garamond"/>
                <w:noProof/>
                <w:kern w:val="2"/>
                <w:sz w:val="24"/>
                <w:szCs w:val="24"/>
                <w:lang w:val="en-GB"/>
                <w14:ligatures w14:val="standardContextual"/>
              </w:rPr>
              <w:tab/>
            </w:r>
            <w:r w:rsidR="00270BA8" w:rsidRPr="00270BA8">
              <w:rPr>
                <w:rStyle w:val="af9"/>
                <w:rFonts w:ascii="Garamond" w:hAnsi="Garamond" w:cs="Times New Roman"/>
                <w:noProof/>
                <w:sz w:val="24"/>
                <w:szCs w:val="24"/>
                <w:lang w:val="en-GB"/>
              </w:rPr>
              <w:t>Literature review</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_Toc171702278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5</w:t>
            </w:r>
            <w:r w:rsidR="00270BA8" w:rsidRPr="00270BA8">
              <w:rPr>
                <w:rFonts w:ascii="Garamond" w:hAnsi="Garamond"/>
                <w:noProof/>
                <w:webHidden/>
                <w:sz w:val="24"/>
                <w:szCs w:val="24"/>
              </w:rPr>
              <w:fldChar w:fldCharType="end"/>
            </w:r>
          </w:hyperlink>
        </w:p>
        <w:p w14:paraId="20750C79" w14:textId="3CE4441A" w:rsidR="00270BA8" w:rsidRPr="00270BA8" w:rsidRDefault="00E91CC3">
          <w:pPr>
            <w:pStyle w:val="21"/>
            <w:tabs>
              <w:tab w:val="right" w:leader="dot" w:pos="10456"/>
            </w:tabs>
            <w:ind w:left="440"/>
            <w:rPr>
              <w:rFonts w:ascii="Garamond" w:hAnsi="Garamond"/>
              <w:noProof/>
              <w:kern w:val="2"/>
              <w:sz w:val="24"/>
              <w:szCs w:val="24"/>
              <w:lang w:val="en-GB"/>
              <w14:ligatures w14:val="standardContextual"/>
            </w:rPr>
          </w:pPr>
          <w:hyperlink w:anchor="_Toc171702279" w:history="1">
            <w:r w:rsidR="00270BA8" w:rsidRPr="00270BA8">
              <w:rPr>
                <w:rStyle w:val="af9"/>
                <w:rFonts w:ascii="Garamond" w:hAnsi="Garamond"/>
                <w:noProof/>
                <w:sz w:val="24"/>
                <w:szCs w:val="24"/>
              </w:rPr>
              <w:t>2.1 The conceptualisation of HRM strength</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_Toc171702279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5</w:t>
            </w:r>
            <w:r w:rsidR="00270BA8" w:rsidRPr="00270BA8">
              <w:rPr>
                <w:rFonts w:ascii="Garamond" w:hAnsi="Garamond"/>
                <w:noProof/>
                <w:webHidden/>
                <w:sz w:val="24"/>
                <w:szCs w:val="24"/>
              </w:rPr>
              <w:fldChar w:fldCharType="end"/>
            </w:r>
          </w:hyperlink>
        </w:p>
        <w:p w14:paraId="456C4969" w14:textId="07D2CB25" w:rsidR="00270BA8" w:rsidRPr="00270BA8" w:rsidRDefault="00E91CC3">
          <w:pPr>
            <w:pStyle w:val="21"/>
            <w:tabs>
              <w:tab w:val="right" w:leader="dot" w:pos="10456"/>
            </w:tabs>
            <w:ind w:left="440"/>
            <w:rPr>
              <w:rFonts w:ascii="Garamond" w:hAnsi="Garamond"/>
              <w:noProof/>
              <w:kern w:val="2"/>
              <w:sz w:val="24"/>
              <w:szCs w:val="24"/>
              <w:lang w:val="en-GB"/>
              <w14:ligatures w14:val="standardContextual"/>
            </w:rPr>
          </w:pPr>
          <w:hyperlink w:anchor="_Toc171702280" w:history="1">
            <w:r w:rsidR="00270BA8" w:rsidRPr="00270BA8">
              <w:rPr>
                <w:rStyle w:val="af9"/>
                <w:rFonts w:ascii="Garamond" w:hAnsi="Garamond"/>
                <w:noProof/>
                <w:sz w:val="24"/>
                <w:szCs w:val="24"/>
              </w:rPr>
              <w:t>2.2 The Conceptualization of employee innovation</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_Toc171702280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6</w:t>
            </w:r>
            <w:r w:rsidR="00270BA8" w:rsidRPr="00270BA8">
              <w:rPr>
                <w:rFonts w:ascii="Garamond" w:hAnsi="Garamond"/>
                <w:noProof/>
                <w:webHidden/>
                <w:sz w:val="24"/>
                <w:szCs w:val="24"/>
              </w:rPr>
              <w:fldChar w:fldCharType="end"/>
            </w:r>
          </w:hyperlink>
        </w:p>
        <w:p w14:paraId="6649179C" w14:textId="3C4310E5" w:rsidR="00270BA8" w:rsidRPr="00270BA8" w:rsidRDefault="00E91CC3">
          <w:pPr>
            <w:pStyle w:val="21"/>
            <w:tabs>
              <w:tab w:val="right" w:leader="dot" w:pos="10456"/>
            </w:tabs>
            <w:ind w:left="440"/>
            <w:rPr>
              <w:rFonts w:ascii="Garamond" w:hAnsi="Garamond"/>
              <w:noProof/>
              <w:kern w:val="2"/>
              <w:sz w:val="24"/>
              <w:szCs w:val="24"/>
              <w:lang w:val="en-GB"/>
              <w14:ligatures w14:val="standardContextual"/>
            </w:rPr>
          </w:pPr>
          <w:hyperlink w:anchor="_Toc171702281" w:history="1">
            <w:r w:rsidR="00270BA8" w:rsidRPr="00270BA8">
              <w:rPr>
                <w:rStyle w:val="af9"/>
                <w:rFonts w:ascii="Garamond" w:hAnsi="Garamond"/>
                <w:noProof/>
                <w:sz w:val="24"/>
                <w:szCs w:val="24"/>
              </w:rPr>
              <w:t>2.3 The conceptualization of knowledge sharing</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_Toc171702281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8</w:t>
            </w:r>
            <w:r w:rsidR="00270BA8" w:rsidRPr="00270BA8">
              <w:rPr>
                <w:rFonts w:ascii="Garamond" w:hAnsi="Garamond"/>
                <w:noProof/>
                <w:webHidden/>
                <w:sz w:val="24"/>
                <w:szCs w:val="24"/>
              </w:rPr>
              <w:fldChar w:fldCharType="end"/>
            </w:r>
          </w:hyperlink>
        </w:p>
        <w:p w14:paraId="1D1BAD0A" w14:textId="6225AC2D" w:rsidR="00270BA8" w:rsidRPr="00270BA8" w:rsidRDefault="00E91CC3">
          <w:pPr>
            <w:pStyle w:val="21"/>
            <w:tabs>
              <w:tab w:val="left" w:pos="1100"/>
              <w:tab w:val="right" w:leader="dot" w:pos="10456"/>
            </w:tabs>
            <w:ind w:left="440"/>
            <w:rPr>
              <w:rFonts w:ascii="Garamond" w:hAnsi="Garamond"/>
              <w:noProof/>
              <w:kern w:val="2"/>
              <w:sz w:val="24"/>
              <w:szCs w:val="24"/>
              <w:lang w:val="en-GB"/>
              <w14:ligatures w14:val="standardContextual"/>
            </w:rPr>
          </w:pPr>
          <w:hyperlink w:anchor="_Toc171702282" w:history="1">
            <w:r w:rsidR="00270BA8" w:rsidRPr="00270BA8">
              <w:rPr>
                <w:rStyle w:val="af9"/>
                <w:rFonts w:ascii="Garamond" w:hAnsi="Garamond" w:cs="Times New Roman"/>
                <w:noProof/>
                <w:sz w:val="24"/>
                <w:szCs w:val="24"/>
              </w:rPr>
              <w:t>2.4</w:t>
            </w:r>
            <w:r w:rsidR="00270BA8" w:rsidRPr="00270BA8">
              <w:rPr>
                <w:rFonts w:ascii="Garamond" w:hAnsi="Garamond"/>
                <w:noProof/>
                <w:kern w:val="2"/>
                <w:sz w:val="24"/>
                <w:szCs w:val="24"/>
                <w:lang w:val="en-GB"/>
                <w14:ligatures w14:val="standardContextual"/>
              </w:rPr>
              <w:t xml:space="preserve"> </w:t>
            </w:r>
            <w:r w:rsidR="00270BA8" w:rsidRPr="00270BA8">
              <w:rPr>
                <w:rStyle w:val="af9"/>
                <w:rFonts w:ascii="Garamond" w:hAnsi="Garamond" w:cs="Times New Roman"/>
                <w:noProof/>
                <w:sz w:val="24"/>
                <w:szCs w:val="24"/>
              </w:rPr>
              <w:t>The impacts of HRM strength and employee innovation</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_Toc171702282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8</w:t>
            </w:r>
            <w:r w:rsidR="00270BA8" w:rsidRPr="00270BA8">
              <w:rPr>
                <w:rFonts w:ascii="Garamond" w:hAnsi="Garamond"/>
                <w:noProof/>
                <w:webHidden/>
                <w:sz w:val="24"/>
                <w:szCs w:val="24"/>
              </w:rPr>
              <w:fldChar w:fldCharType="end"/>
            </w:r>
          </w:hyperlink>
        </w:p>
        <w:p w14:paraId="49CA2BA7" w14:textId="76582035" w:rsidR="00270BA8" w:rsidRPr="00270BA8" w:rsidRDefault="00E91CC3">
          <w:pPr>
            <w:pStyle w:val="21"/>
            <w:tabs>
              <w:tab w:val="right" w:leader="dot" w:pos="10456"/>
            </w:tabs>
            <w:ind w:left="440"/>
            <w:rPr>
              <w:rFonts w:ascii="Garamond" w:hAnsi="Garamond"/>
              <w:noProof/>
              <w:kern w:val="2"/>
              <w:sz w:val="24"/>
              <w:szCs w:val="24"/>
              <w:lang w:val="en-GB"/>
              <w14:ligatures w14:val="standardContextual"/>
            </w:rPr>
          </w:pPr>
          <w:hyperlink w:anchor="_Toc171702283" w:history="1">
            <w:r w:rsidR="00270BA8" w:rsidRPr="00270BA8">
              <w:rPr>
                <w:rStyle w:val="af9"/>
                <w:rFonts w:ascii="Garamond" w:hAnsi="Garamond" w:cs="Times New Roman"/>
                <w:noProof/>
                <w:sz w:val="24"/>
                <w:szCs w:val="24"/>
              </w:rPr>
              <w:t>2.5 The moderating effect of knowledge sharing</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_Toc171702283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10</w:t>
            </w:r>
            <w:r w:rsidR="00270BA8" w:rsidRPr="00270BA8">
              <w:rPr>
                <w:rFonts w:ascii="Garamond" w:hAnsi="Garamond"/>
                <w:noProof/>
                <w:webHidden/>
                <w:sz w:val="24"/>
                <w:szCs w:val="24"/>
              </w:rPr>
              <w:fldChar w:fldCharType="end"/>
            </w:r>
          </w:hyperlink>
        </w:p>
        <w:p w14:paraId="6BF98965" w14:textId="10027EBE" w:rsidR="00270BA8" w:rsidRPr="00270BA8" w:rsidRDefault="00E91CC3">
          <w:pPr>
            <w:pStyle w:val="31"/>
            <w:tabs>
              <w:tab w:val="right" w:leader="dot" w:pos="10456"/>
            </w:tabs>
            <w:ind w:left="880"/>
            <w:rPr>
              <w:rFonts w:ascii="Garamond" w:hAnsi="Garamond"/>
              <w:noProof/>
              <w:kern w:val="2"/>
              <w:sz w:val="24"/>
              <w:szCs w:val="24"/>
              <w:lang w:val="en-GB"/>
              <w14:ligatures w14:val="standardContextual"/>
            </w:rPr>
          </w:pPr>
          <w:hyperlink w:anchor="_Toc171702284" w:history="1">
            <w:r w:rsidR="00270BA8" w:rsidRPr="00270BA8">
              <w:rPr>
                <w:rStyle w:val="af9"/>
                <w:rFonts w:ascii="Garamond" w:hAnsi="Garamond"/>
                <w:noProof/>
                <w:sz w:val="24"/>
                <w:szCs w:val="24"/>
              </w:rPr>
              <w:t>2.5.1 HRM Strength and Employee Innovative Behaviours</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_Toc171702284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10</w:t>
            </w:r>
            <w:r w:rsidR="00270BA8" w:rsidRPr="00270BA8">
              <w:rPr>
                <w:rFonts w:ascii="Garamond" w:hAnsi="Garamond"/>
                <w:noProof/>
                <w:webHidden/>
                <w:sz w:val="24"/>
                <w:szCs w:val="24"/>
              </w:rPr>
              <w:fldChar w:fldCharType="end"/>
            </w:r>
          </w:hyperlink>
        </w:p>
        <w:p w14:paraId="5F18DED3" w14:textId="77F7426A" w:rsidR="00270BA8" w:rsidRPr="00270BA8" w:rsidRDefault="00E91CC3">
          <w:pPr>
            <w:pStyle w:val="31"/>
            <w:tabs>
              <w:tab w:val="right" w:leader="dot" w:pos="10456"/>
            </w:tabs>
            <w:ind w:left="880"/>
            <w:rPr>
              <w:rFonts w:ascii="Garamond" w:hAnsi="Garamond"/>
              <w:noProof/>
              <w:kern w:val="2"/>
              <w:sz w:val="24"/>
              <w:szCs w:val="24"/>
              <w:lang w:val="en-GB"/>
              <w14:ligatures w14:val="standardContextual"/>
            </w:rPr>
          </w:pPr>
          <w:hyperlink w:anchor="_Toc171702285" w:history="1">
            <w:r w:rsidR="00270BA8" w:rsidRPr="00270BA8">
              <w:rPr>
                <w:rStyle w:val="af9"/>
                <w:rFonts w:ascii="Garamond" w:hAnsi="Garamond"/>
                <w:noProof/>
                <w:sz w:val="24"/>
                <w:szCs w:val="24"/>
                <w:lang w:val="en-GB"/>
              </w:rPr>
              <w:t>2.5.2 Knowledge sharing and employee innovative behaviours</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_Toc171702285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11</w:t>
            </w:r>
            <w:r w:rsidR="00270BA8" w:rsidRPr="00270BA8">
              <w:rPr>
                <w:rFonts w:ascii="Garamond" w:hAnsi="Garamond"/>
                <w:noProof/>
                <w:webHidden/>
                <w:sz w:val="24"/>
                <w:szCs w:val="24"/>
              </w:rPr>
              <w:fldChar w:fldCharType="end"/>
            </w:r>
          </w:hyperlink>
        </w:p>
        <w:p w14:paraId="58293DA9" w14:textId="21D08BA0" w:rsidR="00270BA8" w:rsidRPr="00270BA8" w:rsidRDefault="00E91CC3">
          <w:pPr>
            <w:pStyle w:val="31"/>
            <w:tabs>
              <w:tab w:val="right" w:leader="dot" w:pos="10456"/>
            </w:tabs>
            <w:ind w:left="880"/>
            <w:rPr>
              <w:rFonts w:ascii="Garamond" w:hAnsi="Garamond"/>
              <w:noProof/>
              <w:kern w:val="2"/>
              <w:sz w:val="24"/>
              <w:szCs w:val="24"/>
              <w:lang w:val="en-GB"/>
              <w14:ligatures w14:val="standardContextual"/>
            </w:rPr>
          </w:pPr>
          <w:hyperlink w:anchor="_Toc171702286" w:history="1">
            <w:r w:rsidR="00270BA8" w:rsidRPr="00270BA8">
              <w:rPr>
                <w:rStyle w:val="af9"/>
                <w:rFonts w:ascii="Garamond" w:hAnsi="Garamond"/>
                <w:noProof/>
                <w:sz w:val="24"/>
                <w:szCs w:val="24"/>
                <w:lang w:val="en-GB"/>
              </w:rPr>
              <w:t>2.5.3 The moderating effects of knowledge sharing</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_Toc171702286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12</w:t>
            </w:r>
            <w:r w:rsidR="00270BA8" w:rsidRPr="00270BA8">
              <w:rPr>
                <w:rFonts w:ascii="Garamond" w:hAnsi="Garamond"/>
                <w:noProof/>
                <w:webHidden/>
                <w:sz w:val="24"/>
                <w:szCs w:val="24"/>
              </w:rPr>
              <w:fldChar w:fldCharType="end"/>
            </w:r>
          </w:hyperlink>
        </w:p>
        <w:p w14:paraId="412F63A5" w14:textId="26EC5D55" w:rsidR="00270BA8" w:rsidRPr="00270BA8" w:rsidRDefault="00E91CC3">
          <w:pPr>
            <w:pStyle w:val="12"/>
            <w:tabs>
              <w:tab w:val="left" w:pos="420"/>
              <w:tab w:val="right" w:leader="dot" w:pos="10456"/>
            </w:tabs>
            <w:rPr>
              <w:rFonts w:ascii="Garamond" w:hAnsi="Garamond"/>
              <w:noProof/>
              <w:kern w:val="2"/>
              <w:sz w:val="24"/>
              <w:szCs w:val="24"/>
              <w:lang w:val="en-GB"/>
              <w14:ligatures w14:val="standardContextual"/>
            </w:rPr>
          </w:pPr>
          <w:hyperlink w:anchor="_Toc171702287" w:history="1">
            <w:r w:rsidR="00270BA8" w:rsidRPr="00270BA8">
              <w:rPr>
                <w:rStyle w:val="af9"/>
                <w:rFonts w:ascii="Garamond" w:hAnsi="Garamond" w:cs="Times New Roman"/>
                <w:noProof/>
                <w:sz w:val="24"/>
                <w:szCs w:val="24"/>
                <w:lang w:val="en-GB"/>
              </w:rPr>
              <w:t>3.</w:t>
            </w:r>
            <w:r w:rsidR="00270BA8" w:rsidRPr="00270BA8">
              <w:rPr>
                <w:rFonts w:ascii="Garamond" w:hAnsi="Garamond"/>
                <w:noProof/>
                <w:kern w:val="2"/>
                <w:sz w:val="24"/>
                <w:szCs w:val="24"/>
                <w:lang w:val="en-GB"/>
                <w14:ligatures w14:val="standardContextual"/>
              </w:rPr>
              <w:tab/>
            </w:r>
            <w:r w:rsidR="00270BA8" w:rsidRPr="00270BA8">
              <w:rPr>
                <w:rStyle w:val="af9"/>
                <w:rFonts w:ascii="Garamond" w:hAnsi="Garamond" w:cs="Times New Roman"/>
                <w:noProof/>
                <w:sz w:val="24"/>
                <w:szCs w:val="24"/>
                <w:lang w:val="en-GB"/>
              </w:rPr>
              <w:t>Research paradigm and method</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_Toc171702287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13</w:t>
            </w:r>
            <w:r w:rsidR="00270BA8" w:rsidRPr="00270BA8">
              <w:rPr>
                <w:rFonts w:ascii="Garamond" w:hAnsi="Garamond"/>
                <w:noProof/>
                <w:webHidden/>
                <w:sz w:val="24"/>
                <w:szCs w:val="24"/>
              </w:rPr>
              <w:fldChar w:fldCharType="end"/>
            </w:r>
          </w:hyperlink>
        </w:p>
        <w:p w14:paraId="520E9652" w14:textId="6C7296EE" w:rsidR="00270BA8" w:rsidRPr="00270BA8" w:rsidRDefault="00E91CC3">
          <w:pPr>
            <w:pStyle w:val="12"/>
            <w:tabs>
              <w:tab w:val="left" w:pos="420"/>
              <w:tab w:val="right" w:leader="dot" w:pos="10456"/>
            </w:tabs>
            <w:rPr>
              <w:rFonts w:ascii="Garamond" w:hAnsi="Garamond"/>
              <w:noProof/>
              <w:kern w:val="2"/>
              <w:sz w:val="24"/>
              <w:szCs w:val="24"/>
              <w:lang w:val="en-GB"/>
              <w14:ligatures w14:val="standardContextual"/>
            </w:rPr>
          </w:pPr>
          <w:hyperlink w:anchor="_Toc171702288" w:history="1">
            <w:r w:rsidR="00270BA8" w:rsidRPr="00270BA8">
              <w:rPr>
                <w:rStyle w:val="af9"/>
                <w:rFonts w:ascii="Garamond" w:hAnsi="Garamond" w:cs="Times New Roman"/>
                <w:noProof/>
                <w:sz w:val="24"/>
                <w:szCs w:val="24"/>
                <w:lang w:val="en-GB"/>
              </w:rPr>
              <w:t>4.</w:t>
            </w:r>
            <w:r w:rsidR="00270BA8" w:rsidRPr="00270BA8">
              <w:rPr>
                <w:rFonts w:ascii="Garamond" w:hAnsi="Garamond"/>
                <w:noProof/>
                <w:kern w:val="2"/>
                <w:sz w:val="24"/>
                <w:szCs w:val="24"/>
                <w:lang w:val="en-GB"/>
                <w14:ligatures w14:val="standardContextual"/>
              </w:rPr>
              <w:tab/>
            </w:r>
            <w:r w:rsidR="00270BA8" w:rsidRPr="00270BA8">
              <w:rPr>
                <w:rStyle w:val="af9"/>
                <w:rFonts w:ascii="Garamond" w:hAnsi="Garamond" w:cs="Times New Roman"/>
                <w:noProof/>
                <w:sz w:val="24"/>
                <w:szCs w:val="24"/>
                <w:lang w:val="en-GB"/>
              </w:rPr>
              <w:t>Data collection</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_Toc171702288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14</w:t>
            </w:r>
            <w:r w:rsidR="00270BA8" w:rsidRPr="00270BA8">
              <w:rPr>
                <w:rFonts w:ascii="Garamond" w:hAnsi="Garamond"/>
                <w:noProof/>
                <w:webHidden/>
                <w:sz w:val="24"/>
                <w:szCs w:val="24"/>
              </w:rPr>
              <w:fldChar w:fldCharType="end"/>
            </w:r>
          </w:hyperlink>
        </w:p>
        <w:p w14:paraId="14A9986A" w14:textId="094FDC3A" w:rsidR="00270BA8" w:rsidRPr="00270BA8" w:rsidRDefault="00E91CC3">
          <w:pPr>
            <w:pStyle w:val="12"/>
            <w:tabs>
              <w:tab w:val="left" w:pos="420"/>
              <w:tab w:val="right" w:leader="dot" w:pos="10456"/>
            </w:tabs>
            <w:rPr>
              <w:rFonts w:ascii="Garamond" w:hAnsi="Garamond"/>
              <w:noProof/>
              <w:kern w:val="2"/>
              <w:sz w:val="24"/>
              <w:szCs w:val="24"/>
              <w:lang w:val="en-GB"/>
              <w14:ligatures w14:val="standardContextual"/>
            </w:rPr>
          </w:pPr>
          <w:hyperlink w:anchor="_Toc171702289" w:history="1">
            <w:r w:rsidR="00270BA8" w:rsidRPr="00270BA8">
              <w:rPr>
                <w:rStyle w:val="af9"/>
                <w:rFonts w:ascii="Garamond" w:hAnsi="Garamond" w:cs="Times New Roman"/>
                <w:noProof/>
                <w:sz w:val="24"/>
                <w:szCs w:val="24"/>
                <w:lang w:val="en-GB"/>
              </w:rPr>
              <w:t>5.</w:t>
            </w:r>
            <w:r w:rsidR="00270BA8" w:rsidRPr="00270BA8">
              <w:rPr>
                <w:rFonts w:ascii="Garamond" w:hAnsi="Garamond"/>
                <w:noProof/>
                <w:kern w:val="2"/>
                <w:sz w:val="24"/>
                <w:szCs w:val="24"/>
                <w:lang w:val="en-GB"/>
                <w14:ligatures w14:val="standardContextual"/>
              </w:rPr>
              <w:tab/>
            </w:r>
            <w:r w:rsidR="00270BA8" w:rsidRPr="00270BA8">
              <w:rPr>
                <w:rStyle w:val="af9"/>
                <w:rFonts w:ascii="Garamond" w:hAnsi="Garamond" w:cs="Times New Roman"/>
                <w:noProof/>
                <w:sz w:val="24"/>
                <w:szCs w:val="24"/>
                <w:lang w:val="en-GB"/>
              </w:rPr>
              <w:t>Method of data analysis</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_Toc171702289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15</w:t>
            </w:r>
            <w:r w:rsidR="00270BA8" w:rsidRPr="00270BA8">
              <w:rPr>
                <w:rFonts w:ascii="Garamond" w:hAnsi="Garamond"/>
                <w:noProof/>
                <w:webHidden/>
                <w:sz w:val="24"/>
                <w:szCs w:val="24"/>
              </w:rPr>
              <w:fldChar w:fldCharType="end"/>
            </w:r>
          </w:hyperlink>
        </w:p>
        <w:p w14:paraId="4948DF11" w14:textId="546D4630" w:rsidR="00270BA8" w:rsidRPr="00270BA8" w:rsidRDefault="00E91CC3">
          <w:pPr>
            <w:pStyle w:val="12"/>
            <w:tabs>
              <w:tab w:val="left" w:pos="420"/>
              <w:tab w:val="right" w:leader="dot" w:pos="10456"/>
            </w:tabs>
            <w:rPr>
              <w:rFonts w:ascii="Garamond" w:hAnsi="Garamond"/>
              <w:noProof/>
              <w:kern w:val="2"/>
              <w:sz w:val="24"/>
              <w:szCs w:val="24"/>
              <w:lang w:val="en-GB"/>
              <w14:ligatures w14:val="standardContextual"/>
            </w:rPr>
          </w:pPr>
          <w:hyperlink w:anchor="_Toc171702290" w:history="1">
            <w:r w:rsidR="00270BA8" w:rsidRPr="00270BA8">
              <w:rPr>
                <w:rStyle w:val="af9"/>
                <w:rFonts w:ascii="Garamond" w:hAnsi="Garamond" w:cs="Times New Roman"/>
                <w:noProof/>
                <w:sz w:val="24"/>
                <w:szCs w:val="24"/>
                <w:lang w:val="en-GB"/>
              </w:rPr>
              <w:t>6.</w:t>
            </w:r>
            <w:r w:rsidR="00270BA8" w:rsidRPr="00270BA8">
              <w:rPr>
                <w:rFonts w:ascii="Garamond" w:hAnsi="Garamond"/>
                <w:noProof/>
                <w:kern w:val="2"/>
                <w:sz w:val="24"/>
                <w:szCs w:val="24"/>
                <w:lang w:val="en-GB"/>
                <w14:ligatures w14:val="standardContextual"/>
              </w:rPr>
              <w:tab/>
            </w:r>
            <w:r w:rsidR="00270BA8" w:rsidRPr="00270BA8">
              <w:rPr>
                <w:rStyle w:val="af9"/>
                <w:rFonts w:ascii="Garamond" w:hAnsi="Garamond" w:cs="Times New Roman"/>
                <w:noProof/>
                <w:sz w:val="24"/>
                <w:szCs w:val="24"/>
                <w:lang w:val="en-GB"/>
              </w:rPr>
              <w:t>Resource and time management</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_Toc171702290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15</w:t>
            </w:r>
            <w:r w:rsidR="00270BA8" w:rsidRPr="00270BA8">
              <w:rPr>
                <w:rFonts w:ascii="Garamond" w:hAnsi="Garamond"/>
                <w:noProof/>
                <w:webHidden/>
                <w:sz w:val="24"/>
                <w:szCs w:val="24"/>
              </w:rPr>
              <w:fldChar w:fldCharType="end"/>
            </w:r>
          </w:hyperlink>
        </w:p>
        <w:p w14:paraId="0BA270BC" w14:textId="0F74B08B" w:rsidR="00270BA8" w:rsidRPr="00270BA8" w:rsidRDefault="00E91CC3">
          <w:pPr>
            <w:pStyle w:val="12"/>
            <w:tabs>
              <w:tab w:val="right" w:leader="dot" w:pos="10456"/>
            </w:tabs>
            <w:rPr>
              <w:rFonts w:ascii="Garamond" w:hAnsi="Garamond"/>
              <w:noProof/>
              <w:kern w:val="2"/>
              <w:sz w:val="24"/>
              <w:szCs w:val="24"/>
              <w:lang w:val="en-GB"/>
              <w14:ligatures w14:val="standardContextual"/>
            </w:rPr>
          </w:pPr>
          <w:hyperlink w:anchor="_Toc171702291" w:history="1">
            <w:r w:rsidR="00270BA8" w:rsidRPr="00270BA8">
              <w:rPr>
                <w:rStyle w:val="af9"/>
                <w:rFonts w:ascii="Garamond" w:hAnsi="Garamond" w:cs="Times New Roman"/>
                <w:noProof/>
                <w:sz w:val="24"/>
                <w:szCs w:val="24"/>
                <w:lang w:val="en-GB"/>
              </w:rPr>
              <w:t>References</w:t>
            </w:r>
            <w:r w:rsidR="00270BA8" w:rsidRPr="00270BA8">
              <w:rPr>
                <w:rFonts w:ascii="Garamond" w:hAnsi="Garamond"/>
                <w:noProof/>
                <w:webHidden/>
                <w:sz w:val="24"/>
                <w:szCs w:val="24"/>
              </w:rPr>
              <w:tab/>
            </w:r>
            <w:r w:rsidR="00270BA8" w:rsidRPr="00270BA8">
              <w:rPr>
                <w:rFonts w:ascii="Garamond" w:hAnsi="Garamond"/>
                <w:noProof/>
                <w:webHidden/>
                <w:sz w:val="24"/>
                <w:szCs w:val="24"/>
              </w:rPr>
              <w:fldChar w:fldCharType="begin"/>
            </w:r>
            <w:r w:rsidR="00270BA8" w:rsidRPr="00270BA8">
              <w:rPr>
                <w:rFonts w:ascii="Garamond" w:hAnsi="Garamond"/>
                <w:noProof/>
                <w:webHidden/>
                <w:sz w:val="24"/>
                <w:szCs w:val="24"/>
              </w:rPr>
              <w:instrText xml:space="preserve"> PAGEREF _Toc171702291 \h </w:instrText>
            </w:r>
            <w:r w:rsidR="00270BA8" w:rsidRPr="00270BA8">
              <w:rPr>
                <w:rFonts w:ascii="Garamond" w:hAnsi="Garamond"/>
                <w:noProof/>
                <w:webHidden/>
                <w:sz w:val="24"/>
                <w:szCs w:val="24"/>
              </w:rPr>
            </w:r>
            <w:r w:rsidR="00270BA8" w:rsidRPr="00270BA8">
              <w:rPr>
                <w:rFonts w:ascii="Garamond" w:hAnsi="Garamond"/>
                <w:noProof/>
                <w:webHidden/>
                <w:sz w:val="24"/>
                <w:szCs w:val="24"/>
              </w:rPr>
              <w:fldChar w:fldCharType="separate"/>
            </w:r>
            <w:r w:rsidR="00270BA8" w:rsidRPr="00270BA8">
              <w:rPr>
                <w:rFonts w:ascii="Garamond" w:hAnsi="Garamond"/>
                <w:noProof/>
                <w:webHidden/>
                <w:sz w:val="24"/>
                <w:szCs w:val="24"/>
              </w:rPr>
              <w:t>17</w:t>
            </w:r>
            <w:r w:rsidR="00270BA8" w:rsidRPr="00270BA8">
              <w:rPr>
                <w:rFonts w:ascii="Garamond" w:hAnsi="Garamond"/>
                <w:noProof/>
                <w:webHidden/>
                <w:sz w:val="24"/>
                <w:szCs w:val="24"/>
              </w:rPr>
              <w:fldChar w:fldCharType="end"/>
            </w:r>
          </w:hyperlink>
        </w:p>
        <w:p w14:paraId="51D6DF60" w14:textId="0AA574E7" w:rsidR="00270BA8" w:rsidRDefault="00270BA8">
          <w:r w:rsidRPr="00270BA8">
            <w:rPr>
              <w:rFonts w:ascii="Garamond" w:hAnsi="Garamond"/>
              <w:b/>
              <w:bCs/>
              <w:lang w:val="zh-CN"/>
            </w:rPr>
            <w:fldChar w:fldCharType="end"/>
          </w:r>
        </w:p>
      </w:sdtContent>
    </w:sdt>
    <w:p w14:paraId="0B59951C" w14:textId="3ED4953D" w:rsidR="00222527" w:rsidRPr="00270BA8" w:rsidRDefault="00222527" w:rsidP="00270BA8">
      <w:pPr>
        <w:spacing w:before="120" w:after="360" w:line="360" w:lineRule="auto"/>
        <w:jc w:val="both"/>
        <w:rPr>
          <w:rFonts w:ascii="Garamond" w:eastAsiaTheme="majorEastAsia" w:hAnsi="Garamond" w:cs="Times New Roman"/>
          <w:sz w:val="28"/>
          <w:szCs w:val="28"/>
          <w:lang w:val="en-GB"/>
        </w:rPr>
        <w:sectPr w:rsidR="00222527" w:rsidRPr="00270BA8" w:rsidSect="00BA633F">
          <w:footerReference w:type="default" r:id="rId9"/>
          <w:pgSz w:w="11906" w:h="16838"/>
          <w:pgMar w:top="720" w:right="720" w:bottom="720" w:left="720" w:header="851" w:footer="992" w:gutter="0"/>
          <w:cols w:space="425"/>
          <w:docGrid w:type="lines" w:linePitch="312"/>
        </w:sectPr>
      </w:pPr>
    </w:p>
    <w:p w14:paraId="4AC9178C" w14:textId="77777777" w:rsidR="003C3112" w:rsidRPr="00270BA8" w:rsidRDefault="00BC7E78" w:rsidP="00270BA8">
      <w:pPr>
        <w:pStyle w:val="1"/>
        <w:numPr>
          <w:ilvl w:val="0"/>
          <w:numId w:val="2"/>
        </w:numPr>
        <w:spacing w:before="120" w:after="360" w:line="360" w:lineRule="auto"/>
        <w:jc w:val="both"/>
        <w:rPr>
          <w:rFonts w:ascii="Garamond" w:hAnsi="Garamond" w:cs="Times New Roman"/>
          <w:lang w:val="en-GB"/>
        </w:rPr>
      </w:pPr>
      <w:bookmarkStart w:id="1" w:name="_Toc164360738"/>
      <w:bookmarkStart w:id="2" w:name="_Toc171702274"/>
      <w:r w:rsidRPr="00270BA8">
        <w:rPr>
          <w:rFonts w:ascii="Garamond" w:hAnsi="Garamond" w:cs="Times New Roman"/>
          <w:lang w:val="en-GB"/>
        </w:rPr>
        <w:lastRenderedPageBreak/>
        <w:t>Academic</w:t>
      </w:r>
      <w:r w:rsidR="006E6AC5" w:rsidRPr="00270BA8">
        <w:rPr>
          <w:rFonts w:ascii="Garamond" w:hAnsi="Garamond" w:cs="Times New Roman"/>
          <w:lang w:val="en-GB"/>
        </w:rPr>
        <w:t xml:space="preserve"> focus and research rationale</w:t>
      </w:r>
      <w:bookmarkEnd w:id="1"/>
      <w:bookmarkEnd w:id="2"/>
    </w:p>
    <w:p w14:paraId="653BF251" w14:textId="57880ABB" w:rsidR="00A432BB" w:rsidRPr="00270BA8" w:rsidRDefault="00270BA8" w:rsidP="00270BA8">
      <w:pPr>
        <w:pStyle w:val="2"/>
        <w:spacing w:before="120" w:after="360" w:line="360" w:lineRule="auto"/>
        <w:rPr>
          <w:rFonts w:ascii="Garamond" w:hAnsi="Garamond"/>
          <w:lang w:val="en-GB"/>
        </w:rPr>
      </w:pPr>
      <w:bookmarkStart w:id="3" w:name="_Toc171702275"/>
      <w:r>
        <w:rPr>
          <w:rFonts w:ascii="Garamond" w:hAnsi="Garamond" w:hint="eastAsia"/>
          <w:lang w:val="en-GB"/>
        </w:rPr>
        <w:t xml:space="preserve">1.1 </w:t>
      </w:r>
      <w:r w:rsidR="00A432BB" w:rsidRPr="00270BA8">
        <w:rPr>
          <w:rFonts w:ascii="Garamond" w:hAnsi="Garamond"/>
          <w:lang w:val="en-GB"/>
        </w:rPr>
        <w:t>Research question</w:t>
      </w:r>
      <w:bookmarkEnd w:id="3"/>
      <w:r w:rsidR="00A432BB" w:rsidRPr="00270BA8">
        <w:rPr>
          <w:rFonts w:ascii="Garamond" w:hAnsi="Garamond"/>
          <w:lang w:val="en-GB"/>
        </w:rPr>
        <w:t xml:space="preserve"> </w:t>
      </w:r>
    </w:p>
    <w:p w14:paraId="33CB4285" w14:textId="219FD597" w:rsidR="00412DBD" w:rsidRPr="00270BA8" w:rsidRDefault="00412DBD" w:rsidP="00270BA8">
      <w:pPr>
        <w:spacing w:before="120" w:after="360" w:line="360" w:lineRule="auto"/>
        <w:rPr>
          <w:rFonts w:ascii="Garamond" w:hAnsi="Garamond"/>
          <w:sz w:val="24"/>
          <w:szCs w:val="24"/>
          <w:lang w:val="en-GB"/>
        </w:rPr>
      </w:pPr>
      <w:r w:rsidRPr="00270BA8">
        <w:rPr>
          <w:rFonts w:ascii="Garamond" w:hAnsi="Garamond"/>
          <w:sz w:val="24"/>
          <w:szCs w:val="24"/>
          <w:lang w:val="en-GB"/>
        </w:rPr>
        <w:t xml:space="preserve">What are the impacts of HRM strengths on the innovative behaviours of employees in the Chinese </w:t>
      </w:r>
      <w:r w:rsidR="00245439" w:rsidRPr="00270BA8">
        <w:rPr>
          <w:rFonts w:ascii="Garamond" w:hAnsi="Garamond"/>
          <w:sz w:val="24"/>
          <w:szCs w:val="24"/>
          <w:lang w:val="en-GB"/>
        </w:rPr>
        <w:t xml:space="preserve">biopharmaceutical </w:t>
      </w:r>
      <w:r w:rsidRPr="00270BA8">
        <w:rPr>
          <w:rFonts w:ascii="Garamond" w:hAnsi="Garamond"/>
          <w:sz w:val="24"/>
          <w:szCs w:val="24"/>
          <w:lang w:val="en-GB"/>
        </w:rPr>
        <w:t xml:space="preserve">industry? </w:t>
      </w:r>
    </w:p>
    <w:p w14:paraId="6FB0886E" w14:textId="5BE68246" w:rsidR="00F07B44" w:rsidRPr="00270BA8" w:rsidRDefault="00270BA8" w:rsidP="00270BA8">
      <w:pPr>
        <w:pStyle w:val="2"/>
        <w:spacing w:before="120" w:after="360" w:line="360" w:lineRule="auto"/>
        <w:rPr>
          <w:rFonts w:ascii="Garamond" w:hAnsi="Garamond"/>
          <w:lang w:val="en-GB"/>
        </w:rPr>
      </w:pPr>
      <w:bookmarkStart w:id="4" w:name="_Toc171702276"/>
      <w:r>
        <w:rPr>
          <w:rFonts w:ascii="Garamond" w:hAnsi="Garamond" w:hint="eastAsia"/>
          <w:lang w:val="en-GB"/>
        </w:rPr>
        <w:t xml:space="preserve">1.2 </w:t>
      </w:r>
      <w:r w:rsidR="003C3112" w:rsidRPr="00270BA8">
        <w:rPr>
          <w:rFonts w:ascii="Garamond" w:hAnsi="Garamond"/>
          <w:lang w:val="en-GB"/>
        </w:rPr>
        <w:t xml:space="preserve">Research </w:t>
      </w:r>
      <w:r w:rsidRPr="00270BA8">
        <w:rPr>
          <w:rFonts w:ascii="Garamond" w:hAnsi="Garamond"/>
          <w:lang w:val="en-GB"/>
        </w:rPr>
        <w:t>aims</w:t>
      </w:r>
      <w:r w:rsidR="003C3112" w:rsidRPr="00270BA8">
        <w:rPr>
          <w:rFonts w:ascii="Garamond" w:hAnsi="Garamond"/>
          <w:lang w:val="en-GB"/>
        </w:rPr>
        <w:t xml:space="preserve"> and objectives</w:t>
      </w:r>
      <w:bookmarkEnd w:id="4"/>
      <w:r w:rsidR="006E6AC5" w:rsidRPr="00270BA8">
        <w:rPr>
          <w:rFonts w:ascii="Garamond" w:hAnsi="Garamond"/>
          <w:lang w:val="en-GB"/>
        </w:rPr>
        <w:t xml:space="preserve"> </w:t>
      </w:r>
    </w:p>
    <w:p w14:paraId="4DAF664F" w14:textId="19F401D6" w:rsidR="003C3112" w:rsidRPr="00270BA8" w:rsidRDefault="003C3112" w:rsidP="00270BA8">
      <w:pPr>
        <w:spacing w:before="120" w:after="360" w:line="360" w:lineRule="auto"/>
        <w:rPr>
          <w:rFonts w:ascii="Garamond" w:hAnsi="Garamond"/>
          <w:sz w:val="24"/>
          <w:szCs w:val="24"/>
          <w:lang w:val="en-GB"/>
        </w:rPr>
      </w:pPr>
      <w:r w:rsidRPr="00270BA8">
        <w:rPr>
          <w:rFonts w:ascii="Garamond" w:hAnsi="Garamond"/>
          <w:sz w:val="24"/>
          <w:szCs w:val="24"/>
          <w:lang w:val="en-GB"/>
        </w:rPr>
        <w:t xml:space="preserve">The overarching aim of the present study is to analyse and evaluate how </w:t>
      </w:r>
      <w:r w:rsidR="008D7010" w:rsidRPr="00270BA8">
        <w:rPr>
          <w:rFonts w:ascii="Garamond" w:hAnsi="Garamond"/>
          <w:sz w:val="24"/>
          <w:szCs w:val="24"/>
          <w:lang w:val="en-GB"/>
        </w:rPr>
        <w:t>HRM Strength</w:t>
      </w:r>
      <w:r w:rsidRPr="00270BA8">
        <w:rPr>
          <w:rFonts w:ascii="Garamond" w:hAnsi="Garamond"/>
          <w:sz w:val="24"/>
          <w:szCs w:val="24"/>
          <w:lang w:val="en-GB"/>
        </w:rPr>
        <w:t xml:space="preserve"> </w:t>
      </w:r>
      <w:r w:rsidR="008D7010" w:rsidRPr="00270BA8">
        <w:rPr>
          <w:rFonts w:ascii="Garamond" w:hAnsi="Garamond"/>
          <w:sz w:val="24"/>
          <w:szCs w:val="24"/>
          <w:lang w:val="en-GB"/>
        </w:rPr>
        <w:t>impact</w:t>
      </w:r>
      <w:r w:rsidR="007747C6" w:rsidRPr="00270BA8">
        <w:rPr>
          <w:rFonts w:ascii="Garamond" w:hAnsi="Garamond"/>
          <w:sz w:val="24"/>
          <w:szCs w:val="24"/>
          <w:lang w:val="en-GB"/>
        </w:rPr>
        <w:t>s the innovative behaviours of employees in the Chinese pharmaceutical industries</w:t>
      </w:r>
      <w:r w:rsidRPr="00270BA8">
        <w:rPr>
          <w:rFonts w:ascii="Garamond" w:hAnsi="Garamond"/>
          <w:sz w:val="24"/>
          <w:szCs w:val="24"/>
          <w:lang w:val="en-GB"/>
        </w:rPr>
        <w:t>. The above research aim is achieved through the completion of the following research objectives:</w:t>
      </w:r>
    </w:p>
    <w:p w14:paraId="5CF4B1A6" w14:textId="5F23A3B1" w:rsidR="003C3112" w:rsidRPr="00270BA8" w:rsidRDefault="003C3112" w:rsidP="00270BA8">
      <w:pPr>
        <w:pStyle w:val="a7"/>
        <w:numPr>
          <w:ilvl w:val="0"/>
          <w:numId w:val="10"/>
        </w:numPr>
        <w:spacing w:before="120" w:after="360" w:line="360" w:lineRule="auto"/>
        <w:rPr>
          <w:rFonts w:ascii="Garamond" w:hAnsi="Garamond"/>
          <w:sz w:val="24"/>
          <w:szCs w:val="24"/>
          <w:lang w:val="en-GB"/>
        </w:rPr>
      </w:pPr>
      <w:r w:rsidRPr="00270BA8">
        <w:rPr>
          <w:rFonts w:ascii="Garamond" w:hAnsi="Garamond"/>
          <w:sz w:val="24"/>
          <w:szCs w:val="24"/>
          <w:lang w:val="en-GB"/>
        </w:rPr>
        <w:t xml:space="preserve">To comprehensively understand the theoretical foundations of HRM Strength and employee innovation, examine the empirical studies on the impact of </w:t>
      </w:r>
      <w:r w:rsidR="008D7010" w:rsidRPr="00270BA8">
        <w:rPr>
          <w:rFonts w:ascii="Garamond" w:hAnsi="Garamond"/>
          <w:sz w:val="24"/>
          <w:szCs w:val="24"/>
          <w:lang w:val="en-GB"/>
        </w:rPr>
        <w:t>HRM Strength</w:t>
      </w:r>
      <w:r w:rsidRPr="00270BA8">
        <w:rPr>
          <w:rFonts w:ascii="Garamond" w:hAnsi="Garamond"/>
          <w:sz w:val="24"/>
          <w:szCs w:val="24"/>
          <w:lang w:val="en-GB"/>
        </w:rPr>
        <w:t xml:space="preserve"> on employee innovation and its underlying working mechanism to identify inconsistencies and gaps in the existing body of knowledge. </w:t>
      </w:r>
    </w:p>
    <w:p w14:paraId="32501C0D" w14:textId="373F2066" w:rsidR="003C3112" w:rsidRPr="00270BA8" w:rsidRDefault="003C3112" w:rsidP="00270BA8">
      <w:pPr>
        <w:pStyle w:val="a7"/>
        <w:numPr>
          <w:ilvl w:val="0"/>
          <w:numId w:val="10"/>
        </w:numPr>
        <w:spacing w:before="120" w:after="360" w:line="360" w:lineRule="auto"/>
        <w:rPr>
          <w:rFonts w:ascii="Garamond" w:hAnsi="Garamond"/>
          <w:sz w:val="24"/>
          <w:szCs w:val="24"/>
          <w:lang w:val="en-GB"/>
        </w:rPr>
      </w:pPr>
      <w:r w:rsidRPr="00270BA8">
        <w:rPr>
          <w:rFonts w:ascii="Garamond" w:hAnsi="Garamond"/>
          <w:sz w:val="24"/>
          <w:szCs w:val="24"/>
          <w:lang w:val="en-GB"/>
        </w:rPr>
        <w:t xml:space="preserve">To develop a conceptual framework integrating HRM Strength, employee innovation and knowledge sharing to direct the empirical studies of the present study </w:t>
      </w:r>
    </w:p>
    <w:p w14:paraId="4650E408" w14:textId="4C030548" w:rsidR="003C3112" w:rsidRPr="00270BA8" w:rsidRDefault="003C3112" w:rsidP="00270BA8">
      <w:pPr>
        <w:pStyle w:val="a7"/>
        <w:numPr>
          <w:ilvl w:val="0"/>
          <w:numId w:val="10"/>
        </w:numPr>
        <w:spacing w:before="120" w:after="360" w:line="360" w:lineRule="auto"/>
        <w:rPr>
          <w:rFonts w:ascii="Garamond" w:hAnsi="Garamond"/>
          <w:sz w:val="24"/>
          <w:szCs w:val="24"/>
          <w:lang w:val="en-GB"/>
        </w:rPr>
      </w:pPr>
      <w:r w:rsidRPr="00270BA8">
        <w:rPr>
          <w:rFonts w:ascii="Garamond" w:hAnsi="Garamond"/>
          <w:sz w:val="24"/>
          <w:szCs w:val="24"/>
          <w:lang w:val="en-GB"/>
        </w:rPr>
        <w:t xml:space="preserve">To empirically investigate the relationship between </w:t>
      </w:r>
      <w:r w:rsidR="008D7010" w:rsidRPr="00270BA8">
        <w:rPr>
          <w:rFonts w:ascii="Garamond" w:hAnsi="Garamond"/>
          <w:sz w:val="24"/>
          <w:szCs w:val="24"/>
          <w:lang w:val="en-GB"/>
        </w:rPr>
        <w:t>HRM Strength</w:t>
      </w:r>
      <w:r w:rsidRPr="00270BA8">
        <w:rPr>
          <w:rFonts w:ascii="Garamond" w:hAnsi="Garamond"/>
          <w:sz w:val="24"/>
          <w:szCs w:val="24"/>
          <w:lang w:val="en-GB"/>
        </w:rPr>
        <w:t xml:space="preserve"> and employee innovation</w:t>
      </w:r>
      <w:r w:rsidR="00972D8B" w:rsidRPr="00270BA8">
        <w:rPr>
          <w:rFonts w:ascii="Garamond" w:hAnsi="Garamond"/>
          <w:sz w:val="24"/>
          <w:szCs w:val="24"/>
          <w:lang w:val="en-GB"/>
        </w:rPr>
        <w:t>,e.g. whether a higher magnitude of HRM strength facilitates employee innovative behaviours and what the underlying working mechanisms of the impacts</w:t>
      </w:r>
      <w:r w:rsidR="007747C6" w:rsidRPr="00270BA8">
        <w:rPr>
          <w:rFonts w:ascii="Garamond" w:hAnsi="Garamond"/>
          <w:sz w:val="24"/>
          <w:szCs w:val="24"/>
          <w:lang w:val="en-GB"/>
        </w:rPr>
        <w:t xml:space="preserve"> are.</w:t>
      </w:r>
      <w:r w:rsidR="00972D8B" w:rsidRPr="00270BA8">
        <w:rPr>
          <w:rFonts w:ascii="Garamond" w:hAnsi="Garamond"/>
          <w:sz w:val="24"/>
          <w:szCs w:val="24"/>
          <w:lang w:val="en-GB"/>
        </w:rPr>
        <w:t xml:space="preserve"> </w:t>
      </w:r>
    </w:p>
    <w:p w14:paraId="00A53387" w14:textId="658F1D01" w:rsidR="003C3112" w:rsidRPr="00270BA8" w:rsidRDefault="003C3112" w:rsidP="00270BA8">
      <w:pPr>
        <w:pStyle w:val="a7"/>
        <w:numPr>
          <w:ilvl w:val="0"/>
          <w:numId w:val="10"/>
        </w:numPr>
        <w:spacing w:before="120" w:after="360" w:line="360" w:lineRule="auto"/>
        <w:rPr>
          <w:rFonts w:ascii="Garamond" w:hAnsi="Garamond"/>
          <w:sz w:val="24"/>
          <w:szCs w:val="24"/>
          <w:lang w:val="en-GB"/>
        </w:rPr>
      </w:pPr>
      <w:r w:rsidRPr="00270BA8">
        <w:rPr>
          <w:rFonts w:ascii="Garamond" w:hAnsi="Garamond"/>
          <w:sz w:val="24"/>
          <w:szCs w:val="24"/>
          <w:lang w:val="en-GB"/>
        </w:rPr>
        <w:t xml:space="preserve">To </w:t>
      </w:r>
      <w:r w:rsidR="00972D8B" w:rsidRPr="00270BA8">
        <w:rPr>
          <w:rFonts w:ascii="Garamond" w:hAnsi="Garamond"/>
          <w:sz w:val="24"/>
          <w:szCs w:val="24"/>
          <w:lang w:val="en-GB"/>
        </w:rPr>
        <w:t xml:space="preserve">raise attention and </w:t>
      </w:r>
      <w:r w:rsidRPr="00270BA8">
        <w:rPr>
          <w:rFonts w:ascii="Garamond" w:hAnsi="Garamond"/>
          <w:sz w:val="24"/>
          <w:szCs w:val="24"/>
          <w:lang w:val="en-GB"/>
        </w:rPr>
        <w:t xml:space="preserve">provide actionable </w:t>
      </w:r>
      <w:r w:rsidR="00972D8B" w:rsidRPr="00270BA8">
        <w:rPr>
          <w:rFonts w:ascii="Garamond" w:hAnsi="Garamond"/>
          <w:sz w:val="24"/>
          <w:szCs w:val="24"/>
          <w:lang w:val="en-GB"/>
        </w:rPr>
        <w:t>managerial implications</w:t>
      </w:r>
      <w:r w:rsidRPr="00270BA8">
        <w:rPr>
          <w:rFonts w:ascii="Garamond" w:hAnsi="Garamond"/>
          <w:sz w:val="24"/>
          <w:szCs w:val="24"/>
          <w:lang w:val="en-GB"/>
        </w:rPr>
        <w:t xml:space="preserve"> for</w:t>
      </w:r>
      <w:r w:rsidR="00972D8B" w:rsidRPr="00270BA8">
        <w:rPr>
          <w:rFonts w:ascii="Garamond" w:hAnsi="Garamond"/>
          <w:sz w:val="24"/>
          <w:szCs w:val="24"/>
          <w:lang w:val="en-GB"/>
        </w:rPr>
        <w:t xml:space="preserve"> Chinese biopha</w:t>
      </w:r>
      <w:r w:rsidR="007747C6" w:rsidRPr="00270BA8">
        <w:rPr>
          <w:rFonts w:ascii="Garamond" w:hAnsi="Garamond"/>
          <w:sz w:val="24"/>
          <w:szCs w:val="24"/>
          <w:lang w:val="en-GB"/>
        </w:rPr>
        <w:t>rmaceu</w:t>
      </w:r>
      <w:r w:rsidR="00972D8B" w:rsidRPr="00270BA8">
        <w:rPr>
          <w:rFonts w:ascii="Garamond" w:hAnsi="Garamond"/>
          <w:sz w:val="24"/>
          <w:szCs w:val="24"/>
          <w:lang w:val="en-GB"/>
        </w:rPr>
        <w:t>tical</w:t>
      </w:r>
      <w:r w:rsidRPr="00270BA8">
        <w:rPr>
          <w:rFonts w:ascii="Garamond" w:hAnsi="Garamond"/>
          <w:sz w:val="24"/>
          <w:szCs w:val="24"/>
          <w:lang w:val="en-GB"/>
        </w:rPr>
        <w:t xml:space="preserve"> organi</w:t>
      </w:r>
      <w:r w:rsidR="007747C6" w:rsidRPr="00270BA8">
        <w:rPr>
          <w:rFonts w:ascii="Garamond" w:hAnsi="Garamond"/>
          <w:sz w:val="24"/>
          <w:szCs w:val="24"/>
          <w:lang w:val="en-GB"/>
        </w:rPr>
        <w:t>s</w:t>
      </w:r>
      <w:r w:rsidRPr="00270BA8">
        <w:rPr>
          <w:rFonts w:ascii="Garamond" w:hAnsi="Garamond"/>
          <w:sz w:val="24"/>
          <w:szCs w:val="24"/>
          <w:lang w:val="en-GB"/>
        </w:rPr>
        <w:t xml:space="preserve">ations in terms of </w:t>
      </w:r>
      <w:r w:rsidR="008D7010" w:rsidRPr="00270BA8">
        <w:rPr>
          <w:rFonts w:ascii="Garamond" w:hAnsi="Garamond"/>
          <w:sz w:val="24"/>
          <w:szCs w:val="24"/>
          <w:lang w:val="en-GB"/>
        </w:rPr>
        <w:t>HRM Strength</w:t>
      </w:r>
      <w:r w:rsidRPr="00270BA8">
        <w:rPr>
          <w:rFonts w:ascii="Garamond" w:hAnsi="Garamond"/>
          <w:sz w:val="24"/>
          <w:szCs w:val="24"/>
          <w:lang w:val="en-GB"/>
        </w:rPr>
        <w:t xml:space="preserve"> to promote employee innovation</w:t>
      </w:r>
    </w:p>
    <w:p w14:paraId="7FC061AA" w14:textId="33573858" w:rsidR="006E6AC5" w:rsidRPr="00270BA8" w:rsidRDefault="00270BA8" w:rsidP="00270BA8">
      <w:pPr>
        <w:pStyle w:val="2"/>
        <w:spacing w:before="120" w:after="360" w:line="360" w:lineRule="auto"/>
        <w:jc w:val="both"/>
        <w:rPr>
          <w:rFonts w:ascii="Garamond" w:hAnsi="Garamond" w:cs="Times New Roman"/>
          <w:lang w:val="en-GB"/>
        </w:rPr>
      </w:pPr>
      <w:bookmarkStart w:id="5" w:name="_Toc164360739"/>
      <w:bookmarkStart w:id="6" w:name="_Toc171702277"/>
      <w:r>
        <w:rPr>
          <w:rFonts w:ascii="Garamond" w:hAnsi="Garamond" w:cs="Times New Roman" w:hint="eastAsia"/>
          <w:lang w:val="en-GB"/>
        </w:rPr>
        <w:t xml:space="preserve">1.3 </w:t>
      </w:r>
      <w:r w:rsidR="006E6AC5" w:rsidRPr="00270BA8">
        <w:rPr>
          <w:rFonts w:ascii="Garamond" w:hAnsi="Garamond" w:cs="Times New Roman"/>
          <w:lang w:val="en-GB"/>
        </w:rPr>
        <w:t>Research background/context</w:t>
      </w:r>
      <w:bookmarkEnd w:id="5"/>
      <w:bookmarkEnd w:id="6"/>
    </w:p>
    <w:p w14:paraId="223B7978" w14:textId="3FB62129" w:rsidR="00A42DDD" w:rsidRPr="00270BA8" w:rsidRDefault="005C0B46"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The worldwide technological revolution is in full swing, and the ability to innovate has become an </w:t>
      </w:r>
      <w:r w:rsidR="007747C6" w:rsidRPr="00270BA8">
        <w:rPr>
          <w:rFonts w:ascii="Garamond" w:hAnsi="Garamond" w:cs="Times New Roman"/>
          <w:sz w:val="24"/>
          <w:szCs w:val="24"/>
          <w:lang w:val="en-GB"/>
        </w:rPr>
        <w:t>essential</w:t>
      </w:r>
      <w:r w:rsidRPr="00270BA8">
        <w:rPr>
          <w:rFonts w:ascii="Garamond" w:hAnsi="Garamond" w:cs="Times New Roman"/>
          <w:sz w:val="24"/>
          <w:szCs w:val="24"/>
          <w:lang w:val="en-GB"/>
        </w:rPr>
        <w:t xml:space="preserve"> source of sustainable competitive advantage for enterprises. The fundamental power of enterprises to carry out innovation comes from internal employees, and employee creativity is considered the cornerstone of enterprise innovation</w:t>
      </w:r>
      <w:r w:rsidR="00D265CC" w:rsidRPr="00270BA8">
        <w:rPr>
          <w:rFonts w:ascii="Garamond" w:hAnsi="Garamond" w:cs="Times New Roman"/>
          <w:sz w:val="24"/>
          <w:szCs w:val="24"/>
          <w:lang w:val="en-GB"/>
        </w:rPr>
        <w:t xml:space="preserve"> </w:t>
      </w:r>
      <w:r w:rsidR="00D265CC" w:rsidRPr="00270BA8">
        <w:rPr>
          <w:rFonts w:ascii="Garamond" w:hAnsi="Garamond" w:cs="Times New Roman"/>
          <w:sz w:val="24"/>
          <w:szCs w:val="24"/>
          <w:lang w:val="en-GB"/>
        </w:rPr>
        <w:fldChar w:fldCharType="begin"/>
      </w:r>
      <w:r w:rsidR="002A2A0B" w:rsidRPr="00270BA8">
        <w:rPr>
          <w:rFonts w:ascii="Garamond" w:hAnsi="Garamond" w:cs="Times New Roman"/>
          <w:sz w:val="24"/>
          <w:szCs w:val="24"/>
          <w:lang w:val="en-GB"/>
        </w:rPr>
        <w:instrText xml:space="preserve"> ADDIN ZOTERO_ITEM CSL_CITATION {"citationID":"QxKHOoKJ","properties":{"formattedCitation":"(Lasisi {\\i{}et al.}, 2020; Papa {\\i{}et al.}, 2020)","plainCitation":"(Lasisi et al., 2020; Papa et al., 2020)","noteIndex":0},"citationItems":[{"id":5330,"uris":["http://zotero.org/users/10703570/items/VTXWB4YE"],"itemData":{"id":5330,"type":"article-journal","container-title":"Employee Relations: The International Journal","ISSN":"0142-5455","issue":"6","journalAbbreviation":"Employee Relations: The International Journal","note":"publisher: Emerald Publishing Limited","page":"1181-1203","title":"Explicating innovation-based human resource management's influence on employee satisfaction and performance","volume":"42","author":[{"family":"Lasisi","given":"Taiwo Temitope"},{"family":"Ozturen","given":"Ali"},{"family":"Eluwole","given":"Kayode Kolawole"},{"family":"Avci","given":"Turgay"}],"issued":{"date-parts":[["2020"]]}}},{"id":5329,"uris":["http://zotero.org/users/10703570/items/EU9BT5YG"],"itemData":{"id":5329,"type":"article-journal","container-title":"Journal of Knowledge Management","ISSN":"1367-3270","issue":"3","journalAbbreviation":"Journal of Knowledge Management","note":"publisher: Emerald Publishing Limited","page":"589-605","title":"Improving innovation performance through knowledge acquisition: the moderating role of employee retention and human resource management practices","volume":"24","author":[{"family":"Papa","given":"Armando"},{"family":"Dezi","given":"Luca"},{"family":"Gregori","given":"Gian Luca"},{"family":"Mueller","given":"Jens"},{"family":"Miglietta","given":"Nicola"}],"issued":{"date-parts":[["2020"]]}}}],"schema":"https://github.com/citation-style-language/schema/raw/master/csl-citation.json"} </w:instrText>
      </w:r>
      <w:r w:rsidR="00D265CC" w:rsidRPr="00270BA8">
        <w:rPr>
          <w:rFonts w:ascii="Garamond" w:hAnsi="Garamond" w:cs="Times New Roman"/>
          <w:sz w:val="24"/>
          <w:szCs w:val="24"/>
          <w:lang w:val="en-GB"/>
        </w:rPr>
        <w:fldChar w:fldCharType="separate"/>
      </w:r>
      <w:r w:rsidR="002A2A0B" w:rsidRPr="00270BA8">
        <w:rPr>
          <w:rFonts w:ascii="Garamond" w:hAnsi="Garamond" w:cs="Times New Roman"/>
          <w:sz w:val="24"/>
          <w:szCs w:val="32"/>
        </w:rPr>
        <w:t xml:space="preserve">(Lasisi </w:t>
      </w:r>
      <w:r w:rsidR="002A2A0B" w:rsidRPr="00270BA8">
        <w:rPr>
          <w:rFonts w:ascii="Garamond" w:hAnsi="Garamond" w:cs="Times New Roman"/>
          <w:i/>
          <w:iCs/>
          <w:sz w:val="24"/>
          <w:szCs w:val="32"/>
        </w:rPr>
        <w:t>et al.</w:t>
      </w:r>
      <w:r w:rsidR="002A2A0B" w:rsidRPr="00270BA8">
        <w:rPr>
          <w:rFonts w:ascii="Garamond" w:hAnsi="Garamond" w:cs="Times New Roman"/>
          <w:sz w:val="24"/>
          <w:szCs w:val="32"/>
        </w:rPr>
        <w:t xml:space="preserve">, 2020; Papa </w:t>
      </w:r>
      <w:r w:rsidR="002A2A0B" w:rsidRPr="00270BA8">
        <w:rPr>
          <w:rFonts w:ascii="Garamond" w:hAnsi="Garamond" w:cs="Times New Roman"/>
          <w:i/>
          <w:iCs/>
          <w:sz w:val="24"/>
          <w:szCs w:val="32"/>
        </w:rPr>
        <w:t>et al.</w:t>
      </w:r>
      <w:r w:rsidR="002A2A0B" w:rsidRPr="00270BA8">
        <w:rPr>
          <w:rFonts w:ascii="Garamond" w:hAnsi="Garamond" w:cs="Times New Roman"/>
          <w:sz w:val="24"/>
          <w:szCs w:val="32"/>
        </w:rPr>
        <w:t>, 2020)</w:t>
      </w:r>
      <w:r w:rsidR="00D265CC"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How to stimulate and shape employee creativity has become a common concern in theory and practice</w:t>
      </w:r>
      <w:r w:rsidR="00FE6827" w:rsidRPr="00270BA8">
        <w:rPr>
          <w:rFonts w:ascii="Garamond" w:hAnsi="Garamond" w:cs="Times New Roman"/>
          <w:sz w:val="24"/>
          <w:szCs w:val="24"/>
          <w:lang w:val="en-GB"/>
        </w:rPr>
        <w:t xml:space="preserve"> </w:t>
      </w:r>
      <w:r w:rsidR="00FE6827"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{"citationID":"CRawylWj","properties":{"formattedCitation":"(Wallace {\\i{}et al.}, 2016; Lukes and Stephan, 2017; B\\uc0\\u228{}ckstr\\uc0\\u246{}m and Bengtsson, 2019)","plainCitation":"(Wallace et al., 2016; Lukes and Stephan, 2017; Bäckström and Bengtsson, 2019)","noteIndex":0},"citationItems":[{"id":"MRBxNWYl/xryqRSrp","uris":["http://zotero.org/users/10703570/items/3SP6VM64"],"itemData":{"id":3847,"type":"article-journal","container-title":"Journal of Management","ISSN":"0149-2063","issue":"4","journalAbbreviation":"Journal of Management","note":"publisher: Sage Publications Sage CA: Los Angeles, CA","page":"982-1004","title":"A multilevel model of employee innovation: Understanding the effects of regulatory focus, thriving, and employee involvement climate","volume":"42","author":[{"family":"Wallace","given":"J Craig"},{"family":"Butts","given":"Marcus M"},{"family":"Johnson","given":"Paul D"},{"family":"Stevens","given":"Flannery G"},{"family":"Smith","given":"Mickey B"}],"issued":{"date-parts":[["2016"]]}}},{"id":"MRBxNWYl/Uj0h89Lm","uris":["http://zotero.org/users/10703570/items/FXN8LJX9"],"itemData":{"id":3845,"type":"article-journal","container-title":"International Journal of Entrepreneurial Behavior &amp; Research","ISSN":"1355-2554","issue":"1","journalAbbreviation":"International Journal of Entrepreneurial Behavior &amp; Research","note":"publisher: Emerald Publishing Limited","page":"136-158","title":"Measuring employee innovation: A review of existing scales and the development of the innovative behavior and innovation support inventories across cultures","volume":"23","author":[{"family":"Lukes","given":"Martin"},{"family":"Stephan","given":"Ute"}],"issued":{"date-parts":[["2017"]]}}},{"id":"MRBxNWYl/Rpc3ZzO3","uris":["http://zotero.org/users/10703570/items/24CTP8ER"],"itemData":{"id":3848,"type":"article-journal","container-title":"European Journal of Innovation Management","ISSN":"1460-1060","issue":"3","journalAbbreviation":"European Journal of Innovation Management","note":"publisher: Emerald Publishing Limited","page":"468-492","title":"A mapping study of employee innovation: proposing a research agenda","volume":"22","author":[{"family":"Bäckström","given":"Izabelle"},{"family":"Bengtsson","given":"Lars"}],"issued":{"date-parts":[["2019"]]}}}],"schema":"https://github.com/citation-style-language/schema/raw/master/csl-citation.json"} </w:instrText>
      </w:r>
      <w:r w:rsidR="00FE6827" w:rsidRPr="00270BA8">
        <w:rPr>
          <w:rFonts w:ascii="Garamond" w:hAnsi="Garamond" w:cs="Times New Roman"/>
          <w:sz w:val="24"/>
          <w:szCs w:val="24"/>
          <w:lang w:val="en-GB"/>
        </w:rPr>
        <w:fldChar w:fldCharType="separate"/>
      </w:r>
      <w:r w:rsidR="00FE6827" w:rsidRPr="00270BA8">
        <w:rPr>
          <w:rFonts w:ascii="Garamond" w:hAnsi="Garamond" w:cs="Times New Roman"/>
          <w:sz w:val="24"/>
          <w:szCs w:val="24"/>
          <w:lang w:val="en-GB"/>
        </w:rPr>
        <w:t xml:space="preserve">(Wallace </w:t>
      </w:r>
      <w:r w:rsidR="00FE6827" w:rsidRPr="00270BA8">
        <w:rPr>
          <w:rFonts w:ascii="Garamond" w:hAnsi="Garamond" w:cs="Times New Roman"/>
          <w:i/>
          <w:iCs/>
          <w:sz w:val="24"/>
          <w:szCs w:val="24"/>
          <w:lang w:val="en-GB"/>
        </w:rPr>
        <w:t>et al.</w:t>
      </w:r>
      <w:r w:rsidR="00FE6827" w:rsidRPr="00270BA8">
        <w:rPr>
          <w:rFonts w:ascii="Garamond" w:hAnsi="Garamond" w:cs="Times New Roman"/>
          <w:sz w:val="24"/>
          <w:szCs w:val="24"/>
          <w:lang w:val="en-GB"/>
        </w:rPr>
        <w:t xml:space="preserve">, 2016; Lukes and Stephan, 2017; Bäckström and Bengtsson, </w:t>
      </w:r>
      <w:r w:rsidR="00FE6827" w:rsidRPr="00270BA8">
        <w:rPr>
          <w:rFonts w:ascii="Garamond" w:hAnsi="Garamond" w:cs="Times New Roman"/>
          <w:sz w:val="24"/>
          <w:szCs w:val="24"/>
          <w:lang w:val="en-GB"/>
        </w:rPr>
        <w:lastRenderedPageBreak/>
        <w:t>2019)</w:t>
      </w:r>
      <w:r w:rsidR="00FE6827"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w:t>
      </w:r>
      <w:r w:rsidR="00A42DDD" w:rsidRPr="00270BA8">
        <w:rPr>
          <w:rFonts w:ascii="Garamond" w:hAnsi="Garamond" w:cs="Times New Roman"/>
          <w:sz w:val="24"/>
          <w:szCs w:val="24"/>
          <w:lang w:val="en-GB"/>
        </w:rPr>
        <w:t>Innovation</w:t>
      </w:r>
      <w:r w:rsidRPr="00270BA8">
        <w:rPr>
          <w:rFonts w:ascii="Garamond" w:hAnsi="Garamond" w:cs="Times New Roman"/>
          <w:sz w:val="24"/>
          <w:szCs w:val="24"/>
          <w:lang w:val="en-GB"/>
        </w:rPr>
        <w:t xml:space="preserve"> in an organisational context refers to novel or </w:t>
      </w:r>
      <w:r w:rsidR="007747C6" w:rsidRPr="00270BA8">
        <w:rPr>
          <w:rFonts w:ascii="Garamond" w:hAnsi="Garamond" w:cs="Times New Roman"/>
          <w:sz w:val="24"/>
          <w:szCs w:val="24"/>
          <w:lang w:val="en-GB"/>
        </w:rPr>
        <w:t>valuable</w:t>
      </w:r>
      <w:r w:rsidRPr="00270BA8">
        <w:rPr>
          <w:rFonts w:ascii="Garamond" w:hAnsi="Garamond" w:cs="Times New Roman"/>
          <w:sz w:val="24"/>
          <w:szCs w:val="24"/>
          <w:lang w:val="en-GB"/>
        </w:rPr>
        <w:t xml:space="preserve"> ideas that employees generate in the course of their work about the content of their work or the organisation and is a positive behaviour expected by the organisation </w:t>
      </w:r>
      <w:r w:rsidR="00FE6827"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{"citationID":"UjYPQ8xN","properties":{"formattedCitation":"(Zhou and Wu, 2018; Zhang, Xi and Xu, 2022)","plainCitation":"(Zhou and Wu, 2018; Zhang, Xi and Xu, 2022)","noteIndex":0},"citationItems":[{"id":"MRBxNWYl/OLotBWxZ","uris":["http://zotero.org/users/10703570/items/RCA9WRNE"],"itemData":{"id":3850,"type":"article-journal","container-title":"Leadership &amp; Organization Development Journal","ISSN":"0143-7739","issue":"3","journalAbbreviation":"Leadership &amp; Organization Development Journal","note":"publisher: Emerald Publishing Limited","page":"375-387","title":"How humble leadership fosters employee innovation behavior: A two-way perspective on the leader-employee interaction","volume":"39","author":[{"family":"Zhou","given":"Fei"},{"family":"Wu","given":"Yenchun Jim"}],"issued":{"date-parts":[["2018"]]}}},{"id":"MRBxNWYl/SjbIFoSm","uris":["http://zotero.org/users/10703570/items/LZEC5FQP"],"itemData":{"id":3849,"type":"article-journal","container-title":"Journal of Hospitality Marketing &amp; Management","ISSN":"1936-8623","issue":"1","journalAbbreviation":"Journal of Hospitality Marketing &amp; Management","note":"publisher: Taylor &amp; Francis","page":"97-124","title":"Determinants of employee innovation: An open innovation perspective","volume":"31","author":[{"family":"Zhang","given":"Yun"},{"family":"Xi","given":"Wei"},{"family":"Xu","given":"Feng Zeng"}],"issued":{"date-parts":[["2022"]]}}}],"schema":"https://github.com/citation-style-language/schema/raw/master/csl-citation.json"} </w:instrText>
      </w:r>
      <w:r w:rsidR="00FE6827" w:rsidRPr="00270BA8">
        <w:rPr>
          <w:rFonts w:ascii="Garamond" w:hAnsi="Garamond" w:cs="Times New Roman"/>
          <w:sz w:val="24"/>
          <w:szCs w:val="24"/>
          <w:lang w:val="en-GB"/>
        </w:rPr>
        <w:fldChar w:fldCharType="separate"/>
      </w:r>
      <w:r w:rsidR="003E23C1" w:rsidRPr="00270BA8">
        <w:rPr>
          <w:rFonts w:ascii="Garamond" w:hAnsi="Garamond" w:cs="Times New Roman"/>
          <w:sz w:val="24"/>
          <w:szCs w:val="20"/>
          <w:lang w:val="en-GB"/>
        </w:rPr>
        <w:t>(Zhou and Wu, 2018; Zhang, Xi and Xu, 2022)</w:t>
      </w:r>
      <w:r w:rsidR="00FE6827"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w:t>
      </w:r>
    </w:p>
    <w:p w14:paraId="5C926F0D" w14:textId="6E8922EB" w:rsidR="005C0B46" w:rsidRPr="00270BA8" w:rsidRDefault="005C0B46"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Individual characteristics and environmental factors are the two most explored types of </w:t>
      </w:r>
      <w:r w:rsidR="005C35C7" w:rsidRPr="00270BA8">
        <w:rPr>
          <w:rFonts w:ascii="Garamond" w:hAnsi="Garamond" w:cs="Times New Roman"/>
          <w:sz w:val="24"/>
          <w:szCs w:val="24"/>
          <w:lang w:val="en-GB"/>
        </w:rPr>
        <w:t>innovatio</w:t>
      </w:r>
      <w:r w:rsidR="00222527" w:rsidRPr="00270BA8">
        <w:rPr>
          <w:rFonts w:ascii="Garamond" w:hAnsi="Garamond" w:cs="Times New Roman"/>
          <w:sz w:val="24"/>
          <w:szCs w:val="24"/>
          <w:lang w:val="en-GB"/>
        </w:rPr>
        <w:t>n</w:t>
      </w:r>
      <w:r w:rsidR="005C35C7" w:rsidRPr="00270BA8">
        <w:rPr>
          <w:rFonts w:ascii="Garamond" w:hAnsi="Garamond" w:cs="Times New Roman"/>
          <w:sz w:val="24"/>
          <w:szCs w:val="24"/>
          <w:lang w:val="en-GB"/>
        </w:rPr>
        <w:t xml:space="preserve"> ante</w:t>
      </w:r>
      <w:r w:rsidR="00222527" w:rsidRPr="00270BA8">
        <w:rPr>
          <w:rFonts w:ascii="Garamond" w:hAnsi="Garamond" w:cs="Times New Roman"/>
          <w:sz w:val="24"/>
          <w:szCs w:val="24"/>
          <w:lang w:val="en-GB"/>
        </w:rPr>
        <w:t>ced</w:t>
      </w:r>
      <w:r w:rsidR="005C35C7" w:rsidRPr="00270BA8">
        <w:rPr>
          <w:rFonts w:ascii="Garamond" w:hAnsi="Garamond" w:cs="Times New Roman"/>
          <w:sz w:val="24"/>
          <w:szCs w:val="24"/>
          <w:lang w:val="en-GB"/>
        </w:rPr>
        <w:t>ents.</w:t>
      </w:r>
      <w:r w:rsidRPr="00270BA8">
        <w:rPr>
          <w:rFonts w:ascii="Garamond" w:hAnsi="Garamond" w:cs="Times New Roman"/>
          <w:sz w:val="24"/>
          <w:szCs w:val="24"/>
          <w:lang w:val="en-GB"/>
        </w:rPr>
        <w:t xml:space="preserve"> </w:t>
      </w:r>
      <w:r w:rsidR="005C35C7" w:rsidRPr="00270BA8">
        <w:rPr>
          <w:rFonts w:ascii="Garamond" w:hAnsi="Garamond" w:cs="Times New Roman"/>
          <w:sz w:val="24"/>
          <w:szCs w:val="24"/>
          <w:lang w:val="en-GB"/>
        </w:rPr>
        <w:t>I</w:t>
      </w:r>
      <w:r w:rsidRPr="00270BA8">
        <w:rPr>
          <w:rFonts w:ascii="Garamond" w:hAnsi="Garamond" w:cs="Times New Roman"/>
          <w:sz w:val="24"/>
          <w:szCs w:val="24"/>
          <w:lang w:val="en-GB"/>
        </w:rPr>
        <w:t>n terms of individual characteristics</w:t>
      </w:r>
      <w:r w:rsidR="003E23C1" w:rsidRPr="00270BA8">
        <w:rPr>
          <w:rFonts w:ascii="Garamond" w:hAnsi="Garamond" w:cs="Times New Roman"/>
          <w:sz w:val="24"/>
          <w:szCs w:val="24"/>
          <w:lang w:val="en-GB"/>
        </w:rPr>
        <w:t xml:space="preserve"> and</w:t>
      </w:r>
      <w:r w:rsidRPr="00270BA8">
        <w:rPr>
          <w:rFonts w:ascii="Garamond" w:hAnsi="Garamond" w:cs="Times New Roman"/>
          <w:sz w:val="24"/>
          <w:szCs w:val="24"/>
          <w:lang w:val="en-GB"/>
        </w:rPr>
        <w:t xml:space="preserve"> personality </w:t>
      </w:r>
      <w:r w:rsidR="003E23C1"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{"citationID":"UJ9hw38N","properties":{"formattedCitation":"(\\uc0\\u197{}mo and Kolvereid, 2005; Giebels {\\i{}et al.}, 2016)","plainCitation":"(Åmo and Kolvereid, 2005; Giebels et al., 2016)","noteIndex":0},"citationItems":[{"id":"MRBxNWYl/PdesNjkQ","uris":["http://zotero.org/users/10703570/items/PFSJHCP3"],"itemData":{"id":3851,"type":"article-journal","container-title":"Journal of Enterprising Culture","ISSN":"0218-4958","issue":"01","journalAbbreviation":"Journal of Enterprising Culture","note":"publisher: World Scientific","page":"7-19","title":"Organizational strategy, individual personality and innovation behavior","volume":"13","author":[{"family":"Åmo","given":"Bjørn Willy"},{"family":"Kolvereid","given":"Lars"}],"issued":{"date-parts":[["2005"]]}}},{"id":"MRBxNWYl/6tN2A29C","uris":["http://zotero.org/users/10703570/items/65CYKFCC"],"itemData":{"id":3852,"type":"article-journal","container-title":"The Journal of applied behavioral science","ISSN":"0021-8863","issue":"3","journalAbbreviation":"The Journal of applied behavioral science","note":"publisher: Sage Publications Sage CA: Los Angeles, CA","page":"320-341","title":"The critical roles of task conflict and job autonomy in the relationship between proactive personalities and innovative employee behavior","volume":"52","author":[{"family":"Giebels","given":"Ellen"},{"family":"Reuver","given":"Renee SM","non-dropping-particle":"de"},{"family":"Rispens","given":"Sonja"},{"family":"Ufkes","given":"Elze G"}],"issued":{"date-parts":[["2016"]]}}}],"schema":"https://github.com/citation-style-language/schema/raw/master/csl-citation.json"} </w:instrText>
      </w:r>
      <w:r w:rsidR="003E23C1" w:rsidRPr="00270BA8">
        <w:rPr>
          <w:rFonts w:ascii="Garamond" w:hAnsi="Garamond" w:cs="Times New Roman"/>
          <w:sz w:val="24"/>
          <w:szCs w:val="24"/>
          <w:lang w:val="en-GB"/>
        </w:rPr>
        <w:fldChar w:fldCharType="separate"/>
      </w:r>
      <w:r w:rsidR="003E23C1" w:rsidRPr="00270BA8">
        <w:rPr>
          <w:rFonts w:ascii="Garamond" w:hAnsi="Garamond" w:cs="Times New Roman"/>
          <w:sz w:val="24"/>
          <w:szCs w:val="24"/>
          <w:lang w:val="en-GB"/>
        </w:rPr>
        <w:t xml:space="preserve">(Åmo and Kolvereid, 2005; Giebels </w:t>
      </w:r>
      <w:r w:rsidR="003E23C1" w:rsidRPr="00270BA8">
        <w:rPr>
          <w:rFonts w:ascii="Garamond" w:hAnsi="Garamond" w:cs="Times New Roman"/>
          <w:i/>
          <w:iCs/>
          <w:sz w:val="24"/>
          <w:szCs w:val="24"/>
          <w:lang w:val="en-GB"/>
        </w:rPr>
        <w:t>et al.</w:t>
      </w:r>
      <w:r w:rsidR="003E23C1" w:rsidRPr="00270BA8">
        <w:rPr>
          <w:rFonts w:ascii="Garamond" w:hAnsi="Garamond" w:cs="Times New Roman"/>
          <w:sz w:val="24"/>
          <w:szCs w:val="24"/>
          <w:lang w:val="en-GB"/>
        </w:rPr>
        <w:t>, 2016)</w:t>
      </w:r>
      <w:r w:rsidR="003E23C1"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emotions and preferences </w:t>
      </w:r>
      <w:r w:rsidR="003E23C1"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{"citationID":"9W5nKVe6","properties":{"formattedCitation":"(Huhtala and Parzefall, 2007)","plainCitation":"(Huhtala and Parzefall, 2007)","noteIndex":0},"citationItems":[{"id":"MRBxNWYl/7gqD3R8U","uris":["http://zotero.org/users/10703570/items/DVWF3DZI"],"itemData":{"id":3853,"type":"article-journal","container-title":"Creativity and innovation management","ISSN":"0963-1690","issue":"3","journalAbbreviation":"Creativity and innovation management","note":"publisher: Wiley Online Library","page":"299-306","title":"A review of employee well</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being and innovativeness: An opportunity for a mutual benefit","volume":"16","author":[{"family":"Huhtala","given":"Hannele"},{"family":"Parzefall","given":"Marjo</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 xml:space="preserve">Riitta"}],"issued":{"date-parts":[["2007"]]}}}],"schema":"https://github.com/citation-style-language/schema/raw/master/csl-citation.json"} </w:instrText>
      </w:r>
      <w:r w:rsidR="003E23C1" w:rsidRPr="00270BA8">
        <w:rPr>
          <w:rFonts w:ascii="Garamond" w:hAnsi="Garamond" w:cs="Times New Roman"/>
          <w:sz w:val="24"/>
          <w:szCs w:val="24"/>
          <w:lang w:val="en-GB"/>
        </w:rPr>
        <w:fldChar w:fldCharType="separate"/>
      </w:r>
      <w:r w:rsidR="003E23C1" w:rsidRPr="00270BA8">
        <w:rPr>
          <w:rFonts w:ascii="Garamond" w:hAnsi="Garamond" w:cs="Times New Roman"/>
          <w:sz w:val="24"/>
          <w:szCs w:val="20"/>
          <w:lang w:val="en-GB"/>
        </w:rPr>
        <w:t>(Huhtala and Parzefall, 2007)</w:t>
      </w:r>
      <w:r w:rsidR="003E23C1"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among others, affect </w:t>
      </w:r>
      <w:r w:rsidR="00A42DDD" w:rsidRPr="00270BA8">
        <w:rPr>
          <w:rFonts w:ascii="Garamond" w:hAnsi="Garamond" w:cs="Times New Roman"/>
          <w:sz w:val="24"/>
          <w:szCs w:val="24"/>
          <w:lang w:val="en-GB"/>
        </w:rPr>
        <w:t>innovation</w:t>
      </w:r>
      <w:r w:rsidRPr="00270BA8">
        <w:rPr>
          <w:rFonts w:ascii="Garamond" w:hAnsi="Garamond" w:cs="Times New Roman"/>
          <w:sz w:val="24"/>
          <w:szCs w:val="24"/>
          <w:lang w:val="en-GB"/>
        </w:rPr>
        <w:t xml:space="preserve">; in terms of the organisational environment </w:t>
      </w:r>
      <w:r w:rsidR="0072111D"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{"citationID":"mLxpbNtn","properties":{"formattedCitation":"(Gumusluo\\uc0\\u287{}lu and Ilsev, 2009; Nazir {\\i{}et al.}, 2019)","plainCitation":"(Gumusluoğlu and Ilsev, 2009; Nazir et al., 2019)","noteIndex":0},"citationItems":[{"id":"MRBxNWYl/tTB8472p","uris":["http://zotero.org/users/10703570/items/LAW3BCY3"],"itemData":{"id":3855,"type":"article-journal","container-title":"Journal of Product Innovation Management","ISSN":"0737-6782","issue":"3","journalAbbreviation":"Journal of Product Innovation Management","note":"publisher: Wiley Online Library","page":"264-277","title":"Transformational leadership and organizational innovation: The roles of internal and external support for innovation","volume":"26","author":[{"family":"Gumusluoğlu","given":"Lale"},{"family":"Ilsev","given":"Arzu"}],"issued":{"date-parts":[["2009"]]}}},{"id":"MRBxNWYl/WLAPhVR4","uris":["http://zotero.org/users/10703570/items/JQ2LL936"],"itemData":{"id":3854,"type":"article-journal","container-title":"Employee Relations: The International Journal","ISSN":"0142-5455","issue":"6","journalAbbreviation":"Employee Relations: The International Journal","note":"publisher: Emerald Publishing Limited","page":"1288-1311","title":"How organization justice and perceived organizational support facilitate employees’ innovative behavior at work","volume":"41","author":[{"family":"Nazir","given":"Sajjad"},{"family":"Shafi","given":"Amina"},{"family":"Atif","given":"Mian Muhammad"},{"family":"Qun","given":"Wang"},{"family":"Abdullah","given":"Syed Muhammad"}],"issued":{"date-parts":[["2019"]]}}}],"schema":"https://github.com/citation-style-language/schema/raw/master/csl-citation.json"} </w:instrText>
      </w:r>
      <w:r w:rsidR="0072111D" w:rsidRPr="00270BA8">
        <w:rPr>
          <w:rFonts w:ascii="Garamond" w:hAnsi="Garamond" w:cs="Times New Roman"/>
          <w:sz w:val="24"/>
          <w:szCs w:val="24"/>
          <w:lang w:val="en-GB"/>
        </w:rPr>
        <w:fldChar w:fldCharType="separate"/>
      </w:r>
      <w:r w:rsidR="0072111D" w:rsidRPr="00270BA8">
        <w:rPr>
          <w:rFonts w:ascii="Garamond" w:hAnsi="Garamond" w:cs="Times New Roman"/>
          <w:sz w:val="24"/>
          <w:szCs w:val="24"/>
          <w:lang w:val="en-GB"/>
        </w:rPr>
        <w:t xml:space="preserve">(Gumusluoğlu and Ilsev, 2009; Nazir </w:t>
      </w:r>
      <w:r w:rsidR="0072111D" w:rsidRPr="00270BA8">
        <w:rPr>
          <w:rFonts w:ascii="Garamond" w:hAnsi="Garamond" w:cs="Times New Roman"/>
          <w:i/>
          <w:iCs/>
          <w:sz w:val="24"/>
          <w:szCs w:val="24"/>
          <w:lang w:val="en-GB"/>
        </w:rPr>
        <w:t>et al.</w:t>
      </w:r>
      <w:r w:rsidR="0072111D" w:rsidRPr="00270BA8">
        <w:rPr>
          <w:rFonts w:ascii="Garamond" w:hAnsi="Garamond" w:cs="Times New Roman"/>
          <w:sz w:val="24"/>
          <w:szCs w:val="24"/>
          <w:lang w:val="en-GB"/>
        </w:rPr>
        <w:t>, 2019)</w:t>
      </w:r>
      <w:r w:rsidR="0072111D"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intra-organisational relationships </w:t>
      </w:r>
      <w:r w:rsidR="0072111D"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{"citationID":"ctYqVCEp","properties":{"formattedCitation":"(Riege and O\\uc0\\u8217{}keeffe, 2007; Chasanah, Gunawan and Baroudi, 2024)","plainCitation":"(Riege and O’keeffe, 2007; Chasanah, Gunawan and Baroudi, 2024)","dontUpdate":true,"noteIndex":0},"citationItems":[{"id":"MRBxNWYl/MeRFmVZU","uris":["http://zotero.org/users/10703570/items/AA79YB6Q"],"itemData":{"id":3857,"type":"article-journal","abstract":"While several frameworks have attempted to incorporate knowledge management within the principles of innovation, there is still scant evidence of the influence of key drivers that facilitate intra-organisational knowledge transfers to improve international new product development (INPD) processes. We draw on three related literature streams focusing on parts of the organisation, innovation and knowledge management literature and present a conceptualisation of drivers that tend to influence knowledge flows between R&amp;D centres in three international locations. Our results are based on R&amp;D and product managers' experiences and perceptions at Wattyl Limited, a multinational Australian manufacturer of paint and coating products. The findings demonstrate that a value-creating innovation depends on a number of internal knowledge drivers that facilitate the INPD process. They also add to further clarifying some conceptual issues in the extant literature. We also draw attention to specific messages for R&amp;D and product managers involved in INPD processes.","container-title":"International Journal of Innovation Management","DOI":"10.1142/S1363919607001783","ISSN":"1363-9196","issue":"03","journalAbbreviation":"Int. J. Innov. Mgt.","note":"publisher: World Scientific Publishing Co.","page":"349-378","source":"worldscientific.com (Atypon)","title":"Intra-organisational knowledge drivers in the inpd process: the case of wattyl limited","title-short":"Intra-organisational knowledge drivers in the inpd process","volume":"11","author":[{"family":"Riege","given":"Andreas"},{"family":"O'keeffe","given":"Matthew"}],"issued":{"date-parts":[["2007",9]]}}},{"id":"MRBxNWYl/xSlWD6cJ","uris":["http://zotero.org/users/10703570/items/RGSDM5CM"],"itemData":{"id":3842,"type":"article-journal","container-title":"Systems Research and Behavioral Science","ISSN":"1092-7026","issue":"2","journalAbbreviation":"Systems Research and Behavioral Science","note":"publisher: Wiley Online Library","page":"274-300","title":"Post</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 xml:space="preserve">project sustainability evaluation by using a complex systems approach: A framework and an application to a revolving loan fund (microfinance) project in Indonesia","volume":"41","author":[{"family":"Chasanah","given":"Nur"},{"family":"Gunawan","given":"Indra"},{"family":"Baroudi","given":"Bassam"}],"issued":{"date-parts":[["2024"]]}}}],"schema":"https://github.com/citation-style-language/schema/raw/master/csl-citation.json"} </w:instrText>
      </w:r>
      <w:r w:rsidR="0072111D" w:rsidRPr="00270BA8">
        <w:rPr>
          <w:rFonts w:ascii="Garamond" w:hAnsi="Garamond" w:cs="Times New Roman"/>
          <w:sz w:val="24"/>
          <w:szCs w:val="24"/>
          <w:lang w:val="en-GB"/>
        </w:rPr>
        <w:fldChar w:fldCharType="separate"/>
      </w:r>
      <w:r w:rsidR="0072111D" w:rsidRPr="00270BA8">
        <w:rPr>
          <w:rFonts w:ascii="Garamond" w:hAnsi="Garamond" w:cs="Times New Roman"/>
          <w:sz w:val="24"/>
          <w:szCs w:val="24"/>
          <w:lang w:val="en-GB"/>
        </w:rPr>
        <w:t xml:space="preserve">(Riege and </w:t>
      </w:r>
      <w:r w:rsidR="00A42DDD" w:rsidRPr="00270BA8">
        <w:rPr>
          <w:rFonts w:ascii="Garamond" w:hAnsi="Garamond" w:cs="Times New Roman"/>
          <w:sz w:val="24"/>
          <w:szCs w:val="24"/>
          <w:lang w:val="en-GB"/>
        </w:rPr>
        <w:t>O’Keeffe</w:t>
      </w:r>
      <w:r w:rsidR="0072111D" w:rsidRPr="00270BA8">
        <w:rPr>
          <w:rFonts w:ascii="Garamond" w:hAnsi="Garamond" w:cs="Times New Roman"/>
          <w:sz w:val="24"/>
          <w:szCs w:val="24"/>
          <w:lang w:val="en-GB"/>
        </w:rPr>
        <w:t>, 2007; Chasanah, Gunawan and Baroudi, 2024)</w:t>
      </w:r>
      <w:r w:rsidR="0072111D" w:rsidRPr="00270BA8">
        <w:rPr>
          <w:rFonts w:ascii="Garamond" w:hAnsi="Garamond" w:cs="Times New Roman"/>
          <w:sz w:val="24"/>
          <w:szCs w:val="24"/>
          <w:lang w:val="en-GB"/>
        </w:rPr>
        <w:fldChar w:fldCharType="end"/>
      </w:r>
      <w:r w:rsidR="00A42DDD" w:rsidRPr="00270BA8">
        <w:rPr>
          <w:rFonts w:ascii="Garamond" w:hAnsi="Garamond" w:cs="Times New Roman"/>
          <w:sz w:val="24"/>
          <w:szCs w:val="24"/>
          <w:lang w:val="en-GB"/>
        </w:rPr>
        <w:t xml:space="preserve"> and human resource management (as HRM hereinafter)</w:t>
      </w:r>
      <w:r w:rsidRPr="00270BA8">
        <w:rPr>
          <w:rFonts w:ascii="Garamond" w:hAnsi="Garamond" w:cs="Times New Roman"/>
          <w:sz w:val="24"/>
          <w:szCs w:val="24"/>
          <w:lang w:val="en-GB"/>
        </w:rPr>
        <w:t xml:space="preserve"> </w:t>
      </w:r>
      <w:r w:rsidR="0072111D"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{"citationID":"nzF343eR","properties":{"formattedCitation":"(Rosenblatt, 2011; Kremer, Villamor and Aguinis, 2019)","plainCitation":"(Rosenblatt, 2011; Kremer, Villamor and Aguinis, 2019)","noteIndex":0},"citationItems":[{"id":"MRBxNWYl/tSY7stF3","uris":["http://zotero.org/users/10703570/items/RBI9SR2R"],"itemData":{"id":3858,"type":"article-journal","abstract":"This paper examines innovation awards in the public sector from both the perspective of the individual and the organization. Using the individual perspective, we look at two types of motivations (intrinsic and extrinsic) and their link to innovation. We agree with the literature which suggests that intrinsic motivations are positively related to innovation. We also examine the relationship between extrinsic motivations and innovation, finding mixed evidence of a positive relationship, and little evidence that extrinsic motivation is negatively related to innovation. From the organizational perspective, we identify differences between the public and private sectors in providing incentives to innovate. We examine the use of innovation awards as an incentive to innovate, finding both positive and negative consequences.","container-title":"Innovation","DOI":"10.5172/impp.2011.13.2.207","ISSN":"1447-9338","issue":"2","note":"publisher: Routledge\n_eprint: https://doi.org/10.5172/impp.2011.13.2.207","page":"207–219","source":"Taylor and Francis+NEJM","title":"The use of innovation awards in the public sector: Individual and organizational perspectives","title-short":"The use of innovation awards in the public sector","volume":"13","author":[{"family":"Rosenblatt","given":"Michael"}],"issued":{"date-parts":[["2011",8,1]]}}},{"id":"MRBxNWYl/2ufbFkzf","uris":["http://zotero.org/users/10703570/items/BTKVT282"],"itemData":{"id":3859,"type":"article-journal","abstract":"Innovation—the implementation of creative ideas—is one of the most important factors of competitive advantage in 21st century organizations. Yet, leaders do not always encourage employee behaviors that are critical for innovation. We integrate existing literature on the critical factors that serve as antecedents of innovation, including employee voice and knowledge sharing, which in turn lead to creativity and innovation. Based on existing empirical research, we offer evidence-based recommendations for managers to become innovation leaders by: (1) developing the right group norms, (2) designing teams strategically, (3) managing interactions with those outside the team, (4) showing support as a leader, (5) displaying organizational support, and (6) using performance management effectively.","container-title":"Business Horizons","DOI":"10.1016/j.bushor.2018.08.010","ISSN":"0007-6813","issue":"1","journalAbbreviation":"Business Horizons","page":"65-74","source":"ScienceDirect","title":"Innovation leadership: Best-practice recommendations for promoting employee creativity, voice, and knowledge sharing","title-short":"Innovation leadership","volume":"62","author":[{"family":"Kremer","given":"Hannah"},{"family":"Villamor","given":"Isabel"},{"family":"Aguinis","given":"Herman"}],"issued":{"date-parts":[["2019",1,1]]}}}],"schema":"https://github.com/citation-style-language/schema/raw/master/csl-citation.json"} </w:instrText>
      </w:r>
      <w:r w:rsidR="0072111D" w:rsidRPr="00270BA8">
        <w:rPr>
          <w:rFonts w:ascii="Garamond" w:hAnsi="Garamond" w:cs="Times New Roman"/>
          <w:sz w:val="24"/>
          <w:szCs w:val="24"/>
          <w:lang w:val="en-GB"/>
        </w:rPr>
        <w:fldChar w:fldCharType="separate"/>
      </w:r>
      <w:r w:rsidR="002E2A4F" w:rsidRPr="00270BA8">
        <w:rPr>
          <w:rFonts w:ascii="Garamond" w:hAnsi="Garamond" w:cs="Times New Roman"/>
          <w:sz w:val="24"/>
          <w:szCs w:val="20"/>
          <w:lang w:val="en-GB"/>
        </w:rPr>
        <w:t>(Rosenblatt, 2011; Kremer, Villamor and Aguinis, 2019)</w:t>
      </w:r>
      <w:r w:rsidR="0072111D" w:rsidRPr="00270BA8">
        <w:rPr>
          <w:rFonts w:ascii="Garamond" w:hAnsi="Garamond" w:cs="Times New Roman"/>
          <w:sz w:val="24"/>
          <w:szCs w:val="24"/>
          <w:lang w:val="en-GB"/>
        </w:rPr>
        <w:fldChar w:fldCharType="end"/>
      </w:r>
      <w:r w:rsidR="00A42DDD" w:rsidRPr="00270BA8">
        <w:rPr>
          <w:rFonts w:ascii="Garamond" w:hAnsi="Garamond" w:cs="Times New Roman"/>
          <w:sz w:val="24"/>
          <w:szCs w:val="24"/>
          <w:lang w:val="en-GB"/>
        </w:rPr>
        <w:t xml:space="preserve"> significantly impacts innovation</w:t>
      </w:r>
      <w:r w:rsidRPr="00270BA8">
        <w:rPr>
          <w:rFonts w:ascii="Garamond" w:hAnsi="Garamond" w:cs="Times New Roman"/>
          <w:sz w:val="24"/>
          <w:szCs w:val="24"/>
          <w:lang w:val="en-GB"/>
        </w:rPr>
        <w:t xml:space="preserve">. </w:t>
      </w:r>
      <w:r w:rsidR="00D17B1D" w:rsidRPr="00270BA8">
        <w:rPr>
          <w:rFonts w:ascii="Garamond" w:hAnsi="Garamond" w:cs="Times New Roman"/>
          <w:sz w:val="24"/>
          <w:szCs w:val="24"/>
          <w:lang w:val="en-GB"/>
        </w:rPr>
        <w:t>Especially in terms of HRM as an environmental factor, previous studies</w:t>
      </w:r>
      <w:r w:rsidRPr="00270BA8">
        <w:rPr>
          <w:rFonts w:ascii="Garamond" w:hAnsi="Garamond" w:cs="Times New Roman"/>
          <w:sz w:val="24"/>
          <w:szCs w:val="24"/>
          <w:lang w:val="en-GB"/>
        </w:rPr>
        <w:t xml:space="preserve"> have </w:t>
      </w:r>
      <w:r w:rsidR="00D17B1D" w:rsidRPr="00270BA8">
        <w:rPr>
          <w:rFonts w:ascii="Garamond" w:hAnsi="Garamond" w:cs="Times New Roman"/>
          <w:sz w:val="24"/>
          <w:szCs w:val="24"/>
          <w:lang w:val="en-GB"/>
        </w:rPr>
        <w:t>argued and validated</w:t>
      </w:r>
      <w:r w:rsidRPr="00270BA8">
        <w:rPr>
          <w:rFonts w:ascii="Garamond" w:hAnsi="Garamond" w:cs="Times New Roman"/>
          <w:sz w:val="24"/>
          <w:szCs w:val="24"/>
          <w:lang w:val="en-GB"/>
        </w:rPr>
        <w:t xml:space="preserve"> the positive effects of high-performance work systems</w:t>
      </w:r>
      <w:r w:rsidR="00E263DC" w:rsidRPr="00270BA8">
        <w:rPr>
          <w:rFonts w:ascii="Garamond" w:hAnsi="Garamond" w:cs="Times New Roman"/>
          <w:sz w:val="24"/>
          <w:szCs w:val="24"/>
          <w:lang w:val="en-GB"/>
        </w:rPr>
        <w:t xml:space="preserve"> and </w:t>
      </w:r>
      <w:r w:rsidRPr="00270BA8">
        <w:rPr>
          <w:rFonts w:ascii="Garamond" w:hAnsi="Garamond" w:cs="Times New Roman"/>
          <w:sz w:val="24"/>
          <w:szCs w:val="24"/>
          <w:lang w:val="en-GB"/>
        </w:rPr>
        <w:t>high-commitment work systems</w:t>
      </w:r>
      <w:r w:rsidR="00E263DC" w:rsidRPr="00270BA8">
        <w:rPr>
          <w:rFonts w:ascii="Garamond" w:hAnsi="Garamond" w:cs="Times New Roman"/>
          <w:sz w:val="24"/>
          <w:szCs w:val="24"/>
          <w:lang w:val="en-GB"/>
        </w:rPr>
        <w:t xml:space="preserve"> </w:t>
      </w:r>
      <w:r w:rsidRPr="00270BA8">
        <w:rPr>
          <w:rFonts w:ascii="Garamond" w:hAnsi="Garamond" w:cs="Times New Roman"/>
          <w:sz w:val="24"/>
          <w:szCs w:val="24"/>
          <w:lang w:val="en-GB"/>
        </w:rPr>
        <w:t xml:space="preserve">on </w:t>
      </w:r>
      <w:r w:rsidR="00D17B1D" w:rsidRPr="00270BA8">
        <w:rPr>
          <w:rFonts w:ascii="Garamond" w:hAnsi="Garamond" w:cs="Times New Roman"/>
          <w:sz w:val="24"/>
          <w:szCs w:val="24"/>
          <w:lang w:val="en-GB"/>
        </w:rPr>
        <w:t>promoting innovation among employees</w:t>
      </w:r>
      <w:r w:rsidR="002E2A4F" w:rsidRPr="00270BA8">
        <w:rPr>
          <w:rFonts w:ascii="Garamond" w:hAnsi="Garamond" w:cs="Times New Roman"/>
          <w:sz w:val="24"/>
          <w:szCs w:val="24"/>
          <w:lang w:val="en-GB"/>
        </w:rPr>
        <w:t xml:space="preserve"> </w:t>
      </w:r>
      <w:r w:rsidR="002E2A4F"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{"citationID":"00LJ2U0L","properties":{"formattedCitation":"(Li, Chen and Cao, 2017, p. ; Ashiru, Erdil and Oluwajana, 2021)","plainCitation":"(Li, Chen and Cao, 2017, p. ; Ashiru, Erdil and Oluwajana, 2021)","dontUpdate":true,"noteIndex":0},"citationItems":[{"id":"MRBxNWYl/T1iSqFHt","uris":["http://zotero.org/users/10703570/items/GTN7VRNB"],"itemData":{"id":3863,"type":"article-journal","abstract":"We drew on social exchange theory and conservation of resources theory to propose a mediated moderation model and examine the effects on creativity of high-commitment work systems (HCWS), leader–member exchange (LMX), and work engagement. Using a sample of 221 high technology\nfirms and 383 research and development employees in China, we found that HCWS positively influenced creativity, and that the interaction effect of LMX and HCWS on creativity was significant. Furthermore, we found that work engagement fully mediated the interaction effect of HCWS and LMX on\ncreativity. The results of the mediated moderation analyses showed that HCWS were strongly associated with creativity through work engagement under working conditions of low, but not high, LMX. Implications of the findings are discussed, as well as limitations and directions for future research.","container-title":"Social Behavior and Personality: an international journal","DOI":"10.2224/sbp.6514","issue":"9","journalAbbreviation":"Social Behavior and Personality: an international journal","page":"1437-1450","source":"IngentaConnect","title":"How high-commitment work systems enhance employee creativity: A mediated moderation model","title-short":"How high-commitment work systems enhance employee creativity","volume":"45","author":[{"family":"Li","given":"Hui"},{"family":"Chen","given":"Tongyang"},{"family":"Cao","given":"Guonian"}],"issued":{"date-parts":[["2017",10,3]]}},"locator":"-"},{"id":"MRBxNWYl/8kDjzxyR","uris":["http://zotero.org/users/10703570/items/SY2D2XED"],"itemData":{"id":3861,"type":"article-journal","abstract":"Purpose The purpose of this paper is to examine the influence of high performance work systems (HPWSs) on employee voice, employee innovation and organization performance in a service organization. The study examines the mediating roles of employee voice on HPWSs and organizational performance. Design/methodology/approach An online survey was distributed to 600 professional staff and a total number of 360 respondents returned the survey. The hypotheses are tested through the use of the variance-based structural equation modeling (SEM) technique. Findings These findings indicate that the HPWS has a significant impact on employee innovation and organization performance. The empirical evidence does not support the relationship between HPWS and employee voice and also employee voice does not mediate the relationship between HPWS and organization performance in a human resource (HR) service organization. Research limitations/implications Employee voice does not empirically mediate the relationship between HPWS and organization performance; other factors can be further explored. Future research should employ other theories of strategic human resource management (SHRM) to further explore more factors that influence the HPWS on employee innovation, employee voice and organization performance. Practical implications The organization should respond to employee voice through aforementioned rather than the use of traditional, strategic and operational methods or tools believed to be the best approach to employee issues. Originality/value This study builds a solid empirical investigation that contributes to the HPWS existing body of knowledge. It is also significant as it is one of the few studies that examine the link between HPWS and job outcomes, like employee voice, employee innovation and organizational performance, in an HR service organization and also employee voice as a mediator on HPWS and organizational performance.","container-title":"Journal of Organizational Change Management","DOI":"10.1108/JOCM-02-2021-0039","ISSN":"0953-4814","issue":"1","note":"publisher: Emerald Publishing Limited","page":"1-17","source":"Emerald Insight","title":"The linkage between high performance work systems on organizational performance, employee voice and employee innovation","volume":"35","author":[{"family":"Ashiru","given":"Jola-Ade"},{"family":"Erdil","given":"Galip Erzat"},{"family":"Oluwajana","given":"Dokun"}],"issued":{"date-parts":[["2021",1,1]]}}}],"schema":"https://github.com/citation-style-language/schema/raw/master/csl-citation.json"} </w:instrText>
      </w:r>
      <w:r w:rsidR="002E2A4F" w:rsidRPr="00270BA8">
        <w:rPr>
          <w:rFonts w:ascii="Garamond" w:hAnsi="Garamond" w:cs="Times New Roman"/>
          <w:sz w:val="24"/>
          <w:szCs w:val="24"/>
          <w:lang w:val="en-GB"/>
        </w:rPr>
        <w:fldChar w:fldCharType="separate"/>
      </w:r>
      <w:r w:rsidR="00E263DC" w:rsidRPr="00270BA8">
        <w:rPr>
          <w:rFonts w:ascii="Garamond" w:hAnsi="Garamond" w:cs="Times New Roman"/>
          <w:sz w:val="24"/>
          <w:szCs w:val="20"/>
          <w:lang w:val="en-GB"/>
        </w:rPr>
        <w:t>(Li, Chen and Cao, 2017; Ashiru, Erdil and Oluwajana, 2021)</w:t>
      </w:r>
      <w:r w:rsidR="002E2A4F"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w:t>
      </w:r>
    </w:p>
    <w:p w14:paraId="0DDDF8A2" w14:textId="02A0B9AA" w:rsidR="00E263DC" w:rsidRPr="00270BA8" w:rsidRDefault="005C0B46"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However, </w:t>
      </w:r>
      <w:r w:rsidR="00782293" w:rsidRPr="00270BA8">
        <w:rPr>
          <w:rFonts w:ascii="Garamond" w:hAnsi="Garamond" w:cs="Times New Roman"/>
          <w:sz w:val="24"/>
          <w:szCs w:val="24"/>
          <w:lang w:val="en-GB"/>
        </w:rPr>
        <w:t xml:space="preserve">while </w:t>
      </w:r>
      <w:r w:rsidRPr="00270BA8">
        <w:rPr>
          <w:rFonts w:ascii="Garamond" w:hAnsi="Garamond" w:cs="Times New Roman"/>
          <w:sz w:val="24"/>
          <w:szCs w:val="24"/>
          <w:lang w:val="en-GB"/>
        </w:rPr>
        <w:t xml:space="preserve">most of these studies focus on the design of content-oriented HRM systems, the implementation process of </w:t>
      </w:r>
      <w:r w:rsidR="00782293" w:rsidRPr="00270BA8">
        <w:rPr>
          <w:rFonts w:ascii="Garamond" w:hAnsi="Garamond" w:cs="Times New Roman"/>
          <w:sz w:val="24"/>
          <w:szCs w:val="24"/>
          <w:lang w:val="en-GB"/>
        </w:rPr>
        <w:t xml:space="preserve">these </w:t>
      </w:r>
      <w:r w:rsidRPr="00270BA8">
        <w:rPr>
          <w:rFonts w:ascii="Garamond" w:hAnsi="Garamond" w:cs="Times New Roman"/>
          <w:sz w:val="24"/>
          <w:szCs w:val="24"/>
          <w:lang w:val="en-GB"/>
        </w:rPr>
        <w:t>systems</w:t>
      </w:r>
      <w:r w:rsidR="00782293" w:rsidRPr="00270BA8">
        <w:rPr>
          <w:rFonts w:ascii="Garamond" w:hAnsi="Garamond" w:cs="Times New Roman"/>
          <w:sz w:val="24"/>
          <w:szCs w:val="24"/>
          <w:lang w:val="en-GB"/>
        </w:rPr>
        <w:t xml:space="preserve"> is often overlooked.</w:t>
      </w:r>
      <w:r w:rsidRPr="00270BA8">
        <w:rPr>
          <w:rFonts w:ascii="Garamond" w:hAnsi="Garamond" w:cs="Times New Roman"/>
          <w:sz w:val="24"/>
          <w:szCs w:val="24"/>
          <w:lang w:val="en-GB"/>
        </w:rPr>
        <w:t xml:space="preserve"> In reality, many enterprises have </w:t>
      </w:r>
      <w:r w:rsidR="00782293" w:rsidRPr="00270BA8">
        <w:rPr>
          <w:rFonts w:ascii="Garamond" w:hAnsi="Garamond" w:cs="Times New Roman"/>
          <w:sz w:val="24"/>
          <w:szCs w:val="24"/>
          <w:lang w:val="en-GB"/>
        </w:rPr>
        <w:t>meticulously</w:t>
      </w:r>
      <w:r w:rsidRPr="00270BA8">
        <w:rPr>
          <w:rFonts w:ascii="Garamond" w:hAnsi="Garamond" w:cs="Times New Roman"/>
          <w:sz w:val="24"/>
          <w:szCs w:val="24"/>
          <w:lang w:val="en-GB"/>
        </w:rPr>
        <w:t xml:space="preserve"> designed a sound </w:t>
      </w:r>
      <w:r w:rsidR="00782293" w:rsidRPr="00270BA8">
        <w:rPr>
          <w:rFonts w:ascii="Garamond" w:hAnsi="Garamond" w:cs="Times New Roman"/>
          <w:sz w:val="24"/>
          <w:szCs w:val="24"/>
          <w:lang w:val="en-GB"/>
        </w:rPr>
        <w:t xml:space="preserve">and robust </w:t>
      </w:r>
      <w:r w:rsidRPr="00270BA8">
        <w:rPr>
          <w:rFonts w:ascii="Garamond" w:hAnsi="Garamond" w:cs="Times New Roman"/>
          <w:sz w:val="24"/>
          <w:szCs w:val="24"/>
          <w:lang w:val="en-GB"/>
        </w:rPr>
        <w:t xml:space="preserve">HRM system, but they </w:t>
      </w:r>
      <w:r w:rsidR="00782293" w:rsidRPr="00270BA8">
        <w:rPr>
          <w:rFonts w:ascii="Garamond" w:hAnsi="Garamond" w:cs="Times New Roman"/>
          <w:sz w:val="24"/>
          <w:szCs w:val="24"/>
          <w:lang w:val="en-GB"/>
        </w:rPr>
        <w:t>have also struggled to achieve</w:t>
      </w:r>
      <w:r w:rsidRPr="00270BA8">
        <w:rPr>
          <w:rFonts w:ascii="Garamond" w:hAnsi="Garamond" w:cs="Times New Roman"/>
          <w:sz w:val="24"/>
          <w:szCs w:val="24"/>
          <w:lang w:val="en-GB"/>
        </w:rPr>
        <w:t xml:space="preserve"> a consistent </w:t>
      </w:r>
      <w:r w:rsidR="00782293" w:rsidRPr="00270BA8">
        <w:rPr>
          <w:rFonts w:ascii="Garamond" w:hAnsi="Garamond" w:cs="Times New Roman"/>
          <w:sz w:val="24"/>
          <w:szCs w:val="24"/>
          <w:lang w:val="en-GB"/>
        </w:rPr>
        <w:t xml:space="preserve">and in-depth </w:t>
      </w:r>
      <w:r w:rsidRPr="00270BA8">
        <w:rPr>
          <w:rFonts w:ascii="Garamond" w:hAnsi="Garamond" w:cs="Times New Roman"/>
          <w:sz w:val="24"/>
          <w:szCs w:val="24"/>
          <w:lang w:val="en-GB"/>
        </w:rPr>
        <w:t>understanding</w:t>
      </w:r>
      <w:r w:rsidR="00E30344" w:rsidRPr="00270BA8">
        <w:rPr>
          <w:rFonts w:ascii="Garamond" w:hAnsi="Garamond" w:cs="Times New Roman"/>
          <w:sz w:val="24"/>
          <w:szCs w:val="24"/>
          <w:lang w:val="en-GB"/>
        </w:rPr>
        <w:t xml:space="preserve">, </w:t>
      </w:r>
      <w:r w:rsidRPr="00270BA8">
        <w:rPr>
          <w:rFonts w:ascii="Garamond" w:hAnsi="Garamond" w:cs="Times New Roman"/>
          <w:sz w:val="24"/>
          <w:szCs w:val="24"/>
          <w:lang w:val="en-GB"/>
        </w:rPr>
        <w:t>recognition</w:t>
      </w:r>
      <w:r w:rsidR="00E30344" w:rsidRPr="00270BA8">
        <w:rPr>
          <w:rFonts w:ascii="Garamond" w:hAnsi="Garamond" w:cs="Times New Roman"/>
          <w:sz w:val="24"/>
          <w:szCs w:val="24"/>
          <w:lang w:val="en-GB"/>
        </w:rPr>
        <w:t xml:space="preserve"> and engagement</w:t>
      </w:r>
      <w:r w:rsidRPr="00270BA8">
        <w:rPr>
          <w:rFonts w:ascii="Garamond" w:hAnsi="Garamond" w:cs="Times New Roman"/>
          <w:sz w:val="24"/>
          <w:szCs w:val="24"/>
          <w:lang w:val="en-GB"/>
        </w:rPr>
        <w:t xml:space="preserve"> among employees, ultimately </w:t>
      </w:r>
      <w:r w:rsidR="00782293" w:rsidRPr="00270BA8">
        <w:rPr>
          <w:rFonts w:ascii="Garamond" w:hAnsi="Garamond" w:cs="Times New Roman"/>
          <w:sz w:val="24"/>
          <w:szCs w:val="24"/>
          <w:lang w:val="en-GB"/>
        </w:rPr>
        <w:t>affecting</w:t>
      </w:r>
      <w:r w:rsidRPr="00270BA8">
        <w:rPr>
          <w:rFonts w:ascii="Garamond" w:hAnsi="Garamond" w:cs="Times New Roman"/>
          <w:sz w:val="24"/>
          <w:szCs w:val="24"/>
          <w:lang w:val="en-GB"/>
        </w:rPr>
        <w:t xml:space="preserve"> the effective</w:t>
      </w:r>
      <w:r w:rsidR="00782293" w:rsidRPr="00270BA8">
        <w:rPr>
          <w:rFonts w:ascii="Garamond" w:hAnsi="Garamond" w:cs="Times New Roman"/>
          <w:sz w:val="24"/>
          <w:szCs w:val="24"/>
          <w:lang w:val="en-GB"/>
        </w:rPr>
        <w:t>ness</w:t>
      </w:r>
      <w:r w:rsidRPr="00270BA8">
        <w:rPr>
          <w:rFonts w:ascii="Garamond" w:hAnsi="Garamond" w:cs="Times New Roman"/>
          <w:sz w:val="24"/>
          <w:szCs w:val="24"/>
          <w:lang w:val="en-GB"/>
        </w:rPr>
        <w:t xml:space="preserve"> </w:t>
      </w:r>
      <w:r w:rsidR="00782293" w:rsidRPr="00270BA8">
        <w:rPr>
          <w:rFonts w:ascii="Garamond" w:hAnsi="Garamond" w:cs="Times New Roman"/>
          <w:sz w:val="24"/>
          <w:szCs w:val="24"/>
          <w:lang w:val="en-GB"/>
        </w:rPr>
        <w:t>of these well-defined HRM practices</w:t>
      </w:r>
      <w:r w:rsidR="00346FA3" w:rsidRPr="00270BA8">
        <w:rPr>
          <w:rFonts w:ascii="Garamond" w:hAnsi="Garamond" w:cs="Times New Roman"/>
          <w:sz w:val="24"/>
          <w:szCs w:val="24"/>
          <w:lang w:val="en-GB"/>
        </w:rPr>
        <w:t xml:space="preserve"> </w:t>
      </w:r>
      <w:r w:rsidR="00346FA3" w:rsidRPr="00270BA8">
        <w:rPr>
          <w:rFonts w:ascii="Garamond" w:hAnsi="Garamond" w:cs="Times New Roman"/>
          <w:sz w:val="24"/>
          <w:szCs w:val="24"/>
          <w:lang w:val="en-GB"/>
        </w:rPr>
        <w:fldChar w:fldCharType="begin"/>
      </w:r>
      <w:r w:rsidR="004A3EF8" w:rsidRPr="00270BA8">
        <w:rPr>
          <w:rFonts w:ascii="Garamond" w:hAnsi="Garamond" w:cs="Times New Roman"/>
          <w:sz w:val="24"/>
          <w:szCs w:val="24"/>
          <w:lang w:val="en-GB"/>
        </w:rPr>
        <w:instrText xml:space="preserve"> ADDIN ZOTERO_ITEM CSL_CITATION {"citationID":"cwUs5BFh","properties":{"formattedCitation":"(Sun and Bunchapattanasakda, 2019; Collins, 2022; Zhang and Chen, 2024)","plainCitation":"(Sun and Bunchapattanasakda, 2019; Collins, 2022; Zhang and Chen, 2024)","noteIndex":0},"citationItems":[{"id":"MRBxNWYl/Joj8puOJ","uris":["http://zotero.org/users/10703570/items/VLLNBHZZ"],"itemData":{"id":3873,"type":"article-journal","abstract":"Among the various influencing factors of organizational performance, HRM system strength and perceived organizational support are two important factors which focus on employee perception. In modern business management, human resource management runs through the whole process of business management. Effective HR system can influence employee perception, understanding and acceptance of HRM practices, which in turn influence employee&amp;rsquo;s attributions to organizational behaviours and thereby influence employee attitudes and behaviours. Besides, organizational commitment to employees can promote employee&amp;rsquo;s positive attributions and feedback through job satisfaction and hard work. So far, there has been a plethora of researches on variables related to HRM system strength and perceived organizational support. However, there is a lack of the research on the relationship between the two variables. Therefore, this paper studied the impact of HRM system strength on perceived organizational support, based on a survey of 508 front-line employees in China. Research findings showed that there is a significant positive relationship between overall HRM system strength and perceived organizational support, between three dimensions of HRM system strength and two dimensions of perceived organizational support. This result can help researchers understand the relationship chain between HRM system strength, perceived organizational support and organizational performance.","container-title":"International Journal of Business and Management","DOI":"10.5539/ijbm.v14n3p60","ISSN":"1833-8119, 1833-3850","issue":"3","journalAbbreviation":"IJBM","license":"https://creativecommons.org/licenses/by/4.0","page":"60","source":"Semantic Scholar","title":"Impact of Strength of Human Resource Management System on Perceived Organizational Support","volume":"14","author":[{"family":"Sun","given":"Li"},{"family":"Bunchapattanasakda","given":"Chanchai"}],"issued":{"date-parts":[["2019",2,19]]}}},{"id":5331,"uris":["http://zotero.org/users/10703570/items/LEVN4GUS"],"itemData":{"id":5331,"type":"chapter","container-title":"Strategic Human Resource Management and Organizational Effectiveness","page":"107-134","publisher":"Routledge","title":"Expanding the resource based view model of strategic human resource management","author":[{"family":"Collins","given":"Christopher J"}],"issued":{"date-parts":[["2022"]]}}},{"id":5332,"uris":["http://zotero.org/users/10703570/items/ZAWIB52M"],"itemData":{"id":5332,"type":"article-journal","container-title":"Journal of the Knowledge Economy","ISSN":"1868-7865","issue":"1","journalAbbreviation":"Journal of the Knowledge Economy","note":"publisher: Springer","page":"1482-1498","title":"Exploring human resource management digital transformation in the digital age","volume":"15","author":[{"family":"Zhang","given":"Jie"},{"family":"Chen","given":"Zhisheng"}],"issued":{"date-parts":[["2024"]]}}}],"schema":"https://github.com/citation-style-language/schema/raw/master/csl-citation.json"} </w:instrText>
      </w:r>
      <w:r w:rsidR="00346FA3" w:rsidRPr="00270BA8">
        <w:rPr>
          <w:rFonts w:ascii="Garamond" w:hAnsi="Garamond" w:cs="Times New Roman"/>
          <w:sz w:val="24"/>
          <w:szCs w:val="24"/>
          <w:lang w:val="en-GB"/>
        </w:rPr>
        <w:fldChar w:fldCharType="separate"/>
      </w:r>
      <w:r w:rsidR="004A3EF8" w:rsidRPr="00270BA8">
        <w:rPr>
          <w:rFonts w:ascii="Garamond" w:hAnsi="Garamond" w:cs="Times New Roman"/>
          <w:sz w:val="24"/>
          <w:szCs w:val="24"/>
          <w:lang w:val="en-GB"/>
        </w:rPr>
        <w:t>(Sun and Bunchapattanasakda, 2019; Collins, 2022; Zhang and Chen, 2024)</w:t>
      </w:r>
      <w:r w:rsidR="00346FA3" w:rsidRPr="00270BA8">
        <w:rPr>
          <w:rFonts w:ascii="Garamond" w:hAnsi="Garamond" w:cs="Times New Roman"/>
          <w:sz w:val="24"/>
          <w:szCs w:val="24"/>
          <w:lang w:val="en-GB"/>
        </w:rPr>
        <w:fldChar w:fldCharType="end"/>
      </w:r>
      <w:r w:rsidR="00E263DC" w:rsidRPr="00270BA8">
        <w:rPr>
          <w:rFonts w:ascii="Garamond" w:hAnsi="Garamond" w:cs="Times New Roman"/>
          <w:sz w:val="24"/>
          <w:szCs w:val="24"/>
          <w:lang w:val="en-GB"/>
        </w:rPr>
        <w:t xml:space="preserve">. </w:t>
      </w:r>
      <w:r w:rsidR="00CF7477" w:rsidRPr="00270BA8">
        <w:rPr>
          <w:rFonts w:ascii="Garamond" w:hAnsi="Garamond" w:cs="Times New Roman"/>
          <w:sz w:val="24"/>
          <w:szCs w:val="24"/>
          <w:lang w:val="en-GB"/>
        </w:rPr>
        <w:t xml:space="preserve">As highlighted by </w:t>
      </w:r>
      <w:r w:rsidR="00CF7477" w:rsidRPr="00270BA8">
        <w:rPr>
          <w:rFonts w:ascii="Garamond" w:hAnsi="Garamond" w:cs="Times New Roman"/>
          <w:sz w:val="24"/>
          <w:szCs w:val="24"/>
          <w:lang w:val="en-GB"/>
        </w:rPr>
        <w:fldChar w:fldCharType="begin"/>
      </w:r>
      <w:r w:rsidR="00CF7477" w:rsidRPr="00270BA8">
        <w:rPr>
          <w:rFonts w:ascii="Garamond" w:hAnsi="Garamond" w:cs="Times New Roman"/>
          <w:sz w:val="24"/>
          <w:szCs w:val="24"/>
          <w:lang w:val="en-GB"/>
        </w:rPr>
        <w:instrText xml:space="preserve"> ADDIN ZOTERO_ITEM CSL_CITATION {"citationID":"vUjSFT3O","properties":{"formattedCitation":"(Zhang and Chen, 2024)","plainCitation":"(Zhang and Chen, 2024)","noteIndex":0},"citationItems":[{"id":5332,"uris":["http://zotero.org/users/10703570/items/ZAWIB52M"],"itemData":{"id":5332,"type":"article-journal","container-title":"Journal of the Knowledge Economy","ISSN":"1868-7865","issue":"1","journalAbbreviation":"Journal of the Knowledge Economy","note":"publisher: Springer","page":"1482-1498","title":"Exploring human resource management digital transformation in the digital age","volume":"15","author":[{"family":"Zhang","given":"Jie"},{"family":"Chen","given":"Zhisheng"}],"issued":{"date-parts":[["2024"]]}}}],"schema":"https://github.com/citation-style-language/schema/raw/master/csl-citation.json"} </w:instrText>
      </w:r>
      <w:r w:rsidR="00CF7477" w:rsidRPr="00270BA8">
        <w:rPr>
          <w:rFonts w:ascii="Garamond" w:hAnsi="Garamond" w:cs="Times New Roman"/>
          <w:sz w:val="24"/>
          <w:szCs w:val="24"/>
          <w:lang w:val="en-GB"/>
        </w:rPr>
        <w:fldChar w:fldCharType="separate"/>
      </w:r>
      <w:r w:rsidR="00CF7477" w:rsidRPr="00270BA8">
        <w:rPr>
          <w:rFonts w:ascii="Garamond" w:hAnsi="Garamond"/>
          <w:sz w:val="24"/>
          <w:szCs w:val="28"/>
        </w:rPr>
        <w:t>Zhang and Chen (2024)</w:t>
      </w:r>
      <w:r w:rsidR="00CF7477" w:rsidRPr="00270BA8">
        <w:rPr>
          <w:rFonts w:ascii="Garamond" w:hAnsi="Garamond" w:cs="Times New Roman"/>
          <w:sz w:val="24"/>
          <w:szCs w:val="24"/>
          <w:lang w:val="en-GB"/>
        </w:rPr>
        <w:fldChar w:fldCharType="end"/>
      </w:r>
      <w:r w:rsidR="00CF7477" w:rsidRPr="00270BA8">
        <w:rPr>
          <w:rFonts w:ascii="Garamond" w:hAnsi="Garamond" w:cs="Times New Roman"/>
          <w:sz w:val="24"/>
          <w:szCs w:val="24"/>
          <w:lang w:val="en-GB"/>
        </w:rPr>
        <w:t>, it remained academically unsolved how HRM practices designed by professionals are communicated to employees to allow for their precise understanding of the organi</w:t>
      </w:r>
      <w:r w:rsidR="007747C6" w:rsidRPr="00270BA8">
        <w:rPr>
          <w:rFonts w:ascii="Garamond" w:hAnsi="Garamond" w:cs="Times New Roman"/>
          <w:sz w:val="24"/>
          <w:szCs w:val="24"/>
          <w:lang w:val="en-GB"/>
        </w:rPr>
        <w:t>s</w:t>
      </w:r>
      <w:r w:rsidR="00CF7477" w:rsidRPr="00270BA8">
        <w:rPr>
          <w:rFonts w:ascii="Garamond" w:hAnsi="Garamond" w:cs="Times New Roman"/>
          <w:sz w:val="24"/>
          <w:szCs w:val="24"/>
          <w:lang w:val="en-GB"/>
        </w:rPr>
        <w:t xml:space="preserve">ation’s desired purpose and thus formulate a collective sense of what is expected from them. </w:t>
      </w:r>
      <w:r w:rsidR="004A3EF8" w:rsidRPr="00270BA8">
        <w:rPr>
          <w:rFonts w:ascii="Garamond" w:hAnsi="Garamond" w:cs="Times New Roman"/>
          <w:sz w:val="24"/>
          <w:szCs w:val="24"/>
          <w:lang w:val="en-GB"/>
        </w:rPr>
        <w:t xml:space="preserve">The discrepancy between the expected outcomes and the actual ineffectiveness highlights the </w:t>
      </w:r>
      <w:r w:rsidR="009136BB" w:rsidRPr="00270BA8">
        <w:rPr>
          <w:rFonts w:ascii="Garamond" w:hAnsi="Garamond" w:cs="Times New Roman"/>
          <w:sz w:val="24"/>
          <w:szCs w:val="24"/>
          <w:lang w:val="en-GB"/>
        </w:rPr>
        <w:t>need</w:t>
      </w:r>
      <w:r w:rsidR="004A3EF8" w:rsidRPr="00270BA8">
        <w:rPr>
          <w:rFonts w:ascii="Garamond" w:hAnsi="Garamond" w:cs="Times New Roman"/>
          <w:sz w:val="24"/>
          <w:szCs w:val="24"/>
          <w:lang w:val="en-GB"/>
        </w:rPr>
        <w:t xml:space="preserve"> to shed light not only on the HRM content but also on the implementation of HRM practices</w:t>
      </w:r>
      <w:r w:rsidR="00E263DC" w:rsidRPr="00270BA8">
        <w:rPr>
          <w:rFonts w:ascii="Garamond" w:hAnsi="Garamond" w:cs="Times New Roman"/>
          <w:sz w:val="24"/>
          <w:szCs w:val="24"/>
          <w:lang w:val="en-GB"/>
        </w:rPr>
        <w:t>.</w:t>
      </w:r>
      <w:r w:rsidR="003452EA" w:rsidRPr="00270BA8">
        <w:rPr>
          <w:rFonts w:ascii="Garamond" w:hAnsi="Garamond" w:cs="Times New Roman"/>
          <w:sz w:val="24"/>
          <w:szCs w:val="24"/>
          <w:lang w:val="en-GB"/>
        </w:rPr>
        <w:t xml:space="preserve"> </w:t>
      </w:r>
      <w:r w:rsidR="009136BB" w:rsidRPr="00270BA8">
        <w:rPr>
          <w:rFonts w:ascii="Garamond" w:hAnsi="Garamond" w:cs="Times New Roman"/>
          <w:sz w:val="24"/>
          <w:szCs w:val="24"/>
          <w:lang w:val="en-GB"/>
        </w:rPr>
        <w:t>Based on the above context</w:t>
      </w:r>
      <w:r w:rsidRPr="00270BA8">
        <w:rPr>
          <w:rFonts w:ascii="Garamond" w:hAnsi="Garamond" w:cs="Times New Roman"/>
          <w:sz w:val="24"/>
          <w:szCs w:val="24"/>
          <w:lang w:val="en-GB"/>
        </w:rPr>
        <w:t xml:space="preserve">, </w:t>
      </w:r>
      <w:r w:rsidR="00E263DC"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{"citationID":"ZAznAgC2","properties":{"formattedCitation":"(Bowen and Ostroff, 2004)","plainCitation":"(Bowen and Ostroff, 2004)","dontUpdate":true,"noteIndex":0},"citationItems":[{"id":"MRBxNWYl/6WjbREVV","uris":["http://zotero.org/users/10703570/items/PFPQKT3C"],"itemData":{"id":3864,"type":"article-journal","abstract":"Theory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E263DC" w:rsidRPr="00270BA8">
        <w:rPr>
          <w:rFonts w:ascii="Garamond" w:hAnsi="Garamond" w:cs="Times New Roman"/>
          <w:sz w:val="24"/>
          <w:szCs w:val="24"/>
          <w:lang w:val="en-GB"/>
        </w:rPr>
        <w:fldChar w:fldCharType="separate"/>
      </w:r>
      <w:r w:rsidR="00E263DC" w:rsidRPr="00270BA8">
        <w:rPr>
          <w:rFonts w:ascii="Garamond" w:hAnsi="Garamond" w:cs="Times New Roman"/>
          <w:sz w:val="24"/>
          <w:szCs w:val="24"/>
          <w:lang w:val="en-GB"/>
        </w:rPr>
        <w:t>Bowen and Ostroff (2004)</w:t>
      </w:r>
      <w:r w:rsidR="00E263DC"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argued that</w:t>
      </w:r>
      <w:r w:rsidR="004026E5" w:rsidRPr="00270BA8">
        <w:rPr>
          <w:rFonts w:ascii="Garamond" w:hAnsi="Garamond" w:cs="Times New Roman"/>
          <w:sz w:val="24"/>
          <w:szCs w:val="24"/>
          <w:lang w:val="en-GB"/>
        </w:rPr>
        <w:t xml:space="preserve">, aside from other environmental and personal characteristics as contingency variables, </w:t>
      </w:r>
      <w:r w:rsidRPr="00270BA8">
        <w:rPr>
          <w:rFonts w:ascii="Garamond" w:hAnsi="Garamond" w:cs="Times New Roman"/>
          <w:sz w:val="24"/>
          <w:szCs w:val="24"/>
          <w:lang w:val="en-GB"/>
        </w:rPr>
        <w:t xml:space="preserve"> HRM effectiveness cannot rely solely on either the content or the process</w:t>
      </w:r>
      <w:r w:rsidR="00270BA8">
        <w:rPr>
          <w:rFonts w:ascii="Garamond" w:hAnsi="Garamond" w:cs="Times New Roman"/>
          <w:sz w:val="24"/>
          <w:szCs w:val="24"/>
          <w:lang w:val="en-GB"/>
        </w:rPr>
        <w:t>. However,</w:t>
      </w:r>
      <w:r w:rsidRPr="00270BA8">
        <w:rPr>
          <w:rFonts w:ascii="Garamond" w:hAnsi="Garamond" w:cs="Times New Roman"/>
          <w:sz w:val="24"/>
          <w:szCs w:val="24"/>
          <w:lang w:val="en-GB"/>
        </w:rPr>
        <w:t xml:space="preserve"> more so on both, and </w:t>
      </w:r>
      <w:r w:rsidR="0080626F" w:rsidRPr="00270BA8">
        <w:rPr>
          <w:rFonts w:ascii="Garamond" w:hAnsi="Garamond" w:cs="Times New Roman"/>
          <w:sz w:val="24"/>
          <w:szCs w:val="24"/>
          <w:lang w:val="en-GB"/>
        </w:rPr>
        <w:t xml:space="preserve">HRM </w:t>
      </w:r>
      <w:r w:rsidR="00E263DC" w:rsidRPr="00270BA8">
        <w:rPr>
          <w:rFonts w:ascii="Garamond" w:hAnsi="Garamond" w:cs="Times New Roman"/>
          <w:sz w:val="24"/>
          <w:szCs w:val="24"/>
          <w:lang w:val="en-GB"/>
        </w:rPr>
        <w:t>strengths</w:t>
      </w:r>
      <w:r w:rsidRPr="00270BA8">
        <w:rPr>
          <w:rFonts w:ascii="Garamond" w:hAnsi="Garamond" w:cs="Times New Roman"/>
          <w:sz w:val="24"/>
          <w:szCs w:val="24"/>
          <w:lang w:val="en-GB"/>
        </w:rPr>
        <w:t xml:space="preserve"> precisely </w:t>
      </w:r>
      <w:r w:rsidR="00E263DC" w:rsidRPr="00270BA8">
        <w:rPr>
          <w:rFonts w:ascii="Garamond" w:hAnsi="Garamond" w:cs="Times New Roman"/>
          <w:sz w:val="24"/>
          <w:szCs w:val="24"/>
          <w:lang w:val="en-GB"/>
        </w:rPr>
        <w:t>reflect</w:t>
      </w:r>
      <w:r w:rsidRPr="00270BA8">
        <w:rPr>
          <w:rFonts w:ascii="Garamond" w:hAnsi="Garamond" w:cs="Times New Roman"/>
          <w:sz w:val="24"/>
          <w:szCs w:val="24"/>
          <w:lang w:val="en-GB"/>
        </w:rPr>
        <w:t xml:space="preserve">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perception of the content and process of HRM</w:t>
      </w:r>
      <w:r w:rsidR="009136BB" w:rsidRPr="00270BA8">
        <w:rPr>
          <w:rFonts w:ascii="Garamond" w:hAnsi="Garamond" w:cs="Times New Roman"/>
          <w:sz w:val="24"/>
          <w:szCs w:val="24"/>
          <w:lang w:val="en-GB"/>
        </w:rPr>
        <w:t xml:space="preserve"> practices</w:t>
      </w:r>
      <w:r w:rsidRPr="00270BA8">
        <w:rPr>
          <w:rFonts w:ascii="Garamond" w:hAnsi="Garamond" w:cs="Times New Roman"/>
          <w:sz w:val="24"/>
          <w:szCs w:val="24"/>
          <w:lang w:val="en-GB"/>
        </w:rPr>
        <w:t xml:space="preserve"> </w:t>
      </w:r>
      <w:r w:rsidR="00E263DC"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{"citationID":"d6gbl5IO","properties":{"formattedCitation":"(Ostroff and Bowen, 2016)","plainCitation":"(Ostroff and Bowen, 2016)","noteIndex":0},"citationItems":[{"id":"MRBxNWYl/mdm0YGLc","uris":["http://zotero.org/users/10703570/items/47ZM6IL9"],"itemData":{"id":3867,"type":"article-journal","abstract":"Since the 2004 publication of “Understanding HRM–Firm Performance Linkages: The Role of the ‘Strength’ of the HRM System,” the concept of HRM strength has been widely accepted in the field. We reflect on how the construct of HRM system strength has been used in subsequent theory and research, devoting particular attention to identifying consistencies and inconsistencies from the original intent and implications of the construct for related areas and topics such as strategic HRM, HRM architecture, social psychological contracts, and organizational climate strength. Our review indicates that subsequent work has considerably added to the original; however, challenges remain in capitalizing on this construct in both theory and research. We conclude by offering promising directions for further developing the construct of HRM system strength.","container-title":"Academy of Management Review","DOI":"10.5465/amr.2015.0323","ISSN":"0363-7425","issue":"2","journalAbbreviation":"AMR","note":"publisher: Academy of Management","page":"196-214","source":"journals.aom.org (Atypon)","title":"Reflections on the 2014 Decade Award: Is There Strength in the Construct of HR System Strength?","title-short":"Reflections on the 2014 Decade Award","volume":"41","author":[{"family":"Ostroff","given":"Cheri"},{"family":"Bowen","given":"David E."}],"issued":{"date-parts":[["2016",4]]}}}],"schema":"https://github.com/citation-style-language/schema/raw/master/csl-citation.json"} </w:instrText>
      </w:r>
      <w:r w:rsidR="00E263DC" w:rsidRPr="00270BA8">
        <w:rPr>
          <w:rFonts w:ascii="Garamond" w:hAnsi="Garamond" w:cs="Times New Roman"/>
          <w:sz w:val="24"/>
          <w:szCs w:val="24"/>
          <w:lang w:val="en-GB"/>
        </w:rPr>
        <w:fldChar w:fldCharType="separate"/>
      </w:r>
      <w:r w:rsidR="00E263DC" w:rsidRPr="00270BA8">
        <w:rPr>
          <w:rFonts w:ascii="Garamond" w:hAnsi="Garamond" w:cs="Times New Roman"/>
          <w:sz w:val="24"/>
          <w:szCs w:val="24"/>
          <w:lang w:val="en-GB"/>
        </w:rPr>
        <w:t>(Ostroff and Bowen, 2016)</w:t>
      </w:r>
      <w:r w:rsidR="00E263DC"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w:t>
      </w:r>
    </w:p>
    <w:p w14:paraId="266EE163" w14:textId="33594119" w:rsidR="00B06CFE" w:rsidRPr="00270BA8" w:rsidRDefault="0080626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The </w:t>
      </w:r>
      <w:r w:rsidR="007747C6" w:rsidRPr="00270BA8">
        <w:rPr>
          <w:rFonts w:ascii="Garamond" w:hAnsi="Garamond" w:cs="Times New Roman"/>
          <w:sz w:val="24"/>
          <w:szCs w:val="24"/>
          <w:lang w:val="en-GB"/>
        </w:rPr>
        <w:t>strengths of HRM</w:t>
      </w:r>
      <w:r w:rsidRPr="00270BA8">
        <w:rPr>
          <w:rFonts w:ascii="Garamond" w:hAnsi="Garamond" w:cs="Times New Roman"/>
          <w:sz w:val="24"/>
          <w:szCs w:val="24"/>
          <w:lang w:val="en-GB"/>
        </w:rPr>
        <w:t xml:space="preserve"> are explained by </w:t>
      </w:r>
      <w:r w:rsidR="00346FA3"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{"citationID":"cbx0OAqu","properties":{"formattedCitation":"(Bowen and Ostroff, 2004)","plainCitation":"(Bowen and Ostroff, 2004)","dontUpdate":true,"noteIndex":0},"citationItems":[{"id":"MRBxNWYl/6WjbREVV","uris":["http://zotero.org/users/10703570/items/PFPQKT3C"],"itemData":{"id":3864,"type":"article-journal","abstract":"Theory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346FA3" w:rsidRPr="00270BA8">
        <w:rPr>
          <w:rFonts w:ascii="Garamond" w:hAnsi="Garamond" w:cs="Times New Roman"/>
          <w:sz w:val="24"/>
          <w:szCs w:val="24"/>
          <w:lang w:val="en-GB"/>
        </w:rPr>
        <w:fldChar w:fldCharType="separate"/>
      </w:r>
      <w:r w:rsidR="00346FA3" w:rsidRPr="00270BA8">
        <w:rPr>
          <w:rFonts w:ascii="Garamond" w:hAnsi="Garamond" w:cs="Times New Roman"/>
          <w:sz w:val="24"/>
          <w:szCs w:val="24"/>
          <w:lang w:val="en-GB"/>
        </w:rPr>
        <w:t>Bowen and Ostroff (2004)</w:t>
      </w:r>
      <w:r w:rsidR="00346FA3" w:rsidRPr="00270BA8">
        <w:rPr>
          <w:rFonts w:ascii="Garamond" w:hAnsi="Garamond" w:cs="Times New Roman"/>
          <w:sz w:val="24"/>
          <w:szCs w:val="24"/>
          <w:lang w:val="en-GB"/>
        </w:rPr>
        <w:fldChar w:fldCharType="end"/>
      </w:r>
      <w:r w:rsidR="00E263DC" w:rsidRPr="00270BA8">
        <w:rPr>
          <w:rFonts w:ascii="Garamond" w:hAnsi="Garamond" w:cs="Times New Roman"/>
          <w:sz w:val="24"/>
          <w:szCs w:val="24"/>
          <w:lang w:val="en-GB"/>
        </w:rPr>
        <w:t xml:space="preserve"> as a set of meta-attributes of HRM that can influence the effectiveness of an organisation</w:t>
      </w:r>
      <w:r w:rsidR="007747C6" w:rsidRPr="00270BA8">
        <w:rPr>
          <w:rFonts w:ascii="Garamond" w:hAnsi="Garamond" w:cs="Times New Roman"/>
          <w:sz w:val="24"/>
          <w:szCs w:val="24"/>
          <w:lang w:val="en-GB"/>
        </w:rPr>
        <w:t>’</w:t>
      </w:r>
      <w:r w:rsidR="00E263DC" w:rsidRPr="00270BA8">
        <w:rPr>
          <w:rFonts w:ascii="Garamond" w:hAnsi="Garamond" w:cs="Times New Roman"/>
          <w:sz w:val="24"/>
          <w:szCs w:val="24"/>
          <w:lang w:val="en-GB"/>
        </w:rPr>
        <w:t>s delivery of HRM information and create a high-</w:t>
      </w:r>
      <w:r w:rsidR="002A2A0B" w:rsidRPr="00270BA8">
        <w:rPr>
          <w:rFonts w:ascii="Garamond" w:hAnsi="Garamond" w:cs="Times New Roman"/>
          <w:sz w:val="24"/>
          <w:szCs w:val="24"/>
          <w:lang w:val="en-GB"/>
        </w:rPr>
        <w:t>strength</w:t>
      </w:r>
      <w:r w:rsidR="00E263DC" w:rsidRPr="00270BA8">
        <w:rPr>
          <w:rFonts w:ascii="Garamond" w:hAnsi="Garamond" w:cs="Times New Roman"/>
          <w:sz w:val="24"/>
          <w:szCs w:val="24"/>
          <w:lang w:val="en-GB"/>
        </w:rPr>
        <w:t xml:space="preserve"> organisational climate. </w:t>
      </w:r>
      <w:r w:rsidR="003B0792" w:rsidRPr="00270BA8">
        <w:rPr>
          <w:rFonts w:ascii="Garamond" w:hAnsi="Garamond" w:cs="Times New Roman"/>
          <w:sz w:val="24"/>
          <w:szCs w:val="24"/>
          <w:lang w:val="en-GB"/>
        </w:rPr>
        <w:t>The</w:t>
      </w:r>
      <w:r w:rsidR="00E263DC" w:rsidRPr="00270BA8">
        <w:rPr>
          <w:rFonts w:ascii="Garamond" w:hAnsi="Garamond" w:cs="Times New Roman"/>
          <w:sz w:val="24"/>
          <w:szCs w:val="24"/>
          <w:lang w:val="en-GB"/>
        </w:rPr>
        <w:t xml:space="preserve"> realisation of this set of meta-attributes not only helps the content of HRM measures </w:t>
      </w:r>
      <w:r w:rsidR="00E263DC" w:rsidRPr="00270BA8">
        <w:rPr>
          <w:rFonts w:ascii="Garamond" w:hAnsi="Garamond" w:cs="Times New Roman"/>
          <w:sz w:val="24"/>
          <w:szCs w:val="24"/>
          <w:lang w:val="en-GB"/>
        </w:rPr>
        <w:lastRenderedPageBreak/>
        <w:t>to deliver effective information but also influences the perception and sharing of information by employees through</w:t>
      </w:r>
      <w:r w:rsidRPr="00270BA8">
        <w:rPr>
          <w:rFonts w:ascii="Garamond" w:hAnsi="Garamond" w:cs="Times New Roman"/>
          <w:sz w:val="24"/>
          <w:szCs w:val="24"/>
          <w:lang w:val="en-GB"/>
        </w:rPr>
        <w:t>out the HRM implementation</w:t>
      </w:r>
      <w:r w:rsidR="00E263DC" w:rsidRPr="00270BA8">
        <w:rPr>
          <w:rFonts w:ascii="Garamond" w:hAnsi="Garamond" w:cs="Times New Roman"/>
          <w:sz w:val="24"/>
          <w:szCs w:val="24"/>
          <w:lang w:val="en-GB"/>
        </w:rPr>
        <w:t xml:space="preserve"> process. Therefore, HRM</w:t>
      </w:r>
      <w:r w:rsidRPr="00270BA8">
        <w:rPr>
          <w:rFonts w:ascii="Garamond" w:hAnsi="Garamond" w:cs="Times New Roman"/>
          <w:sz w:val="24"/>
          <w:szCs w:val="24"/>
          <w:lang w:val="en-GB"/>
        </w:rPr>
        <w:t xml:space="preserve"> strengths</w:t>
      </w:r>
      <w:r w:rsidR="00E263DC" w:rsidRPr="00270BA8">
        <w:rPr>
          <w:rFonts w:ascii="Garamond" w:hAnsi="Garamond" w:cs="Times New Roman"/>
          <w:sz w:val="24"/>
          <w:szCs w:val="24"/>
          <w:lang w:val="en-GB"/>
        </w:rPr>
        <w:t xml:space="preserve"> </w:t>
      </w:r>
      <w:r w:rsidRPr="00270BA8">
        <w:rPr>
          <w:rFonts w:ascii="Garamond" w:hAnsi="Garamond" w:cs="Times New Roman"/>
          <w:sz w:val="24"/>
          <w:szCs w:val="24"/>
          <w:lang w:val="en-GB"/>
        </w:rPr>
        <w:t>are</w:t>
      </w:r>
      <w:r w:rsidR="00E263DC" w:rsidRPr="00270BA8">
        <w:rPr>
          <w:rFonts w:ascii="Garamond" w:hAnsi="Garamond" w:cs="Times New Roman"/>
          <w:sz w:val="24"/>
          <w:szCs w:val="24"/>
          <w:lang w:val="en-GB"/>
        </w:rPr>
        <w:t xml:space="preserve"> not only concerned with the selection of the content of HRM policies, systems, and measures but also with the implementation process of HRM, i.e., whether the content of HRM policies, systems and measures are truthfully and understood and recognised by employees</w:t>
      </w:r>
      <w:r w:rsidR="00346FA3" w:rsidRPr="00270BA8">
        <w:rPr>
          <w:rFonts w:ascii="Garamond" w:hAnsi="Garamond" w:cs="Times New Roman"/>
          <w:sz w:val="24"/>
          <w:szCs w:val="24"/>
          <w:lang w:val="en-GB"/>
        </w:rPr>
        <w:t xml:space="preserve"> </w:t>
      </w:r>
      <w:r w:rsidR="00346FA3"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{"citationID":"4TTVfjcx","properties":{"formattedCitation":"(Sanders, Bednall and Yang, 2021)","plainCitation":"(Sanders, Bednall and Yang, 2021)","noteIndex":0},"citationItems":[{"id":"MRBxNWYl/aAM7RtaI","uris":["http://zotero.org/users/10703570/items/RYGJHI4V"],"itemData":{"id":3868,"type":"chapter","abstract":"Within the domain of HR process research, one of the most prominent theories to explain how HR practices influence organizational performance is Bowen and Ostroff’s (2004) HR strength model. Based on the covariation principle of Kelley’s (1967; 1973) attribution theory, HR strength explains how three meta-features of an HRM system - distinctiveness, consistency and consensus - influence employees’ collective responses to the HR system. While Bowen and Ostroff construed HR strength as an organizational-level construct, it has mainly been studied as employee perceptions of the three meta-features. In this paper, we discuss three previous reviews of HR strength and examine the validity criteria of 41 empirical quantitative studies of HR strength. Theoretical implications are discussed in the last section of the paper.","container-title":"Handbook on HR Process Research","ISBN":"978-1-83910-007-9","language":"en_US","note":"section: Handbook on HR Process Research","page":"27-45","publisher":"Edward Elgar Publishing","source":"www.elgaronline.com","title":"HR strength: past, current and future research","title-short":"HR strength","URL":"https://www.elgaronline.com/edcollchap/edcoll/9781839100062/9781839100062.00010.xml","author":[{"family":"Sanders","given":"Karin"},{"family":"Bednall","given":"Timothy C."},{"family":"Yang","given":"Huadong"}],"accessed":{"date-parts":[["2024",4,15]]},"issued":{"date-parts":[["2021",7,9]]}}}],"schema":"https://github.com/citation-style-language/schema/raw/master/csl-citation.json"} </w:instrText>
      </w:r>
      <w:r w:rsidR="00346FA3" w:rsidRPr="00270BA8">
        <w:rPr>
          <w:rFonts w:ascii="Garamond" w:hAnsi="Garamond" w:cs="Times New Roman"/>
          <w:sz w:val="24"/>
          <w:szCs w:val="24"/>
          <w:lang w:val="en-GB"/>
        </w:rPr>
        <w:fldChar w:fldCharType="separate"/>
      </w:r>
      <w:r w:rsidR="00346FA3" w:rsidRPr="00270BA8">
        <w:rPr>
          <w:rFonts w:ascii="Garamond" w:hAnsi="Garamond" w:cs="Times New Roman"/>
          <w:sz w:val="24"/>
          <w:szCs w:val="24"/>
          <w:lang w:val="en-GB"/>
        </w:rPr>
        <w:t>(Sanders, Bednall and Yang, 2021)</w:t>
      </w:r>
      <w:r w:rsidR="00346FA3" w:rsidRPr="00270BA8">
        <w:rPr>
          <w:rFonts w:ascii="Garamond" w:hAnsi="Garamond" w:cs="Times New Roman"/>
          <w:sz w:val="24"/>
          <w:szCs w:val="24"/>
          <w:lang w:val="en-GB"/>
        </w:rPr>
        <w:fldChar w:fldCharType="end"/>
      </w:r>
      <w:r w:rsidR="00E263DC" w:rsidRPr="00270BA8">
        <w:rPr>
          <w:rFonts w:ascii="Garamond" w:hAnsi="Garamond" w:cs="Times New Roman"/>
          <w:sz w:val="24"/>
          <w:szCs w:val="24"/>
          <w:lang w:val="en-GB"/>
        </w:rPr>
        <w:t xml:space="preserve">. </w:t>
      </w:r>
      <w:r w:rsidR="00222527" w:rsidRPr="00270BA8">
        <w:rPr>
          <w:rFonts w:ascii="Garamond" w:hAnsi="Garamond" w:cs="Times New Roman"/>
          <w:sz w:val="24"/>
          <w:szCs w:val="24"/>
          <w:lang w:val="en-GB"/>
        </w:rPr>
        <w:t>HRM</w:t>
      </w:r>
      <w:r w:rsidR="004026E5" w:rsidRPr="00270BA8">
        <w:rPr>
          <w:rFonts w:ascii="Garamond" w:hAnsi="Garamond" w:cs="Times New Roman"/>
          <w:sz w:val="24"/>
          <w:szCs w:val="24"/>
          <w:lang w:val="en-GB"/>
        </w:rPr>
        <w:t xml:space="preserve"> strengths</w:t>
      </w:r>
      <w:r w:rsidR="00E263DC" w:rsidRPr="00270BA8">
        <w:rPr>
          <w:rFonts w:ascii="Garamond" w:hAnsi="Garamond" w:cs="Times New Roman"/>
          <w:sz w:val="24"/>
          <w:szCs w:val="24"/>
          <w:lang w:val="en-GB"/>
        </w:rPr>
        <w:t xml:space="preserve"> </w:t>
      </w:r>
      <w:r w:rsidR="004026E5" w:rsidRPr="00270BA8">
        <w:rPr>
          <w:rFonts w:ascii="Garamond" w:hAnsi="Garamond" w:cs="Times New Roman"/>
          <w:sz w:val="24"/>
          <w:szCs w:val="24"/>
          <w:lang w:val="en-GB"/>
        </w:rPr>
        <w:t>are</w:t>
      </w:r>
      <w:r w:rsidR="00E263DC" w:rsidRPr="00270BA8">
        <w:rPr>
          <w:rFonts w:ascii="Garamond" w:hAnsi="Garamond" w:cs="Times New Roman"/>
          <w:sz w:val="24"/>
          <w:szCs w:val="24"/>
          <w:lang w:val="en-GB"/>
        </w:rPr>
        <w:t xml:space="preserve"> an indicator for judging the overall quality of </w:t>
      </w:r>
      <w:r w:rsidR="003452EA" w:rsidRPr="00270BA8">
        <w:rPr>
          <w:rFonts w:ascii="Garamond" w:hAnsi="Garamond" w:cs="Times New Roman"/>
          <w:sz w:val="24"/>
          <w:szCs w:val="24"/>
          <w:lang w:val="en-GB"/>
        </w:rPr>
        <w:t xml:space="preserve">the </w:t>
      </w:r>
      <w:r w:rsidR="00E263DC" w:rsidRPr="00270BA8">
        <w:rPr>
          <w:rFonts w:ascii="Garamond" w:hAnsi="Garamond" w:cs="Times New Roman"/>
          <w:sz w:val="24"/>
          <w:szCs w:val="24"/>
          <w:lang w:val="en-GB"/>
        </w:rPr>
        <w:t xml:space="preserve">HRM system, which qualifies </w:t>
      </w:r>
      <w:r w:rsidR="007747C6" w:rsidRPr="00270BA8">
        <w:rPr>
          <w:rFonts w:ascii="Garamond" w:hAnsi="Garamond" w:cs="Times New Roman"/>
          <w:sz w:val="24"/>
          <w:szCs w:val="24"/>
          <w:lang w:val="en-GB"/>
        </w:rPr>
        <w:t>as the “characteristic”</w:t>
      </w:r>
      <w:r w:rsidR="00E263DC" w:rsidRPr="00270BA8">
        <w:rPr>
          <w:rFonts w:ascii="Garamond" w:hAnsi="Garamond" w:cs="Times New Roman"/>
          <w:sz w:val="24"/>
          <w:szCs w:val="24"/>
          <w:lang w:val="en-GB"/>
        </w:rPr>
        <w:t xml:space="preserve"> of a successful HRM system but does not involve too much in specific management measures</w:t>
      </w:r>
      <w:r w:rsidR="00346FA3" w:rsidRPr="00270BA8">
        <w:rPr>
          <w:rFonts w:ascii="Garamond" w:hAnsi="Garamond" w:cs="Times New Roman"/>
          <w:sz w:val="24"/>
          <w:szCs w:val="24"/>
          <w:lang w:val="en-GB"/>
        </w:rPr>
        <w:t xml:space="preserve"> </w:t>
      </w:r>
      <w:r w:rsidR="00346FA3"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{"citationID":"ZvRwU7YF","properties":{"formattedCitation":"(Coelho {\\i{}et al.}, 2015)","plainCitation":"(Coelho et al., 2015)","noteIndex":0},"citationItems":[{"id":"MRBxNWYl/xNuMzBU8","uris":["http://zotero.org/users/10703570/items/UQSP7XU3"],"itemData":{"id":3869,"type":"article-journal","abstract":"Purpose: The aim of this study is to operationalize the construct Strength of the HRM System theoretically defined by Bowen and Ostroff (2004) as a set of process metafeatures to convey signals to employees about desired and appropriate work behaviors, as well as to develop and validate a questionnaire to measure it, the HRMSQ. Design/methodology/approach: Three studies contribute to this purpose. In the first study we develop a questionnaire and test it with employees from several organizations. In the second study we applied the refined questionnaire in a sample of employees from a large company, and assessed different types of validity. The final study replicated results from the second study. Findings: Psychometric properties reveal good internal consistency reliability, item reliability and construct reliability, as well as convergent and discriminant validity. Pratical implications: Results indicate that the HRMSQ can be used in the study of HR strategy and for HR manager.   Originaly/value: The HRMSQ is a friendly instrument that can help HR practitioners to assess whether the HRM system is unambiguously perceived by employees, and identify possible problem areas in terms of the implementation process. It also contributes to research in the strategic HRM field by operationalizing a construct that is likely to improve the understanding of the link between the HRM System and organizational performance.","container-title":"Journal of Industrial Engineering and Management","DOI":"10.3926/jiem.1432","ISSN":"2013-0953","issue":"4","language":"en","license":"Copyright (c)","note":"number: 4","page":"1069-1086","source":"jiem.org","title":"Strength of the HRM system: The development of a measure","title-short":"Strength of the HRM system","volume":"8","author":[{"family":"Coelho","given":"Joaquim Pinto"},{"family":"Cunha","given":"Rita Campos"},{"family":"Gomes","given":"Jorge F. S."},{"family":"Correia","given":"Anabela Gomes"}],"issued":{"date-parts":[["2015",9,14]]}}}],"schema":"https://github.com/citation-style-language/schema/raw/master/csl-citation.json"} </w:instrText>
      </w:r>
      <w:r w:rsidR="00346FA3" w:rsidRPr="00270BA8">
        <w:rPr>
          <w:rFonts w:ascii="Garamond" w:hAnsi="Garamond" w:cs="Times New Roman"/>
          <w:sz w:val="24"/>
          <w:szCs w:val="24"/>
          <w:lang w:val="en-GB"/>
        </w:rPr>
        <w:fldChar w:fldCharType="separate"/>
      </w:r>
      <w:r w:rsidR="00346FA3" w:rsidRPr="00270BA8">
        <w:rPr>
          <w:rFonts w:ascii="Garamond" w:hAnsi="Garamond" w:cs="Times New Roman"/>
          <w:sz w:val="24"/>
          <w:szCs w:val="24"/>
          <w:lang w:val="en-GB"/>
        </w:rPr>
        <w:t>(Coelho et al., 2015)</w:t>
      </w:r>
      <w:r w:rsidR="00346FA3" w:rsidRPr="00270BA8">
        <w:rPr>
          <w:rFonts w:ascii="Garamond" w:hAnsi="Garamond" w:cs="Times New Roman"/>
          <w:sz w:val="24"/>
          <w:szCs w:val="24"/>
          <w:lang w:val="en-GB"/>
        </w:rPr>
        <w:fldChar w:fldCharType="end"/>
      </w:r>
      <w:r w:rsidR="00E263DC" w:rsidRPr="00270BA8">
        <w:rPr>
          <w:rFonts w:ascii="Garamond" w:hAnsi="Garamond" w:cs="Times New Roman"/>
          <w:sz w:val="24"/>
          <w:szCs w:val="24"/>
          <w:lang w:val="en-GB"/>
        </w:rPr>
        <w:t xml:space="preserve">. </w:t>
      </w:r>
      <w:r w:rsidR="004026E5" w:rsidRPr="00270BA8">
        <w:rPr>
          <w:rFonts w:ascii="Garamond" w:hAnsi="Garamond" w:cs="Times New Roman"/>
          <w:sz w:val="24"/>
          <w:szCs w:val="24"/>
          <w:lang w:val="en-GB"/>
        </w:rPr>
        <w:t xml:space="preserve">Rather, HRM strengths have indirect or direct effects through culture on employees’ engagement and commitment towards some predetermined outcomes. </w:t>
      </w:r>
    </w:p>
    <w:p w14:paraId="4518B949" w14:textId="4406E448" w:rsidR="00245439" w:rsidRPr="00270BA8" w:rsidRDefault="00346FA3"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As such, the introduction of the </w:t>
      </w:r>
      <w:r w:rsidR="008D7010" w:rsidRPr="00270BA8">
        <w:rPr>
          <w:rFonts w:ascii="Garamond" w:hAnsi="Garamond" w:cs="Times New Roman"/>
          <w:sz w:val="24"/>
          <w:szCs w:val="24"/>
          <w:lang w:val="en-GB"/>
        </w:rPr>
        <w:t>HRM Strength</w:t>
      </w:r>
      <w:r w:rsidRPr="00270BA8">
        <w:rPr>
          <w:rFonts w:ascii="Garamond" w:hAnsi="Garamond" w:cs="Times New Roman"/>
          <w:sz w:val="24"/>
          <w:szCs w:val="24"/>
          <w:lang w:val="en-GB"/>
        </w:rPr>
        <w:t xml:space="preserve"> concept provides us with a new theoretical perspective to view the problem of employee innovation.</w:t>
      </w:r>
      <w:r w:rsidR="0018269A" w:rsidRPr="00270BA8">
        <w:rPr>
          <w:rFonts w:ascii="Garamond" w:hAnsi="Garamond" w:cs="Times New Roman"/>
          <w:sz w:val="24"/>
          <w:szCs w:val="24"/>
          <w:lang w:val="en-GB"/>
        </w:rPr>
        <w:t xml:space="preserve"> </w:t>
      </w:r>
      <w:r w:rsidR="00245439" w:rsidRPr="00270BA8">
        <w:rPr>
          <w:rFonts w:ascii="Garamond" w:hAnsi="Garamond" w:cs="Times New Roman"/>
          <w:sz w:val="24"/>
          <w:szCs w:val="24"/>
          <w:lang w:val="en-GB"/>
        </w:rPr>
        <w:t xml:space="preserve">Innovation, globally, is the most </w:t>
      </w:r>
      <w:r w:rsidR="007747C6" w:rsidRPr="00270BA8">
        <w:rPr>
          <w:rFonts w:ascii="Garamond" w:hAnsi="Garamond" w:cs="Times New Roman"/>
          <w:sz w:val="24"/>
          <w:szCs w:val="24"/>
          <w:lang w:val="en-GB"/>
        </w:rPr>
        <w:t>critical</w:t>
      </w:r>
      <w:r w:rsidR="00245439" w:rsidRPr="00270BA8">
        <w:rPr>
          <w:rFonts w:ascii="Garamond" w:hAnsi="Garamond" w:cs="Times New Roman"/>
          <w:sz w:val="24"/>
          <w:szCs w:val="24"/>
          <w:lang w:val="en-GB"/>
        </w:rPr>
        <w:t xml:space="preserve"> industry driving force, and the transformation and upgrading of the biopharmaceutical industry is even more inseparable from innovation. In recent years, China</w:t>
      </w:r>
      <w:r w:rsidR="007747C6" w:rsidRPr="00270BA8">
        <w:rPr>
          <w:rFonts w:ascii="Garamond" w:hAnsi="Garamond" w:cs="Times New Roman"/>
          <w:sz w:val="24"/>
          <w:szCs w:val="24"/>
          <w:lang w:val="en-GB"/>
        </w:rPr>
        <w:t>’</w:t>
      </w:r>
      <w:r w:rsidR="00245439" w:rsidRPr="00270BA8">
        <w:rPr>
          <w:rFonts w:ascii="Garamond" w:hAnsi="Garamond" w:cs="Times New Roman"/>
          <w:sz w:val="24"/>
          <w:szCs w:val="24"/>
          <w:lang w:val="en-GB"/>
        </w:rPr>
        <w:t>s biopharmaceutical industry has actively sought technological innovation, business model innovation, and even corporate management innovation</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{"citationID":"mNMz125h","properties":{"formattedCitation":"(Xu, Wang and Liu, 2021)","plainCitation":"(Xu, Wang and Liu, 2021)","noteIndex":0},"citationItems":[{"id":5354,"uris":["http://zotero.org/users/10703570/items/QCVHKAHH"],"itemData":{"id":5354,"type":"article-journal","container-title":"Technology Analysis &amp; Strategic Management","ISSN":"0953-7325","issue":"5","journalAbbreviation":"Technology Analysis &amp; Strategic Management","note":"publisher: Taylor &amp; Francis","page":"535-553","title":"Government subsidies, R&amp;D investment and innovation performance: analysis from pharmaceutical sector in China","volume":"33","author":[{"family":"Xu","given":"Jian"},{"family":"Wang","given":"Xiuhua"},{"family":"Liu","given":"Feng"}],"issued":{"date-parts":[["2021"]]}}}],"schema":"https://github.com/citation-style-language/schema/raw/master/csl-citation.json"}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sz w:val="24"/>
          <w:szCs w:val="28"/>
        </w:rPr>
        <w:t>(Xu, Wang and Liu, 2021)</w:t>
      </w:r>
      <w:r w:rsidR="00270BA8" w:rsidRPr="00270BA8">
        <w:rPr>
          <w:rFonts w:ascii="Garamond" w:hAnsi="Garamond" w:cs="Times New Roman"/>
          <w:sz w:val="24"/>
          <w:szCs w:val="24"/>
          <w:lang w:val="en-GB"/>
        </w:rPr>
        <w:fldChar w:fldCharType="end"/>
      </w:r>
      <w:r w:rsidR="00245439" w:rsidRPr="00270BA8">
        <w:rPr>
          <w:rFonts w:ascii="Garamond" w:hAnsi="Garamond" w:cs="Times New Roman"/>
          <w:sz w:val="24"/>
          <w:szCs w:val="24"/>
          <w:lang w:val="en-GB"/>
        </w:rPr>
        <w:t>. Under the influence of the global biopharmaceutical innovation trend and the promotion of the domestic dual-cycle development model, China</w:t>
      </w:r>
      <w:r w:rsidR="007747C6" w:rsidRPr="00270BA8">
        <w:rPr>
          <w:rFonts w:ascii="Garamond" w:hAnsi="Garamond" w:cs="Times New Roman"/>
          <w:sz w:val="24"/>
          <w:szCs w:val="24"/>
          <w:lang w:val="en-GB"/>
        </w:rPr>
        <w:t>’</w:t>
      </w:r>
      <w:r w:rsidR="00245439" w:rsidRPr="00270BA8">
        <w:rPr>
          <w:rFonts w:ascii="Garamond" w:hAnsi="Garamond" w:cs="Times New Roman"/>
          <w:sz w:val="24"/>
          <w:szCs w:val="24"/>
          <w:lang w:val="en-GB"/>
        </w:rPr>
        <w:t>s biopharmaceutical market is not only responding to the global trend of innovation and change but also refining its self-innovation ability, proving to the world the innovation ability of Chinese biopharmaceutical enterprises</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{"citationID":"a01JXKaC","properties":{"formattedCitation":"(Tripathy {\\i{}et al.}, 2021)","plainCitation":"(Tripathy et al., 2021)","noteIndex":0},"citationItems":[{"id":5355,"uris":["http://zotero.org/users/10703570/items/2J2DM8P9"],"itemData":{"id":5355,"type":"article-journal","container-title":"Journal of Generic Medicines","ISSN":"1741-1343","issue":"3","journalAbbreviation":"Journal of Generic Medicines","note":"publisher: SAGE Publications Sage UK: London, England","page":"106-114","title":"Challenges and prospects in Chinese pharmaceutical regulatory environment","volume":"17","author":[{"family":"Tripathy","given":"Swagat"},{"family":"Murthy","given":"PN"},{"family":"Patra","given":"BP"},{"family":"Mehra","given":"Pooja"},{"family":"Dureja","given":"Harish"}],"issued":{"date-parts":[["2021"]]}}}],"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cs="Times New Roman"/>
          <w:sz w:val="24"/>
          <w:szCs w:val="32"/>
        </w:rPr>
        <w:t xml:space="preserve">(Tripathy </w:t>
      </w:r>
      <w:r w:rsidR="00270BA8" w:rsidRPr="00270BA8">
        <w:rPr>
          <w:rFonts w:ascii="Garamond" w:hAnsi="Garamond" w:cs="Times New Roman"/>
          <w:i/>
          <w:iCs/>
          <w:sz w:val="24"/>
          <w:szCs w:val="32"/>
        </w:rPr>
        <w:t>et al.</w:t>
      </w:r>
      <w:r w:rsidR="00270BA8" w:rsidRPr="00270BA8">
        <w:rPr>
          <w:rFonts w:ascii="Garamond" w:hAnsi="Garamond" w:cs="Times New Roman"/>
          <w:sz w:val="24"/>
          <w:szCs w:val="32"/>
        </w:rPr>
        <w:t>, 2021)</w:t>
      </w:r>
      <w:r w:rsidR="00270BA8" w:rsidRPr="00270BA8">
        <w:rPr>
          <w:rFonts w:ascii="Garamond" w:hAnsi="Garamond" w:cs="Times New Roman"/>
          <w:sz w:val="24"/>
          <w:szCs w:val="24"/>
          <w:lang w:val="en-GB"/>
        </w:rPr>
        <w:fldChar w:fldCharType="end"/>
      </w:r>
      <w:r w:rsidR="00245439" w:rsidRPr="00270BA8">
        <w:rPr>
          <w:rFonts w:ascii="Garamond" w:hAnsi="Garamond" w:cs="Times New Roman"/>
          <w:sz w:val="24"/>
          <w:szCs w:val="24"/>
          <w:lang w:val="en-GB"/>
        </w:rPr>
        <w:t>.</w:t>
      </w:r>
    </w:p>
    <w:p w14:paraId="6088EF2C" w14:textId="444F97D3" w:rsidR="00245439" w:rsidRPr="00270BA8" w:rsidRDefault="00245439"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On the one hand, China has become a key location for digital transformation in the </w:t>
      </w:r>
      <w:bookmarkStart w:id="7" w:name="_Hlk171691601"/>
      <w:r w:rsidRPr="00270BA8">
        <w:rPr>
          <w:rFonts w:ascii="Garamond" w:hAnsi="Garamond" w:cs="Times New Roman"/>
          <w:sz w:val="24"/>
          <w:szCs w:val="24"/>
          <w:lang w:val="en-GB"/>
        </w:rPr>
        <w:t>biopharmaceutical</w:t>
      </w:r>
      <w:bookmarkEnd w:id="7"/>
      <w:r w:rsidRPr="00270BA8">
        <w:rPr>
          <w:rFonts w:ascii="Garamond" w:hAnsi="Garamond" w:cs="Times New Roman"/>
          <w:sz w:val="24"/>
          <w:szCs w:val="24"/>
          <w:lang w:val="en-GB"/>
        </w:rPr>
        <w:t xml:space="preserve"> industry. Both multinational and local pharmaceutical companies are strengthening and expanding their investment and application of digital technology in China</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{"citationID":"pJIAdNbk","properties":{"formattedCitation":"(Zhang and Liu, 2020)","plainCitation":"(Zhang and Liu, 2020)","noteIndex":0},"citationItems":[{"id":5358,"uris":["http://zotero.org/users/10703570/items/3CVN6L8K"],"itemData":{"id":5358,"type":"article-journal","container-title":"Sage Open","ISSN":"2158-2440","issue":"1","journalAbbreviation":"Sage Open","note":"publisher: SAGE Publications Sage CA: Los Angeles, CA","page":"2158244020901529","title":"The current status, trend, and development strategies of Chinese biopharmaceutical industry with a challenging perspective","volume":"10","author":[{"family":"Zhang","given":"Kerong"},{"family":"Liu","given":"Wuyi"}],"issued":{"date-parts":[["2020"]]}}}],"schema":"https://github.com/citation-style-language/schema/raw/master/csl-citation.json"}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sz w:val="24"/>
          <w:szCs w:val="28"/>
        </w:rPr>
        <w:t>(Zhang and Liu, 2020)</w:t>
      </w:r>
      <w:r w:rsidR="00270BA8"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On the other hand, A</w:t>
      </w:r>
      <w:r w:rsidR="00270BA8">
        <w:rPr>
          <w:rFonts w:ascii="Garamond" w:hAnsi="Garamond" w:cs="Times New Roman"/>
          <w:sz w:val="24"/>
          <w:szCs w:val="24"/>
          <w:lang w:val="en-GB"/>
        </w:rPr>
        <w:t>I</w:t>
      </w:r>
      <w:r w:rsidRPr="00270BA8">
        <w:rPr>
          <w:rFonts w:ascii="Garamond" w:hAnsi="Garamond" w:cs="Times New Roman"/>
          <w:sz w:val="24"/>
          <w:szCs w:val="24"/>
          <w:lang w:val="en-GB"/>
        </w:rPr>
        <w:t xml:space="preserve"> enables innovation breakthroughs in the entire biopharmaceutical industry chain. As pharmaceutical and technology giants have been implementing and deploying A</w:t>
      </w:r>
      <w:r w:rsidR="00270BA8">
        <w:rPr>
          <w:rFonts w:ascii="Garamond" w:hAnsi="Garamond" w:cs="Times New Roman"/>
          <w:sz w:val="24"/>
          <w:szCs w:val="24"/>
          <w:lang w:val="en-GB"/>
        </w:rPr>
        <w:t>I</w:t>
      </w:r>
      <w:r w:rsidRPr="00270BA8">
        <w:rPr>
          <w:rFonts w:ascii="Garamond" w:hAnsi="Garamond" w:cs="Times New Roman"/>
          <w:sz w:val="24"/>
          <w:szCs w:val="24"/>
          <w:lang w:val="en-GB"/>
        </w:rPr>
        <w:t>, China</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s AI+Biotech investment market has been very active and is at an early stage of the industry</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s development, with huge market potential</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{"citationID":"VqlfXKhB","properties":{"formattedCitation":"(Hu, Din and Zhang, 2024)","plainCitation":"(Hu, Din and Zhang, 2024)","noteIndex":0},"citationItems":[{"id":5356,"uris":["http://zotero.org/users/10703570/items/ZPQLPCUK"],"itemData":{"id":5356,"type":"article-journal","container-title":"Engineering, Technology &amp; Applied Science Research","ISSN":"1792-8036","issue":"2","journalAbbreviation":"Engineering, Technology &amp; Applied Science Research","page":"13658-13664","title":"Short Empirical Insight: Leadership and Artificial Intelligence in the Pharmaceutical Industry","volume":"14","author":[{"family":"Hu","given":"Chunjia"},{"family":"Din","given":"Qaiser Mohi Ud"},{"family":"Zhang","given":"Li"}],"issued":{"date-parts":[["2024"]]}}}],"schema":"https://github.com/citation-style-language/schema/raw/master/csl-citation.json"}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sz w:val="24"/>
          <w:szCs w:val="28"/>
        </w:rPr>
        <w:t>(Hu, Din and Zhang, 2024)</w:t>
      </w:r>
      <w:r w:rsidR="00270BA8"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The improvement and breakthrough of local enterprises in innovation and implementation capabilities are mainly driven by talent and technology accumulation, long-term government R&amp;D investment and policy support. Innovation plays a more strategically relevant and significant role in pharmaceutical companies than in other industries</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{"citationID":"kr6nQ8B9","properties":{"formattedCitation":"(Xu, Wang and Liu, 2021)","plainCitation":"(Xu, Wang and Liu, 2021)","noteIndex":0},"citationItems":[{"id":5354,"uris":["http://zotero.org/users/10703570/items/QCVHKAHH"],"itemData":{"id":5354,"type":"article-journal","container-title":"Technology Analysis &amp; Strategic Management","ISSN":"0953-7325","issue":"5","journalAbbreviation":"Technology Analysis &amp; Strategic Management","note":"publisher: Taylor &amp; Francis","page":"535-553","title":"Government subsidies, R&amp;D investment and innovation performance: analysis from pharmaceutical sector in China","volume":"33","author":[{"family":"Xu","given":"Jian"},{"family":"Wang","given":"Xiuhua"},{"family":"Liu","given":"Feng"}],"issued":{"date-parts":[["2021"]]}}}],"schema":"https://github.com/citation-style-language/schema/raw/master/csl-citation.json"}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sz w:val="24"/>
          <w:szCs w:val="28"/>
        </w:rPr>
        <w:t>(Xu, Wang and Liu, 2021)</w:t>
      </w:r>
      <w:r w:rsidR="00270BA8"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w:t>
      </w:r>
    </w:p>
    <w:p w14:paraId="60935B1B" w14:textId="20552E5D" w:rsidR="00CB1092" w:rsidRPr="00270BA8" w:rsidRDefault="00CB1092"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lastRenderedPageBreak/>
        <w:t>A review of the literature reveals that there is a consensus among scholars that positive H</w:t>
      </w:r>
      <w:r w:rsidR="00270BA8">
        <w:rPr>
          <w:rFonts w:ascii="Garamond" w:hAnsi="Garamond" w:cs="Times New Roman"/>
          <w:sz w:val="24"/>
          <w:szCs w:val="24"/>
          <w:lang w:val="en-GB"/>
        </w:rPr>
        <w:t>R</w:t>
      </w:r>
      <w:r w:rsidRPr="00270BA8">
        <w:rPr>
          <w:rFonts w:ascii="Garamond" w:hAnsi="Garamond" w:cs="Times New Roman"/>
          <w:sz w:val="24"/>
          <w:szCs w:val="24"/>
          <w:lang w:val="en-GB"/>
        </w:rPr>
        <w:t xml:space="preserve"> practices promote employee innovation at the content level, and some studies at the process level confirm that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effective and clear understanding of the managerial messages conveyed by these initiatives is an </w:t>
      </w:r>
      <w:r w:rsidR="007747C6" w:rsidRPr="00270BA8">
        <w:rPr>
          <w:rFonts w:ascii="Garamond" w:hAnsi="Garamond" w:cs="Times New Roman"/>
          <w:sz w:val="24"/>
          <w:szCs w:val="24"/>
          <w:lang w:val="en-GB"/>
        </w:rPr>
        <w:t>essential</w:t>
      </w:r>
      <w:r w:rsidRPr="00270BA8">
        <w:rPr>
          <w:rFonts w:ascii="Garamond" w:hAnsi="Garamond" w:cs="Times New Roman"/>
          <w:sz w:val="24"/>
          <w:szCs w:val="24"/>
          <w:lang w:val="en-GB"/>
        </w:rPr>
        <w:t xml:space="preserve"> factor influencing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attitudes and behaviours at work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{"citationID":"VzA39eWf","properties":{"formattedCitation":"(Sanders, Bednall and Yang, 2021)","plainCitation":"(Sanders, Bednall and Yang, 2021)","noteIndex":0},"citationItems":[{"id":"MRBxNWYl/aAM7RtaI","uris":["http://zotero.org/users/10703570/items/RYGJHI4V"],"itemData":{"id":3868,"type":"chapter","abstract":"Within the domain of HR process research, one of the most prominent theories to explain how HR practices influence organizational performance is Bowen and Ostroff’s (2004) HR strength model. Based on the covariation principle of Kelley’s (1967; 1973) attribution theory, HR strength explains how three meta-features of an HRM system - distinctiveness, consistency and consensus - influence employees’ collective responses to the HR system. While Bowen and Ostroff construed HR strength as an organizational-level construct, it has mainly been studied as employee perceptions of the three meta-features. In this paper, we discuss three previous reviews of HR strength and examine the validity criteria of 41 empirical quantitative studies of HR strength. Theoretical implications are discussed in the last section of the paper.","container-title":"Handbook on HR Process Research","ISBN":"978-1-83910-007-9","language":"en_US","note":"section: Handbook on HR Process Research","page":"27-45","publisher":"Edward Elgar Publishing","source":"www.elgaronline.com","title":"HR strength: past, current and future research","title-short":"HR strength","URL":"https://www.elgaronline.com/edcollchap/edcoll/9781839100062/9781839100062.00010.xml","author":[{"family":"Sanders","given":"Karin"},{"family":"Bednall","given":"Timothy C."},{"family":"Yang","given":"Huadong"}],"accessed":{"date-parts":[["2024",4,15]]},"issued":{"date-parts":[["2021",7,9]]}}}],"schema":"https://github.com/citation-style-language/schema/raw/master/csl-citation.json"}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cs="Times New Roman"/>
          <w:sz w:val="24"/>
          <w:szCs w:val="24"/>
          <w:lang w:val="en-GB"/>
        </w:rPr>
        <w:t>(Sanders, Bednall and Yang, 2021)</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As some scholars have argued</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even though high-performance HRM practices can play a</w:t>
      </w:r>
      <w:r w:rsidR="007747C6" w:rsidRPr="00270BA8">
        <w:rPr>
          <w:rFonts w:ascii="Garamond" w:hAnsi="Garamond" w:cs="Times New Roman"/>
          <w:sz w:val="24"/>
          <w:szCs w:val="24"/>
          <w:lang w:val="en-GB"/>
        </w:rPr>
        <w:t>n influentia</w:t>
      </w:r>
      <w:r w:rsidRPr="00270BA8">
        <w:rPr>
          <w:rFonts w:ascii="Garamond" w:hAnsi="Garamond" w:cs="Times New Roman"/>
          <w:sz w:val="24"/>
          <w:szCs w:val="24"/>
          <w:lang w:val="en-GB"/>
        </w:rPr>
        <w:t xml:space="preserve">l role in stimulating employee innovation, it is </w:t>
      </w:r>
      <w:r w:rsidR="007747C6" w:rsidRPr="00270BA8">
        <w:rPr>
          <w:rFonts w:ascii="Garamond" w:hAnsi="Garamond" w:cs="Times New Roman"/>
          <w:sz w:val="24"/>
          <w:szCs w:val="24"/>
          <w:lang w:val="en-GB"/>
        </w:rPr>
        <w:t>essential</w:t>
      </w:r>
      <w:r w:rsidRPr="00270BA8">
        <w:rPr>
          <w:rFonts w:ascii="Garamond" w:hAnsi="Garamond" w:cs="Times New Roman"/>
          <w:sz w:val="24"/>
          <w:szCs w:val="24"/>
          <w:lang w:val="en-GB"/>
        </w:rPr>
        <w:t xml:space="preserve"> not to lose sight of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perceptions and recognition of these initiatives in the process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{"citationID":"PvXYc1iG","properties":{"formattedCitation":"(Kehoe and Wright, 2013; Dhar, 2015)","plainCitation":"(Kehoe and Wright, 2013; Dhar, 2015)","noteIndex":0},"citationItems":[{"id":"MRBxNWYl/0iEq5VT5","uris":["http://zotero.org/users/10703570/items/BFTKCTHN"],"itemData":{"id":3884,"type":"article-journal","abstract":"Although strategic human resource (HR) management research has established a significant relationship between high-performance HR practices and firm-level financial and market outcomes, few studies have considered the important role of employees’ perceptions of HR practice use or examined the more proximal outcomes of high-performance HR practices that may play mediating roles in the HR practice–performance relationship. To address recent calls in the literature for an investigation of this nature, this study examined the relationships between employees’ perceptions of high-performance HR practice use in their job groups and employee absenteeism, intent to remain with the organization, and organizational citizenship behavior, dedicating a focus to the possible mediating role of affective organizational commitment in these relationships. Data in this study were collected from surveys of employees at a large multiunit food service organization. The model was tested with CWC(M) mediation analysis (i.e., centered within context with reintroduction of the subtracted means at Level 2), which accounted for the multilevel structure of the data. Results indicate that employees’ perceptions of high-performance HR practice use at the job group level positively related to all dependent variables and that affective organizational commitment partially mediated the relationship between HR practice perceptions and organizational citizenship behavior and fully mediated the relationship between HR practice perceptions and intent to remain with the organization. The discussion reviews the implications of these results and suggests future directions for research in this vein.","container-title":"Journal of Management","DOI":"10.1177/0149206310365901","ISSN":"0149-2063","issue":"2","language":"en","note":"publisher: SAGE Publications Inc","page":"366-391","source":"SAGE Journals","title":"The Impact of High-Performance Human Resource Practices on Employees’ Attitudes and Behaviors","volume":"39","author":[{"family":"Kehoe","given":"Rebecca R."},{"family":"Wright","given":"Patrick M."}],"issued":{"date-parts":[["2013",2,1]]}}},{"id":"MRBxNWYl/iGkR7UxW","uris":["http://zotero.org/users/10703570/items/6CDSKWPH"],"itemData":{"id":3885,"type":"article-journal","abstract":"Service innovative behaviour can be regarded as the core demand of hotel employees who serve their customers in the best possible manner. This study presents an integrated model examining the effect of high performance human resource practices (HPHRP) on the commitment level of the tourist hotel employees from Uttarakhand, India. The study also examines the intervening role of climate for innovation in the commitment and service innovative behaviour relationship. Using a sample of 618 employees and 31 managers/supervisors, HLM was conducted to establish the relationship. Findings of the study reveal that organisational commitment mediated the relationship between the HPHRP and service innovative behaviour of the employees. It was also found that climate for innovation acted as a moderator in the relationship between organisational commitment and service innovative behaviour. The study also discusses the implications of the findings along with potential practical applications.","container-title":"International Journal of Hospitality Management","DOI":"10.1016/j.ijhm.2015.09.002","ISSN":"0278-4319","journalAbbreviation":"International Journal of Hospitality Management","page":"67-75","source":"ScienceDirect","title":"The effects of high performance human resource practices on service innovative behaviour","volume":"51","author":[{"family":"Dhar","given":"Rajib Lochan"}],"issued":{"date-parts":[["2015",10,1]]}}}],"schema":"https://github.com/citation-style-language/schema/raw/master/csl-citation.json"}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cs="Times New Roman"/>
          <w:sz w:val="24"/>
          <w:szCs w:val="24"/>
          <w:lang w:val="en-GB"/>
        </w:rPr>
        <w:t>(Kehoe and Wright, 2013; Dhar, 2015)</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Meanwhile, knowledge sharing has not yet been proposed as a mediating variable</w:t>
      </w:r>
      <w:r w:rsidR="007747C6" w:rsidRPr="00270BA8">
        <w:rPr>
          <w:rFonts w:ascii="Garamond" w:hAnsi="Garamond" w:cs="Times New Roman"/>
          <w:sz w:val="24"/>
          <w:szCs w:val="24"/>
          <w:lang w:val="en-GB"/>
        </w:rPr>
        <w:t>. However, it has been found from previous studies that if employees can effectively perceive HRM initiatives, they can communicate smoothly with colleagues and leaders and thus take the initiative to share knowledge. I</w:t>
      </w:r>
      <w:r w:rsidRPr="00270BA8">
        <w:rPr>
          <w:rFonts w:ascii="Garamond" w:hAnsi="Garamond" w:cs="Times New Roman"/>
          <w:sz w:val="24"/>
          <w:szCs w:val="24"/>
          <w:lang w:val="en-GB"/>
        </w:rPr>
        <w:t>t has also been found that in the process of knowledge sharing, the individual</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s knowledge is transmitted widely and exchanged with each other in the organisation, which increases the accumulation of knowledge by the individual employee, thus provid</w:t>
      </w:r>
      <w:r w:rsidR="007747C6" w:rsidRPr="00270BA8">
        <w:rPr>
          <w:rFonts w:ascii="Garamond" w:hAnsi="Garamond" w:cs="Times New Roman"/>
          <w:sz w:val="24"/>
          <w:szCs w:val="24"/>
          <w:lang w:val="en-GB"/>
        </w:rPr>
        <w:t>ing</w:t>
      </w:r>
      <w:r w:rsidRPr="00270BA8">
        <w:rPr>
          <w:rFonts w:ascii="Garamond" w:hAnsi="Garamond" w:cs="Times New Roman"/>
          <w:sz w:val="24"/>
          <w:szCs w:val="24"/>
          <w:lang w:val="en-GB"/>
        </w:rPr>
        <w:t xml:space="preserve"> conditions for innovative activities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{"citationID":"GZyr2fmK","properties":{"formattedCitation":"(Kama\\uc0\\u351{}ak and Bulutlar, 2010; Hurmelinna\\uc0\\u8208{}Laukkanen, 2011)","plainCitation":"(Kamaşak and Bulutlar, 2010; Hurmelinna</w:instrText>
      </w:r>
      <w:r w:rsidRPr="00270BA8">
        <w:rPr>
          <w:rFonts w:ascii="Cambria Math" w:hAnsi="Cambria Math" w:cs="Cambria Math"/>
          <w:sz w:val="24"/>
          <w:szCs w:val="24"/>
          <w:lang w:val="en-GB"/>
        </w:rPr>
        <w:instrText>‐</w:instrText>
      </w:r>
      <w:r w:rsidRPr="00270BA8">
        <w:rPr>
          <w:rFonts w:ascii="Garamond" w:hAnsi="Garamond" w:cs="Times New Roman"/>
          <w:sz w:val="24"/>
          <w:szCs w:val="24"/>
          <w:lang w:val="en-GB"/>
        </w:rPr>
        <w:instrText>Laukkanen, 2011)","dontUpdate":true,"noteIndex":0},"citationItems":[{"id":"MRBxNWYl/FzotssBG","uris":["http://zotero.org/users/10703570/items/TF75FSYE"],"itemData":{"id":3879,"type":"article-journal","abstract":"Purpose – The purpose of this paper is to explore the effects of knowledge sharing on innovation. Two forms of knowledge sharing are examined, knowledge donating and knowledge collecting. In particular, the effects of knowledge donating and collecting on ambidexterity in organizations are also studied, with ambidexterity defined as the simultaneous achievement of exploratory and exploitative innovation. Design/methodology/approach – Primary data are collected via a questionnaire designed to measure the relationship between knowledge sharing and innovation. Data which were collected from 246 middle and top</w:instrText>
      </w:r>
      <w:r w:rsidRPr="00270BA8">
        <w:rPr>
          <w:rFonts w:ascii="Cambria Math" w:hAnsi="Cambria Math" w:cs="Cambria Math"/>
          <w:sz w:val="24"/>
          <w:szCs w:val="24"/>
          <w:lang w:val="en-GB"/>
        </w:rPr>
        <w:instrText>‐</w:instrText>
      </w:r>
      <w:r w:rsidRPr="00270BA8">
        <w:rPr>
          <w:rFonts w:ascii="Garamond" w:hAnsi="Garamond" w:cs="Times New Roman"/>
          <w:sz w:val="24"/>
          <w:szCs w:val="24"/>
          <w:lang w:val="en-GB"/>
        </w:rPr>
        <w:instrText xml:space="preserve">level managers in Turkey was explored by multiple regression analysis. Findings </w:instrText>
      </w:r>
      <w:r w:rsidRPr="00270BA8">
        <w:rPr>
          <w:rFonts w:ascii="Garamond" w:hAnsi="Garamond" w:cs="Garamond"/>
          <w:sz w:val="24"/>
          <w:szCs w:val="24"/>
          <w:lang w:val="en-GB"/>
        </w:rPr>
        <w:instrText>–</w:instrText>
      </w:r>
      <w:r w:rsidRPr="00270BA8">
        <w:rPr>
          <w:rFonts w:ascii="Garamond" w:hAnsi="Garamond" w:cs="Times New Roman"/>
          <w:sz w:val="24"/>
          <w:szCs w:val="24"/>
          <w:lang w:val="en-GB"/>
        </w:rPr>
        <w:instrText xml:space="preserve"> The results showed that knowledge collecting had a significant effect on all types of innovation and ambidexterity, whereas knowledge donating, involving donating inside and outside the group, did not have any effect on exploratory innovation. It was also observed that in</w:instrText>
      </w:r>
      <w:r w:rsidRPr="00270BA8">
        <w:rPr>
          <w:rFonts w:ascii="Cambria Math" w:hAnsi="Cambria Math" w:cs="Cambria Math"/>
          <w:sz w:val="24"/>
          <w:szCs w:val="24"/>
          <w:lang w:val="en-GB"/>
        </w:rPr>
        <w:instrText>‐</w:instrText>
      </w:r>
      <w:r w:rsidRPr="00270BA8">
        <w:rPr>
          <w:rFonts w:ascii="Garamond" w:hAnsi="Garamond" w:cs="Times New Roman"/>
          <w:sz w:val="24"/>
          <w:szCs w:val="24"/>
          <w:lang w:val="en-GB"/>
        </w:rPr>
        <w:instrText xml:space="preserve">group knowledge donating affected both exploitative innovation and ambidexterity. Research limitations/implications </w:instrText>
      </w:r>
      <w:r w:rsidRPr="00270BA8">
        <w:rPr>
          <w:rFonts w:ascii="Garamond" w:hAnsi="Garamond" w:cs="Garamond"/>
          <w:sz w:val="24"/>
          <w:szCs w:val="24"/>
          <w:lang w:val="en-GB"/>
        </w:rPr>
        <w:instrText>–</w:instrText>
      </w:r>
      <w:r w:rsidRPr="00270BA8">
        <w:rPr>
          <w:rFonts w:ascii="Garamond" w:hAnsi="Garamond" w:cs="Times New Roman"/>
          <w:sz w:val="24"/>
          <w:szCs w:val="24"/>
          <w:lang w:val="en-GB"/>
        </w:rPr>
        <w:instrText xml:space="preserve"> This paper is limited to Turkish managers. Hence, impact of culture should be considered in future studies. It is advised that future research should be designed for different countries in order to conduct a comparative study. Practical implications – These results provide some information that is useful to decision makers and managers who are in charge of directing innovation strategies in organizations. The study also emphasizes the importance of effective knowledge management that can improve innovativeness in the organizations. Originality/value – Studies comprising the relationship between knowledge sharing and innovation types are not abundant in the academic literature. So, the paper provides practical information to a relatively unexplored area.","container-title":"European Business Review","DOI":"10.1108/09555341011040994","ISSN":"0955-534X","issue":"3","note":"publisher: Emerald Group Publishing Limited","page":"306-317","source":"Emerald Insight","title":"The influence of knowledge sharing on innovation","volume":"22","author":[{"family":"Kamaşak","given":"Rıfat"},{"family":"Bulutlar","given":"Füsun"}],"issued":{"date-parts":[["2010",1,1]]}}},{"id":"MRBxNWYl/EyhAHHsU","uris":["http://zotero.org/users/10703570/items/GA2FFW5V"],"itemData":{"id":3881,"type":"article-journal","abstract":"Purpose – Collaboration for research and development (R&amp;D) and innovation among various organizations can be beneficial and in some cases even imperative, but in order to realise the potential, effective management is required. Effective innovation requires firms to share their core knowledge, and simultaneously make sure that they will not lose their core knowledge and future competitive advantage. In line with this, this study aims to clarify the role of knowledge protection in relation to collaborative innovation endeavours. Design/methodology/approach – This study approaches the knowledge protection and knowledge sharing issues through a literature review and subsequent empirical analysis of 242 Finnish companies. Findings – The results indicate that when a firm has put effort in getting strong protection at its disposal, sharing knowledge with varying partners is more likely, which, in turn, improves innovation performance of the firm. It is not just about the strength of protection, but also – and even more importantly – using it efficiently that counts. Research limitations/implications – The data are collected from one country only, with its specific features, and thus further research might reveal more on the studied phenomenon. Also utilising more detailed measures might reveal more. Practical implications – This study augments both theoretical and managerial perspectives as it discusses a variety of protection mechanisms. In particular, it offers managers a new way of approaching the means of knowledge protection for innovation</w:instrText>
      </w:r>
      <w:r w:rsidRPr="00270BA8">
        <w:rPr>
          <w:rFonts w:ascii="Cambria Math" w:hAnsi="Cambria Math" w:cs="Cambria Math"/>
          <w:sz w:val="24"/>
          <w:szCs w:val="24"/>
          <w:lang w:val="en-GB"/>
        </w:rPr>
        <w:instrText>‐</w:instrText>
      </w:r>
      <w:r w:rsidRPr="00270BA8">
        <w:rPr>
          <w:rFonts w:ascii="Garamond" w:hAnsi="Garamond" w:cs="Times New Roman"/>
          <w:sz w:val="24"/>
          <w:szCs w:val="24"/>
          <w:lang w:val="en-GB"/>
        </w:rPr>
        <w:instrText xml:space="preserve">related collaboration. Originality/value </w:instrText>
      </w:r>
      <w:r w:rsidRPr="00270BA8">
        <w:rPr>
          <w:rFonts w:ascii="Garamond" w:hAnsi="Garamond" w:cs="Garamond"/>
          <w:sz w:val="24"/>
          <w:szCs w:val="24"/>
          <w:lang w:val="en-GB"/>
        </w:rPr>
        <w:instrText>–</w:instrText>
      </w:r>
      <w:r w:rsidRPr="00270BA8">
        <w:rPr>
          <w:rFonts w:ascii="Garamond" w:hAnsi="Garamond" w:cs="Times New Roman"/>
          <w:sz w:val="24"/>
          <w:szCs w:val="24"/>
          <w:lang w:val="en-GB"/>
        </w:rPr>
        <w:instrText xml:space="preserve"> This study shows that a wide range of knowledge protection mechanisms can be relied on, and that strategic use of these mechanisms improves knowledge sharing and innovation performance.","container-title":"European Journal of Innovation Management","DOI":"10.1108/14601061111148816","ISSN":"1460-1060","issue":"3","note":"publisher: Emerald Group Publishing Limited","page":"303-321","source":"Emerald Insight","title":"Enabling collaborative innovation – knowledge protection for knowledge sharing","volume":"14","author":[{"family":"Hurmelinna</w:instrText>
      </w:r>
      <w:r w:rsidRPr="00270BA8">
        <w:rPr>
          <w:rFonts w:ascii="Cambria Math" w:hAnsi="Cambria Math" w:cs="Cambria Math"/>
          <w:sz w:val="24"/>
          <w:szCs w:val="24"/>
          <w:lang w:val="en-GB"/>
        </w:rPr>
        <w:instrText>‐</w:instrText>
      </w:r>
      <w:r w:rsidRPr="00270BA8">
        <w:rPr>
          <w:rFonts w:ascii="Garamond" w:hAnsi="Garamond" w:cs="Times New Roman"/>
          <w:sz w:val="24"/>
          <w:szCs w:val="24"/>
          <w:lang w:val="en-GB"/>
        </w:rPr>
        <w:instrText xml:space="preserve">Laukkanen","given":"Pia"}],"issued":{"date-parts":[["2011",1,1]]}}}],"schema":"https://github.com/citation-style-language/schema/raw/master/csl-citation.json"}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cs="Times New Roman"/>
          <w:sz w:val="24"/>
          <w:szCs w:val="24"/>
          <w:lang w:val="en-GB"/>
        </w:rPr>
        <w:t>(Kamaşak and Bulutlar, 2010; Hurmelinna-Laukkanen, 2011)</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These also provide the conditions for knowledge sharing to be proposed as a mediating variable. </w:t>
      </w:r>
    </w:p>
    <w:p w14:paraId="3B0BA21E" w14:textId="6E401384" w:rsidR="00220707" w:rsidRPr="00270BA8" w:rsidRDefault="0018269A"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On this basis, the main research objective of this paper is to explore the mechanism by which HRM </w:t>
      </w:r>
      <w:r w:rsidR="00CB1092" w:rsidRPr="00270BA8">
        <w:rPr>
          <w:rFonts w:ascii="Garamond" w:hAnsi="Garamond" w:cs="Times New Roman"/>
          <w:sz w:val="24"/>
          <w:szCs w:val="24"/>
          <w:lang w:val="en-GB"/>
        </w:rPr>
        <w:t>strengths</w:t>
      </w:r>
      <w:r w:rsidRPr="00270BA8">
        <w:rPr>
          <w:rFonts w:ascii="Garamond" w:hAnsi="Garamond" w:cs="Times New Roman"/>
          <w:sz w:val="24"/>
          <w:szCs w:val="24"/>
          <w:lang w:val="en-GB"/>
        </w:rPr>
        <w:t xml:space="preserve"> </w:t>
      </w:r>
      <w:r w:rsidR="00CB1092" w:rsidRPr="00270BA8">
        <w:rPr>
          <w:rFonts w:ascii="Garamond" w:hAnsi="Garamond" w:cs="Times New Roman"/>
          <w:sz w:val="24"/>
          <w:szCs w:val="24"/>
          <w:lang w:val="en-GB"/>
        </w:rPr>
        <w:t>affect</w:t>
      </w:r>
      <w:r w:rsidRPr="00270BA8">
        <w:rPr>
          <w:rFonts w:ascii="Garamond" w:hAnsi="Garamond" w:cs="Times New Roman"/>
          <w:sz w:val="24"/>
          <w:szCs w:val="24"/>
          <w:lang w:val="en-GB"/>
        </w:rPr>
        <w:t xml:space="preserve">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innovative behaviour from a process perspective and to </w:t>
      </w:r>
      <w:r w:rsidR="007747C6" w:rsidRPr="00270BA8">
        <w:rPr>
          <w:rFonts w:ascii="Garamond" w:hAnsi="Garamond" w:cs="Times New Roman"/>
          <w:sz w:val="24"/>
          <w:szCs w:val="24"/>
          <w:lang w:val="en-GB"/>
        </w:rPr>
        <w:t>explore further</w:t>
      </w:r>
      <w:r w:rsidRPr="00270BA8">
        <w:rPr>
          <w:rFonts w:ascii="Garamond" w:hAnsi="Garamond" w:cs="Times New Roman"/>
          <w:sz w:val="24"/>
          <w:szCs w:val="24"/>
          <w:lang w:val="en-GB"/>
        </w:rPr>
        <w:t xml:space="preserve"> the boundary conditions that may contribute to this mechanism. Specifically, this paper will </w:t>
      </w:r>
      <w:r w:rsidR="008D7010" w:rsidRPr="00270BA8">
        <w:rPr>
          <w:rFonts w:ascii="Garamond" w:hAnsi="Garamond" w:cs="Times New Roman"/>
          <w:sz w:val="24"/>
          <w:szCs w:val="24"/>
          <w:lang w:val="en-GB"/>
        </w:rPr>
        <w:t>first</w:t>
      </w:r>
      <w:r w:rsidRPr="00270BA8">
        <w:rPr>
          <w:rFonts w:ascii="Garamond" w:hAnsi="Garamond" w:cs="Times New Roman"/>
          <w:sz w:val="24"/>
          <w:szCs w:val="24"/>
          <w:lang w:val="en-GB"/>
        </w:rPr>
        <w:t xml:space="preserve"> analyse the main effect of HRM </w:t>
      </w:r>
      <w:r w:rsidR="00245439" w:rsidRPr="00270BA8">
        <w:rPr>
          <w:rFonts w:ascii="Garamond" w:hAnsi="Garamond" w:cs="Times New Roman"/>
          <w:sz w:val="24"/>
          <w:szCs w:val="24"/>
          <w:lang w:val="en-GB"/>
        </w:rPr>
        <w:t>strengths</w:t>
      </w:r>
      <w:r w:rsidRPr="00270BA8">
        <w:rPr>
          <w:rFonts w:ascii="Garamond" w:hAnsi="Garamond" w:cs="Times New Roman"/>
          <w:sz w:val="24"/>
          <w:szCs w:val="24"/>
          <w:lang w:val="en-GB"/>
        </w:rPr>
        <w:t xml:space="preserve"> in influencing members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innovative activities in </w:t>
      </w:r>
      <w:r w:rsidR="00245439" w:rsidRPr="00270BA8">
        <w:rPr>
          <w:rFonts w:ascii="Garamond" w:hAnsi="Garamond" w:cs="Times New Roman"/>
          <w:sz w:val="24"/>
          <w:szCs w:val="24"/>
          <w:lang w:val="en-GB"/>
        </w:rPr>
        <w:t xml:space="preserve">Chinese </w:t>
      </w:r>
      <w:r w:rsidR="008D7010" w:rsidRPr="00270BA8">
        <w:rPr>
          <w:rFonts w:ascii="Garamond" w:hAnsi="Garamond" w:cs="Times New Roman"/>
          <w:sz w:val="24"/>
          <w:szCs w:val="24"/>
          <w:lang w:val="en-GB"/>
        </w:rPr>
        <w:t>biopharmaceutical</w:t>
      </w:r>
      <w:r w:rsidR="00245439" w:rsidRPr="00270BA8">
        <w:rPr>
          <w:rFonts w:ascii="Garamond" w:hAnsi="Garamond" w:cs="Times New Roman"/>
          <w:sz w:val="24"/>
          <w:szCs w:val="24"/>
          <w:lang w:val="en-GB"/>
        </w:rPr>
        <w:t xml:space="preserve"> </w:t>
      </w:r>
      <w:r w:rsidRPr="00270BA8">
        <w:rPr>
          <w:rFonts w:ascii="Garamond" w:hAnsi="Garamond" w:cs="Times New Roman"/>
          <w:sz w:val="24"/>
          <w:szCs w:val="24"/>
          <w:lang w:val="en-GB"/>
        </w:rPr>
        <w:t xml:space="preserve">organisations based on attribution theory and attempt to introduce a mediating variable, knowledge sharing, to elucidate its intermediate mechanism from a social exchange perspective. Given that HRM </w:t>
      </w:r>
      <w:r w:rsidR="008D7010" w:rsidRPr="00270BA8">
        <w:rPr>
          <w:rFonts w:ascii="Garamond" w:hAnsi="Garamond" w:cs="Times New Roman"/>
          <w:sz w:val="24"/>
          <w:szCs w:val="24"/>
          <w:lang w:val="en-GB"/>
        </w:rPr>
        <w:t>strength is</w:t>
      </w:r>
      <w:r w:rsidRPr="00270BA8">
        <w:rPr>
          <w:rFonts w:ascii="Garamond" w:hAnsi="Garamond" w:cs="Times New Roman"/>
          <w:sz w:val="24"/>
          <w:szCs w:val="24"/>
          <w:lang w:val="en-GB"/>
        </w:rPr>
        <w:t xml:space="preserve"> still being explored and knowledge sharing has not yet been proposed as a mediating variable between the two, this paper will help to clarify the mechanism and broaden the understanding of the relationship between HRM </w:t>
      </w:r>
      <w:r w:rsidR="008D7010" w:rsidRPr="00270BA8">
        <w:rPr>
          <w:rFonts w:ascii="Garamond" w:hAnsi="Garamond" w:cs="Times New Roman"/>
          <w:sz w:val="24"/>
          <w:szCs w:val="24"/>
          <w:lang w:val="en-GB"/>
        </w:rPr>
        <w:t>strength</w:t>
      </w:r>
      <w:r w:rsidRPr="00270BA8">
        <w:rPr>
          <w:rFonts w:ascii="Garamond" w:hAnsi="Garamond" w:cs="Times New Roman"/>
          <w:sz w:val="24"/>
          <w:szCs w:val="24"/>
          <w:lang w:val="en-GB"/>
        </w:rPr>
        <w:t xml:space="preserve"> and </w:t>
      </w:r>
      <w:r w:rsidR="008D7010" w:rsidRPr="00270BA8">
        <w:rPr>
          <w:rFonts w:ascii="Garamond" w:hAnsi="Garamond" w:cs="Times New Roman"/>
          <w:sz w:val="24"/>
          <w:szCs w:val="24"/>
          <w:lang w:val="en-GB"/>
        </w:rPr>
        <w:t>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innovative activities</w:t>
      </w:r>
      <w:r w:rsidR="008D7010" w:rsidRPr="00270BA8">
        <w:rPr>
          <w:rFonts w:ascii="Garamond" w:hAnsi="Garamond" w:cs="Times New Roman"/>
          <w:sz w:val="24"/>
          <w:szCs w:val="24"/>
          <w:lang w:val="en-GB"/>
        </w:rPr>
        <w:t xml:space="preserve"> in the biopharmaceutical industry</w:t>
      </w:r>
      <w:r w:rsidRPr="00270BA8">
        <w:rPr>
          <w:rFonts w:ascii="Garamond" w:hAnsi="Garamond" w:cs="Times New Roman"/>
          <w:sz w:val="24"/>
          <w:szCs w:val="24"/>
          <w:lang w:val="en-GB"/>
        </w:rPr>
        <w:t>.</w:t>
      </w:r>
    </w:p>
    <w:p w14:paraId="44564CE8" w14:textId="77777777" w:rsidR="0095589C" w:rsidRPr="00270BA8" w:rsidRDefault="0095589C" w:rsidP="00270BA8">
      <w:pPr>
        <w:spacing w:before="120" w:after="360" w:line="360" w:lineRule="auto"/>
        <w:jc w:val="both"/>
        <w:rPr>
          <w:rFonts w:ascii="Garamond" w:hAnsi="Garamond" w:cs="Times New Roman"/>
          <w:sz w:val="24"/>
          <w:szCs w:val="24"/>
          <w:lang w:val="en-GB"/>
        </w:rPr>
      </w:pPr>
    </w:p>
    <w:p w14:paraId="585F012F" w14:textId="77777777" w:rsidR="0095589C" w:rsidRPr="00270BA8" w:rsidRDefault="0095589C" w:rsidP="00270BA8">
      <w:pPr>
        <w:spacing w:before="120" w:after="360" w:line="360" w:lineRule="auto"/>
        <w:jc w:val="both"/>
        <w:rPr>
          <w:rFonts w:ascii="Garamond" w:hAnsi="Garamond" w:cs="Times New Roman"/>
          <w:sz w:val="24"/>
          <w:szCs w:val="24"/>
          <w:lang w:val="en-GB"/>
        </w:rPr>
      </w:pPr>
    </w:p>
    <w:p w14:paraId="2D4B4083" w14:textId="77777777" w:rsidR="0095589C" w:rsidRPr="00270BA8" w:rsidRDefault="0095589C" w:rsidP="00270BA8">
      <w:pPr>
        <w:spacing w:before="120" w:after="360" w:line="360" w:lineRule="auto"/>
        <w:jc w:val="both"/>
        <w:rPr>
          <w:rFonts w:ascii="Garamond" w:hAnsi="Garamond" w:cs="Times New Roman"/>
          <w:sz w:val="24"/>
          <w:szCs w:val="24"/>
          <w:lang w:val="en-GB"/>
        </w:rPr>
      </w:pPr>
    </w:p>
    <w:p w14:paraId="3B0FDCE7" w14:textId="6A9A66C0" w:rsidR="0095589C" w:rsidRPr="00270BA8" w:rsidRDefault="007747C6" w:rsidP="00270BA8">
      <w:pPr>
        <w:spacing w:before="120" w:after="360" w:line="360" w:lineRule="auto"/>
        <w:rPr>
          <w:rFonts w:ascii="Garamond" w:hAnsi="Garamond" w:cs="Times New Roman"/>
          <w:sz w:val="24"/>
          <w:szCs w:val="24"/>
          <w:lang w:val="en-GB"/>
        </w:rPr>
      </w:pPr>
      <w:r w:rsidRPr="00270BA8">
        <w:rPr>
          <w:rFonts w:ascii="Garamond" w:hAnsi="Garamond" w:cs="Times New Roman"/>
          <w:sz w:val="24"/>
          <w:szCs w:val="24"/>
          <w:lang w:val="en-GB"/>
        </w:rPr>
        <w:br w:type="page"/>
      </w:r>
    </w:p>
    <w:p w14:paraId="43240983" w14:textId="6AE264F6" w:rsidR="00EC5EFF" w:rsidRPr="00270BA8" w:rsidRDefault="00EC5EFF" w:rsidP="00270BA8">
      <w:pPr>
        <w:pStyle w:val="1"/>
        <w:numPr>
          <w:ilvl w:val="0"/>
          <w:numId w:val="2"/>
        </w:numPr>
        <w:spacing w:before="120" w:after="360" w:line="360" w:lineRule="auto"/>
        <w:jc w:val="both"/>
        <w:rPr>
          <w:rFonts w:ascii="Garamond" w:hAnsi="Garamond" w:cs="Times New Roman"/>
          <w:lang w:val="en-GB"/>
        </w:rPr>
      </w:pPr>
      <w:bookmarkStart w:id="8" w:name="_Toc164360742"/>
      <w:bookmarkStart w:id="9" w:name="_Toc171702278"/>
      <w:r w:rsidRPr="00270BA8">
        <w:rPr>
          <w:rFonts w:ascii="Garamond" w:hAnsi="Garamond" w:cs="Times New Roman"/>
          <w:lang w:val="en-GB"/>
        </w:rPr>
        <w:lastRenderedPageBreak/>
        <w:t xml:space="preserve">Literature </w:t>
      </w:r>
      <w:r w:rsidR="00270BA8">
        <w:rPr>
          <w:rFonts w:ascii="Garamond" w:hAnsi="Garamond" w:cs="Times New Roman" w:hint="eastAsia"/>
          <w:lang w:val="en-GB"/>
        </w:rPr>
        <w:t>r</w:t>
      </w:r>
      <w:r w:rsidRPr="00270BA8">
        <w:rPr>
          <w:rFonts w:ascii="Garamond" w:hAnsi="Garamond" w:cs="Times New Roman"/>
          <w:lang w:val="en-GB"/>
        </w:rPr>
        <w:t>eview</w:t>
      </w:r>
      <w:bookmarkEnd w:id="8"/>
      <w:bookmarkEnd w:id="9"/>
      <w:r w:rsidRPr="00270BA8">
        <w:rPr>
          <w:rFonts w:ascii="Garamond" w:hAnsi="Garamond" w:cs="Times New Roman"/>
          <w:lang w:val="en-GB"/>
        </w:rPr>
        <w:t xml:space="preserve"> </w:t>
      </w:r>
    </w:p>
    <w:p w14:paraId="10FCDFA2" w14:textId="5E935293" w:rsidR="00EC5EFF" w:rsidRPr="00270BA8" w:rsidRDefault="00EC5EFF" w:rsidP="00270BA8">
      <w:pPr>
        <w:pStyle w:val="2"/>
        <w:spacing w:before="120" w:after="360" w:line="360" w:lineRule="auto"/>
        <w:rPr>
          <w:rFonts w:ascii="Garamond" w:hAnsi="Garamond"/>
        </w:rPr>
      </w:pPr>
      <w:bookmarkStart w:id="10" w:name="_Toc164360743"/>
      <w:bookmarkStart w:id="11" w:name="_Toc171702279"/>
      <w:r w:rsidRPr="00270BA8">
        <w:rPr>
          <w:rFonts w:ascii="Garamond" w:hAnsi="Garamond"/>
        </w:rPr>
        <w:t xml:space="preserve">2.1 </w:t>
      </w:r>
      <w:r w:rsidR="007747C6" w:rsidRPr="00270BA8">
        <w:rPr>
          <w:rFonts w:ascii="Garamond" w:hAnsi="Garamond"/>
        </w:rPr>
        <w:t xml:space="preserve">The </w:t>
      </w:r>
      <w:r w:rsidR="00270BA8">
        <w:rPr>
          <w:rFonts w:ascii="Garamond" w:hAnsi="Garamond" w:hint="eastAsia"/>
        </w:rPr>
        <w:t>c</w:t>
      </w:r>
      <w:r w:rsidRPr="00270BA8">
        <w:rPr>
          <w:rFonts w:ascii="Garamond" w:hAnsi="Garamond"/>
        </w:rPr>
        <w:t>onceptuali</w:t>
      </w:r>
      <w:r w:rsidR="007747C6" w:rsidRPr="00270BA8">
        <w:rPr>
          <w:rFonts w:ascii="Garamond" w:hAnsi="Garamond"/>
        </w:rPr>
        <w:t>s</w:t>
      </w:r>
      <w:r w:rsidRPr="00270BA8">
        <w:rPr>
          <w:rFonts w:ascii="Garamond" w:hAnsi="Garamond"/>
        </w:rPr>
        <w:t xml:space="preserve">ation of </w:t>
      </w:r>
      <w:bookmarkStart w:id="12" w:name="_Toc164360744"/>
      <w:bookmarkEnd w:id="10"/>
      <w:r w:rsidR="00681DE4" w:rsidRPr="00270BA8">
        <w:rPr>
          <w:rFonts w:ascii="Garamond" w:hAnsi="Garamond"/>
        </w:rPr>
        <w:t>HRM</w:t>
      </w:r>
      <w:r w:rsidRPr="00270BA8">
        <w:rPr>
          <w:rFonts w:ascii="Garamond" w:hAnsi="Garamond"/>
        </w:rPr>
        <w:t xml:space="preserve"> </w:t>
      </w:r>
      <w:r w:rsidR="00270BA8">
        <w:rPr>
          <w:rFonts w:ascii="Garamond" w:hAnsi="Garamond" w:hint="eastAsia"/>
        </w:rPr>
        <w:t>s</w:t>
      </w:r>
      <w:r w:rsidR="008D7010" w:rsidRPr="00270BA8">
        <w:rPr>
          <w:rFonts w:ascii="Garamond" w:hAnsi="Garamond"/>
        </w:rPr>
        <w:t>trength</w:t>
      </w:r>
      <w:bookmarkEnd w:id="11"/>
      <w:bookmarkEnd w:id="12"/>
    </w:p>
    <w:p w14:paraId="16B933D7" w14:textId="62AD665E" w:rsidR="00681DE4" w:rsidRPr="00270BA8" w:rsidRDefault="00270BA8" w:rsidP="00270BA8">
      <w:pPr>
        <w:spacing w:before="120" w:after="360" w:line="360" w:lineRule="auto"/>
        <w:jc w:val="both"/>
        <w:rPr>
          <w:rFonts w:ascii="Garamond" w:hAnsi="Garamond" w:cs="Times New Roman"/>
          <w:sz w:val="24"/>
          <w:szCs w:val="24"/>
          <w:lang w:val="en-GB"/>
        </w:rPr>
      </w:pPr>
      <w:r>
        <w:rPr>
          <w:rFonts w:ascii="Garamond" w:hAnsi="Garamond" w:cs="Times New Roman"/>
          <w:sz w:val="24"/>
          <w:szCs w:val="24"/>
          <w:lang w:val="en-GB"/>
        </w:rPr>
        <w:t>Scholars have widely studied the relationship between HRM and organisational performance</w:t>
      </w:r>
      <w:r w:rsidR="00681DE4" w:rsidRPr="00270BA8">
        <w:rPr>
          <w:rFonts w:ascii="Garamond" w:hAnsi="Garamond" w:cs="Times New Roman"/>
          <w:sz w:val="24"/>
          <w:szCs w:val="24"/>
          <w:lang w:val="en-GB"/>
        </w:rPr>
        <w:t xml:space="preserve"> in the last decades. However, due to the lack of in-depth analysis of the inher</w:t>
      </w:r>
      <w:r w:rsidR="00222527" w:rsidRPr="00270BA8">
        <w:rPr>
          <w:rFonts w:ascii="Garamond" w:hAnsi="Garamond" w:cs="Times New Roman"/>
          <w:sz w:val="24"/>
          <w:szCs w:val="24"/>
          <w:lang w:val="en-GB"/>
        </w:rPr>
        <w:t>en</w:t>
      </w:r>
      <w:r w:rsidR="00681DE4" w:rsidRPr="00270BA8">
        <w:rPr>
          <w:rFonts w:ascii="Garamond" w:hAnsi="Garamond" w:cs="Times New Roman"/>
          <w:sz w:val="24"/>
          <w:szCs w:val="24"/>
          <w:lang w:val="en-GB"/>
        </w:rPr>
        <w:t>t mechanisms that moderate the rela</w:t>
      </w:r>
      <w:r w:rsidR="00222527" w:rsidRPr="00270BA8">
        <w:rPr>
          <w:rFonts w:ascii="Garamond" w:hAnsi="Garamond" w:cs="Times New Roman"/>
          <w:sz w:val="24"/>
          <w:szCs w:val="24"/>
          <w:lang w:val="en-GB"/>
        </w:rPr>
        <w:t>ti</w:t>
      </w:r>
      <w:r w:rsidR="00681DE4" w:rsidRPr="00270BA8">
        <w:rPr>
          <w:rFonts w:ascii="Garamond" w:hAnsi="Garamond" w:cs="Times New Roman"/>
          <w:sz w:val="24"/>
          <w:szCs w:val="24"/>
          <w:lang w:val="en-GB"/>
        </w:rPr>
        <w:t>onship betwee</w:t>
      </w:r>
      <w:r w:rsidR="00222527" w:rsidRPr="00270BA8">
        <w:rPr>
          <w:rFonts w:ascii="Garamond" w:hAnsi="Garamond" w:cs="Times New Roman"/>
          <w:sz w:val="24"/>
          <w:szCs w:val="24"/>
          <w:lang w:val="en-GB"/>
        </w:rPr>
        <w:t>n</w:t>
      </w:r>
      <w:r w:rsidR="00681DE4" w:rsidRPr="00270BA8">
        <w:rPr>
          <w:rFonts w:ascii="Garamond" w:hAnsi="Garamond" w:cs="Times New Roman"/>
          <w:sz w:val="24"/>
          <w:szCs w:val="24"/>
          <w:lang w:val="en-GB"/>
        </w:rPr>
        <w:t xml:space="preserve"> HRM and organi</w:t>
      </w:r>
      <w:r w:rsidR="007747C6" w:rsidRPr="00270BA8">
        <w:rPr>
          <w:rFonts w:ascii="Garamond" w:hAnsi="Garamond" w:cs="Times New Roman"/>
          <w:sz w:val="24"/>
          <w:szCs w:val="24"/>
          <w:lang w:val="en-GB"/>
        </w:rPr>
        <w:t>s</w:t>
      </w:r>
      <w:r w:rsidR="00681DE4" w:rsidRPr="00270BA8">
        <w:rPr>
          <w:rFonts w:ascii="Garamond" w:hAnsi="Garamond" w:cs="Times New Roman"/>
          <w:sz w:val="24"/>
          <w:szCs w:val="24"/>
          <w:lang w:val="en-GB"/>
        </w:rPr>
        <w:t xml:space="preserve">ational performance, research findings are inconsistent and even opposite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{"citationID":"IwnTI0KS","properties":{"formattedCitation":"(Wood, 1999; Akdere and Egan, 2020; Ho and Kuvaas, 2020; Anwar and Abdullah, 2021)","plainCitation":"(Wood, 1999; Akdere and Egan, 2020; Ho and Kuvaas, 2020; Anwar and Abdullah, 2021)","noteIndex":0},"citationItems":[{"id":"MRBxNWYl/Z9Vf7RCJ","uris":["http://zotero.org/users/10703570/items/CDF65E2P"],"itemData":{"id":3890,"type":"article-journal","abstract":"The study of human resource management (HRM) has been invigorated by the promise that there is a best-practice, high-involvement management (HIM) that can guarantee superior organizational performance. None the less, there remain concerns that contingency theory still rules, that is, that the fit between the human resource systems and their context, and particularly the organization's business strategy, is all important and, thus, that HIM will only outperform other systems in certain circumstances. In the 1990s, there has been a spate of research that has sought to test whether HIM is indeed universally relevant. This paper reviews these studies. The paper first introduces the conceptual dimensions of the debate concerning HRM and performance. This shows that the issues go beyond a simple competition between universalism and contingency theory. There are more complicated hypotheses linking human resource practices beneath the surface of the recent literature. The second part of the paper overviews the studies in the light of these hypotheses, revealing that they present an uneven picture. Firstly, there are conceptual differences underlying the studies and, secondly, the results vary between them, and the effects of HIM vary between performance measures even in particular studies. Though a fair number of the studies claim to support universalism, their claims are not always unequivocally supported by their research evidence, and it is premature to conclude in its favour. If anything, there is more support for the ‘lean production’ argument that stresses the interaction effect between HIM and total quality management on performance.","container-title":"International Journal of Management Reviews","DOI":"10.1111/1468-2370.00020","ISSN":"1468-2370","issue":"4","language":"en","note":"_eprint: https://onlinelibrary.wiley.com/doi/pdf/10.1111/1468-2370.00020","page":"367-413","source":"Wiley Online Library","title":"Human resource management and performance","volume":"1","author":[{"family":"Wood","given":"Stephen"}],"issued":{"date-parts":[["1999"]]}}},{"id":"MRBxNWYl/4ddhDZZS","uris":["http://zotero.org/users/10703570/items/4PAV2YGY"],"itemData":{"id":3894,"type":"article-journal","abstract":"This large-scale study (n = 5,349) explores a long-standing, but rarely validated value chain. Since the inception of human resource development (HRD), the intersection between top organizational leadership, HRD, and organizational performance outcomes has been emphasized by scholars and practitioners. Leadership has been highlighted as the key catalyst both in encouraging employee learning and performance and in formulating an HRD supportive culture toward key organizational outcomes. However, there is a dearth of empirical studies that have focused on the intersection of leadership, HRD, and organizational performance, and virtually no studies have systematically investigated specific leadership practices, such as transformational leadership (TL). We explore the intersection between TL, HRD, and organizational performance by engaging 3,474 employees and 1,875 customers from 69 healthcare locations in the United States. Ideally, transformational leaders encourage followers to enrich their knowledge, skills, and abilities in order to increase individual and shared learning to advance organizational performance. A major organizational support function toward such employee development is HRD and its core domains—learning and performance. Those organizations fostering excellence in learning and performance have been identified as having strong organizational HRD cultures. The study reported herein supported that TL behaviors aligned to support HRD culture through leader support of employee learning and performance in the US healthcare context. Organizational HRD culture was found to align with key positive employee and customer-reported performance outcomes. Implications for leadership and HRD research, theory, and practice are explicated.","container-title":"Human Resource Development Quarterly","DOI":"10.1002/hrdq.21404","ISSN":"1532-1096","issue":"4","language":"en","license":"© 2020 Wiley Periodicals LLC.","note":"_eprint: https://onlinelibrary.wiley.com/doi/pdf/10.1002/hrdq.21404","page":"393-421","source":"Wiley Online Library","title":"Transformational leadership and human resource development: Linking employee learning, job satisfaction, and organizational performance","title-short":"Transformational leadership and human resource development","volume":"31","author":[{"family":"Akdere","given":"Mesut"},{"family":"Egan","given":"Toby"}],"issued":{"date-parts":[["2020"]]}}},{"id":"MRBxNWYl/MHjFIYkx","uris":["http://zotero.org/users/10703570/items/BSPT8QNF"],"itemData":{"id":3893,"type":"article-journal","abstract":"In this study, we explored the additive, interactive, and nonlinear relationships among human resource management (HRM) systems, employee well-being, and firm performance. Based on a sample of 14,384 employees nested within 1,347 firms, we obtained three main findings. First, HRM systems yield a performance effect that exceeds the effect of single practice, suggesting positive synergies among HRM practices. Second, the opportunity bundle has a positive impact on firm performance, but when integrating it with skills and motivation bundles, the result becomes negative, indicating dis-synergy of interactions among HRM bundles. Third, at moderate levels of adoption, HRM practices are positively correlated with employee well-being and higher levels of commitment, job satisfaction, and management relations, as well as lower levels of anxiety. However, at high levels, the relationship is less positive and even turns negative with lower levels of job satisfaction and management relations. To close, we present research implications and future directions after discussing our results.","container-title":"Human Resource Management","DOI":"10.1002/hrm.21990","ISSN":"1099-050X","issue":"3","language":"en","license":"© 2019 Wiley Periodicals, Inc.","note":"_eprint: https://onlinelibrary.wiley.com/doi/pdf/10.1002/hrm.21990","page":"235-253","source":"Wiley Online Library","title":"Human resource management systems, employee well-being, and firm performance from the mutual gains and critical perspectives: The well-being paradox","title-short":"Human resource management systems, employee well-being, and firm performance from the mutual gains and critical perspectives","volume":"59","author":[{"family":"Ho","given":"Hoang"},{"family":"Kuvaas","given":"Bård"}],"issued":{"date-parts":[["2020"]]}}},{"id":"MRBxNWYl/8f6sHJUU","uris":["http://zotero.org/users/10703570/items/89ZNJTR9"],"itemData":{"id":3891,"type":"article","abstract":"The present research studies the impact of human resource management on the performance of government institutions. In a rapidly changing economic environment, characterized by trends such as, globalization, rising demands of investors and customers, along with increasing products in the market competition, the Government institutions continuously try to progress their performance by minimizing expenses, renewing products and procedures, and improving quality in order to compete and continue in the environment. A quantitative research method utilized to analyze the current study. The Sample Size selected for this study is 240 respondents. The findings revealed that all hypotheses were rejected except fifth hypothesis which stated that ‘’Decentralization is positively associated with organizational performance’’. Thus, it was concluded that decentralization have a positive association with the organizational performance.","event-place":"Rochester, NY","genre":"SSRN Scholarly Paper","language":"en","number":"3824689","publisher-place":"Rochester, NY","source":"Social Science Research Network","title":"The Impact of Human Resource Management Practice on Organizational Performance","URL":"https://papers.ssrn.com/abstract=3824689","author":[{"family":"Anwar","given":"Govand"},{"family":"Abdullah","given":"Nabaz Nawzad"}],"accessed":{"date-parts":[["2024",4,16]]},"issued":{"date-parts":[["2021",1,15]]}}}],"schema":"https://github.com/citation-style-language/schema/raw/master/csl-citation.json"}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(Wood, 1999; Akdere and Egan, 2020; Ho and Kuvaas, 2020; Anwar and Abdullah, 2021)</w:t>
      </w:r>
      <w:r w:rsidR="00681DE4" w:rsidRPr="00270BA8">
        <w:rPr>
          <w:rFonts w:ascii="Garamond" w:hAnsi="Garamond" w:cs="Times New Roman"/>
          <w:sz w:val="24"/>
          <w:szCs w:val="24"/>
          <w:lang w:val="en-GB"/>
        </w:rPr>
        <w:fldChar w:fldCharType="end"/>
      </w:r>
      <w:r w:rsidR="00EC5EFF" w:rsidRPr="00270BA8">
        <w:rPr>
          <w:rFonts w:ascii="Garamond" w:hAnsi="Garamond" w:cs="Times New Roman"/>
          <w:sz w:val="24"/>
          <w:szCs w:val="24"/>
          <w:lang w:val="en-GB"/>
        </w:rPr>
        <w:t>.</w:t>
      </w:r>
      <w:r w:rsidR="00E420DB" w:rsidRPr="00270BA8">
        <w:rPr>
          <w:rFonts w:ascii="Garamond" w:hAnsi="Garamond" w:cs="Times New Roman"/>
          <w:sz w:val="24"/>
          <w:szCs w:val="24"/>
          <w:lang w:val="en-GB"/>
        </w:rPr>
        <w:t xml:space="preserve">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{"citationID":"krMjG2ji","properties":{"formattedCitation":"(Wright and Nishii, 2006)","plainCitation":"(Wright and Nishii, 2006)","dontUpdate":true,"noteIndex":0},"citationItems":[{"id":"MRBxNWYl/UE0EjAiu","uris":["http://zotero.org/users/10703570/items/DK7BFPK4"],"itemData":{"id":3895,"type":"article-journal","abstract":"[Excerpt] The purpose of this paper is related to these last two trends: we conceptually examine some of the mediating processes that might occur in the HRM – performance relationship, and try to make explicit their multilevel nature. In order to accomplish this, we will first explore the concept of variance, which is crucial to the analysis of any phenomena across multiple levels. We will show how virtually all existing SHRM research focuses on variance at one level of analysis while assuming constancy at other levels. We will next discuss the process through which HRM practices must act, and identify some of the relevant variables that have heretofore been virtually ignored in the empirical SHRM literature, specifically focusing on variance at different (unit vs. individual) levels of analysis. Finally, we will present some implications for theorizing and research in this area.","language":"en_US","source":"ecommons.cornell.edu","title":"Strategic HRM and Organizational Behavior: Integrating Multiple Levels of Analysis","title-short":"Strategic HRM and Organizational Behavior","URL":"https://hdl.handle.net/1813/77283","author":[{"family":"Wright","given":"Patrick M."},{"family":"Nishii","given":"Lisa H."}],"accessed":{"date-parts":[["2024",4,16]]},"issued":{"date-parts":[["2006",6,1]]}}}],"schema":"https://github.com/citation-style-language/schema/raw/master/csl-citation.json"}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Wright and Nishii (2006)</w:t>
      </w:r>
      <w:r w:rsidR="00681DE4" w:rsidRPr="00270BA8">
        <w:rPr>
          <w:rFonts w:ascii="Garamond" w:hAnsi="Garamond" w:cs="Times New Roman"/>
          <w:sz w:val="24"/>
          <w:szCs w:val="24"/>
          <w:lang w:val="en-GB"/>
        </w:rPr>
        <w:fldChar w:fldCharType="end"/>
      </w:r>
      <w:r w:rsidR="00EC5EFF" w:rsidRPr="00270BA8">
        <w:rPr>
          <w:rFonts w:ascii="Garamond" w:hAnsi="Garamond" w:cs="Times New Roman"/>
          <w:sz w:val="24"/>
          <w:szCs w:val="24"/>
          <w:lang w:val="en-GB"/>
        </w:rPr>
        <w:t xml:space="preserve"> argued that a large number of previous studies have neglected the </w:t>
      </w:r>
      <w:r w:rsidR="007747C6" w:rsidRPr="00270BA8">
        <w:rPr>
          <w:rFonts w:ascii="Garamond" w:hAnsi="Garamond" w:cs="Times New Roman"/>
          <w:sz w:val="24"/>
          <w:szCs w:val="24"/>
          <w:lang w:val="en-GB"/>
        </w:rPr>
        <w:t>critical</w:t>
      </w:r>
      <w:r w:rsidR="00EC5EFF" w:rsidRPr="00270BA8">
        <w:rPr>
          <w:rFonts w:ascii="Garamond" w:hAnsi="Garamond" w:cs="Times New Roman"/>
          <w:sz w:val="24"/>
          <w:szCs w:val="24"/>
          <w:lang w:val="en-GB"/>
        </w:rPr>
        <w:t xml:space="preserve"> role and </w:t>
      </w:r>
      <w:r w:rsidR="007747C6" w:rsidRPr="00270BA8">
        <w:rPr>
          <w:rFonts w:ascii="Garamond" w:hAnsi="Garamond" w:cs="Times New Roman"/>
          <w:sz w:val="24"/>
          <w:szCs w:val="24"/>
          <w:lang w:val="en-GB"/>
        </w:rPr>
        <w:t>essential</w:t>
      </w:r>
      <w:r w:rsidR="00EC5EFF" w:rsidRPr="00270BA8">
        <w:rPr>
          <w:rFonts w:ascii="Garamond" w:hAnsi="Garamond" w:cs="Times New Roman"/>
          <w:sz w:val="24"/>
          <w:szCs w:val="24"/>
          <w:lang w:val="en-GB"/>
        </w:rPr>
        <w:t xml:space="preserve"> role of employees in the chain of </w:t>
      </w:r>
      <w:r w:rsidR="00E420DB" w:rsidRPr="00270BA8">
        <w:rPr>
          <w:rFonts w:ascii="Garamond" w:hAnsi="Garamond" w:cs="Times New Roman"/>
          <w:sz w:val="24"/>
          <w:szCs w:val="24"/>
          <w:lang w:val="en-GB"/>
        </w:rPr>
        <w:t xml:space="preserve">the </w:t>
      </w:r>
      <w:r w:rsidR="00EC5EFF" w:rsidRPr="00270BA8">
        <w:rPr>
          <w:rFonts w:ascii="Garamond" w:hAnsi="Garamond" w:cs="Times New Roman"/>
          <w:sz w:val="24"/>
          <w:szCs w:val="24"/>
          <w:lang w:val="en-GB"/>
        </w:rPr>
        <w:t xml:space="preserve">relationship between HRM and organisational performance. </w:t>
      </w:r>
      <w:r w:rsidR="00681DE4" w:rsidRPr="00270BA8">
        <w:rPr>
          <w:rFonts w:ascii="Garamond" w:hAnsi="Garamond" w:cs="Times New Roman"/>
          <w:sz w:val="24"/>
          <w:szCs w:val="24"/>
          <w:lang w:val="en-GB"/>
        </w:rPr>
        <w:t>Specifically, p</w:t>
      </w:r>
      <w:r w:rsidR="00EC5EFF" w:rsidRPr="00270BA8">
        <w:rPr>
          <w:rFonts w:ascii="Garamond" w:hAnsi="Garamond" w:cs="Times New Roman"/>
          <w:sz w:val="24"/>
          <w:szCs w:val="24"/>
          <w:lang w:val="en-GB"/>
        </w:rPr>
        <w:t xml:space="preserve">revious studies have argued that as long as organisations design scientifically sound </w:t>
      </w:r>
      <w:r w:rsidR="00681DE4" w:rsidRPr="00270BA8">
        <w:rPr>
          <w:rFonts w:ascii="Garamond" w:hAnsi="Garamond" w:cs="Times New Roman"/>
          <w:sz w:val="24"/>
          <w:szCs w:val="24"/>
          <w:lang w:val="en-GB"/>
        </w:rPr>
        <w:t>HRM</w:t>
      </w:r>
      <w:r w:rsidR="00EC5EFF" w:rsidRPr="00270BA8">
        <w:rPr>
          <w:rFonts w:ascii="Garamond" w:hAnsi="Garamond" w:cs="Times New Roman"/>
          <w:sz w:val="24"/>
          <w:szCs w:val="24"/>
          <w:lang w:val="en-GB"/>
        </w:rPr>
        <w:t xml:space="preserve"> practices, employees </w:t>
      </w:r>
      <w:r w:rsidR="00681DE4" w:rsidRPr="00270BA8">
        <w:rPr>
          <w:rFonts w:ascii="Garamond" w:hAnsi="Garamond" w:cs="Times New Roman"/>
          <w:sz w:val="24"/>
          <w:szCs w:val="24"/>
          <w:lang w:val="en-GB"/>
        </w:rPr>
        <w:t>would</w:t>
      </w:r>
      <w:r w:rsidR="00EC5EFF" w:rsidRPr="00270BA8">
        <w:rPr>
          <w:rFonts w:ascii="Garamond" w:hAnsi="Garamond" w:cs="Times New Roman"/>
          <w:sz w:val="24"/>
          <w:szCs w:val="24"/>
          <w:lang w:val="en-GB"/>
        </w:rPr>
        <w:t xml:space="preserve"> naturally perceive, understand and implement them effectively</w:t>
      </w:r>
      <w:r w:rsidR="00681DE4" w:rsidRPr="00270BA8">
        <w:rPr>
          <w:rFonts w:ascii="Garamond" w:hAnsi="Garamond" w:cs="Times New Roman"/>
          <w:sz w:val="24"/>
          <w:szCs w:val="24"/>
          <w:lang w:val="en-GB"/>
        </w:rPr>
        <w:t xml:space="preserve"> as expected by decision-makers</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{"citationID":"FO42FXmj","properties":{"formattedCitation":"(Hauff, Alewell and Katrin Hansen, 2017)","plainCitation":"(Hauff, Alewell and Katrin Hansen, 2017)","noteIndex":0},"citationItems":[{"id":"MRBxNWYl/bguqADWj","uris":["http://zotero.org/users/10703570/items/94V3T2F9"],"itemData":{"id":3897,"type":"article-journal","abstract":"For some time, HRM researchers have paid attention to the process dimensions of HRM systems, especially to the question of how HRM system strength impacts on HRM outcomes. However, contributions tend to be theoretical, and empirical analyses are still rare. This article contributes to the discussion on HRM system strength by empirically analyzing the links between HRM system strength and HRM target achievement. We differentiate between single components of strength and their partial effects on two HRM target groups: the targets focusing on employee attitudes and the targets focusing on availability and effectiveness of human resources. Findings from a German data set with more than 1,000 observations indicate that HRM system strength has a positive influence on average HRM target achievement. Expectations regarding the differentiated effects of single components of HRM system strength are only partially supported. Nevertheless, our analyses give reason to consider a broader conception of HRM system strength than what has been explored to date. © 2016 Wiley Periodicals, Inc.","container-title":"Human Resource Management","DOI":"10.1002/hrm.21798","ISSN":"1099-050X","issue":"5","language":"en","license":"© 2016 Wiley Periodicals, Inc.","note":"_eprint: https://onlinelibrary.wiley.com/doi/pdf/10.1002/hrm.21798","page":"715-729","source":"Wiley Online Library","title":"HRM System Strength and HRM Target Achievement—Toward a Broader Understanding of HRM Processes","volume":"56","author":[{"family":"Hauff","given":"Sven"},{"family":"Alewell","given":"Dorothea"},{"family":"Katrin Hansen","given":"Nina"}],"issued":{"date-parts":[["2017"]]}}}],"schema":"https://github.com/citation-style-language/schema/raw/master/csl-citation.json"}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rPr>
        <w:t>(Hauff, Alewell and Katrin Hansen, 2017)</w:t>
      </w:r>
      <w:r w:rsidR="00681DE4" w:rsidRPr="00270BA8">
        <w:rPr>
          <w:rFonts w:ascii="Garamond" w:hAnsi="Garamond" w:cs="Times New Roman"/>
          <w:sz w:val="24"/>
          <w:szCs w:val="24"/>
          <w:lang w:val="en-GB"/>
        </w:rPr>
        <w:fldChar w:fldCharType="end"/>
      </w:r>
      <w:r w:rsidR="00EC5EFF" w:rsidRPr="00270BA8">
        <w:rPr>
          <w:rFonts w:ascii="Garamond" w:hAnsi="Garamond" w:cs="Times New Roman"/>
          <w:sz w:val="24"/>
          <w:szCs w:val="24"/>
          <w:lang w:val="en-GB"/>
        </w:rPr>
        <w:t xml:space="preserve">. </w:t>
      </w:r>
    </w:p>
    <w:p w14:paraId="0CA53CDE" w14:textId="77777777" w:rsidR="00270BA8" w:rsidRDefault="00EC5EF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The organisation transmits information to employees through HRM, and employees receive and understand it</w:t>
      </w:r>
      <w:r w:rsidR="002A2A0B" w:rsidRPr="00270BA8">
        <w:rPr>
          <w:rFonts w:ascii="Garamond" w:hAnsi="Garamond" w:cs="Times New Roman"/>
          <w:sz w:val="24"/>
          <w:szCs w:val="24"/>
          <w:lang w:val="en-GB"/>
        </w:rPr>
        <w:t>. Then, they</w:t>
      </w:r>
      <w:r w:rsidRPr="00270BA8">
        <w:rPr>
          <w:rFonts w:ascii="Garamond" w:hAnsi="Garamond" w:cs="Times New Roman"/>
          <w:sz w:val="24"/>
          <w:szCs w:val="24"/>
          <w:lang w:val="en-GB"/>
        </w:rPr>
        <w:t xml:space="preserve"> decide what kind of </w:t>
      </w:r>
      <w:r w:rsidR="00681DE4" w:rsidRPr="00270BA8">
        <w:rPr>
          <w:rFonts w:ascii="Garamond" w:hAnsi="Garamond" w:cs="Times New Roman"/>
          <w:sz w:val="24"/>
          <w:szCs w:val="24"/>
          <w:lang w:val="en-GB"/>
        </w:rPr>
        <w:t>behaviours</w:t>
      </w:r>
      <w:r w:rsidRPr="00270BA8">
        <w:rPr>
          <w:rFonts w:ascii="Garamond" w:hAnsi="Garamond" w:cs="Times New Roman"/>
          <w:sz w:val="24"/>
          <w:szCs w:val="24"/>
          <w:lang w:val="en-GB"/>
        </w:rPr>
        <w:t xml:space="preserve"> are </w:t>
      </w:r>
      <w:r w:rsidR="007747C6" w:rsidRPr="00270BA8">
        <w:rPr>
          <w:rFonts w:ascii="Garamond" w:hAnsi="Garamond" w:cs="Times New Roman"/>
          <w:sz w:val="24"/>
          <w:szCs w:val="24"/>
          <w:lang w:val="en-GB"/>
        </w:rPr>
        <w:t>necessary</w:t>
      </w:r>
      <w:r w:rsidR="00681DE4" w:rsidRPr="00270BA8">
        <w:rPr>
          <w:rFonts w:ascii="Garamond" w:hAnsi="Garamond" w:cs="Times New Roman"/>
          <w:sz w:val="24"/>
          <w:szCs w:val="24"/>
          <w:lang w:val="en-GB"/>
        </w:rPr>
        <w:t>, expected</w:t>
      </w:r>
      <w:r w:rsidRPr="00270BA8">
        <w:rPr>
          <w:rFonts w:ascii="Garamond" w:hAnsi="Garamond" w:cs="Times New Roman"/>
          <w:sz w:val="24"/>
          <w:szCs w:val="24"/>
          <w:lang w:val="en-GB"/>
        </w:rPr>
        <w:t>, supported</w:t>
      </w:r>
      <w:r w:rsidR="00E420DB" w:rsidRPr="00270BA8">
        <w:rPr>
          <w:rFonts w:ascii="Garamond" w:hAnsi="Garamond" w:cs="Times New Roman"/>
          <w:sz w:val="24"/>
          <w:szCs w:val="24"/>
          <w:lang w:val="en-GB"/>
        </w:rPr>
        <w:t>,</w:t>
      </w:r>
      <w:r w:rsidRPr="00270BA8">
        <w:rPr>
          <w:rFonts w:ascii="Garamond" w:hAnsi="Garamond" w:cs="Times New Roman"/>
          <w:sz w:val="24"/>
          <w:szCs w:val="24"/>
          <w:lang w:val="en-GB"/>
        </w:rPr>
        <w:t xml:space="preserve"> and rewarded and accordingly adopt corresponding behavioural responses. </w:t>
      </w:r>
      <w:r w:rsidR="002A2A0B" w:rsidRPr="00270BA8">
        <w:rPr>
          <w:rFonts w:ascii="Garamond" w:hAnsi="Garamond" w:cs="Times New Roman"/>
          <w:sz w:val="24"/>
          <w:szCs w:val="24"/>
          <w:lang w:val="en-GB"/>
        </w:rPr>
        <w:t xml:space="preserve">Communication between HR professionals and employees can be interfered with and disrupted by various factors, leading to misunderstandings and employees making subjective assumptions and acting based on their interpretation of unclear information </w:t>
      </w:r>
      <w:r w:rsidRPr="00270BA8">
        <w:rPr>
          <w:rFonts w:ascii="Garamond" w:hAnsi="Garamond" w:cs="Times New Roman"/>
          <w:sz w:val="24"/>
          <w:szCs w:val="24"/>
          <w:lang w:val="en-GB"/>
        </w:rPr>
        <w:t xml:space="preserve">accordingly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{"citationID":"ccdGOmiS","properties":{"formattedCitation":"(Guzzo and Noonan, 1994)","plainCitation":"(Guzzo and Noonan, 1994)","noteIndex":0},"citationItems":[{"id":"MRBxNWYl/ZKfbobCg","uris":["http://zotero.org/users/10703570/items/SXNCSCGR"],"itemData":{"id":3901,"type":"article-journal","abstract":"This article examines the psychological contract and human resource practices as communications relevant to that contract. We argue that employees, at certain times only, systematically analyze their employers' HR practices for meaning vis-ri-vis their psychological contract. Judgments about the adequacy with which their psychological contracts are fulfilled result from such systematic analyses, and these judgments have important effects on employee commitment. Practical implications of our analysis are also discussed.","container-title":"Human Resource Management","DOI":"10.1002/hrm.3930330311","ISSN":"1099-050X","issue":"3","language":"en","license":"Copyright © 1994 Wiley Periodicals, Inc., A Wiley Company","note":"_eprint: https://onlinelibrary.wiley.com/doi/pdf/10.1002/hrm.3930330311","page":"447-462","source":"Wiley Online Library","title":"Human resource practices as communications and the psychological contract","volume":"33","author":[{"family":"Guzzo","given":"Richard A."},{"family":"Noonan","given":"Katherine A."}],"issued":{"date-parts":[["1994"]]}}}],"schema":"https://github.com/citation-style-language/schema/raw/master/csl-citation.json"}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(Guzzo and Noonan, 1994)</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HRM activities in organisations </w:t>
      </w:r>
      <w:r w:rsidR="00681DE4" w:rsidRPr="00270BA8">
        <w:rPr>
          <w:rFonts w:ascii="Garamond" w:hAnsi="Garamond" w:cs="Times New Roman"/>
          <w:sz w:val="24"/>
          <w:szCs w:val="24"/>
          <w:lang w:val="en-GB"/>
        </w:rPr>
        <w:t>s</w:t>
      </w:r>
      <w:r w:rsidR="00222527" w:rsidRPr="00270BA8">
        <w:rPr>
          <w:rFonts w:ascii="Garamond" w:hAnsi="Garamond" w:cs="Times New Roman"/>
          <w:sz w:val="24"/>
          <w:szCs w:val="24"/>
          <w:lang w:val="en-GB"/>
        </w:rPr>
        <w:t>trateg</w:t>
      </w:r>
      <w:r w:rsidR="00681DE4" w:rsidRPr="00270BA8">
        <w:rPr>
          <w:rFonts w:ascii="Garamond" w:hAnsi="Garamond" w:cs="Times New Roman"/>
          <w:sz w:val="24"/>
          <w:szCs w:val="24"/>
          <w:lang w:val="en-GB"/>
        </w:rPr>
        <w:t>ically</w:t>
      </w:r>
      <w:r w:rsidRPr="00270BA8">
        <w:rPr>
          <w:rFonts w:ascii="Garamond" w:hAnsi="Garamond" w:cs="Times New Roman"/>
          <w:sz w:val="24"/>
          <w:szCs w:val="24"/>
          <w:lang w:val="en-GB"/>
        </w:rPr>
        <w:t xml:space="preserve"> create appropriate performance by </w:t>
      </w:r>
      <w:r w:rsidR="00681DE4" w:rsidRPr="00270BA8">
        <w:rPr>
          <w:rFonts w:ascii="Garamond" w:hAnsi="Garamond" w:cs="Times New Roman"/>
          <w:sz w:val="24"/>
          <w:szCs w:val="24"/>
          <w:lang w:val="en-GB"/>
        </w:rPr>
        <w:t xml:space="preserve">directing </w:t>
      </w:r>
      <w:r w:rsidRPr="00270BA8">
        <w:rPr>
          <w:rFonts w:ascii="Garamond" w:hAnsi="Garamond" w:cs="Times New Roman"/>
          <w:sz w:val="24"/>
          <w:szCs w:val="24"/>
          <w:lang w:val="en-GB"/>
        </w:rPr>
        <w:t>employees to develop appropriate work attitudes and behaviours. Therefore</w:t>
      </w:r>
      <w:r w:rsidR="00681DE4" w:rsidRPr="00270BA8">
        <w:rPr>
          <w:rFonts w:ascii="Garamond" w:hAnsi="Garamond" w:cs="Times New Roman"/>
          <w:sz w:val="24"/>
          <w:szCs w:val="24"/>
          <w:lang w:val="en-GB"/>
        </w:rPr>
        <w:t>, t</w:t>
      </w:r>
      <w:r w:rsidRPr="00270BA8">
        <w:rPr>
          <w:rFonts w:ascii="Garamond" w:hAnsi="Garamond" w:cs="Times New Roman"/>
          <w:sz w:val="24"/>
          <w:szCs w:val="24"/>
          <w:lang w:val="en-GB"/>
        </w:rPr>
        <w:t xml:space="preserve">o influence the attitudes and behaviours of employees through </w:t>
      </w:r>
      <w:r w:rsidR="00681DE4" w:rsidRPr="00270BA8">
        <w:rPr>
          <w:rFonts w:ascii="Garamond" w:hAnsi="Garamond" w:cs="Times New Roman"/>
          <w:sz w:val="24"/>
          <w:szCs w:val="24"/>
          <w:lang w:val="en-GB"/>
        </w:rPr>
        <w:t>HRM</w:t>
      </w:r>
      <w:r w:rsidRPr="00270BA8">
        <w:rPr>
          <w:rFonts w:ascii="Garamond" w:hAnsi="Garamond" w:cs="Times New Roman"/>
          <w:sz w:val="24"/>
          <w:szCs w:val="24"/>
          <w:lang w:val="en-GB"/>
        </w:rPr>
        <w:t xml:space="preserve">, the organisation can not only rely on the specific systems and measures of </w:t>
      </w:r>
      <w:r w:rsidR="00681DE4" w:rsidRPr="00270BA8">
        <w:rPr>
          <w:rFonts w:ascii="Garamond" w:hAnsi="Garamond" w:cs="Times New Roman"/>
          <w:sz w:val="24"/>
          <w:szCs w:val="24"/>
          <w:lang w:val="en-GB"/>
        </w:rPr>
        <w:t>HRM</w:t>
      </w:r>
      <w:r w:rsidRPr="00270BA8">
        <w:rPr>
          <w:rFonts w:ascii="Garamond" w:hAnsi="Garamond" w:cs="Times New Roman"/>
          <w:sz w:val="24"/>
          <w:szCs w:val="24"/>
          <w:lang w:val="en-GB"/>
        </w:rPr>
        <w:t xml:space="preserve"> but also make the employees clearly and accurately understand</w:t>
      </w:r>
      <w:r w:rsidR="00681DE4" w:rsidRPr="00270BA8">
        <w:rPr>
          <w:rFonts w:ascii="Garamond" w:hAnsi="Garamond" w:cs="Times New Roman"/>
          <w:sz w:val="24"/>
          <w:szCs w:val="24"/>
          <w:lang w:val="en-GB"/>
        </w:rPr>
        <w:t xml:space="preserve">, accept and behave according to </w:t>
      </w:r>
      <w:r w:rsidRPr="00270BA8">
        <w:rPr>
          <w:rFonts w:ascii="Garamond" w:hAnsi="Garamond" w:cs="Times New Roman"/>
          <w:sz w:val="24"/>
          <w:szCs w:val="24"/>
          <w:lang w:val="en-GB"/>
        </w:rPr>
        <w:t xml:space="preserve">the </w:t>
      </w:r>
      <w:r w:rsidR="00681DE4" w:rsidRPr="00270BA8">
        <w:rPr>
          <w:rFonts w:ascii="Garamond" w:hAnsi="Garamond" w:cs="Times New Roman"/>
          <w:sz w:val="24"/>
          <w:szCs w:val="24"/>
          <w:lang w:val="en-GB"/>
        </w:rPr>
        <w:t>HRM</w:t>
      </w:r>
      <w:r w:rsidRPr="00270BA8">
        <w:rPr>
          <w:rFonts w:ascii="Garamond" w:hAnsi="Garamond" w:cs="Times New Roman"/>
          <w:sz w:val="24"/>
          <w:szCs w:val="24"/>
          <w:lang w:val="en-GB"/>
        </w:rPr>
        <w:t xml:space="preserve"> activities.</w:t>
      </w:r>
      <w:r w:rsidR="00681DE4" w:rsidRPr="00270BA8">
        <w:rPr>
          <w:rFonts w:ascii="Garamond" w:hAnsi="Garamond" w:cs="Times New Roman"/>
          <w:sz w:val="24"/>
          <w:szCs w:val="24"/>
          <w:lang w:val="en-GB"/>
        </w:rPr>
        <w:t xml:space="preserve"> </w:t>
      </w:r>
      <w:r w:rsidRPr="00270BA8">
        <w:rPr>
          <w:rFonts w:ascii="Garamond" w:hAnsi="Garamond" w:cs="Times New Roman"/>
          <w:sz w:val="24"/>
          <w:szCs w:val="24"/>
          <w:lang w:val="en-GB"/>
        </w:rPr>
        <w:t xml:space="preserve">In this context,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{"citationID":"OzSl1ooZ","properties":{"formattedCitation":"(Bowen and Ostroff, 2004)","plainCitation":"(Bowen and Ostroff, 2004)","dontUpdate":true,"noteIndex":0},"citationItems":[{"id":"MRBxNWYl/6WjbREVV","uris":["http://zotero.org/users/10703570/items/PFPQKT3C"],"itemData":{"id":3864,"type":"article-journal","abstract":"Theory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Bowen and Ostroff (2004)</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proposed the concept of </w:t>
      </w:r>
      <w:r w:rsidR="008D7010" w:rsidRPr="00270BA8">
        <w:rPr>
          <w:rFonts w:ascii="Garamond" w:hAnsi="Garamond" w:cs="Times New Roman"/>
          <w:sz w:val="24"/>
          <w:szCs w:val="24"/>
          <w:lang w:val="en-GB"/>
        </w:rPr>
        <w:t>HRM Strength</w:t>
      </w:r>
      <w:r w:rsidRPr="00270BA8">
        <w:rPr>
          <w:rFonts w:ascii="Garamond" w:hAnsi="Garamond" w:cs="Times New Roman"/>
          <w:sz w:val="24"/>
          <w:szCs w:val="24"/>
          <w:lang w:val="en-GB"/>
        </w:rPr>
        <w:t xml:space="preserve"> by applying attribution theory, communication theory and meaning construction theory, emphasising the active position and role of employees in the HRM process.</w:t>
      </w:r>
      <w:r w:rsidR="002A2A0B" w:rsidRPr="00270BA8">
        <w:rPr>
          <w:rFonts w:ascii="Garamond" w:hAnsi="Garamond" w:cs="Times New Roman"/>
          <w:sz w:val="24"/>
          <w:szCs w:val="24"/>
          <w:lang w:val="en-GB"/>
        </w:rPr>
        <w:t xml:space="preserve"> Particularly, f</w:t>
      </w:r>
      <w:r w:rsidRPr="00270BA8">
        <w:rPr>
          <w:rFonts w:ascii="Garamond" w:hAnsi="Garamond" w:cs="Times New Roman"/>
          <w:sz w:val="24"/>
          <w:szCs w:val="24"/>
          <w:lang w:val="en-GB"/>
        </w:rPr>
        <w:t xml:space="preserve">rom the perspective of whether employees can perceive and recognise the relevant HRM practices implemented by the organisation, they believe that the strength of </w:t>
      </w:r>
      <w:r w:rsidR="00D33E0E" w:rsidRPr="00270BA8">
        <w:rPr>
          <w:rFonts w:ascii="Garamond" w:hAnsi="Garamond" w:cs="Times New Roman"/>
          <w:sz w:val="24"/>
          <w:szCs w:val="24"/>
          <w:lang w:val="en-GB"/>
        </w:rPr>
        <w:t xml:space="preserve">the </w:t>
      </w:r>
      <w:r w:rsidRPr="00270BA8">
        <w:rPr>
          <w:rFonts w:ascii="Garamond" w:hAnsi="Garamond" w:cs="Times New Roman"/>
          <w:sz w:val="24"/>
          <w:szCs w:val="24"/>
          <w:lang w:val="en-GB"/>
        </w:rPr>
        <w:t>HRM System refers to a set of inherent attributes that have an impact on the effectiveness of an organisation</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s delivery of HRM messages and the creation of a high-</w:t>
      </w:r>
      <w:r w:rsidR="002A2A0B" w:rsidRPr="00270BA8">
        <w:rPr>
          <w:rFonts w:ascii="Garamond" w:hAnsi="Garamond" w:cs="Times New Roman"/>
          <w:sz w:val="24"/>
          <w:szCs w:val="24"/>
          <w:lang w:val="en-GB"/>
        </w:rPr>
        <w:t>strength</w:t>
      </w:r>
      <w:r w:rsidRPr="00270BA8">
        <w:rPr>
          <w:rFonts w:ascii="Garamond" w:hAnsi="Garamond" w:cs="Times New Roman"/>
          <w:sz w:val="24"/>
          <w:szCs w:val="24"/>
          <w:lang w:val="en-GB"/>
        </w:rPr>
        <w:t xml:space="preserve"> organisational climate. This focuses on whether the organisation </w:t>
      </w:r>
      <w:r w:rsidR="00D33E0E" w:rsidRPr="00270BA8">
        <w:rPr>
          <w:rFonts w:ascii="Garamond" w:hAnsi="Garamond" w:cs="Times New Roman"/>
          <w:sz w:val="24"/>
          <w:szCs w:val="24"/>
          <w:lang w:val="en-GB"/>
        </w:rPr>
        <w:t>can</w:t>
      </w:r>
      <w:r w:rsidRPr="00270BA8">
        <w:rPr>
          <w:rFonts w:ascii="Garamond" w:hAnsi="Garamond" w:cs="Times New Roman"/>
          <w:sz w:val="24"/>
          <w:szCs w:val="24"/>
          <w:lang w:val="en-GB"/>
        </w:rPr>
        <w:t xml:space="preserve"> communicate information about HRM practices to employees in a managerial situation without compromising the integrity and consistency of the message and whether employees generally perceive and agree with the message. </w:t>
      </w:r>
      <w:r w:rsidRPr="00270BA8">
        <w:rPr>
          <w:rFonts w:ascii="Garamond" w:hAnsi="Garamond" w:cs="Times New Roman"/>
          <w:sz w:val="24"/>
          <w:szCs w:val="24"/>
          <w:lang w:val="en-GB"/>
        </w:rPr>
        <w:lastRenderedPageBreak/>
        <w:t>In more intense management situations, employees benefit from the organisation</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s attention to the information transfer process</w:t>
      </w:r>
      <w:r w:rsidR="007747C6" w:rsidRPr="00270BA8">
        <w:rPr>
          <w:rFonts w:ascii="Garamond" w:hAnsi="Garamond" w:cs="Times New Roman"/>
          <w:sz w:val="24"/>
          <w:szCs w:val="24"/>
          <w:lang w:val="en-GB"/>
        </w:rPr>
        <w:t>. T</w:t>
      </w:r>
      <w:r w:rsidRPr="00270BA8">
        <w:rPr>
          <w:rFonts w:ascii="Garamond" w:hAnsi="Garamond" w:cs="Times New Roman"/>
          <w:sz w:val="24"/>
          <w:szCs w:val="24"/>
          <w:lang w:val="en-GB"/>
        </w:rPr>
        <w:t>hey will receive more effective information about HRM, and when this information is perceived and understood, employees will improve their personal work attitudes and behaviours, thus making the organisation stronger.</w:t>
      </w:r>
    </w:p>
    <w:p w14:paraId="04CC739E" w14:textId="7B358176" w:rsidR="00220707" w:rsidRPr="00270BA8" w:rsidRDefault="00EC5EF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Based on this,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{"citationID":"IHNLOAXQ","properties":{"formattedCitation":"(Bowen and Ostroff, 2004)","plainCitation":"(Bowen and Ostroff, 2004)","dontUpdate":true,"noteIndex":0},"citationItems":[{"id":"MRBxNWYl/6WjbREVV","uris":["http://zotero.org/users/10703570/items/PFPQKT3C"],"itemData":{"id":3864,"type":"article-journal","abstract":"Theory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Bowen and Ostroff (2004)</w:t>
      </w:r>
      <w:r w:rsidR="00681DE4" w:rsidRPr="00270BA8">
        <w:rPr>
          <w:rFonts w:ascii="Garamond" w:hAnsi="Garamond" w:cs="Times New Roman"/>
          <w:sz w:val="24"/>
          <w:szCs w:val="24"/>
          <w:lang w:val="en-GB"/>
        </w:rPr>
        <w:fldChar w:fldCharType="end"/>
      </w:r>
      <w:r w:rsidR="00681DE4" w:rsidRPr="00270BA8">
        <w:rPr>
          <w:rFonts w:ascii="Garamond" w:hAnsi="Garamond" w:cs="Times New Roman"/>
          <w:sz w:val="24"/>
          <w:szCs w:val="24"/>
          <w:lang w:val="en-GB"/>
        </w:rPr>
        <w:t xml:space="preserve"> </w:t>
      </w:r>
      <w:r w:rsidRPr="00270BA8">
        <w:rPr>
          <w:rFonts w:ascii="Garamond" w:hAnsi="Garamond" w:cs="Times New Roman"/>
          <w:sz w:val="24"/>
          <w:szCs w:val="24"/>
          <w:lang w:val="en-GB"/>
        </w:rPr>
        <w:t>state that HRM strength encompass</w:t>
      </w:r>
      <w:r w:rsidR="00681DE4" w:rsidRPr="00270BA8">
        <w:rPr>
          <w:rFonts w:ascii="Garamond" w:hAnsi="Garamond" w:cs="Times New Roman"/>
          <w:sz w:val="24"/>
          <w:szCs w:val="24"/>
          <w:lang w:val="en-GB"/>
        </w:rPr>
        <w:t>es</w:t>
      </w:r>
      <w:r w:rsidRPr="00270BA8">
        <w:rPr>
          <w:rFonts w:ascii="Garamond" w:hAnsi="Garamond" w:cs="Times New Roman"/>
          <w:sz w:val="24"/>
          <w:szCs w:val="24"/>
          <w:lang w:val="en-GB"/>
        </w:rPr>
        <w:t xml:space="preserve"> the dimensions of distinctiveness, consistency and consensus. </w:t>
      </w:r>
      <w:r w:rsidR="007747C6" w:rsidRPr="00270BA8">
        <w:rPr>
          <w:rFonts w:ascii="Garamond" w:hAnsi="Garamond" w:cs="Times New Roman"/>
          <w:sz w:val="24"/>
          <w:szCs w:val="24"/>
          <w:lang w:val="en-GB"/>
        </w:rPr>
        <w:t xml:space="preserve">Dinstiveness means that HRM measures have distinctive features that can gain the attention of employees and stimulate their interest in their work. Consistency means that HRM measures can be fully, effectively and consistently implemented within the organisation and that the implementation process is fully aligned with the development process, reducing information bias. Consensus refers to the extent to which HRM measures are agreed upon and felt to be fair within the organisation, as well as the extent to which employees agree on the incident and its implications. </w:t>
      </w:r>
      <w:r w:rsidRPr="00270BA8">
        <w:rPr>
          <w:rFonts w:ascii="Garamond" w:hAnsi="Garamond" w:cs="Times New Roman"/>
          <w:sz w:val="24"/>
          <w:szCs w:val="24"/>
          <w:lang w:val="en-GB"/>
        </w:rPr>
        <w:t xml:space="preserve">When the HRM system is perceived to be highly distinctive, consistent and consensual, i.e. </w:t>
      </w:r>
      <w:r w:rsidR="008D7010" w:rsidRPr="00270BA8">
        <w:rPr>
          <w:rFonts w:ascii="Garamond" w:hAnsi="Garamond" w:cs="Times New Roman"/>
          <w:sz w:val="24"/>
          <w:szCs w:val="24"/>
          <w:lang w:val="en-GB"/>
        </w:rPr>
        <w:t>HRM Strength</w:t>
      </w:r>
      <w:r w:rsidRPr="00270BA8">
        <w:rPr>
          <w:rFonts w:ascii="Garamond" w:hAnsi="Garamond" w:cs="Times New Roman"/>
          <w:sz w:val="24"/>
          <w:szCs w:val="24"/>
          <w:lang w:val="en-GB"/>
        </w:rPr>
        <w:t xml:space="preserve"> is high, it creates a strong affective context within the organisation, where there is a shared collective perception amongst employees of the organisation</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s desired attitudinal and behavioural responses, which in turn has a strong impact on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attitudes and behaviours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{"citationID":"eSvq5PbM","properties":{"formattedCitation":"(Bowen and Ostroff, 2004)","plainCitation":"(Bowen and Ostroff, 2004)","noteIndex":0},"citationItems":[{"id":"MRBxNWYl/6WjbREVV","uris":["http://zotero.org/users/10703570/items/PFPQKT3C"],"itemData":{"id":3864,"type":"article-journal","abstract":"Theory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(Bowen and Ostroff, 2004)</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w:t>
      </w:r>
    </w:p>
    <w:p w14:paraId="53B31E28" w14:textId="1A873346" w:rsidR="003578D8" w:rsidRPr="00270BA8" w:rsidRDefault="007747C6"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The concept proposed by Bown and Ostroff (2004) has been updated, enriched, and revised by other scholars in the last two decades. For instance,</w:t>
      </w:r>
      <w:r w:rsidR="002A2A0B" w:rsidRPr="00270BA8">
        <w:rPr>
          <w:rFonts w:ascii="Garamond" w:hAnsi="Garamond" w:cs="Times New Roman"/>
          <w:sz w:val="24"/>
          <w:szCs w:val="24"/>
          <w:lang w:val="en-GB"/>
        </w:rPr>
        <w:t xml:space="preserve">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{"citationID":"Iga1DF37","properties":{"formattedCitation":"(Hauff, Alewell and Katrin Hansen, 2017)","plainCitation":"(Hauff, Alewell and Katrin Hansen, 2017)","noteIndex":0},"citationItems":[{"id":"MRBxNWYl/bguqADWj","uris":["http://zotero.org/users/10703570/items/94V3T2F9"],"itemData":{"id":"MRBxNWYl/bguqADWj","type":"article-journal","abstract":"For some time, HRM researchers have paid attention to the process dimensions of HRM systems, especially to the question of how HRM system strength impacts on HRM outcomes. However, contributions tend to be theoretical, and empirical analyses are still rare. This article contributes to the discussion on HRM system strength by empirically analyzing the links between HRM system strength and HRM target achievement. We differentiate between single components of strength and their partial effects on two HRM target groups: the targets focusing on employee attitudes and the targets focusing on availability and effectiveness of human resources. Findings from a German data set with more than 1,000 observations indicate that HRM system strength has a positive influence on average HRM target achievement. Expectations regarding the differentiated effects of single components of HRM system strength are only partially supported. Nevertheless, our analyses give reason to consider a broader conception of HRM system strength than what has been explored to date. © 2016 Wiley Periodicals, Inc.","container-title":"Human Resource Management","DOI":"10.1002/hrm.21798","ISSN":"1099-050X","issue":"5","language":"en","license":"© 2016 Wiley Periodicals, Inc.","note":"_eprint: https://onlinelibrary.wiley.com/doi/pdf/10.1002/hrm.21798","page":"715-729","source":"Wiley Online Library","title":"HRM System Strength and HRM Target Achievement—Toward a Broader Understanding of HRM Processes","volume":"56","author":[{"family":"Hauff","given":"Sven"},{"family":"Alewell","given":"Dorothea"},{"family":"Katrin Hansen","given":"Nina"}],"issued":{"date-parts":[["2017"]]}}}],"schema":"https://github.com/citation-style-language/schema/raw/master/csl-citation.json"}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sz w:val="24"/>
          <w:szCs w:val="28"/>
        </w:rPr>
        <w:t>Hauff, Alewell and Katrin Hansen (2017)</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perceive the HRM strength embedded in the broad framework that links HRM systems to </w:t>
      </w:r>
      <w:r w:rsidR="002A2A0B" w:rsidRPr="00270BA8">
        <w:rPr>
          <w:rFonts w:ascii="Garamond" w:hAnsi="Garamond" w:cs="Times New Roman"/>
          <w:sz w:val="24"/>
          <w:szCs w:val="24"/>
          <w:lang w:val="en-GB"/>
        </w:rPr>
        <w:t>organisational</w:t>
      </w:r>
      <w:r w:rsidRPr="00270BA8">
        <w:rPr>
          <w:rFonts w:ascii="Garamond" w:hAnsi="Garamond" w:cs="Times New Roman"/>
          <w:sz w:val="24"/>
          <w:szCs w:val="24"/>
          <w:lang w:val="en-GB"/>
        </w:rPr>
        <w:t xml:space="preserve"> outcomes, and HRM strength is related to some characteristics of the HRM system, including visibility (are HRM targets and practices known to employees), clarity ( are HRM information easy to be found by employees), acceptability (</w:t>
      </w:r>
      <w:r w:rsidR="002A2A0B" w:rsidRPr="00270BA8">
        <w:rPr>
          <w:rFonts w:ascii="Garamond" w:hAnsi="Garamond" w:cs="Times New Roman"/>
          <w:sz w:val="24"/>
          <w:szCs w:val="24"/>
          <w:lang w:val="en-GB"/>
        </w:rPr>
        <w:t>do employees buy into HRM practices</w:t>
      </w:r>
      <w:r w:rsidRPr="00270BA8">
        <w:rPr>
          <w:rFonts w:ascii="Garamond" w:hAnsi="Garamond" w:cs="Times New Roman"/>
          <w:sz w:val="24"/>
          <w:szCs w:val="24"/>
          <w:lang w:val="en-GB"/>
        </w:rPr>
        <w:t xml:space="preserve">), consistency of administration ( are HRM practices consistently and uniformly applied across employees over time), effectiveness (do HRM practices do as designed), </w:t>
      </w:r>
      <w:r w:rsidR="002A2A0B" w:rsidRPr="00270BA8">
        <w:rPr>
          <w:rFonts w:ascii="Garamond" w:hAnsi="Garamond" w:cs="Times New Roman"/>
          <w:sz w:val="24"/>
          <w:szCs w:val="24"/>
          <w:lang w:val="en-GB"/>
        </w:rPr>
        <w:t>strength</w:t>
      </w:r>
      <w:r w:rsidRPr="00270BA8">
        <w:rPr>
          <w:rFonts w:ascii="Garamond" w:hAnsi="Garamond" w:cs="Times New Roman"/>
          <w:sz w:val="24"/>
          <w:szCs w:val="24"/>
          <w:lang w:val="en-GB"/>
        </w:rPr>
        <w:t xml:space="preserve"> ( how much effort and time are invested in implementing HRM practices) and internal consistency (are </w:t>
      </w:r>
      <w:r w:rsidR="002A2A0B" w:rsidRPr="00270BA8">
        <w:rPr>
          <w:rFonts w:ascii="Garamond" w:hAnsi="Garamond" w:cs="Times New Roman"/>
          <w:sz w:val="24"/>
          <w:szCs w:val="24"/>
          <w:lang w:val="en-GB"/>
        </w:rPr>
        <w:t>there any</w:t>
      </w:r>
      <w:r w:rsidRPr="00270BA8">
        <w:rPr>
          <w:rFonts w:ascii="Garamond" w:hAnsi="Garamond" w:cs="Times New Roman"/>
          <w:sz w:val="24"/>
          <w:szCs w:val="24"/>
          <w:lang w:val="en-GB"/>
        </w:rPr>
        <w:t xml:space="preserve"> horizontal fit across programs and practices)</w:t>
      </w:r>
      <w:r w:rsidR="002A2A0B" w:rsidRPr="00270BA8">
        <w:rPr>
          <w:rFonts w:ascii="Garamond" w:hAnsi="Garamond" w:cs="Times New Roman"/>
          <w:sz w:val="24"/>
          <w:szCs w:val="24"/>
          <w:lang w:val="en-GB"/>
        </w:rPr>
        <w:t xml:space="preserve">. </w:t>
      </w:r>
      <w:r w:rsidR="002A2A0B" w:rsidRPr="00270BA8">
        <w:rPr>
          <w:rFonts w:ascii="Garamond" w:hAnsi="Garamond" w:cs="Times New Roman"/>
          <w:sz w:val="24"/>
          <w:szCs w:val="24"/>
          <w:lang w:val="en-GB"/>
        </w:rPr>
        <w:fldChar w:fldCharType="begin"/>
      </w:r>
      <w:r w:rsidR="002A2A0B" w:rsidRPr="00270BA8">
        <w:rPr>
          <w:rFonts w:ascii="Garamond" w:hAnsi="Garamond" w:cs="Times New Roman"/>
          <w:sz w:val="24"/>
          <w:szCs w:val="24"/>
          <w:lang w:val="en-GB"/>
        </w:rPr>
        <w:instrText xml:space="preserve"> ADDIN ZOTERO_ITEM CSL_CITATION {"citationID":"9fpCYTZI","properties":{"formattedCitation":"(Heffernan {\\i{}et al.}, 2022)","plainCitation":"(Heffernan et al., 2022)","noteIndex":0},"citationItems":[{"id":5337,"uris":["http://zotero.org/users/10703570/items/TFM9T2VR"],"itemData":{"id":5337,"type":"article-journal","abstract":"This article draws on HRM system strength to further a process-based understanding of how HRM can impact employee well-being. The research contributes to new understanding using internal process climate as a mediator in the HR system strength and employee well-being relationship. In order to capture external influences, we also explore moderation in the form of open systems climate, thereby adding an important boundary conditioning logic to the debate. Hypotheses were tested on a sample of 585 employees across nine organisations in Malaysia. Results show that the strength of the HRM system significantly affects employee perceptions of well-being. The internal process climate positively mediates this relationship, highlighting the merits of both a formal structure and a commitment-focused HR architecture. Findings also support the moderating role of an open systems climate on this mediating relationship. The research highlights new avenues to better understand the impact of HRM system strength on well-being across contexts and outcomes.","container-title":"Asia Pacific Journal of Human Resources","DOI":"10.1111/1744-7941.12302","ISSN":"1744-7941","issue":"1","language":"en","note":"_eprint: https://onlinelibrary.wiley.com/doi/pdf/10.1111/1744-7941.12302","page":"171-193","source":"Wiley Online Library","title":"HRM system strength and employee well-being: the role of internal process and open systems","title-short":"HRM system strength and employee well-being","volume":"60","author":[{"family":"Heffernan","given":"Margaret"},{"family":"Cafferkey","given":"Kenneth"},{"family":"Harney","given":"Brian"},{"family":"Townsend","given":"Keith"},{"family":"Dundon","given":"Tony"}],"issued":{"date-parts":[["2022"]]}}}],"schema":"https://github.com/citation-style-language/schema/raw/master/csl-citation.json"} </w:instrText>
      </w:r>
      <w:r w:rsidR="002A2A0B" w:rsidRPr="00270BA8">
        <w:rPr>
          <w:rFonts w:ascii="Garamond" w:hAnsi="Garamond" w:cs="Times New Roman"/>
          <w:sz w:val="24"/>
          <w:szCs w:val="24"/>
          <w:lang w:val="en-GB"/>
        </w:rPr>
        <w:fldChar w:fldCharType="separate"/>
      </w:r>
      <w:r w:rsidR="002A2A0B" w:rsidRPr="00270BA8">
        <w:rPr>
          <w:rFonts w:ascii="Garamond" w:hAnsi="Garamond" w:cs="Times New Roman"/>
          <w:sz w:val="24"/>
          <w:szCs w:val="32"/>
        </w:rPr>
        <w:t xml:space="preserve">Heffernan </w:t>
      </w:r>
      <w:r w:rsidR="002A2A0B" w:rsidRPr="00270BA8">
        <w:rPr>
          <w:rFonts w:ascii="Garamond" w:hAnsi="Garamond" w:cs="Times New Roman"/>
          <w:i/>
          <w:iCs/>
          <w:sz w:val="24"/>
          <w:szCs w:val="32"/>
        </w:rPr>
        <w:t>et al.</w:t>
      </w:r>
      <w:r w:rsidR="002A2A0B" w:rsidRPr="00270BA8">
        <w:rPr>
          <w:rFonts w:ascii="Garamond" w:hAnsi="Garamond" w:cs="Times New Roman"/>
          <w:sz w:val="24"/>
          <w:szCs w:val="32"/>
        </w:rPr>
        <w:t xml:space="preserve"> (2022)</w:t>
      </w:r>
      <w:r w:rsidR="002A2A0B" w:rsidRPr="00270BA8">
        <w:rPr>
          <w:rFonts w:ascii="Garamond" w:hAnsi="Garamond" w:cs="Times New Roman"/>
          <w:sz w:val="24"/>
          <w:szCs w:val="24"/>
          <w:lang w:val="en-GB"/>
        </w:rPr>
        <w:fldChar w:fldCharType="end"/>
      </w:r>
      <w:r w:rsidR="002A2A0B" w:rsidRPr="00270BA8">
        <w:rPr>
          <w:rFonts w:ascii="Garamond" w:hAnsi="Garamond" w:cs="Times New Roman"/>
          <w:sz w:val="24"/>
          <w:szCs w:val="24"/>
          <w:lang w:val="en-GB"/>
        </w:rPr>
        <w:t xml:space="preserve"> argue that HRM strength is a signalling function where employees who perceive these signals can effectively formulate a s shared sense of behaviours (such as innovative behaviours and sustainable behaviours) that are expected, supported and rewarded by management. </w:t>
      </w:r>
    </w:p>
    <w:p w14:paraId="49E2B1F2" w14:textId="4D73AC3E" w:rsidR="00EC5EFF" w:rsidRPr="00270BA8" w:rsidRDefault="002A2A0B" w:rsidP="00270BA8">
      <w:pPr>
        <w:pStyle w:val="2"/>
        <w:spacing w:before="120" w:after="360" w:line="360" w:lineRule="auto"/>
        <w:rPr>
          <w:rFonts w:ascii="Garamond" w:hAnsi="Garamond"/>
        </w:rPr>
      </w:pPr>
      <w:bookmarkStart w:id="13" w:name="_Toc164360745"/>
      <w:bookmarkStart w:id="14" w:name="_Toc171702280"/>
      <w:r w:rsidRPr="00270BA8">
        <w:rPr>
          <w:rFonts w:ascii="Garamond" w:hAnsi="Garamond"/>
        </w:rPr>
        <w:lastRenderedPageBreak/>
        <w:t>2.2 The Conceptuali</w:t>
      </w:r>
      <w:r w:rsidR="00270BA8">
        <w:rPr>
          <w:rFonts w:ascii="Garamond" w:hAnsi="Garamond"/>
        </w:rPr>
        <w:t>s</w:t>
      </w:r>
      <w:r w:rsidRPr="00270BA8">
        <w:rPr>
          <w:rFonts w:ascii="Garamond" w:hAnsi="Garamond"/>
        </w:rPr>
        <w:t xml:space="preserve">ation of </w:t>
      </w:r>
      <w:r w:rsidR="00270BA8">
        <w:rPr>
          <w:rFonts w:ascii="Garamond" w:hAnsi="Garamond" w:hint="eastAsia"/>
        </w:rPr>
        <w:t>e</w:t>
      </w:r>
      <w:r w:rsidR="00EC5EFF" w:rsidRPr="00270BA8">
        <w:rPr>
          <w:rFonts w:ascii="Garamond" w:hAnsi="Garamond"/>
        </w:rPr>
        <w:t xml:space="preserve">mployee </w:t>
      </w:r>
      <w:r w:rsidR="00270BA8">
        <w:rPr>
          <w:rFonts w:ascii="Garamond" w:hAnsi="Garamond" w:hint="eastAsia"/>
        </w:rPr>
        <w:t>i</w:t>
      </w:r>
      <w:r w:rsidR="00EC5EFF" w:rsidRPr="00270BA8">
        <w:rPr>
          <w:rFonts w:ascii="Garamond" w:hAnsi="Garamond"/>
        </w:rPr>
        <w:t>nnovation</w:t>
      </w:r>
      <w:bookmarkEnd w:id="13"/>
      <w:bookmarkEnd w:id="14"/>
      <w:r w:rsidR="00EC5EFF" w:rsidRPr="00270BA8">
        <w:rPr>
          <w:rFonts w:ascii="Garamond" w:hAnsi="Garamond"/>
        </w:rPr>
        <w:t xml:space="preserve"> </w:t>
      </w:r>
    </w:p>
    <w:p w14:paraId="77D2CB7F" w14:textId="369BD111" w:rsidR="00EC5EFF" w:rsidRPr="00270BA8" w:rsidRDefault="00EC5EF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The concept of innovative behaviour was first introduced by</w:t>
      </w:r>
      <w:r w:rsidR="00681DE4" w:rsidRPr="00270BA8">
        <w:rPr>
          <w:rFonts w:ascii="Garamond" w:hAnsi="Garamond" w:cs="Times New Roman"/>
          <w:sz w:val="24"/>
          <w:szCs w:val="24"/>
          <w:lang w:val="en-GB"/>
        </w:rPr>
        <w:t xml:space="preserve">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{"citationID":"zPwWRKlg","properties":{"formattedCitation":"(Van de Ven, 1986)","plainCitation":"(Van de Ven, 1986)","dontUpdate":true,"noteIndex":0},"citationItems":[{"id":"MRBxNWYl/9SkP5uwh","uris":["http://zotero.org/users/10703570/items/A53B2KA5"],"itemData":{"id":3902,"type":"article-journal","abstract":"Innovation is defined as the development and implementation of new ideas by people who over time engage in transactions with others within an institutional order. This definition focuses on four basic factors (new ideas, people, transactions, and institutional context). An understanding of how these factors are related leads to four basic problems confronting most general managers: (1) a human problem of managing attention, (2) a process problem in managing new ideas into good currency, (3) a structural problem of managing part-whole relationships, and (4) a strategic problem of institutional leadership. This paper discusses these four basic problems and concludes by suggesting how they fit together into an overall framework to guide longitudinal study of the management of innovation.","container-title":"Management Science","DOI":"10.1287/mnsc.32.5.590","ISSN":"0025-1909","issue":"5","note":"publisher: INFORMS","page":"590-607","source":"pubsonline.informs.org (Atypon)","title":"Central Problems in the Management of Innovation","volume":"32","author":[{"family":"Van de Ven","given":"Andrew H."}],"issued":{"date-parts":[["1986",5]]}}}],"schema":"https://github.com/citation-style-language/schema/raw/master/csl-citation.json"}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Van de Ven (1986)</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who argued that the practical activities generated around innovation can be categorised as innovative behaviour. Subsequent scholars have enriched and extended it, and two orientated views have gradually emerged. One of them is the result orientation, where employee innovation behaviour refers to employees generating ideas at work and using organisational resources to transform the ideas into practical methods or products at work, which are used to enhance organisational efficiency.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{"citationID":"10HcKudj","properties":{"formattedCitation":"(Lukes and Stephan, 2017)","plainCitation":"(Lukes and Stephan, 2017)","dontUpdate":true,"noteIndex":0},"citationItems":[{"id":"MRBxNWYl/Uj0h89Lm","uris":["http://zotero.org/users/10703570/items/FXN8LJX9"],"itemData":{"id":3845,"type":"article-journal","container-title":"International Journal of Entrepreneurial Behavior &amp; Research","ISSN":"1355-2554","issue":"1","journalAbbreviation":"International Journal of Entrepreneurial Behavior &amp; Research","note":"publisher: Emerald Publishing Limited","page":"136-158","title":"Measuring employee innovation: A review of existing scales and the development of the innovative behavior and innovation support inventories across cultures","volume":"23","author":[{"family":"Lukes","given":"Martin"},{"family":"Stephan","given":"Ute"}],"issued":{"date-parts":[["2017"]]}}}],"schema":"https://github.com/citation-style-language/schema/raw/master/csl-citation.json"}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Lukes and Stephan (2017)</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argued that employee innovation occurs in every employee in the organisation and is not limited to the top management and R&amp;D department, but employees can improve and optimise existing work processes or create new products in the organisation by enhancing their knowledge base and capabilities.</w:t>
      </w:r>
      <w:r w:rsidR="00681DE4" w:rsidRPr="00270BA8">
        <w:rPr>
          <w:rFonts w:ascii="Garamond" w:hAnsi="Garamond" w:cs="Times New Roman"/>
          <w:sz w:val="24"/>
          <w:szCs w:val="24"/>
          <w:lang w:val="en-GB"/>
        </w:rPr>
        <w:t xml:space="preserve"> Another approach to conceptuali</w:t>
      </w:r>
      <w:r w:rsidR="007747C6" w:rsidRPr="00270BA8">
        <w:rPr>
          <w:rFonts w:ascii="Garamond" w:hAnsi="Garamond" w:cs="Times New Roman"/>
          <w:sz w:val="24"/>
          <w:szCs w:val="24"/>
          <w:lang w:val="en-GB"/>
        </w:rPr>
        <w:t>s</w:t>
      </w:r>
      <w:r w:rsidR="00CB5613" w:rsidRPr="00270BA8">
        <w:rPr>
          <w:rFonts w:ascii="Garamond" w:hAnsi="Garamond" w:cs="Times New Roman"/>
          <w:sz w:val="24"/>
          <w:szCs w:val="24"/>
          <w:lang w:val="en-GB"/>
        </w:rPr>
        <w:t>ing</w:t>
      </w:r>
      <w:r w:rsidR="00681DE4" w:rsidRPr="00270BA8">
        <w:rPr>
          <w:rFonts w:ascii="Garamond" w:hAnsi="Garamond" w:cs="Times New Roman"/>
          <w:sz w:val="24"/>
          <w:szCs w:val="24"/>
          <w:lang w:val="en-GB"/>
        </w:rPr>
        <w:t xml:space="preserve"> employee innovation by focusing on </w:t>
      </w:r>
      <w:r w:rsidRPr="00270BA8">
        <w:rPr>
          <w:rFonts w:ascii="Garamond" w:hAnsi="Garamond" w:cs="Times New Roman"/>
          <w:sz w:val="24"/>
          <w:szCs w:val="24"/>
          <w:lang w:val="en-GB"/>
        </w:rPr>
        <w:t xml:space="preserve">process orientation, employee innovation behaviour is a continuous process, which contains several stages, each with different activities.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{"citationID":"E5o0XQbS","properties":{"formattedCitation":"(Scott and Bruce, 1994)","plainCitation":"(Scott and Bruce, 1994)","dontUpdate":true,"noteIndex":0},"citationItems":[{"id":"MRBxNWYl/qIKuHKK5","uris":["http://zotero.org/users/10703570/items/SCUV8UWJ"],"itemData":{"id":3913,"type":"article-journal","abstract":"The present study integrated a number of streams of research on the antecedents of innovation to develop and test a model of individual innovative behavior. Hypothesizing that leadership, individual problem-solving style, and work group relations affect innovative behavior directly and indirectly through their influence on perceptions of the climate for innovation, we used structural equation analysis to test the parameters of the proposed model simultaneously and also explored the moderating effect of task characteristics. The model explained approximately 37 percent of the variance in innovative behavior. Task type moderated the relationship between leader role expectations and innovative behavior.","container-title":"Academy of Management Journal","DOI":"10.5465/256701","ISSN":"0001-4273","issue":"3","journalAbbreviation":"AMJ","note":"publisher: Academy of Management","page":"580-607","source":"journals.aom.org (Atypon)","title":"Determinants of Innovative Behavior: A Path Model of Individual Innovation in the Workplace","title-short":"Determinants of Innovative Behavior","volume":"37","author":[{"family":"Scott","given":"Susanne G."},{"family":"Bruce","given":"Reginald A."}],"issued":{"date-parts":[["1994",6]]}}}],"schema":"https://github.com/citation-style-language/schema/raw/master/csl-citation.json"}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Scott and Bruce (1994)</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proposed that there are three stages of employee innovation behaviour</w:t>
      </w:r>
      <w:r w:rsidR="002A2A0B" w:rsidRPr="00270BA8">
        <w:rPr>
          <w:rFonts w:ascii="Garamond" w:hAnsi="Garamond" w:cs="Times New Roman"/>
          <w:sz w:val="24"/>
          <w:szCs w:val="24"/>
          <w:lang w:val="en-GB"/>
        </w:rPr>
        <w:t>:</w:t>
      </w:r>
      <w:r w:rsidRPr="00270BA8">
        <w:rPr>
          <w:rFonts w:ascii="Garamond" w:hAnsi="Garamond" w:cs="Times New Roman"/>
          <w:sz w:val="24"/>
          <w:szCs w:val="24"/>
          <w:lang w:val="en-GB"/>
        </w:rPr>
        <w:t xml:space="preserve"> firstly, employees will generate new concepts and ideas in their work, then they will seek support for the realisation of the new ideas, and finally, they will put the new ideas into practice and widely disseminate them in the right time.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{"citationID":"P7BQWmTB","properties":{"formattedCitation":"(Janssen, Castaldi and Alexiev, 2016)","plainCitation":"(Janssen, Castaldi and Alexiev, 2016)","dontUpdate":true,"noteIndex":0},"citationItems":[{"id":"MRBxNWYl/Iz5iqade","uris":["http://zotero.org/users/10703570/items/99JJ7A8J"],"itemData":{"id":3911,"type":"article-journal","abstract":"Although the development of new services is becoming a major concern for firms throughout the entire economy, there is only little insight in the organizational antecedents of service innovation. It is widely acknowledged that engaging in R&amp;D is relatively uncommon for service providers, but there are also indications that the R&amp;D concept is poorly applicable to service innovation in the first place. Therefore, attention is shifting toward the actual capabilities that allow a firm to source ideas and convert them into marketable service propositions. This paper provides the operationalization of a set of dynamic service innovation capabilities (DSICs) that is general enough to be relevant across different sectoral contexts. While the selected framework is found to consolidate earlier works on the specificities of service innovation, it also captures broad insights on the evolutionary properties of the creation of novel solutions. Thereby, it exemplifies how DSICs can be conceptualized according to the so-called synthesis approach to service innovation. We operationalize a refined version of such DSICs and develop a measurement scale, using two multi-industry subsamples from a dataset of 391 Dutch firms. The measured capabilities are found to correlate to different extents with performance measures. Our main contribution, a validated scale for five complementary DSICs, opens the way to comparative analyses regarding firm abilities for creating innovative services.","container-title":"R&amp;D Management","DOI":"10.1111/radm.12147","ISSN":"1467-9310","issue":"4","language":"en","license":"© 2015 RADMA and John Wiley &amp; Sons Ltd","note":"_eprint: https://onlinelibrary.wiley.com/doi/pdf/10.1111/radm.12147","page":"797-811","source":"Wiley Online Library","title":"Dynamic capabilities for service innovation: conceptualization and measurement","title-short":"Dynamic capabilities for service innovation","volume":"46","author":[{"family":"Janssen","given":"Matthijs J."},{"family":"Castaldi","given":"Carolina"},{"family":"Alexiev","given":"Alexander"}],"issued":{"date-parts":[["2016"]]}}}],"schema":"https://github.com/citation-style-language/schema/raw/master/csl-citation.json"}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Janssen, Castaldi and Alexiev (2016)</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in a slightly different view, suggest that after generating an idea, the employee will try to promote it before applying it, which in general divides innovative behaviour into three stages. Some scholars have also proposed a five-stage approach to this process: </w:t>
      </w:r>
      <w:r w:rsidR="00681DE4"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{"citationID":"Re3bfVmy","properties":{"formattedCitation":"(Kleysen and Street, 2001)","plainCitation":"(Kleysen and Street, 2001)","dontUpdate":true,"noteIndex":0},"citationItems":[{"id":"MRBxNWYl/NyeE8E6V","uris":["http://zotero.org/users/10703570/items/VHVJGRU6"],"itemData":{"id":3915,"type":"article-journal","abstract":"Individual level innovation studies often assess only one dimension of innovative behavior. As such, they do not sufficiently capture the richness of the construct of individual innovation. Develops and tests a multi</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dimensional measure of individual innovative behavior. Identifies descriptions of 289 innovation related behaviors and codes these into a hypothesized factor structure consisting of the following five dimensions: opportunity exploration, generativity, formative investigation, championing, and application. Structural equation modeling used on a sample of 225 employees from nine different organizations delivered a relatively poor fit between the hypothesized factor structure and respondents’ job behaviors. However, a single factor measure based on items representing all five factors resulted in an alpha reliability of 0.95 thus supporting a multi</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dimensional conceptualization of innovative behavior in general. Discusses implications for future research.","container-title":"Journal of Intellectual Capital","DOI":"10.1108/EUM0000000005660","ISSN":"1469-1930","issue":"3","note":"publisher: MCB UP Ltd","page":"284-296","source":"Emerald Insight","title":"Toward a multi</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 xml:space="preserve">dimensional measure of individual innovative behavior","volume":"2","author":[{"family":"Kleysen","given":"Robert F."},{"family":"Street","given":"Christopher T."}],"issued":{"date-parts":[["2001",1,1]]}}}],"schema":"https://github.com/citation-style-language/schema/raw/master/csl-citation.json"} </w:instrText>
      </w:r>
      <w:r w:rsidR="00681DE4" w:rsidRPr="00270BA8">
        <w:rPr>
          <w:rFonts w:ascii="Garamond" w:hAnsi="Garamond" w:cs="Times New Roman"/>
          <w:sz w:val="24"/>
          <w:szCs w:val="24"/>
          <w:lang w:val="en-GB"/>
        </w:rPr>
        <w:fldChar w:fldCharType="separate"/>
      </w:r>
      <w:r w:rsidR="00681DE4" w:rsidRPr="00270BA8">
        <w:rPr>
          <w:rFonts w:ascii="Garamond" w:hAnsi="Garamond" w:cs="Times New Roman"/>
          <w:sz w:val="24"/>
          <w:szCs w:val="24"/>
          <w:lang w:val="en-GB"/>
        </w:rPr>
        <w:t>Kleysen and Street (2001)</w:t>
      </w:r>
      <w:r w:rsidR="00681DE4"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argue that employee innovation behaviour is divided into five stages: the discovery of opportunities, the discovery of new ideas, the investigation of the conditions required for the realisation of the idea, the search for the support required for the realisation of the idea, and the transformation of the idea into a reality and its application.</w:t>
      </w:r>
    </w:p>
    <w:p w14:paraId="41F1B3A0" w14:textId="7C12E6E0" w:rsidR="003578D8" w:rsidRPr="00270BA8" w:rsidRDefault="00EC5EF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Scholars have defined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innovative behaviours based on different orientations</w:t>
      </w:r>
      <w:r w:rsidR="00270BA8">
        <w:rPr>
          <w:rFonts w:ascii="Garamond" w:hAnsi="Garamond" w:cs="Times New Roman"/>
          <w:sz w:val="24"/>
          <w:szCs w:val="24"/>
          <w:lang w:val="en-GB"/>
        </w:rPr>
        <w:t>. Although the perspectives are different, all of them include the generation and practice of new ideas. Hence,</w:t>
      </w:r>
      <w:r w:rsidRPr="00270BA8">
        <w:rPr>
          <w:rFonts w:ascii="Garamond" w:hAnsi="Garamond" w:cs="Times New Roman"/>
          <w:sz w:val="24"/>
          <w:szCs w:val="24"/>
          <w:lang w:val="en-GB"/>
        </w:rPr>
        <w:t xml:space="preserve"> </w:t>
      </w:r>
      <w:r w:rsidR="008A55A2" w:rsidRPr="00270BA8">
        <w:rPr>
          <w:rFonts w:ascii="Garamond" w:hAnsi="Garamond" w:cs="Times New Roman"/>
          <w:sz w:val="24"/>
          <w:szCs w:val="24"/>
          <w:lang w:val="en-GB"/>
        </w:rPr>
        <w:t xml:space="preserve">the present research </w:t>
      </w:r>
      <w:r w:rsidRPr="00270BA8">
        <w:rPr>
          <w:rFonts w:ascii="Garamond" w:hAnsi="Garamond" w:cs="Times New Roman"/>
          <w:sz w:val="24"/>
          <w:szCs w:val="24"/>
          <w:lang w:val="en-GB"/>
        </w:rPr>
        <w:t>defines it according to the needs of the research as the process in which employees generate new ideas and thoughts at work, improve and optimise the current implementation steps according to the actual work needs and ensure that the process brings beneficial effects</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{"citationID":"xoaK43Nw","properties":{"formattedCitation":"(Kwon and Kim, 2020; Nasifoglu Elidemir, Ozturen and Bayighomog, 2020; Purwanto {\\i{}et al.}, 2021)","plainCitation":"(Kwon and Kim, 2020; Nasifoglu Elidemir, Ozturen and Bayighomog, 2020; Purwanto et al., 2021)","noteIndex":0},"citationItems":[{"id":"MRBxNWYl/K9vq4DlO","uris":["http://zotero.org/users/10703570/items/U7E5PKU6"],"itemData":{"id":"MRBxNWYl/K9vq4DlO","type":"article-journal","abstract":"The purpose of the current literature review is to (a) provide a comprehensive understanding of the relationship between employee engagement and innovative behavior through the lens of the JD-R model; (b) identify and revisit the guiding theories underpinning employee engagement studies; and (c) construct an integrated conceptual framework based on empirically validated factors and their relationships, along with relevant theories. An integrative literature review of 34 empirical studies indicates that employees perceive a mix of reasonably high demands and high resources to be ideal for their engagement, innovative behavior is a consequence of these delicate interactions, and engaged employees are more likely to behave innovatively by activating coping strategies to deal with challenges. Together, these findings suggest an integrated conceptual framework that refines the original JD-R model and that in doing so, better explicates the dynamics surrounding employee engagement and innovative behavior. Key implications for research and practice are provided.","container-title":"Human Resource Management Review","DOI":"10.1016/j.hrmr.2019.100704","ISSN":"1053-4822","issue":"2","journalAbbreviation":"Human Resource Management Review","page":"100704","source":"ScienceDirect","title":"An integrative literature review of employee engagement and innovative behavior: Revisiting the JD-R model","title-short":"An integrative literature review of employee engagement and innovative behavior","volume":"30","author":[{"family":"Kwon","given":"Kibum"},{"family":"Kim","given":"Taesung"}],"issued":{"date-parts":[["2020",6,1]]}}},{"id":5359,"uris":["http://zotero.org/users/10703570/items/UGBG7MBV"],"itemData":{"id":5359,"type":"article-journal","container-title":"Sustainability","ISSN":"2071-1050","issue":"8","journalAbbreviation":"Sustainability","note":"publisher: MDPI","page":"3295","title":"Innovative behaviors, employee creativity, and sustainable competitive advantage: A moderated mediation","volume":"12","author":[{"family":"Nasifoglu Elidemir","given":"Servet"},{"family":"Ozturen","given":"Ali"},{"family":"Bayighomog","given":"Steven W"}],"issued":{"date-parts":[["2020"]]}}},{"id":5361,"uris":["http://zotero.org/users/10703570/items/VXYQDQ9S"],"itemData":{"id":5361,"type":"article-journal","abstract":"This research aims to measure the effect of authentic leadership style and psychological capital on the innovative work behavior of a manufacturing company in Indonesia. Psychological capital also plays a role as a mediation between the relationship between authentic leadership and innovative work behavior. Data collection was carried out by simple random sampling to the 213 population. The returned and valid questionnaire results were 195 samples. Data processing was using the SEM method with SmartPLS 3.0 software. The results of this research are authentic leadership style and psychological capital have a positive and significant effect on innovative work behavior. Psychological capital as a mediator for the relationship between authentic leadership style and innovative work behavior. This novel research is proposing a model to enhance innovative work behavior among employees of a manufacturing company in Indonesia through authentic leadership practice and psychological capital. This research can pave the way to improve employee readiness in facing global business competition.","container-title":"International Journal of Social and Management Studies","DOI":"10.5555/ijosmas.v2i1.4","ISSN":"2775-0809","issue":"1","language":"en","license":"Copyright (c) 2021  International Journal of Social and Management Studies","note":"number: 1","page":"1-13","source":"www.ijosmas.org","title":"Effect of Psychological Capital and Authentic Leadership on Innovation Work Behavior","volume":"2","author":[{"family":"Purwanto","given":"Agus"},{"family":"Asbari","given":"Masduki"},{"family":"Hartuti","given":"Hartuti"},{"family":"Setiana","given":"Yuni Nuraeni"},{"family":"Fahmi","given":"Khaerul"}],"issued":{"date-parts":[["2021",1,23]]}}}],"schema":"https://github.com/citation-style-language/schema/raw/master/csl-citation.json"}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cs="Times New Roman"/>
          <w:sz w:val="24"/>
          <w:szCs w:val="32"/>
        </w:rPr>
        <w:t xml:space="preserve">(Kwon and Kim, 2020; Nasifoglu Elidemir, Ozturen and Bayighomog, 2020; Purwanto </w:t>
      </w:r>
      <w:r w:rsidR="00270BA8" w:rsidRPr="00270BA8">
        <w:rPr>
          <w:rFonts w:ascii="Garamond" w:hAnsi="Garamond" w:cs="Times New Roman"/>
          <w:i/>
          <w:iCs/>
          <w:sz w:val="24"/>
          <w:szCs w:val="32"/>
        </w:rPr>
        <w:t>et al.</w:t>
      </w:r>
      <w:r w:rsidR="00270BA8" w:rsidRPr="00270BA8">
        <w:rPr>
          <w:rFonts w:ascii="Garamond" w:hAnsi="Garamond" w:cs="Times New Roman"/>
          <w:sz w:val="24"/>
          <w:szCs w:val="32"/>
        </w:rPr>
        <w:t>, 2021)</w:t>
      </w:r>
      <w:r w:rsidR="00270BA8"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By combing through the literature related to innovative behaviour, this paper finds that innovative behaviour has always been a hot topic, while scholars at home and abroad generally take innovative behaviour as an outcome variable to be studied, and academic research on its influencing factors </w:t>
      </w:r>
      <w:r w:rsidRPr="00270BA8">
        <w:rPr>
          <w:rFonts w:ascii="Garamond" w:hAnsi="Garamond" w:cs="Times New Roman"/>
          <w:sz w:val="24"/>
          <w:szCs w:val="24"/>
          <w:lang w:val="en-GB"/>
        </w:rPr>
        <w:lastRenderedPageBreak/>
        <w:t>mainly focuses on the individual level (psychological characteristics and external behaviour of employees) and the organisational level (organisational context and leadership style)</w:t>
      </w:r>
      <w:r w:rsidR="008A55A2" w:rsidRPr="00270BA8">
        <w:rPr>
          <w:rFonts w:ascii="Garamond" w:hAnsi="Garamond" w:cs="Times New Roman"/>
          <w:sz w:val="24"/>
          <w:szCs w:val="24"/>
          <w:lang w:val="en-GB"/>
        </w:rPr>
        <w:t xml:space="preserve"> </w:t>
      </w:r>
      <w:r w:rsidR="008A55A2"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{"citationID":"qHeIDZDf","properties":{"formattedCitation":"(Tierney and Farmer, 2002; de Jong and Den Hartog, 2007; Yuan and Woodman, 2010)","plainCitation":"(Tierney and Farmer, 2002; de Jong and Den Hartog, 2007; Yuan and Woodman, 2010)","noteIndex":0},"citationItems":[{"id":"MRBxNWYl/uZML4wf1","uris":["http://zotero.org/users/10703570/items/HQG7Z8FI"],"itemData":{"id":3922,"type":"article-journal","abstract":"Using data from two different firms, this study tested a new construct, creative self-efficacy, tapping employees' belief) that they can be creative in their work roles. Results support the discriminant validity of the construct and indicate that job tenure, job self-efficacy, supervisor behavior, and job complexity contribute to creative efficacy beliefs. Creative self-efficacy also predicted creative performance beyond the predictive effects of job self-efficacy. Differences in results between white-collar and blue-collar samples suggest considerations for both theory and practice.","container-title":"Academy of Management Journal","DOI":"10.5465/3069429","ISSN":"0001-4273","issue":"6","journalAbbreviation":"AMJ","note":"publisher: Academy of Management","page":"1137-1148","source":"journals.aom.org (Atypon)","title":"Creative Self-Efficacy: Its Potential Antecedents and Relationship to Creative Performance","title-short":"Creative Self-Efficacy","volume":"45","author":[{"family":"Tierney","given":"Pamela"},{"family":"Farmer","given":"Steven M."}],"issued":{"date-parts":[["2002",12]]}}},{"id":"MRBxNWYl/5rqRUS9P","uris":["http://zotero.org/users/10703570/items/YBHKS9KJ"],"itemData":{"id":3920,"type":"article-journal","abstract":"Purpose – To provide an inventory of leader behaviours likely to enhance employees' innovative behaviour, including idea generation and application behaviour. Design/methodology/approach – Based on a combination of literature research and in</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depth interviews, the paper explores leadership behaviours that stimulate employees' idea generation and application behaviour. The study was carried out in knowledge</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 xml:space="preserve">intensive service firms (e.g. consultants, researchers, engineers). Findings </w:instrText>
      </w:r>
      <w:r w:rsidR="00D265CC" w:rsidRPr="00270BA8">
        <w:rPr>
          <w:rFonts w:ascii="Garamond" w:hAnsi="Garamond" w:cs="Garamond"/>
          <w:sz w:val="24"/>
          <w:szCs w:val="24"/>
          <w:lang w:val="en-GB"/>
        </w:rPr>
        <w:instrText>–</w:instrText>
      </w:r>
      <w:r w:rsidR="00D265CC" w:rsidRPr="00270BA8">
        <w:rPr>
          <w:rFonts w:ascii="Garamond" w:hAnsi="Garamond" w:cs="Times New Roman"/>
          <w:sz w:val="24"/>
          <w:szCs w:val="24"/>
          <w:lang w:val="en-GB"/>
        </w:rPr>
        <w:instrText xml:space="preserve"> It was found that there were 13 relevant leadership behaviours. Although innovative behaviour is crucial in such firms, it has received very little attention from researchers. Leaders influence employees' innovative behaviour both through their deliberate actions aiming to stimulate idea generation and application as well as by their more general, daily behaviour. Research limitations/implications – Future quantitative research could condense our overview of leader practices, explore which practices are most relevant to employees' idea generation and/or application behaviour, which contingency factors influence the leadership</w:instrText>
      </w:r>
      <w:r w:rsidR="00D265CC" w:rsidRPr="00270BA8">
        <w:rPr>
          <w:rFonts w:ascii="Cambria Math" w:hAnsi="Cambria Math" w:cs="Cambria Math"/>
          <w:sz w:val="24"/>
          <w:szCs w:val="24"/>
          <w:lang w:val="en-GB"/>
        </w:rPr>
        <w:instrText>‐</w:instrText>
      </w:r>
      <w:r w:rsidR="00D265CC" w:rsidRPr="00270BA8">
        <w:rPr>
          <w:rFonts w:ascii="Garamond" w:hAnsi="Garamond" w:cs="Times New Roman"/>
          <w:sz w:val="24"/>
          <w:szCs w:val="24"/>
          <w:lang w:val="en-GB"/>
        </w:rPr>
        <w:instrText xml:space="preserve">innovative behaviour connection and provide information as to whether different practices are relevant in other types of firms. Originality/value </w:instrText>
      </w:r>
      <w:r w:rsidR="00D265CC" w:rsidRPr="00270BA8">
        <w:rPr>
          <w:rFonts w:ascii="Garamond" w:hAnsi="Garamond" w:cs="Garamond"/>
          <w:sz w:val="24"/>
          <w:szCs w:val="24"/>
          <w:lang w:val="en-GB"/>
        </w:rPr>
        <w:instrText>–</w:instrText>
      </w:r>
      <w:r w:rsidR="00D265CC" w:rsidRPr="00270BA8">
        <w:rPr>
          <w:rFonts w:ascii="Garamond" w:hAnsi="Garamond" w:cs="Times New Roman"/>
          <w:sz w:val="24"/>
          <w:szCs w:val="24"/>
          <w:lang w:val="en-GB"/>
        </w:rPr>
        <w:instrText xml:space="preserve"> Neither the innovation nor the leadership field provides a detailed overview of specific behaviours that leaders might use to stimulate innovation by individual employees. This paper fills that void.","container-title":"European Journal of Innovation Management","DOI":"10.1108/14601060710720546","ISSN":"1460-1060","issue":"1","note":"publisher: Emerald Group Publishing Limited","page":"41-64","source":"Emerald Insight","title":"How leaders influence employees' innovative behaviour","volume":"10","author":[{"family":"Jong","given":"Jeroen P.J.","non-dropping-particle":"de"},{"family":"Den Hartog","given":"Deanne N."}],"issued":{"date-parts":[["2007",1,1]]}}},{"id":"MRBxNWYl/w5XbiOvr","uris":["http://zotero.org/users/10703570/items/NWY5AMV7"],"itemData":{"id":3918,"type":"article-journal","abstract":"Why do employees engage in innovative behavior at their workplaces? We examine how employees' innovative behavior is explained by expectations for such behavior to affect job performance (expected positive performance outcomes) and image inside their organizations (expected image risks and expected image gains). We found significant effects of all three outcome expectations on innovative behavior. These outcome expectations, as intermediate psychological processes, were shaped by contextual and individual difference factors, including perceived organization support for innovation, supervisor relationship quality, job requirement for innovativeness, employee reputation as innovative, and individual dissatisfaction with the status quo.","container-title":"Academy of Management Journal","DOI":"10.5465/amj.2010.49388995","ISSN":"0001-4273","issue":"2","journalAbbreviation":"AMJ","note":"publisher: Academy of Management","page":"323-342","source":"journals.aom.org (Atypon)","title":"Innovative Behavior in the Workplace: The Role of Performance and Image Outcome Expectations","title-short":"Innovative Behavior in the Workplace","volume":"53","author":[{"family":"Yuan","given":"Feirong"},{"family":"Woodman","given":"Richard W."}],"issued":{"date-parts":[["2010",4]]}}}],"schema":"https://github.com/citation-style-language/schema/raw/master/csl-citation.json"} </w:instrText>
      </w:r>
      <w:r w:rsidR="008A55A2" w:rsidRPr="00270BA8">
        <w:rPr>
          <w:rFonts w:ascii="Garamond" w:hAnsi="Garamond" w:cs="Times New Roman"/>
          <w:sz w:val="24"/>
          <w:szCs w:val="24"/>
          <w:lang w:val="en-GB"/>
        </w:rPr>
        <w:fldChar w:fldCharType="separate"/>
      </w:r>
      <w:r w:rsidR="008A55A2" w:rsidRPr="00270BA8">
        <w:rPr>
          <w:rFonts w:ascii="Garamond" w:hAnsi="Garamond" w:cs="Times New Roman"/>
          <w:sz w:val="24"/>
          <w:szCs w:val="24"/>
          <w:lang w:val="en-GB"/>
        </w:rPr>
        <w:t>(Tierney and Farmer, 2002; de Jong and Den Hartog, 2007; Yuan and Woodman, 2010)</w:t>
      </w:r>
      <w:r w:rsidR="008A55A2"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w:t>
      </w:r>
    </w:p>
    <w:p w14:paraId="33E93D59" w14:textId="4349589B" w:rsidR="00EC5EFF" w:rsidRPr="00270BA8" w:rsidRDefault="002A2A0B" w:rsidP="00270BA8">
      <w:pPr>
        <w:pStyle w:val="2"/>
        <w:spacing w:before="120" w:after="360" w:line="360" w:lineRule="auto"/>
        <w:rPr>
          <w:rFonts w:ascii="Garamond" w:hAnsi="Garamond"/>
        </w:rPr>
      </w:pPr>
      <w:bookmarkStart w:id="15" w:name="_Toc164360746"/>
      <w:bookmarkStart w:id="16" w:name="_Toc171702281"/>
      <w:r w:rsidRPr="00270BA8">
        <w:rPr>
          <w:rFonts w:ascii="Garamond" w:hAnsi="Garamond"/>
        </w:rPr>
        <w:t xml:space="preserve">2.3 The </w:t>
      </w:r>
      <w:r w:rsidR="00270BA8">
        <w:rPr>
          <w:rFonts w:ascii="Garamond" w:hAnsi="Garamond" w:hint="eastAsia"/>
        </w:rPr>
        <w:t>c</w:t>
      </w:r>
      <w:r w:rsidRPr="00270BA8">
        <w:rPr>
          <w:rFonts w:ascii="Garamond" w:hAnsi="Garamond"/>
        </w:rPr>
        <w:t>onceptuali</w:t>
      </w:r>
      <w:r w:rsidR="00270BA8">
        <w:rPr>
          <w:rFonts w:ascii="Garamond" w:hAnsi="Garamond"/>
        </w:rPr>
        <w:t>s</w:t>
      </w:r>
      <w:r w:rsidRPr="00270BA8">
        <w:rPr>
          <w:rFonts w:ascii="Garamond" w:hAnsi="Garamond"/>
        </w:rPr>
        <w:t xml:space="preserve">ation of </w:t>
      </w:r>
      <w:r w:rsidR="00270BA8">
        <w:rPr>
          <w:rFonts w:ascii="Garamond" w:hAnsi="Garamond" w:hint="eastAsia"/>
        </w:rPr>
        <w:t>k</w:t>
      </w:r>
      <w:r w:rsidR="00EC5EFF" w:rsidRPr="00270BA8">
        <w:rPr>
          <w:rFonts w:ascii="Garamond" w:hAnsi="Garamond"/>
        </w:rPr>
        <w:t xml:space="preserve">nowledge </w:t>
      </w:r>
      <w:r w:rsidR="00270BA8">
        <w:rPr>
          <w:rFonts w:ascii="Garamond" w:hAnsi="Garamond" w:hint="eastAsia"/>
        </w:rPr>
        <w:t>s</w:t>
      </w:r>
      <w:r w:rsidR="00EC5EFF" w:rsidRPr="00270BA8">
        <w:rPr>
          <w:rFonts w:ascii="Garamond" w:hAnsi="Garamond"/>
        </w:rPr>
        <w:t>haring</w:t>
      </w:r>
      <w:bookmarkEnd w:id="15"/>
      <w:bookmarkEnd w:id="16"/>
      <w:r w:rsidR="00EC5EFF" w:rsidRPr="00270BA8">
        <w:rPr>
          <w:rFonts w:ascii="Garamond" w:hAnsi="Garamond"/>
        </w:rPr>
        <w:t xml:space="preserve"> </w:t>
      </w:r>
    </w:p>
    <w:p w14:paraId="591AEE4E" w14:textId="65D71FB0" w:rsidR="003578D8" w:rsidRPr="00270BA8" w:rsidRDefault="002A2A0B"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Knowledge sharing has been repeatedly mentioned in the study of variables related to employee innovation behaviour and is one of the important antecedent variables of employee innovation behaviour</w:t>
      </w:r>
      <w:r w:rsidR="00270BA8">
        <w:rPr>
          <w:rFonts w:ascii="Garamond" w:hAnsi="Garamond" w:cs="Times New Roman"/>
          <w:sz w:val="24"/>
          <w:szCs w:val="24"/>
          <w:lang w:val="en-GB"/>
        </w:rPr>
        <w:t>.</w:t>
      </w:r>
      <w:r w:rsidRPr="00270BA8">
        <w:rPr>
          <w:rFonts w:ascii="Garamond" w:hAnsi="Garamond" w:cs="Times New Roman"/>
          <w:sz w:val="24"/>
          <w:szCs w:val="24"/>
          <w:lang w:val="en-GB"/>
        </w:rPr>
        <w:t xml:space="preserve"> </w:t>
      </w:r>
      <w:r w:rsidR="00270BA8">
        <w:rPr>
          <w:rFonts w:ascii="Garamond" w:hAnsi="Garamond" w:cs="Times New Roman"/>
          <w:sz w:val="24"/>
          <w:szCs w:val="24"/>
          <w:lang w:val="en-GB"/>
        </w:rPr>
        <w:t>M</w:t>
      </w:r>
      <w:r w:rsidRPr="00270BA8">
        <w:rPr>
          <w:rFonts w:ascii="Garamond" w:hAnsi="Garamond" w:cs="Times New Roman"/>
          <w:sz w:val="24"/>
          <w:szCs w:val="24"/>
          <w:lang w:val="en-GB"/>
        </w:rPr>
        <w:t xml:space="preserve">any scholars have different insights into the connotation and extension of knowledge sharing, such as knowledge re-transferring refers to the transfer of knowledge in a certain field from individual ownership to </w:t>
      </w:r>
      <w:r w:rsidR="00270BA8">
        <w:rPr>
          <w:rFonts w:ascii="Garamond" w:hAnsi="Garamond" w:cs="Times New Roman"/>
          <w:sz w:val="24"/>
          <w:szCs w:val="24"/>
          <w:lang w:val="en-GB"/>
        </w:rPr>
        <w:t>an</w:t>
      </w:r>
      <w:r w:rsidRPr="00270BA8">
        <w:rPr>
          <w:rFonts w:ascii="Garamond" w:hAnsi="Garamond" w:cs="Times New Roman"/>
          <w:sz w:val="24"/>
          <w:szCs w:val="24"/>
          <w:lang w:val="en-GB"/>
        </w:rPr>
        <w:t>other individual or collective ownership in a certain way, and then there are examples of knowledge sharing, and the knowledge is transferred and exchanged more than once, and so on</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{"citationID":"keNuzhru","properties":{"formattedCitation":"(Fakhar Manesh {\\i{}et al.}, 2021; Singh {\\i{}et al.}, 2021)","plainCitation":"(Fakhar Manesh et al., 2021; Singh et al., 2021)","noteIndex":0},"citationItems":[{"id":5365,"uris":["http://zotero.org/users/10703570/items/9TYWC7WN"],"itemData":{"id":5365,"type":"article-journal","abstract":"Due to increased competitive pressure, modern organizations tend to rely on knowledge and its exploitation to sustain a long-term advantage. This calls for a precise understanding of knowledge management (KM) processes and, specifically, how knowledge is created, shared/transferred, acquired, stored/retrieved, and applied throughout an organizational system. However, since the beginning of the new millennium, such KM processes have been deeply affected and molded by the advent of the fourth industrial revolution, also called Industry 4.0, which involves the interconnectedness of machines and their ability to learn and share data autonomously. For this reason, the present article investigates the intellectual structure and trends of KM in Industry 4.0. Bibliometric analysis and a systematic literature review are conducted on a total of 90 relevant articles. The results reveal six clusters of keywords, subsequently explored via a systematic literature review to identify potential stream of this emergent field and future research avenues capable of producing meaningful advances in managerial knowledge of Industry 4.0 and its consequences.","container-title":"IEEE Transactions on Engineering Management","DOI":"10.1109/TEM.2019.2963489","ISSN":"1558-0040","issue":"1","note":"event-title: IEEE Transactions on Engineering Management","page":"289-300","source":"IEEE Xplore","title":"Knowledge Management in the Fourth Industrial Revolution: Mapping the Literature and Scoping Future Avenues","title-short":"Knowledge Management in the Fourth Industrial Revolution","volume":"68","author":[{"family":"Fakhar Manesh","given":"Mohammad"},{"family":"Pellegrini","given":"Massimiliano Matteo"},{"family":"Marzi","given":"Giacomo"},{"family":"Dabic","given":"Marina"}],"issued":{"date-parts":[["2021",2]]}}},{"id":5363,"uris":["http://zotero.org/users/10703570/items/DXN6Q2KX"],"itemData":{"id":5363,"type":"article-journal","abstract":"Drawing upon resource-based theory (RBT) and social capital theory (SCT), this study examines how do multinational enterprises (MNEs) in the emerging markets (EMs) utilize strategic resources to drive innovation performance. We used a survey questionnaire to collect data from 352 supervisor-subordinate dyadic samples in the MNEs in the EMs. The data collected was analyzed using structural equation modeling (SEM) to examine the study's hypotheses. We found that knowledge-based HRM practices directly and indirectly through social capital influence knowledge sharing behaviors in the MNEs. Furthermore, the study's findings suggest that knowledge sharing mediates the influence of social capital on innovation performance. Moreover, this study empirically suggests how knowledge-based HRM practices through the mediating role of social capital and knowledge sharing on innovation performance. This study's essential contribution is to extend and enrich the RBT, SCT, HRM, knowledge, and innovation literature in the field.","container-title":"Journal of International Management","DOI":"10.1016/j.intman.2021.100830","ISSN":"1075-4253","issue":"1","journalAbbreviation":"Journal of International Management","page":"100830","source":"ScienceDirect","title":"Knowledge-based HRM practices and innovation performance: Role of social capital and knowledge sharing","title-short":"Knowledge-based HRM practices and innovation performance","volume":"27","author":[{"family":"Singh","given":"Sanjay Kumar"},{"family":"Mazzucchelli","given":"Alice"},{"family":"Vessal","given":"Saeedeh Rezaee"},{"family":"Solidoro","given":"Adriano"}],"issued":{"date-parts":[["2021",3,1]]}}}],"schema":"https://github.com/citation-style-language/schema/raw/master/csl-citation.json"}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cs="Times New Roman"/>
          <w:sz w:val="24"/>
          <w:szCs w:val="32"/>
        </w:rPr>
        <w:t xml:space="preserve">(Fakhar Manesh </w:t>
      </w:r>
      <w:r w:rsidR="00270BA8" w:rsidRPr="00270BA8">
        <w:rPr>
          <w:rFonts w:ascii="Garamond" w:hAnsi="Garamond" w:cs="Times New Roman"/>
          <w:i/>
          <w:iCs/>
          <w:sz w:val="24"/>
          <w:szCs w:val="32"/>
        </w:rPr>
        <w:t>et al.</w:t>
      </w:r>
      <w:r w:rsidR="00270BA8" w:rsidRPr="00270BA8">
        <w:rPr>
          <w:rFonts w:ascii="Garamond" w:hAnsi="Garamond" w:cs="Times New Roman"/>
          <w:sz w:val="24"/>
          <w:szCs w:val="32"/>
        </w:rPr>
        <w:t xml:space="preserve">, 2021; Singh </w:t>
      </w:r>
      <w:r w:rsidR="00270BA8" w:rsidRPr="00270BA8">
        <w:rPr>
          <w:rFonts w:ascii="Garamond" w:hAnsi="Garamond" w:cs="Times New Roman"/>
          <w:i/>
          <w:iCs/>
          <w:sz w:val="24"/>
          <w:szCs w:val="32"/>
        </w:rPr>
        <w:t>et al.</w:t>
      </w:r>
      <w:r w:rsidR="00270BA8" w:rsidRPr="00270BA8">
        <w:rPr>
          <w:rFonts w:ascii="Garamond" w:hAnsi="Garamond" w:cs="Times New Roman"/>
          <w:sz w:val="24"/>
          <w:szCs w:val="32"/>
        </w:rPr>
        <w:t>, 2021)</w:t>
      </w:r>
      <w:r w:rsidR="00270BA8"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Research on the connotation and dimensionality of knowledge-sharing has not yet reached a consensus, and the three mainstream dimensionality divisions are explicit and tacit knowledge-sharing dimensions, knowledge contribution and collection dimensions, and formal and informal knowledge-sharing dimensions</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{"citationID":"XfhRes81","properties":{"formattedCitation":"(Musen, 1992; Wang and Noe, 2010)","plainCitation":"(Musen, 1992; Wang and Noe, 2010)","noteIndex":0},"citationItems":[{"id":5369,"uris":["http://zotero.org/users/10703570/items/VJ933GY9"],"itemData":{"id":5369,"type":"article-journal","abstract":"Many workers in medical informatics are seeking to reuse knowledge in new applications and to share encoded knowledge across software environments. Knowledge reuse involves many dimensions, including the reapplication of lexicons, ontologies, inference syntax, tasks, and problem-solving methods. Principal obstacles to all current work in knowledge sharing involve the difficulties of achieving consensus regarding what knowledge representations mean, of enumerating the context features and background knowledge required to ascribe meaning to a particular knowledge representation, and of describing knowledge independent of specific interpreters or inference engines. Progress in the area of knowledge sharing will necessitate more practical experience with attempts to interchange knowledge as well as better tools for viewing and editing knowledge representations at appropriate levels of abstraction. The PROTÉGÉ-II project is one attempt to provide a knowledge-base authoring environment in which developers can experiment with the reuse of knowledge-level problemsolving methods, task models, and domain ontologies.","container-title":"Computers and Biomedical Research","DOI":"10.1016/0010-4809(92)90003-S","ISSN":"0010-4809","issue":"5","journalAbbreviation":"Computers and Biomedical Research","page":"435-467","source":"ScienceDirect","title":"Dimensions of knowledge sharing and reuse","volume":"25","author":[{"family":"Musen","given":"Mark A."}],"issued":{"date-parts":[["1992",10,1]]}}},{"id":5367,"uris":["http://zotero.org/users/10703570/items/ZP8ATMSJ"],"itemData":{"id":5367,"type":"article-journal","abstract":"The success of knowledge management initiatives depends on knowledge sharing. This paper reviews qualitative and quantitative studies of individual-level knowledge sharing. Based on the literature review we developed a framework for understanding knowledge sharing research. The framework identifies five areas of emphasis of knowledge sharing research: organizational context, interpersonal and team characteristics, cultural characteristics, individual characteristics, and motivational factors. For each emphasis area the paper discusses the theoretical frameworks used and summarizes the empirical research results. The paper concludes with a discussion of emerging issues, new research directions, and practical implications of knowledge sharing research.","container-title":"Human Resource Management Review","DOI":"10.1016/j.hrmr.2009.10.001","ISSN":"1053-4822","issue":"2","journalAbbreviation":"Human Resource Management Review","page":"115-131","source":"ScienceDirect","title":"Knowledge sharing: A review and directions for future research","title-short":"Knowledge sharing","volume":"20","author":[{"family":"Wang","given":"Sheng"},{"family":"Noe","given":"Raymond A."}],"issued":{"date-parts":[["2010",6,1]]}}}],"schema":"https://github.com/citation-style-language/schema/raw/master/csl-citation.json"}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sz w:val="24"/>
          <w:szCs w:val="28"/>
        </w:rPr>
        <w:t>(Musen, 1992; Wang and Noe, 2010)</w:t>
      </w:r>
      <w:r w:rsidR="00270BA8"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w:t>
      </w:r>
      <w:r w:rsidR="008A55A2"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{"citationID":"dXtqTYP2","properties":{"formattedCitation":"(Argote, McEvily and Reagans, 2003)","plainCitation":"(Argote, McEvily and Reagans, 2003)","dontUpdate":true,"noteIndex":0},"citationItems":[{"id":"MRBxNWYl/e5ugxFYf","uris":["http://zotero.org/users/10703570/items/AP3TUJ9U"],"itemData":{"id":3926,"type":"article-journal","abstract":"In this concluding article to the Management Science special issue on “Managing Knowledge in Organizations: Creating, Retaining, and Transferring Knowledge,” we provide an integrative framework for organizing the literature on knowledge management. The framework has two dimensions. The knowledge management outcomes of knowledge creation, retention, and transfer are represented along one dimension. Properties of the context within which knowledge management occurs are represented on the other dimension. These properties, which affect knowledge management outcomes, can be organized according to whether they are properties of a unit (e.g., individual, group, organization) involved in knowledge management, properties of relationships between units or properties of the knowledge itself. The framework is used to identify where research findings about knowledge management converge and where gaps in our understanding exist. The article discusses mechanisms of knowledge management and how those mechanisms affect a unit's ability to create, retain and transfer knowledge. Emerging themes in the literature on knowledge management are identified. Directions for future research are suggested.","container-title":"Management Science","DOI":"10.1287/mnsc.49.4.571.14424","ISSN":"0025-1909","issue":"4","note":"publisher: INFORMS","page":"571-582","source":"pubsonline.informs.org (Atypon)","title":"Managing Knowledge in Organizations: An Integrative Framework and Review of Emerging Themes","title-short":"Managing Knowledge in Organizations","volume":"49","author":[{"family":"Argote","given":"Linda"},{"family":"McEvily","given":"Bill"},{"family":"Reagans","given":"Ray"}],"issued":{"date-parts":[["2003",4]]}}}],"schema":"https://github.com/citation-style-language/schema/raw/master/csl-citation.json"} </w:instrText>
      </w:r>
      <w:r w:rsidR="008A55A2" w:rsidRPr="00270BA8">
        <w:rPr>
          <w:rFonts w:ascii="Garamond" w:hAnsi="Garamond" w:cs="Times New Roman"/>
          <w:sz w:val="24"/>
          <w:szCs w:val="24"/>
          <w:lang w:val="en-GB"/>
        </w:rPr>
        <w:fldChar w:fldCharType="separate"/>
      </w:r>
      <w:r w:rsidR="008A55A2" w:rsidRPr="00270BA8">
        <w:rPr>
          <w:rFonts w:ascii="Garamond" w:hAnsi="Garamond" w:cs="Times New Roman"/>
          <w:sz w:val="24"/>
          <w:szCs w:val="24"/>
          <w:lang w:val="en-GB"/>
        </w:rPr>
        <w:t>Argote, McEvily and Reagans (2003)</w:t>
      </w:r>
      <w:r w:rsidR="008A55A2" w:rsidRPr="00270BA8">
        <w:rPr>
          <w:rFonts w:ascii="Garamond" w:hAnsi="Garamond" w:cs="Times New Roman"/>
          <w:sz w:val="24"/>
          <w:szCs w:val="24"/>
          <w:lang w:val="en-GB"/>
        </w:rPr>
        <w:fldChar w:fldCharType="end"/>
      </w:r>
      <w:r w:rsidR="00EC5EFF" w:rsidRPr="00270BA8">
        <w:rPr>
          <w:rFonts w:ascii="Garamond" w:hAnsi="Garamond" w:cs="Times New Roman"/>
          <w:sz w:val="24"/>
          <w:szCs w:val="24"/>
          <w:lang w:val="en-GB"/>
        </w:rPr>
        <w:t>, based on the social exchange perspective, believe that knowledge sharing has a reciprocal component, where knowledge owners share their knowledge with others, shifting the ownership of knowledge from an individual to a department or a collective, which will be conducive to the establishment of corporate advantage</w:t>
      </w:r>
      <w:r w:rsidR="008A55A2" w:rsidRPr="00270BA8">
        <w:rPr>
          <w:rFonts w:ascii="Garamond" w:hAnsi="Garamond" w:cs="Times New Roman"/>
          <w:sz w:val="24"/>
          <w:szCs w:val="24"/>
          <w:lang w:val="en-GB"/>
        </w:rPr>
        <w:t xml:space="preserve">. </w:t>
      </w:r>
      <w:r w:rsidR="008A55A2"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{"citationID":"YT4c4JvY","properties":{"formattedCitation":"(Wang, Noe and Wang, 2014)","plainCitation":"(Wang, Noe and Wang, 2014)","dontUpdate":true,"noteIndex":0},"citationItems":[{"id":"MRBxNWYl/xC65HCd6","uris":["http://zotero.org/users/10703570/items/BMX79H7G"],"itemData":{"id":3927,"type":"article-journal","abstract":"Many organizations are using knowledge management systems (KMSs) to facilitate knowledge sharing. However, few studies have empirically investigated how individual characteristics and organizational work practices influence knowledge sharing. Based on accountability theory, the person–situation interactional psychology perspective, and the five-factor model of personality, this study uses a quasi-experimental design to investigate how two accountability-inducing management practices—evaluation and evaluation plus reward—and their interactions with personality characteristics influence knowledge sharing using a KMS. One hundred employees from a Chinese software company participated in the study. The authors found that both evaluation and evaluation plus reward had a positive relationship with knowledge sharing. Greater levels of knowledge sharing occurred in the evaluation-plus-reward condition compared with the evaluation condition. Also, knowledge sharing was influenced by the interaction between evaluation plus reward and conscientiousness, neuroticism, and openness to experience. Implications of the study results for research and practice are discussed.","container-title":"Journal of Management","DOI":"10.1177/0149206311412192","ISSN":"0149-2063","issue":"4","language":"en","note":"publisher: SAGE Publications Inc","page":"978-1009","source":"SAGE Journals","title":"Motivating Knowledge Sharing in Knowledge Management Systems: A Quasi–Field Experiment","title-short":"Motivating Knowledge Sharing in Knowledge Management Systems","volume":"40","author":[{"family":"Wang","given":"Sheng"},{"family":"Noe","given":"Raymond A."},{"family":"Wang","given":"Zhong-Ming"}],"issued":{"date-parts":[["2014",5,1]]}}}],"schema":"https://github.com/citation-style-language/schema/raw/master/csl-citation.json"} </w:instrText>
      </w:r>
      <w:r w:rsidR="008A55A2" w:rsidRPr="00270BA8">
        <w:rPr>
          <w:rFonts w:ascii="Garamond" w:hAnsi="Garamond" w:cs="Times New Roman"/>
          <w:sz w:val="24"/>
          <w:szCs w:val="24"/>
          <w:lang w:val="en-GB"/>
        </w:rPr>
        <w:fldChar w:fldCharType="separate"/>
      </w:r>
      <w:r w:rsidR="008A55A2" w:rsidRPr="00270BA8">
        <w:rPr>
          <w:rFonts w:ascii="Garamond" w:hAnsi="Garamond" w:cs="Times New Roman"/>
          <w:sz w:val="24"/>
          <w:szCs w:val="24"/>
          <w:lang w:val="en-GB"/>
        </w:rPr>
        <w:t>Wang, Noe and Wang (2014)</w:t>
      </w:r>
      <w:r w:rsidR="008A55A2" w:rsidRPr="00270BA8">
        <w:rPr>
          <w:rFonts w:ascii="Garamond" w:hAnsi="Garamond" w:cs="Times New Roman"/>
          <w:sz w:val="24"/>
          <w:szCs w:val="24"/>
          <w:lang w:val="en-GB"/>
        </w:rPr>
        <w:fldChar w:fldCharType="end"/>
      </w:r>
      <w:r w:rsidR="008A55A2" w:rsidRPr="00270BA8">
        <w:rPr>
          <w:rFonts w:ascii="Garamond" w:hAnsi="Garamond" w:cs="Times New Roman"/>
          <w:sz w:val="24"/>
          <w:szCs w:val="24"/>
          <w:lang w:val="en-GB"/>
        </w:rPr>
        <w:t xml:space="preserve"> </w:t>
      </w:r>
      <w:r w:rsidR="00EC5EFF" w:rsidRPr="00270BA8">
        <w:rPr>
          <w:rFonts w:ascii="Garamond" w:hAnsi="Garamond" w:cs="Times New Roman"/>
          <w:sz w:val="24"/>
          <w:szCs w:val="24"/>
          <w:lang w:val="en-GB"/>
        </w:rPr>
        <w:t xml:space="preserve">in </w:t>
      </w:r>
      <w:r w:rsidR="008A55A2" w:rsidRPr="00270BA8">
        <w:rPr>
          <w:rFonts w:ascii="Garamond" w:hAnsi="Garamond" w:cs="Times New Roman"/>
          <w:sz w:val="24"/>
          <w:szCs w:val="24"/>
          <w:lang w:val="en-GB"/>
        </w:rPr>
        <w:t>their</w:t>
      </w:r>
      <w:r w:rsidR="00EC5EFF" w:rsidRPr="00270BA8">
        <w:rPr>
          <w:rFonts w:ascii="Garamond" w:hAnsi="Garamond" w:cs="Times New Roman"/>
          <w:sz w:val="24"/>
          <w:szCs w:val="24"/>
          <w:lang w:val="en-GB"/>
        </w:rPr>
        <w:t xml:space="preserve"> study view knowledge sharing as a process in which one party transfers experience and skills to the other, where one party </w:t>
      </w:r>
      <w:r w:rsidR="00D33E0E" w:rsidRPr="00270BA8">
        <w:rPr>
          <w:rFonts w:ascii="Garamond" w:hAnsi="Garamond" w:cs="Times New Roman"/>
          <w:sz w:val="24"/>
          <w:szCs w:val="24"/>
          <w:lang w:val="en-GB"/>
        </w:rPr>
        <w:t>can</w:t>
      </w:r>
      <w:r w:rsidR="00EC5EFF" w:rsidRPr="00270BA8">
        <w:rPr>
          <w:rFonts w:ascii="Garamond" w:hAnsi="Garamond" w:cs="Times New Roman"/>
          <w:sz w:val="24"/>
          <w:szCs w:val="24"/>
          <w:lang w:val="en-GB"/>
        </w:rPr>
        <w:t xml:space="preserve"> provide the other with ideas for solving problem</w:t>
      </w:r>
      <w:r w:rsidR="00CB5613" w:rsidRPr="00270BA8">
        <w:rPr>
          <w:rFonts w:ascii="Garamond" w:hAnsi="Garamond" w:cs="Times New Roman"/>
          <w:sz w:val="24"/>
          <w:szCs w:val="24"/>
          <w:lang w:val="en-GB"/>
        </w:rPr>
        <w:t>s</w:t>
      </w:r>
      <w:r w:rsidR="00220707" w:rsidRPr="00270BA8">
        <w:rPr>
          <w:rFonts w:ascii="Garamond" w:hAnsi="Garamond" w:cs="Times New Roman"/>
          <w:sz w:val="24"/>
          <w:szCs w:val="24"/>
          <w:lang w:val="en-GB"/>
        </w:rPr>
        <w:t>.</w:t>
      </w:r>
      <w:r w:rsidR="00270BA8" w:rsidRPr="00270BA8">
        <w:rPr>
          <w:rFonts w:ascii="Garamond" w:hAnsi="Garamond" w:cs="Times New Roman"/>
          <w:sz w:val="24"/>
          <w:szCs w:val="24"/>
          <w:lang w:val="en-GB"/>
        </w:rPr>
        <w:t xml:space="preserve"> </w:t>
      </w:r>
      <w:r w:rsidR="00270BA8" w:rsidRPr="00270BA8">
        <w:rPr>
          <w:rFonts w:ascii="Garamond" w:hAnsi="Garamond" w:cs="Times New Roman"/>
          <w:sz w:val="24"/>
          <w:szCs w:val="24"/>
          <w:lang w:val="en-GB"/>
        </w:rPr>
        <w:fldChar w:fldCharType="begin"/>
      </w:r>
      <w:r w:rsidR="00270BA8" w:rsidRPr="00270BA8">
        <w:rPr>
          <w:rFonts w:ascii="Garamond" w:hAnsi="Garamond" w:cs="Times New Roman"/>
          <w:sz w:val="24"/>
          <w:szCs w:val="24"/>
          <w:lang w:val="en-GB"/>
        </w:rPr>
        <w:instrText xml:space="preserve"> ADDIN ZOTERO_ITEM CSL_CITATION {"citationID":"Xvi8lfhY","properties":{"formattedCitation":"(Farooq, 2018)","plainCitation":"(Farooq, 2018)","noteIndex":0},"citationItems":[{"id":5371,"uris":["http://zotero.org/users/10703570/items/QAJWW6UK"],"itemData":{"id":5371,"type":"article-journal","abstract":"Purpose The purpose of the study is to develop a conceptual model of knowledge sharing and how knowledge sharing is linked to business performance. The study proposes basic dimensions of knowledge sharing which seem to be poorly defined in the past literature. Design/methodology/approach The studies were explored from journals which are indexed (Scopus, Thomson Reuters and ProQuest) and specialized in knowledge sharing and business performance. Majority of the papers were available in electronic format, so that papers could be easily explored using the key terms. Various search engines were used to explore the studies such as Google scholar, Emerald insight and ProQuest. Published theses, conference proceedings, working paper series and work in progress were excluded from the search. The review process included the studies from 1987 to 2017. During the review process, papers were explored on the basis of key word search, namely, “Knowledge sharing”, “Business performance” and “Industry type” to reduce interpretation bias. Findings Knowledge sharing is the significant predictor of business performance and industry type moderates the relationship between knowledge sharing and business performance. The relationship between knowledge sharing and business performance is important in both manufacturing and service organizations. Knowledge sharing dimensions proposed are elementary in nature and require further refinement and development. Research limitations/implications The study was approached from a theoretical perspective and the model proposed can be empirically validated by identifying statements for each dimension. Future research should explore the following: As to what extent these dimensions reflect knowledge sharing? Are dimensions chosen carefully? Or do they emerge as a result of previous studies? Practical implications The model can be very helpful for managers and practitioners who want to study how knowledge sharing enhances business performance. Managers will be able to understand how industry-specific differences affect business performance through knowledge sharing. Originality/value Proposed conceptual model advances the theoretical base of knowledge sharing by suggesting dimensions based on comprehensive review of the literature. The study contributes to knowledge management and business performance literature.","container-title":"International Journal of Innovation Science","DOI":"10.1108/IJIS-09-2017-0087","ISSN":"1757-2223","issue":"2","note":"publisher: Emerald Publishing Limited","page":"238-260","source":"Emerald Insight","title":"A conceptual model of knowledge sharing","volume":"10","author":[{"family":"Farooq","given":"Rayees"}],"issued":{"date-parts":[["2018",1,1]]}}}],"schema":"https://github.com/citation-style-language/schema/raw/master/csl-citation.json"} </w:instrText>
      </w:r>
      <w:r w:rsidR="00270BA8" w:rsidRPr="00270BA8">
        <w:rPr>
          <w:rFonts w:ascii="Garamond" w:hAnsi="Garamond" w:cs="Times New Roman"/>
          <w:sz w:val="24"/>
          <w:szCs w:val="24"/>
          <w:lang w:val="en-GB"/>
        </w:rPr>
        <w:fldChar w:fldCharType="separate"/>
      </w:r>
      <w:r w:rsidR="00270BA8" w:rsidRPr="00270BA8">
        <w:rPr>
          <w:rFonts w:ascii="Garamond" w:hAnsi="Garamond"/>
          <w:sz w:val="24"/>
          <w:szCs w:val="28"/>
        </w:rPr>
        <w:t>Farooq (2018)</w:t>
      </w:r>
      <w:r w:rsidR="00270BA8" w:rsidRPr="00270BA8">
        <w:rPr>
          <w:rFonts w:ascii="Garamond" w:hAnsi="Garamond" w:cs="Times New Roman"/>
          <w:sz w:val="24"/>
          <w:szCs w:val="24"/>
          <w:lang w:val="en-GB"/>
        </w:rPr>
        <w:fldChar w:fldCharType="end"/>
      </w:r>
      <w:r w:rsidR="00270BA8" w:rsidRPr="00270BA8">
        <w:rPr>
          <w:rFonts w:ascii="Garamond" w:hAnsi="Garamond" w:cs="Times New Roman"/>
          <w:sz w:val="24"/>
          <w:szCs w:val="24"/>
          <w:lang w:val="en-GB"/>
        </w:rPr>
        <w:t xml:space="preserve"> argue</w:t>
      </w:r>
      <w:r w:rsidR="00270BA8">
        <w:rPr>
          <w:rFonts w:ascii="Garamond" w:hAnsi="Garamond" w:cs="Times New Roman"/>
          <w:sz w:val="24"/>
          <w:szCs w:val="24"/>
          <w:lang w:val="en-GB"/>
        </w:rPr>
        <w:t>s</w:t>
      </w:r>
      <w:r w:rsidR="00270BA8" w:rsidRPr="00270BA8">
        <w:rPr>
          <w:rFonts w:ascii="Garamond" w:hAnsi="Garamond" w:cs="Times New Roman"/>
          <w:sz w:val="24"/>
          <w:szCs w:val="24"/>
          <w:lang w:val="en-GB"/>
        </w:rPr>
        <w:t xml:space="preserve"> that knowledge sharing can be divided into two parts: the process of transferring knowledge to others and the process of acquiring knowledge from others, which is essentially a process of mutual learning between the two.</w:t>
      </w:r>
      <w:r w:rsidRPr="00270BA8">
        <w:rPr>
          <w:rFonts w:ascii="Garamond" w:hAnsi="Garamond" w:cs="Times New Roman"/>
          <w:sz w:val="24"/>
          <w:szCs w:val="24"/>
          <w:lang w:val="en-GB"/>
        </w:rPr>
        <w:t xml:space="preserve"> In summary, this paper defines knowledge sharing as the act of employees within an organisation exchanging knowledge through a variety of delivery methods so as to achieve the accumulation of knowledge, mostly focusing on work experience, skills and other aspects of knowledge, which can be regarded as positive behaviour in favour of the organisation.</w:t>
      </w:r>
    </w:p>
    <w:p w14:paraId="6129E00C" w14:textId="17F0BAE1" w:rsidR="00EC5EFF" w:rsidRPr="00270BA8" w:rsidRDefault="00EC5EFF" w:rsidP="00270BA8">
      <w:pPr>
        <w:pStyle w:val="2"/>
        <w:numPr>
          <w:ilvl w:val="1"/>
          <w:numId w:val="11"/>
        </w:numPr>
        <w:spacing w:before="120" w:after="360" w:line="360" w:lineRule="auto"/>
        <w:jc w:val="both"/>
        <w:rPr>
          <w:rFonts w:ascii="Garamond" w:hAnsi="Garamond" w:cs="Times New Roman"/>
        </w:rPr>
      </w:pPr>
      <w:bookmarkStart w:id="17" w:name="_Toc164360747"/>
      <w:bookmarkStart w:id="18" w:name="_Toc171702282"/>
      <w:r w:rsidRPr="00270BA8">
        <w:rPr>
          <w:rFonts w:ascii="Garamond" w:hAnsi="Garamond" w:cs="Times New Roman"/>
        </w:rPr>
        <w:lastRenderedPageBreak/>
        <w:t xml:space="preserve">The impacts of </w:t>
      </w:r>
      <w:r w:rsidR="00681DE4" w:rsidRPr="00270BA8">
        <w:rPr>
          <w:rFonts w:ascii="Garamond" w:hAnsi="Garamond" w:cs="Times New Roman"/>
        </w:rPr>
        <w:t>HRM</w:t>
      </w:r>
      <w:r w:rsidRPr="00270BA8">
        <w:rPr>
          <w:rFonts w:ascii="Garamond" w:hAnsi="Garamond" w:cs="Times New Roman"/>
        </w:rPr>
        <w:t xml:space="preserve"> strength and employee innovation</w:t>
      </w:r>
      <w:bookmarkEnd w:id="17"/>
      <w:bookmarkEnd w:id="18"/>
      <w:r w:rsidRPr="00270BA8">
        <w:rPr>
          <w:rFonts w:ascii="Garamond" w:hAnsi="Garamond" w:cs="Times New Roman"/>
        </w:rPr>
        <w:t xml:space="preserve"> </w:t>
      </w:r>
    </w:p>
    <w:p w14:paraId="437BB2D6" w14:textId="008AA201" w:rsidR="008A55A2" w:rsidRPr="00270BA8" w:rsidRDefault="00EC5EFF" w:rsidP="00270BA8">
      <w:pPr>
        <w:spacing w:before="120" w:after="360" w:line="360" w:lineRule="auto"/>
        <w:jc w:val="both"/>
        <w:rPr>
          <w:rFonts w:ascii="Garamond" w:hAnsi="Garamond" w:cs="Times New Roman"/>
          <w:sz w:val="24"/>
          <w:szCs w:val="24"/>
        </w:rPr>
      </w:pPr>
      <w:r w:rsidRPr="00270BA8">
        <w:rPr>
          <w:rFonts w:ascii="Garamond" w:hAnsi="Garamond" w:cs="Times New Roman"/>
          <w:sz w:val="24"/>
          <w:szCs w:val="24"/>
        </w:rPr>
        <w:t>Research on the role of HRM on employee innovation has received more empirical support in the field of content-based HRM</w:t>
      </w:r>
      <w:r w:rsidR="00270BA8">
        <w:rPr>
          <w:rFonts w:ascii="Garamond" w:hAnsi="Garamond" w:cs="Times New Roman"/>
          <w:sz w:val="24"/>
          <w:szCs w:val="24"/>
        </w:rPr>
        <w:t>. Some</w:t>
      </w:r>
      <w:r w:rsidRPr="00270BA8">
        <w:rPr>
          <w:rFonts w:ascii="Garamond" w:hAnsi="Garamond" w:cs="Times New Roman"/>
          <w:sz w:val="24"/>
          <w:szCs w:val="24"/>
        </w:rPr>
        <w:t xml:space="preserve"> HRM practices, such as incentive compensation, prudent selection, internal promotion, and extensive employee training, can be seen as important factors that effectively stimulate employees to engage in innovative </w:t>
      </w:r>
      <w:r w:rsidR="008A55A2" w:rsidRPr="00270BA8">
        <w:rPr>
          <w:rFonts w:ascii="Garamond" w:hAnsi="Garamond" w:cs="Times New Roman"/>
          <w:sz w:val="24"/>
          <w:szCs w:val="24"/>
        </w:rPr>
        <w:t>behavio</w:t>
      </w:r>
      <w:r w:rsidR="00222527" w:rsidRPr="00270BA8">
        <w:rPr>
          <w:rFonts w:ascii="Garamond" w:hAnsi="Garamond" w:cs="Times New Roman"/>
          <w:sz w:val="24"/>
          <w:szCs w:val="24"/>
        </w:rPr>
        <w:t>u</w:t>
      </w:r>
      <w:r w:rsidR="008A55A2" w:rsidRPr="00270BA8">
        <w:rPr>
          <w:rFonts w:ascii="Garamond" w:hAnsi="Garamond" w:cs="Times New Roman"/>
          <w:sz w:val="24"/>
          <w:szCs w:val="24"/>
        </w:rPr>
        <w:t xml:space="preserve">r </w:t>
      </w:r>
      <w:r w:rsidR="008A55A2" w:rsidRPr="00270BA8">
        <w:rPr>
          <w:rFonts w:ascii="Garamond" w:hAnsi="Garamond" w:cs="Times New Roman"/>
          <w:sz w:val="24"/>
          <w:szCs w:val="24"/>
        </w:rPr>
        <w:fldChar w:fldCharType="begin"/>
      </w:r>
      <w:r w:rsidR="00D265CC" w:rsidRPr="00270BA8">
        <w:rPr>
          <w:rFonts w:ascii="Garamond" w:hAnsi="Garamond" w:cs="Times New Roman"/>
          <w:sz w:val="24"/>
          <w:szCs w:val="24"/>
        </w:rPr>
        <w:instrText xml:space="preserve"> ADDIN ZOTERO_ITEM CSL_CITATION {"citationID":"lshgllQl","properties":{"formattedCitation":"(Jim\\uc0\\u233{}nez\\uc0\\u8208{}Jim\\uc0\\u233{}nez and Sanz\\uc0\\u8208{}Valle, 2005; Kwon and Kim, 2020; Sanders, Bednall and Yang, 2021)","plainCitation":"(Jiménez</w:instrText>
      </w:r>
      <w:r w:rsidR="00D265CC" w:rsidRPr="00270BA8">
        <w:rPr>
          <w:rFonts w:ascii="Cambria Math" w:hAnsi="Cambria Math" w:cs="Cambria Math"/>
          <w:sz w:val="24"/>
          <w:szCs w:val="24"/>
        </w:rPr>
        <w:instrText>‐</w:instrText>
      </w:r>
      <w:r w:rsidR="00D265CC" w:rsidRPr="00270BA8">
        <w:rPr>
          <w:rFonts w:ascii="Garamond" w:hAnsi="Garamond" w:cs="Times New Roman"/>
          <w:sz w:val="24"/>
          <w:szCs w:val="24"/>
        </w:rPr>
        <w:instrText>Jim</w:instrText>
      </w:r>
      <w:r w:rsidR="00D265CC" w:rsidRPr="00270BA8">
        <w:rPr>
          <w:rFonts w:ascii="Garamond" w:hAnsi="Garamond" w:cs="Garamond"/>
          <w:sz w:val="24"/>
          <w:szCs w:val="24"/>
        </w:rPr>
        <w:instrText>é</w:instrText>
      </w:r>
      <w:r w:rsidR="00D265CC" w:rsidRPr="00270BA8">
        <w:rPr>
          <w:rFonts w:ascii="Garamond" w:hAnsi="Garamond" w:cs="Times New Roman"/>
          <w:sz w:val="24"/>
          <w:szCs w:val="24"/>
        </w:rPr>
        <w:instrText>nez and Sanz</w:instrText>
      </w:r>
      <w:r w:rsidR="00D265CC" w:rsidRPr="00270BA8">
        <w:rPr>
          <w:rFonts w:ascii="Cambria Math" w:hAnsi="Cambria Math" w:cs="Cambria Math"/>
          <w:sz w:val="24"/>
          <w:szCs w:val="24"/>
        </w:rPr>
        <w:instrText>‐</w:instrText>
      </w:r>
      <w:r w:rsidR="00D265CC" w:rsidRPr="00270BA8">
        <w:rPr>
          <w:rFonts w:ascii="Garamond" w:hAnsi="Garamond" w:cs="Times New Roman"/>
          <w:sz w:val="24"/>
          <w:szCs w:val="24"/>
        </w:rPr>
        <w:instrText>Valle, 2005; Kwon and Kim, 2020; Sanders, Bednall and Yang, 2021)","noteIndex":0},"citationItems":[{"id":"MRBxNWYl/uAKtrfYk","uris":["http://zotero.org/users/10703570/items/T5ZLPY7Q"],"itemData":{"id":3928,"type":"article-journal","abstract":"Purpose – This study aims to analyse the relationship between innovation and human resource management (HRM) from an empirical perspective, attempting to establish whether innovation determines the firm's HRM or conversely HRM influences the innovation level of the company Design/methodology/approach – Literature is reviewed from both theoretical and empirical perspectives. On the basis of this review, some research hypotheses are formulated. Finally, these hypotheses are empirically tested on a sample of Spanish firms. Findings – The results provide evidence for both hypotheses and offer more support for Schuler and Jackson's model than for Miles and Snow's model. In accordance with the previous literature, that in order to affect employee behaviour – and consequently promote company objectives – firms must develop a bundle of internally consistent HRM practices. However, what is still unresolved is which HRM practices should be included in that system. Originality/value – Fills a gap in the literature, particularly in empirical research, with a focus on Spanish firms.","container-title":"International Journal of Manpower","DOI":"10.1108/01437720510609555","ISSN":"0143-7720","issue":"4","note":"publisher: Emerald Group Publishing Limited","page":"364-381","source":"Emerald Insight","title":"Innovation and human resource management fit: an empirical study","title-short":"Innovation and human resource management fit","volume":"26","author":[{"family":"Jiménez</w:instrText>
      </w:r>
      <w:r w:rsidR="00D265CC" w:rsidRPr="00270BA8">
        <w:rPr>
          <w:rFonts w:ascii="Cambria Math" w:hAnsi="Cambria Math" w:cs="Cambria Math"/>
          <w:sz w:val="24"/>
          <w:szCs w:val="24"/>
        </w:rPr>
        <w:instrText>‐</w:instrText>
      </w:r>
      <w:r w:rsidR="00D265CC" w:rsidRPr="00270BA8">
        <w:rPr>
          <w:rFonts w:ascii="Garamond" w:hAnsi="Garamond" w:cs="Times New Roman"/>
          <w:sz w:val="24"/>
          <w:szCs w:val="24"/>
        </w:rPr>
        <w:instrText>Jim</w:instrText>
      </w:r>
      <w:r w:rsidR="00D265CC" w:rsidRPr="00270BA8">
        <w:rPr>
          <w:rFonts w:ascii="Garamond" w:hAnsi="Garamond" w:cs="Garamond"/>
          <w:sz w:val="24"/>
          <w:szCs w:val="24"/>
        </w:rPr>
        <w:instrText>é</w:instrText>
      </w:r>
      <w:r w:rsidR="00D265CC" w:rsidRPr="00270BA8">
        <w:rPr>
          <w:rFonts w:ascii="Garamond" w:hAnsi="Garamond" w:cs="Times New Roman"/>
          <w:sz w:val="24"/>
          <w:szCs w:val="24"/>
        </w:rPr>
        <w:instrText>nez","given":"Daniel"},{"family":"Sanz</w:instrText>
      </w:r>
      <w:r w:rsidR="00D265CC" w:rsidRPr="00270BA8">
        <w:rPr>
          <w:rFonts w:ascii="Cambria Math" w:hAnsi="Cambria Math" w:cs="Cambria Math"/>
          <w:sz w:val="24"/>
          <w:szCs w:val="24"/>
        </w:rPr>
        <w:instrText>‐</w:instrText>
      </w:r>
      <w:r w:rsidR="00D265CC" w:rsidRPr="00270BA8">
        <w:rPr>
          <w:rFonts w:ascii="Garamond" w:hAnsi="Garamond" w:cs="Times New Roman"/>
          <w:sz w:val="24"/>
          <w:szCs w:val="24"/>
        </w:rPr>
        <w:instrText xml:space="preserve">Valle","given":"Raquel"}],"issued":{"date-parts":[["2005",1,1]]}}},{"id":"MRBxNWYl/K9vq4DlO","uris":["http://zotero.org/users/10703570/items/U7E5PKU6"],"itemData":{"id":3930,"type":"article-journal","abstract":"The purpose of the current literature review is to (a) provide a comprehensive understanding of the relationship between employee engagement and innovative behavior through the lens of the JD-R model; (b) identify and revisit the guiding theories underpinning employee engagement studies; and (c) construct an integrated conceptual framework based on empirically validated factors and their relationships, along with relevant theories. An integrative literature review of 34 empirical studies indicates that employees perceive a mix of reasonably high demands and high resources to be ideal for their engagement, innovative behavior is a consequence of these delicate interactions, and engaged employees are more likely to behave innovatively by activating coping strategies to deal with challenges. Together, these findings suggest an integrated conceptual framework that refines the original JD-R model and that in doing so, better explicates the dynamics surrounding employee engagement and innovative behavior. Key implications for research and practice are provided.","container-title":"Human Resource Management Review","DOI":"10.1016/j.hrmr.2019.100704","ISSN":"1053-4822","issue":"2","journalAbbreviation":"Human Resource Management Review","page":"100704","source":"ScienceDirect","title":"An integrative literature review of employee engagement and innovative behavior: Revisiting the JD-R model","title-short":"An integrative literature review of employee engagement and innovative behavior","volume":"30","author":[{"family":"Kwon","given":"Kibum"},{"family":"Kim","given":"Taesung"}],"issued":{"date-parts":[["2020",6,1]]}}},{"id":"MRBxNWYl/aAM7RtaI","uris":["http://zotero.org/users/10703570/items/RYGJHI4V"],"itemData":{"id":3868,"type":"chapter","abstract":"Within the domain of HR process research, one of the most prominent theories to explain how HR practices influence organizational performance is Bowen and Ostroff’s (2004) HR strength model. Based on the covariation principle of Kelley’s (1967; 1973) attribution theory, HR strength explains how three meta-features of an HRM system - distinctiveness, consistency and consensus - influence employees’ collective responses to the HR system. While Bowen and Ostroff construed HR strength as an organizational-level construct, it has mainly been studied as employee perceptions of the three meta-features. In this paper, we discuss three previous reviews of HR strength and examine the validity criteria of 41 empirical quantitative studies of HR strength. Theoretical implications are discussed in the last section of the paper.","container-title":"Handbook on HR Process Research","ISBN":"978-1-83910-007-9","language":"en_US","note":"section: Handbook on HR Process Research","page":"27-45","publisher":"Edward Elgar Publishing","source":"www.elgaronline.com","title":"HR strength: past, current and future research","title-short":"HR strength","URL":"https://www.elgaronline.com/edcollchap/edcoll/9781839100062/9781839100062.00010.xml","author":[{"family":"Sanders","given":"Karin"},{"family":"Bednall","given":"Timothy C."},{"family":"Yang","given":"Huadong"}],"accessed":{"date-parts":[["2024",4,15]]},"issued":{"date-parts":[["2021",7,9]]}}}],"schema":"https://github.com/citation-style-language/schema/raw/master/csl-citation.json"} </w:instrText>
      </w:r>
      <w:r w:rsidR="008A55A2" w:rsidRPr="00270BA8">
        <w:rPr>
          <w:rFonts w:ascii="Garamond" w:hAnsi="Garamond" w:cs="Times New Roman"/>
          <w:sz w:val="24"/>
          <w:szCs w:val="24"/>
        </w:rPr>
        <w:fldChar w:fldCharType="separate"/>
      </w:r>
      <w:r w:rsidR="008A55A2" w:rsidRPr="00270BA8">
        <w:rPr>
          <w:rFonts w:ascii="Garamond" w:hAnsi="Garamond" w:cs="Times New Roman"/>
          <w:sz w:val="24"/>
          <w:szCs w:val="24"/>
        </w:rPr>
        <w:t>(Jiménez</w:t>
      </w:r>
      <w:r w:rsidR="008A55A2" w:rsidRPr="00270BA8">
        <w:rPr>
          <w:rFonts w:ascii="Cambria Math" w:eastAsia="宋体" w:hAnsi="Cambria Math" w:cs="Cambria Math"/>
          <w:sz w:val="24"/>
          <w:szCs w:val="24"/>
        </w:rPr>
        <w:t>‐</w:t>
      </w:r>
      <w:r w:rsidR="008A55A2" w:rsidRPr="00270BA8">
        <w:rPr>
          <w:rFonts w:ascii="Garamond" w:hAnsi="Garamond" w:cs="Times New Roman"/>
          <w:sz w:val="24"/>
          <w:szCs w:val="24"/>
        </w:rPr>
        <w:t>Jiménez and Sanz</w:t>
      </w:r>
      <w:r w:rsidR="008A55A2" w:rsidRPr="00270BA8">
        <w:rPr>
          <w:rFonts w:ascii="Cambria Math" w:eastAsia="宋体" w:hAnsi="Cambria Math" w:cs="Cambria Math"/>
          <w:sz w:val="24"/>
          <w:szCs w:val="24"/>
        </w:rPr>
        <w:t>‐</w:t>
      </w:r>
      <w:r w:rsidR="008A55A2" w:rsidRPr="00270BA8">
        <w:rPr>
          <w:rFonts w:ascii="Garamond" w:hAnsi="Garamond" w:cs="Times New Roman"/>
          <w:sz w:val="24"/>
          <w:szCs w:val="24"/>
        </w:rPr>
        <w:t>Valle, 2005; Kwon and Kim, 2020; Sanders, Bednall and Yang, 2021)</w:t>
      </w:r>
      <w:r w:rsidR="008A55A2" w:rsidRPr="00270BA8">
        <w:rPr>
          <w:rFonts w:ascii="Garamond" w:hAnsi="Garamond" w:cs="Times New Roman"/>
          <w:sz w:val="24"/>
          <w:szCs w:val="24"/>
        </w:rPr>
        <w:fldChar w:fldCharType="end"/>
      </w:r>
      <w:r w:rsidRPr="00270BA8">
        <w:rPr>
          <w:rFonts w:ascii="Garamond" w:hAnsi="Garamond" w:cs="Times New Roman"/>
          <w:sz w:val="24"/>
          <w:szCs w:val="24"/>
        </w:rPr>
        <w:t>. However, previous studies have neglected the impact of the effectiveness of the implementation of these practices on employee behaviour.</w:t>
      </w:r>
      <w:r w:rsidR="008A55A2" w:rsidRPr="00270BA8">
        <w:rPr>
          <w:rFonts w:ascii="Garamond" w:hAnsi="Garamond" w:cs="Times New Roman"/>
          <w:sz w:val="24"/>
          <w:szCs w:val="24"/>
        </w:rPr>
        <w:t xml:space="preserve"> </w:t>
      </w:r>
      <w:r w:rsidR="008A55A2" w:rsidRPr="00270BA8">
        <w:rPr>
          <w:rFonts w:ascii="Garamond" w:hAnsi="Garamond" w:cs="Times New Roman"/>
          <w:sz w:val="24"/>
          <w:szCs w:val="24"/>
        </w:rPr>
        <w:fldChar w:fldCharType="begin"/>
      </w:r>
      <w:r w:rsidR="00D265CC" w:rsidRPr="00270BA8">
        <w:rPr>
          <w:rFonts w:ascii="Garamond" w:hAnsi="Garamond" w:cs="Times New Roman"/>
          <w:sz w:val="24"/>
          <w:szCs w:val="24"/>
        </w:rPr>
        <w:instrText xml:space="preserve"> ADDIN ZOTERO_ITEM CSL_CITATION {"citationID":"tuyyrb7R","properties":{"formattedCitation":"(Bowen and Ostroff, 2004)","plainCitation":"(Bowen and Ostroff, 2004)","dontUpdate":true,"noteIndex":0},"citationItems":[{"id":"MRBxNWYl/6WjbREVV","uris":["http://zotero.org/users/10703570/items/PFPQKT3C"],"itemData":{"id":3864,"type":"article-journal","abstract":"Theory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8A55A2" w:rsidRPr="00270BA8">
        <w:rPr>
          <w:rFonts w:ascii="Garamond" w:hAnsi="Garamond" w:cs="Times New Roman"/>
          <w:sz w:val="24"/>
          <w:szCs w:val="24"/>
        </w:rPr>
        <w:fldChar w:fldCharType="separate"/>
      </w:r>
      <w:r w:rsidR="008A55A2" w:rsidRPr="00270BA8">
        <w:rPr>
          <w:rFonts w:ascii="Garamond" w:hAnsi="Garamond" w:cs="Times New Roman"/>
          <w:sz w:val="24"/>
        </w:rPr>
        <w:t>Bowen and Ostroff (2004)</w:t>
      </w:r>
      <w:r w:rsidR="008A55A2" w:rsidRPr="00270BA8">
        <w:rPr>
          <w:rFonts w:ascii="Garamond" w:hAnsi="Garamond" w:cs="Times New Roman"/>
          <w:sz w:val="24"/>
          <w:szCs w:val="24"/>
        </w:rPr>
        <w:fldChar w:fldCharType="end"/>
      </w:r>
      <w:r w:rsidRPr="00270BA8">
        <w:rPr>
          <w:rFonts w:ascii="Garamond" w:hAnsi="Garamond" w:cs="Times New Roman"/>
          <w:sz w:val="24"/>
          <w:szCs w:val="24"/>
        </w:rPr>
        <w:t xml:space="preserve"> proposed the concept of </w:t>
      </w:r>
      <w:r w:rsidR="008D7010" w:rsidRPr="00270BA8">
        <w:rPr>
          <w:rFonts w:ascii="Garamond" w:hAnsi="Garamond" w:cs="Times New Roman"/>
          <w:sz w:val="24"/>
          <w:szCs w:val="24"/>
        </w:rPr>
        <w:t>HRM Strength</w:t>
      </w:r>
      <w:r w:rsidRPr="00270BA8">
        <w:rPr>
          <w:rFonts w:ascii="Garamond" w:hAnsi="Garamond" w:cs="Times New Roman"/>
          <w:sz w:val="24"/>
          <w:szCs w:val="24"/>
        </w:rPr>
        <w:t xml:space="preserve"> to measure the effectiveness of these measures, </w:t>
      </w:r>
      <w:r w:rsidR="008A55A2" w:rsidRPr="00270BA8">
        <w:rPr>
          <w:rFonts w:ascii="Garamond" w:hAnsi="Garamond" w:cs="Times New Roman"/>
          <w:sz w:val="24"/>
          <w:szCs w:val="24"/>
        </w:rPr>
        <w:fldChar w:fldCharType="begin"/>
      </w:r>
      <w:r w:rsidR="00D265CC" w:rsidRPr="00270BA8">
        <w:rPr>
          <w:rFonts w:ascii="Garamond" w:hAnsi="Garamond" w:cs="Times New Roman"/>
          <w:sz w:val="24"/>
          <w:szCs w:val="24"/>
        </w:rPr>
        <w:instrText xml:space="preserve"> ADDIN ZOTERO_ITEM CSL_CITATION {"citationID":"GlEzZzgX","properties":{"formattedCitation":"(Kianto, S\\uc0\\u225{}enz and Aramburu, 2017)","plainCitation":"(Kianto, Sáenz and Aramburu, 2017)","dontUpdate":true,"noteIndex":0},"citationItems":[{"id":"MRBxNWYl/vopZmBN6","uris":["http://zotero.org/users/10703570/items/XBGIMJD9"],"itemData":{"id":3931,"type":"article-journal","abstract":"This paper proposes a conceptual model in which a human resource management (HRM) system of explicitly knowledge-based HRM practices impacts a firm's intellectual capital, producing higher innovation performance. We have empirically tested this idea in a survey dataset of 180 Spanish companies using structural equation modelling (SEM) based on partial least squares (PLS). The results show that intellectual capital positively mediates the relationship between knowledge-based HRM practices and innovation performance and illustrate the pivotal role of human capital in this relationship: knowledge-based HRM practices impact structural and relational capital partially through human capital, and human capital affects innovation performance by enhancing structural and relational capital.","container-title":"Journal of Business Research","DOI":"10.1016/j.jbusres.2017.07.018","ISSN":"0148-2963","journalAbbreviation":"Journal of Business Research","page":"11-20","source":"ScienceDirect","title":"Knowledge-based human resource management practices, intellectual capital and innovation","volume":"81","author":[{"family":"Kianto","given":"Aino"},{"family":"Sáenz","given":"Josune"},{"family":"Aramburu","given":"Nekane"}],"issued":{"date-parts":[["2017",12,1]]}}}],"schema":"https://github.com/citation-style-language/schema/raw/master/csl-citation.json"} </w:instrText>
      </w:r>
      <w:r w:rsidR="008A55A2" w:rsidRPr="00270BA8">
        <w:rPr>
          <w:rFonts w:ascii="Garamond" w:hAnsi="Garamond" w:cs="Times New Roman"/>
          <w:sz w:val="24"/>
          <w:szCs w:val="24"/>
        </w:rPr>
        <w:fldChar w:fldCharType="separate"/>
      </w:r>
      <w:r w:rsidR="008A55A2" w:rsidRPr="00270BA8">
        <w:rPr>
          <w:rFonts w:ascii="Garamond" w:hAnsi="Garamond" w:cs="Times New Roman"/>
          <w:sz w:val="24"/>
          <w:szCs w:val="24"/>
        </w:rPr>
        <w:t>Kianto, Sáenz and Aramburu (2017)</w:t>
      </w:r>
      <w:r w:rsidR="008A55A2" w:rsidRPr="00270BA8">
        <w:rPr>
          <w:rFonts w:ascii="Garamond" w:hAnsi="Garamond" w:cs="Times New Roman"/>
          <w:sz w:val="24"/>
          <w:szCs w:val="24"/>
        </w:rPr>
        <w:fldChar w:fldCharType="end"/>
      </w:r>
      <w:r w:rsidRPr="00270BA8">
        <w:rPr>
          <w:rFonts w:ascii="Garamond" w:hAnsi="Garamond" w:cs="Times New Roman"/>
          <w:sz w:val="24"/>
          <w:szCs w:val="24"/>
        </w:rPr>
        <w:t xml:space="preserve"> showed that employees</w:t>
      </w:r>
      <w:r w:rsidR="007747C6" w:rsidRPr="00270BA8">
        <w:rPr>
          <w:rFonts w:ascii="Garamond" w:hAnsi="Garamond" w:cs="Times New Roman"/>
          <w:sz w:val="24"/>
          <w:szCs w:val="24"/>
        </w:rPr>
        <w:t>’</w:t>
      </w:r>
      <w:r w:rsidRPr="00270BA8">
        <w:rPr>
          <w:rFonts w:ascii="Garamond" w:hAnsi="Garamond" w:cs="Times New Roman"/>
          <w:sz w:val="24"/>
          <w:szCs w:val="24"/>
        </w:rPr>
        <w:t xml:space="preserve"> understanding of HRM practices will affect their affective commitment to the organisation, and </w:t>
      </w:r>
      <w:r w:rsidR="008A55A2" w:rsidRPr="00270BA8">
        <w:rPr>
          <w:rFonts w:ascii="Garamond" w:hAnsi="Garamond" w:cs="Times New Roman"/>
          <w:sz w:val="24"/>
          <w:szCs w:val="24"/>
        </w:rPr>
        <w:fldChar w:fldCharType="begin"/>
      </w:r>
      <w:r w:rsidR="00D265CC" w:rsidRPr="00270BA8">
        <w:rPr>
          <w:rFonts w:ascii="Garamond" w:hAnsi="Garamond" w:cs="Times New Roman"/>
          <w:sz w:val="24"/>
          <w:szCs w:val="24"/>
        </w:rPr>
        <w:instrText xml:space="preserve"> ADDIN ZOTERO_ITEM CSL_CITATION {"citationID":"EZ7ijo4O","properties":{"formattedCitation":"(Hauff, Alewell and Katrin Hansen, 2017)","plainCitation":"(Hauff, Alewell and Katrin Hansen, 2017)","dontUpdate":true,"noteIndex":0},"citationItems":[{"id":"MRBxNWYl/bguqADWj","uris":["http://zotero.org/users/10703570/items/94V3T2F9"],"itemData":{"id":3897,"type":"article-journal","abstract":"For some time, HRM researchers have paid attention to the process dimensions of HRM systems, especially to the question of how HRM system strength impacts on HRM outcomes. However, contributions tend to be theoretical, and empirical analyses are still rare. This article contributes to the discussion on HRM system strength by empirically analyzing the links between HRM system strength and HRM target achievement. We differentiate between single components of strength and their partial effects on two HRM target groups: the targets focusing on employee attitudes and the targets focusing on availability and effectiveness of human resources. Findings from a German data set with more than 1,000 observations indicate that HRM system strength has a positive influence on average HRM target achievement. Expectations regarding the differentiated effects of single components of HRM system strength are only partially supported. Nevertheless, our analyses give reason to consider a broader conception of HRM system strength than what has been explored to date. © 2016 Wiley Periodicals, Inc.","container-title":"Human Resource Management","DOI":"10.1002/hrm.21798","ISSN":"1099-050X","issue":"5","language":"en","license":"© 2016 Wiley Periodicals, Inc.","note":"_eprint: https://onlinelibrary.wiley.com/doi/pdf/10.1002/hrm.21798","page":"715-729","source":"Wiley Online Library","title":"HRM System Strength and HRM Target Achievement—Toward a Broader Understanding of HRM Processes","volume":"56","author":[{"family":"Hauff","given":"Sven"},{"family":"Alewell","given":"Dorothea"},{"family":"Katrin Hansen","given":"Nina"}],"issued":{"date-parts":[["2017"]]}}}],"schema":"https://github.com/citation-style-language/schema/raw/master/csl-citation.json"} </w:instrText>
      </w:r>
      <w:r w:rsidR="008A55A2" w:rsidRPr="00270BA8">
        <w:rPr>
          <w:rFonts w:ascii="Garamond" w:hAnsi="Garamond" w:cs="Times New Roman"/>
          <w:sz w:val="24"/>
          <w:szCs w:val="24"/>
        </w:rPr>
        <w:fldChar w:fldCharType="separate"/>
      </w:r>
      <w:r w:rsidR="008A55A2" w:rsidRPr="00270BA8">
        <w:rPr>
          <w:rFonts w:ascii="Garamond" w:hAnsi="Garamond" w:cs="Times New Roman"/>
          <w:sz w:val="24"/>
        </w:rPr>
        <w:t>Hauff, Alewell and Katrin Hansen (2017)</w:t>
      </w:r>
      <w:r w:rsidR="008A55A2" w:rsidRPr="00270BA8">
        <w:rPr>
          <w:rFonts w:ascii="Garamond" w:hAnsi="Garamond" w:cs="Times New Roman"/>
          <w:sz w:val="24"/>
          <w:szCs w:val="24"/>
        </w:rPr>
        <w:fldChar w:fldCharType="end"/>
      </w:r>
      <w:r w:rsidRPr="00270BA8">
        <w:rPr>
          <w:rFonts w:ascii="Garamond" w:hAnsi="Garamond" w:cs="Times New Roman"/>
          <w:sz w:val="24"/>
          <w:szCs w:val="24"/>
        </w:rPr>
        <w:t xml:space="preserve"> found that HRM practices are less likely to have an impact on employees when they do not effectively understand these measures. </w:t>
      </w:r>
      <w:r w:rsidR="008A55A2" w:rsidRPr="00270BA8">
        <w:rPr>
          <w:rFonts w:ascii="Garamond" w:hAnsi="Garamond" w:cs="Times New Roman"/>
          <w:sz w:val="24"/>
          <w:szCs w:val="24"/>
        </w:rPr>
        <w:fldChar w:fldCharType="begin"/>
      </w:r>
      <w:r w:rsidR="00D265CC" w:rsidRPr="00270BA8">
        <w:rPr>
          <w:rFonts w:ascii="Garamond" w:hAnsi="Garamond" w:cs="Times New Roman"/>
          <w:sz w:val="24"/>
          <w:szCs w:val="24"/>
        </w:rPr>
        <w:instrText xml:space="preserve"> ADDIN ZOTERO_ITEM CSL_CITATION {"citationID":"Y6xbuUik","properties":{"formattedCitation":"(Bowen and Ostroff, 2004)","plainCitation":"(Bowen and Ostroff, 2004)","dontUpdate":true,"noteIndex":0},"citationItems":[{"id":"MRBxNWYl/6WjbREVV","uris":["http://zotero.org/users/10703570/items/PFPQKT3C"],"itemData":{"id":3864,"type":"article-journal","abstract":"Theory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8A55A2" w:rsidRPr="00270BA8">
        <w:rPr>
          <w:rFonts w:ascii="Garamond" w:hAnsi="Garamond" w:cs="Times New Roman"/>
          <w:sz w:val="24"/>
          <w:szCs w:val="24"/>
        </w:rPr>
        <w:fldChar w:fldCharType="separate"/>
      </w:r>
      <w:r w:rsidR="008A55A2" w:rsidRPr="00270BA8">
        <w:rPr>
          <w:rFonts w:ascii="Garamond" w:hAnsi="Garamond" w:cs="Times New Roman"/>
          <w:sz w:val="24"/>
        </w:rPr>
        <w:t>Bowen and Ostroff (2004)</w:t>
      </w:r>
      <w:r w:rsidR="008A55A2" w:rsidRPr="00270BA8">
        <w:rPr>
          <w:rFonts w:ascii="Garamond" w:hAnsi="Garamond" w:cs="Times New Roman"/>
          <w:sz w:val="24"/>
          <w:szCs w:val="24"/>
        </w:rPr>
        <w:fldChar w:fldCharType="end"/>
      </w:r>
      <w:r w:rsidRPr="00270BA8">
        <w:rPr>
          <w:rFonts w:ascii="Garamond" w:hAnsi="Garamond" w:cs="Times New Roman"/>
          <w:sz w:val="24"/>
          <w:szCs w:val="24"/>
        </w:rPr>
        <w:t xml:space="preserve"> argued that when the uniqueness, consistency and consensus of the HRM system within an organisation are high, a </w:t>
      </w:r>
      <w:r w:rsidR="007747C6" w:rsidRPr="00270BA8">
        <w:rPr>
          <w:rFonts w:ascii="Garamond" w:hAnsi="Garamond" w:cs="Times New Roman"/>
          <w:sz w:val="24"/>
          <w:szCs w:val="24"/>
        </w:rPr>
        <w:t>“</w:t>
      </w:r>
      <w:r w:rsidRPr="00270BA8">
        <w:rPr>
          <w:rFonts w:ascii="Garamond" w:hAnsi="Garamond" w:cs="Times New Roman"/>
          <w:sz w:val="24"/>
          <w:szCs w:val="24"/>
        </w:rPr>
        <w:t>strong context</w:t>
      </w:r>
      <w:r w:rsidR="007747C6" w:rsidRPr="00270BA8">
        <w:rPr>
          <w:rFonts w:ascii="Garamond" w:hAnsi="Garamond" w:cs="Times New Roman"/>
          <w:sz w:val="24"/>
          <w:szCs w:val="24"/>
        </w:rPr>
        <w:t>”</w:t>
      </w:r>
      <w:r w:rsidRPr="00270BA8">
        <w:rPr>
          <w:rFonts w:ascii="Garamond" w:hAnsi="Garamond" w:cs="Times New Roman"/>
          <w:sz w:val="24"/>
          <w:szCs w:val="24"/>
        </w:rPr>
        <w:t xml:space="preserve"> is created, which leads to a fuller and clearer understanding of the context and a convergence of perceptions among employees. According to attribution theory, in this case, employees are in an atmosphere where they can share contextual constructs (strong context will induce employees to make the best response and enhance their ability to construct and implement), and HRM</w:t>
      </w:r>
      <w:r w:rsidR="00D33E0E" w:rsidRPr="00270BA8">
        <w:rPr>
          <w:rFonts w:ascii="Garamond" w:hAnsi="Garamond" w:cs="Times New Roman"/>
          <w:sz w:val="24"/>
          <w:szCs w:val="24"/>
        </w:rPr>
        <w:t>-</w:t>
      </w:r>
      <w:r w:rsidRPr="00270BA8">
        <w:rPr>
          <w:rFonts w:ascii="Garamond" w:hAnsi="Garamond" w:cs="Times New Roman"/>
          <w:sz w:val="24"/>
          <w:szCs w:val="24"/>
        </w:rPr>
        <w:t>related information will be transmitted smoothly and effectively, so that employees will have a clearer understanding of why the organisation implements these measures, and thus understand and approve them clearly and consistently. The employees will have a clearer understanding of why the organisation is implementing these measures</w:t>
      </w:r>
      <w:r w:rsidR="00270BA8">
        <w:rPr>
          <w:rFonts w:ascii="Garamond" w:hAnsi="Garamond" w:cs="Times New Roman"/>
          <w:sz w:val="24"/>
          <w:szCs w:val="24"/>
        </w:rPr>
        <w:t>,</w:t>
      </w:r>
      <w:r w:rsidR="00D33E0E" w:rsidRPr="00270BA8">
        <w:rPr>
          <w:rFonts w:ascii="Garamond" w:hAnsi="Garamond" w:cs="Times New Roman"/>
          <w:sz w:val="24"/>
          <w:szCs w:val="24"/>
        </w:rPr>
        <w:t xml:space="preserve"> </w:t>
      </w:r>
      <w:r w:rsidRPr="00270BA8">
        <w:rPr>
          <w:rFonts w:ascii="Garamond" w:hAnsi="Garamond" w:cs="Times New Roman"/>
          <w:sz w:val="24"/>
          <w:szCs w:val="24"/>
        </w:rPr>
        <w:t xml:space="preserve">will understand and approve of these HRM measures </w:t>
      </w:r>
      <w:r w:rsidR="00D33E0E" w:rsidRPr="00270BA8">
        <w:rPr>
          <w:rFonts w:ascii="Garamond" w:hAnsi="Garamond" w:cs="Times New Roman"/>
          <w:sz w:val="24"/>
          <w:szCs w:val="24"/>
        </w:rPr>
        <w:t>clearly and consistentl</w:t>
      </w:r>
      <w:r w:rsidRPr="00270BA8">
        <w:rPr>
          <w:rFonts w:ascii="Garamond" w:hAnsi="Garamond" w:cs="Times New Roman"/>
          <w:sz w:val="24"/>
          <w:szCs w:val="24"/>
        </w:rPr>
        <w:t>y and will initiate the behaviours expected by the organisation.</w:t>
      </w:r>
      <w:r w:rsidR="00222527" w:rsidRPr="00270BA8">
        <w:rPr>
          <w:rFonts w:ascii="Garamond" w:hAnsi="Garamond" w:cs="Times New Roman"/>
          <w:sz w:val="24"/>
          <w:szCs w:val="24"/>
        </w:rPr>
        <w:t xml:space="preserve"> </w:t>
      </w:r>
      <w:r w:rsidRPr="00270BA8">
        <w:rPr>
          <w:rFonts w:ascii="Garamond" w:hAnsi="Garamond" w:cs="Times New Roman"/>
          <w:sz w:val="24"/>
          <w:szCs w:val="24"/>
        </w:rPr>
        <w:t>Thus, it is clear that employees</w:t>
      </w:r>
      <w:r w:rsidR="007747C6" w:rsidRPr="00270BA8">
        <w:rPr>
          <w:rFonts w:ascii="Garamond" w:hAnsi="Garamond" w:cs="Times New Roman"/>
          <w:sz w:val="24"/>
          <w:szCs w:val="24"/>
        </w:rPr>
        <w:t>’</w:t>
      </w:r>
      <w:r w:rsidRPr="00270BA8">
        <w:rPr>
          <w:rFonts w:ascii="Garamond" w:hAnsi="Garamond" w:cs="Times New Roman"/>
          <w:sz w:val="24"/>
          <w:szCs w:val="24"/>
        </w:rPr>
        <w:t xml:space="preserve"> understanding and acceptance of HRM practices is the key to their effectiveness</w:t>
      </w:r>
      <w:r w:rsidR="008A55A2" w:rsidRPr="00270BA8">
        <w:rPr>
          <w:rFonts w:ascii="Garamond" w:hAnsi="Garamond" w:cs="Times New Roman"/>
          <w:sz w:val="24"/>
          <w:szCs w:val="24"/>
        </w:rPr>
        <w:t>, which can be illustrated through the three dimensio</w:t>
      </w:r>
      <w:r w:rsidR="00222527" w:rsidRPr="00270BA8">
        <w:rPr>
          <w:rFonts w:ascii="Garamond" w:hAnsi="Garamond" w:cs="Times New Roman"/>
          <w:sz w:val="24"/>
          <w:szCs w:val="24"/>
        </w:rPr>
        <w:t>ns</w:t>
      </w:r>
      <w:r w:rsidR="008A55A2" w:rsidRPr="00270BA8">
        <w:rPr>
          <w:rFonts w:ascii="Garamond" w:hAnsi="Garamond" w:cs="Times New Roman"/>
          <w:sz w:val="24"/>
          <w:szCs w:val="24"/>
        </w:rPr>
        <w:t xml:space="preserve"> of </w:t>
      </w:r>
      <w:r w:rsidR="008D7010" w:rsidRPr="00270BA8">
        <w:rPr>
          <w:rFonts w:ascii="Garamond" w:hAnsi="Garamond" w:cs="Times New Roman"/>
          <w:sz w:val="24"/>
          <w:szCs w:val="24"/>
        </w:rPr>
        <w:t>HRM Strength</w:t>
      </w:r>
      <w:r w:rsidR="008A55A2" w:rsidRPr="00270BA8">
        <w:rPr>
          <w:rFonts w:ascii="Garamond" w:hAnsi="Garamond" w:cs="Times New Roman"/>
          <w:sz w:val="24"/>
          <w:szCs w:val="24"/>
        </w:rPr>
        <w:t xml:space="preserve"> and their respective impacts on employee innovation. </w:t>
      </w:r>
    </w:p>
    <w:p w14:paraId="2F945014" w14:textId="794DAA20" w:rsidR="00EC5EFF" w:rsidRPr="00270BA8" w:rsidRDefault="00EC5EFF" w:rsidP="00270BA8">
      <w:pPr>
        <w:spacing w:before="120" w:after="360" w:line="360" w:lineRule="auto"/>
        <w:jc w:val="both"/>
        <w:rPr>
          <w:rFonts w:ascii="Garamond" w:hAnsi="Garamond" w:cs="Times New Roman"/>
          <w:sz w:val="24"/>
          <w:szCs w:val="24"/>
        </w:rPr>
      </w:pPr>
      <w:r w:rsidRPr="00270BA8">
        <w:rPr>
          <w:rFonts w:ascii="Garamond" w:hAnsi="Garamond" w:cs="Times New Roman"/>
          <w:sz w:val="24"/>
          <w:szCs w:val="24"/>
        </w:rPr>
        <w:t>Firstly, uniqueness focuses on the ease with which employees can notice the information about the measures, which requires the comprehensibility of the measures, the ease with which they can be seen within the organisation, the high authority of the developer and publisher, and the degree of fit between the expected effects of the measures and the personal aspirations of the employees. Employees who understand the measures correctly will be able to identify the organisation</w:t>
      </w:r>
      <w:r w:rsidR="007747C6" w:rsidRPr="00270BA8">
        <w:rPr>
          <w:rFonts w:ascii="Garamond" w:hAnsi="Garamond" w:cs="Times New Roman"/>
          <w:sz w:val="24"/>
          <w:szCs w:val="24"/>
        </w:rPr>
        <w:t>’</w:t>
      </w:r>
      <w:r w:rsidRPr="00270BA8">
        <w:rPr>
          <w:rFonts w:ascii="Garamond" w:hAnsi="Garamond" w:cs="Times New Roman"/>
          <w:sz w:val="24"/>
          <w:szCs w:val="24"/>
        </w:rPr>
        <w:t>s current emphasis on innovation and will then be able to generate ideas for trying out the innovations.</w:t>
      </w:r>
      <w:r w:rsidR="008A55A2" w:rsidRPr="00270BA8">
        <w:rPr>
          <w:rFonts w:ascii="Garamond" w:hAnsi="Garamond" w:cs="Times New Roman"/>
          <w:sz w:val="24"/>
          <w:szCs w:val="24"/>
        </w:rPr>
        <w:t xml:space="preserve"> </w:t>
      </w:r>
      <w:r w:rsidRPr="00270BA8">
        <w:rPr>
          <w:rFonts w:ascii="Garamond" w:hAnsi="Garamond" w:cs="Times New Roman"/>
          <w:sz w:val="24"/>
          <w:szCs w:val="24"/>
        </w:rPr>
        <w:t xml:space="preserve">Next, consistency focuses on the ability of employees to perceive the measures </w:t>
      </w:r>
      <w:r w:rsidR="00D33E0E" w:rsidRPr="00270BA8">
        <w:rPr>
          <w:rFonts w:ascii="Garamond" w:hAnsi="Garamond" w:cs="Times New Roman"/>
          <w:sz w:val="24"/>
          <w:szCs w:val="24"/>
        </w:rPr>
        <w:lastRenderedPageBreak/>
        <w:t>consistently</w:t>
      </w:r>
      <w:r w:rsidRPr="00270BA8">
        <w:rPr>
          <w:rFonts w:ascii="Garamond" w:hAnsi="Garamond" w:cs="Times New Roman"/>
          <w:sz w:val="24"/>
          <w:szCs w:val="24"/>
        </w:rPr>
        <w:t>, as inconsistent messages can lead to confusion and disorientation, making the message less effective. Consensus focuses on the understanding of HRM practices by senior decision</w:t>
      </w:r>
      <w:r w:rsidR="00D33E0E" w:rsidRPr="00270BA8">
        <w:rPr>
          <w:rFonts w:ascii="Garamond" w:hAnsi="Garamond" w:cs="Times New Roman"/>
          <w:sz w:val="24"/>
          <w:szCs w:val="24"/>
        </w:rPr>
        <w:t>-</w:t>
      </w:r>
      <w:r w:rsidRPr="00270BA8">
        <w:rPr>
          <w:rFonts w:ascii="Garamond" w:hAnsi="Garamond" w:cs="Times New Roman"/>
          <w:sz w:val="24"/>
          <w:szCs w:val="24"/>
        </w:rPr>
        <w:t>makers in the organisation, and if these messages are not consistent among decision</w:t>
      </w:r>
      <w:r w:rsidR="00D33E0E" w:rsidRPr="00270BA8">
        <w:rPr>
          <w:rFonts w:ascii="Garamond" w:hAnsi="Garamond" w:cs="Times New Roman"/>
          <w:sz w:val="24"/>
          <w:szCs w:val="24"/>
        </w:rPr>
        <w:t>-</w:t>
      </w:r>
      <w:r w:rsidRPr="00270BA8">
        <w:rPr>
          <w:rFonts w:ascii="Garamond" w:hAnsi="Garamond" w:cs="Times New Roman"/>
          <w:sz w:val="24"/>
          <w:szCs w:val="24"/>
        </w:rPr>
        <w:t>makers and down the chain of command, it will hinder employees</w:t>
      </w:r>
      <w:r w:rsidR="007747C6" w:rsidRPr="00270BA8">
        <w:rPr>
          <w:rFonts w:ascii="Garamond" w:hAnsi="Garamond" w:cs="Times New Roman"/>
          <w:sz w:val="24"/>
          <w:szCs w:val="24"/>
        </w:rPr>
        <w:t>’</w:t>
      </w:r>
      <w:r w:rsidRPr="00270BA8">
        <w:rPr>
          <w:rFonts w:ascii="Garamond" w:hAnsi="Garamond" w:cs="Times New Roman"/>
          <w:sz w:val="24"/>
          <w:szCs w:val="24"/>
        </w:rPr>
        <w:t xml:space="preserve"> attribution</w:t>
      </w:r>
      <w:r w:rsidR="008A55A2" w:rsidRPr="00270BA8">
        <w:rPr>
          <w:rFonts w:ascii="Garamond" w:hAnsi="Garamond" w:cs="Times New Roman"/>
          <w:sz w:val="24"/>
          <w:szCs w:val="24"/>
        </w:rPr>
        <w:t xml:space="preserve">. </w:t>
      </w:r>
      <w:r w:rsidRPr="00270BA8">
        <w:rPr>
          <w:rFonts w:ascii="Garamond" w:hAnsi="Garamond" w:cs="Times New Roman"/>
          <w:sz w:val="24"/>
          <w:szCs w:val="24"/>
        </w:rPr>
        <w:t>Therefore, this paper hypothesises that when the</w:t>
      </w:r>
      <w:r w:rsidR="00222527" w:rsidRPr="00270BA8">
        <w:rPr>
          <w:rFonts w:ascii="Garamond" w:hAnsi="Garamond" w:cs="Times New Roman"/>
          <w:sz w:val="24"/>
          <w:szCs w:val="24"/>
        </w:rPr>
        <w:t xml:space="preserve"> strength </w:t>
      </w:r>
      <w:r w:rsidRPr="00270BA8">
        <w:rPr>
          <w:rFonts w:ascii="Garamond" w:hAnsi="Garamond" w:cs="Times New Roman"/>
          <w:sz w:val="24"/>
          <w:szCs w:val="24"/>
        </w:rPr>
        <w:t>of HRM within an organisation increases, the acceptance and recognition of management messages</w:t>
      </w:r>
      <w:r w:rsidR="00270BA8">
        <w:rPr>
          <w:rFonts w:ascii="Garamond" w:hAnsi="Garamond" w:cs="Times New Roman"/>
          <w:sz w:val="24"/>
          <w:szCs w:val="24"/>
        </w:rPr>
        <w:t>,</w:t>
      </w:r>
      <w:r w:rsidRPr="00270BA8">
        <w:rPr>
          <w:rFonts w:ascii="Garamond" w:hAnsi="Garamond" w:cs="Times New Roman"/>
          <w:sz w:val="24"/>
          <w:szCs w:val="24"/>
        </w:rPr>
        <w:t xml:space="preserve"> such as organisational goals and values by employees will also increase, and employees will then display the innovative behaviours that the organisation expects of them.</w:t>
      </w:r>
    </w:p>
    <w:p w14:paraId="2A9244F1" w14:textId="19786FC5" w:rsidR="00EC5EFF" w:rsidRPr="00270BA8" w:rsidRDefault="00EC5EFF" w:rsidP="00270BA8">
      <w:pPr>
        <w:spacing w:before="120" w:after="360" w:line="360" w:lineRule="auto"/>
        <w:jc w:val="both"/>
        <w:rPr>
          <w:rFonts w:ascii="Garamond" w:hAnsi="Garamond" w:cs="Times New Roman"/>
          <w:i/>
          <w:iCs/>
          <w:sz w:val="24"/>
          <w:szCs w:val="24"/>
        </w:rPr>
      </w:pPr>
      <w:r w:rsidRPr="00270BA8">
        <w:rPr>
          <w:rFonts w:ascii="Garamond" w:hAnsi="Garamond" w:cs="Times New Roman"/>
          <w:i/>
          <w:iCs/>
          <w:sz w:val="24"/>
          <w:szCs w:val="24"/>
        </w:rPr>
        <w:t xml:space="preserve">H1: </w:t>
      </w:r>
      <w:r w:rsidR="008D7010" w:rsidRPr="00270BA8">
        <w:rPr>
          <w:rFonts w:ascii="Garamond" w:hAnsi="Garamond" w:cs="Times New Roman"/>
          <w:i/>
          <w:iCs/>
          <w:sz w:val="24"/>
          <w:szCs w:val="24"/>
        </w:rPr>
        <w:t>HRM Strength</w:t>
      </w:r>
      <w:r w:rsidRPr="00270BA8">
        <w:rPr>
          <w:rFonts w:ascii="Garamond" w:hAnsi="Garamond" w:cs="Times New Roman"/>
          <w:i/>
          <w:iCs/>
          <w:sz w:val="24"/>
          <w:szCs w:val="24"/>
        </w:rPr>
        <w:t xml:space="preserve"> positively influences employee innovative </w:t>
      </w:r>
      <w:r w:rsidR="002A2A0B" w:rsidRPr="00270BA8">
        <w:rPr>
          <w:rFonts w:ascii="Garamond" w:hAnsi="Garamond" w:cs="Times New Roman"/>
          <w:i/>
          <w:iCs/>
          <w:sz w:val="24"/>
          <w:szCs w:val="24"/>
        </w:rPr>
        <w:t xml:space="preserve">behaviour </w:t>
      </w:r>
      <w:r w:rsidR="002A2A0B" w:rsidRPr="00270BA8">
        <w:rPr>
          <w:rFonts w:ascii="Garamond" w:hAnsi="Garamond" w:cs="Times New Roman"/>
          <w:i/>
          <w:iCs/>
          <w:sz w:val="24"/>
          <w:szCs w:val="24"/>
        </w:rPr>
        <w:fldChar w:fldCharType="begin"/>
      </w:r>
      <w:r w:rsidR="002A2A0B" w:rsidRPr="00270BA8">
        <w:rPr>
          <w:rFonts w:ascii="Garamond" w:hAnsi="Garamond" w:cs="Times New Roman"/>
          <w:i/>
          <w:iCs/>
          <w:sz w:val="24"/>
          <w:szCs w:val="24"/>
        </w:rPr>
        <w:instrText xml:space="preserve"> ADDIN ZOTERO_ITEM CSL_CITATION {"citationID":"Q4NY0zwk","properties":{"formattedCitation":"(Rabenu {\\i{}et al.}, 2018; Waheed, Abbas and Malik, 2018; Ruijuan, Jiale and Chengli, 2021; Atar and Li, 2023)","plainCitation":"(Rabenu et al., 2018; Waheed, Abbas and Malik, 2018; Ruijuan, Jiale and Chengli, 2021; Atar and Li, 2023)","noteIndex":0},"citationItems":[{"id":5340,"uris":["http://zotero.org/users/10703570/items/7J47FFPR"],"itemData":{"id":5340,"type":"article-journal","container-title":"Journal of East European Management Studies","ISSN":"0949-6181","issue":"2","journalAbbreviation":"Journal of East European Management Studies","note":"publisher: JSTOR","page":"203-233","title":"HR strength as a mediator or a moderator in the relationship between HR practices and organizational innovation? The Romanian study","volume":"23","author":[{"family":"Rabenu","given":"Edna"},{"family":"Tziner","given":"Aharon"},{"family":"Oren","given":"Lior"},{"family":"Sharoni","given":"Gil"},{"family":"Vasiliu","given":"Cristinel"}],"issued":{"date-parts":[["2018"]]}}},{"id":5343,"uris":["http://zotero.org/users/10703570/items/EXXYWNJH"],"itemData":{"id":5343,"type":"article-journal","container-title":"Behavioral sciences","ISSN":"2076-328X","issue":"12","journalAbbreviation":"Behavioral sciences","note":"publisher: MDPI","page":"114","title":"‘Perceptions of performance appraisal quality’and employee innovative behavior: Do psychological empowerment and ‘perceptions of HRM system strength’matter?","volume":"8","author":[{"family":"Waheed","given":"Aamer"},{"family":"Abbas","given":"Qaisar"},{"family":"Malik","given":"Omer Farooq"}],"issued":{"date-parts":[["2018"]]}}},{"id":5342,"uris":["http://zotero.org/users/10703570/items/YTAGVSD7"],"itemData":{"id":5342,"type":"paper-conference","event-title":"E3S Web of Conferences","ISBN":"2267-1242","page":"02087","publisher":"EDP Sciences","title":"How to Motivate Engineering and Technical Personnel to Innovate? The Impact of Human Resource Management Strength on Employee Innovation Behavior","volume":"253","author":[{"family":"Ruijuan","given":"Yang"},{"family":"Jiale","given":"Song"},{"family":"Chengli","given":"Shi"}],"issued":{"date-parts":[["2021"]]}}},{"id":5341,"uris":["http://zotero.org/users/10703570/items/IQC9YXIY"],"itemData":{"id":5341,"type":"article-journal","abstract":"Abstract With the acceleration of economic globalization and the increasing uncertainty in the external market environment, Chinese enterprises are increasingly required to survive and thrive through continuous innovation activities. As the ultimate source of organizational innovation, the staff determines the overall level of organizational innovation. Simultaneously, leadership behavior within an enterprise profoundly influences employees’ innovative behavior. Therefore, influencing employees’ innovative behavior through a leader’s conduct has become a hot topic of academic discussion. The study aims to explore the impact of locally based paternalistic leadership on employees’ innovative behavior and introduce organizational climate to examine the mutual influence between these two variables. This is a quantitative case study to be conducted on various banks in China, utilizing SPSS software and bootstrap mediator variable analysis. According to the results of this research, paternalistic leadership has a significantly beneficial impact on innovative employee behavior and organizational climate. However, the authoritarian leadership dimension negatively affects innovative behavior and organizational climate. Organizational climate has a substantially positive effect on innovation behavior, and organizational climate plays a role as a mediating variable in the influence of paternalistic leadership on innovative behavior. The future value of this research lies in providing practical suggestions for the development of leadership behavior theory and improving the efficiency of human resource management.","DOI":"10.1163/15692108-12341615","language":"zh","note":"publisher: Brill","source":"brill.com","title":"The Mediating Role of Organizational Climate in Assessing the Influence of Local Governance-Based Paternalist Leadership on Employee Innovation","URL":"https://brill.com/view/journals/aas/22/4/article-p385_3.xml","author":[{"family":"Atar","given":"Emrah"},{"family":"Li","given":"Ziyan"}],"accessed":{"date-parts":[["2024",7,12]]},"issued":{"date-parts":[["2023",12,27]]}}}],"schema":"https://github.com/citation-style-language/schema/raw/master/csl-citation.json"} </w:instrText>
      </w:r>
      <w:r w:rsidR="002A2A0B" w:rsidRPr="00270BA8">
        <w:rPr>
          <w:rFonts w:ascii="Garamond" w:hAnsi="Garamond" w:cs="Times New Roman"/>
          <w:i/>
          <w:iCs/>
          <w:sz w:val="24"/>
          <w:szCs w:val="24"/>
        </w:rPr>
        <w:fldChar w:fldCharType="separate"/>
      </w:r>
      <w:r w:rsidR="002A2A0B" w:rsidRPr="00270BA8">
        <w:rPr>
          <w:rFonts w:ascii="Garamond" w:hAnsi="Garamond" w:cs="Times New Roman"/>
          <w:sz w:val="24"/>
          <w:szCs w:val="24"/>
        </w:rPr>
        <w:t xml:space="preserve">(Rabenu </w:t>
      </w:r>
      <w:r w:rsidR="002A2A0B" w:rsidRPr="00270BA8">
        <w:rPr>
          <w:rFonts w:ascii="Garamond" w:hAnsi="Garamond" w:cs="Times New Roman"/>
          <w:i/>
          <w:iCs/>
          <w:sz w:val="24"/>
          <w:szCs w:val="24"/>
        </w:rPr>
        <w:t>et al.</w:t>
      </w:r>
      <w:r w:rsidR="002A2A0B" w:rsidRPr="00270BA8">
        <w:rPr>
          <w:rFonts w:ascii="Garamond" w:hAnsi="Garamond" w:cs="Times New Roman"/>
          <w:sz w:val="24"/>
          <w:szCs w:val="24"/>
        </w:rPr>
        <w:t>, 2018; Waheed, Abbas and Malik, 2018; Ruijuan, Jiale and Chengli, 2021; Atar and Li, 2023)</w:t>
      </w:r>
      <w:r w:rsidR="002A2A0B" w:rsidRPr="00270BA8">
        <w:rPr>
          <w:rFonts w:ascii="Garamond" w:hAnsi="Garamond" w:cs="Times New Roman"/>
          <w:i/>
          <w:iCs/>
          <w:sz w:val="24"/>
          <w:szCs w:val="24"/>
        </w:rPr>
        <w:fldChar w:fldCharType="end"/>
      </w:r>
      <w:r w:rsidRPr="00270BA8">
        <w:rPr>
          <w:rFonts w:ascii="Garamond" w:hAnsi="Garamond" w:cs="Times New Roman"/>
          <w:i/>
          <w:iCs/>
          <w:sz w:val="24"/>
          <w:szCs w:val="24"/>
        </w:rPr>
        <w:t>.</w:t>
      </w:r>
    </w:p>
    <w:p w14:paraId="486B8FE4" w14:textId="33847494" w:rsidR="00EC5EFF" w:rsidRPr="00270BA8" w:rsidRDefault="00EC5EFF" w:rsidP="00270BA8">
      <w:pPr>
        <w:spacing w:before="120" w:after="360" w:line="360" w:lineRule="auto"/>
        <w:jc w:val="both"/>
        <w:rPr>
          <w:rFonts w:ascii="Garamond" w:hAnsi="Garamond" w:cs="Times New Roman"/>
          <w:i/>
          <w:iCs/>
          <w:sz w:val="24"/>
          <w:szCs w:val="24"/>
        </w:rPr>
      </w:pPr>
      <w:r w:rsidRPr="00270BA8">
        <w:rPr>
          <w:rFonts w:ascii="Garamond" w:hAnsi="Garamond" w:cs="Times New Roman"/>
          <w:i/>
          <w:iCs/>
          <w:sz w:val="24"/>
          <w:szCs w:val="24"/>
        </w:rPr>
        <w:t xml:space="preserve">H1a: The uniqueness dimension of </w:t>
      </w:r>
      <w:r w:rsidR="008D7010" w:rsidRPr="00270BA8">
        <w:rPr>
          <w:rFonts w:ascii="Garamond" w:hAnsi="Garamond" w:cs="Times New Roman"/>
          <w:i/>
          <w:iCs/>
          <w:sz w:val="24"/>
          <w:szCs w:val="24"/>
        </w:rPr>
        <w:t>HRM Strength</w:t>
      </w:r>
      <w:r w:rsidRPr="00270BA8">
        <w:rPr>
          <w:rFonts w:ascii="Garamond" w:hAnsi="Garamond" w:cs="Times New Roman"/>
          <w:i/>
          <w:iCs/>
          <w:sz w:val="24"/>
          <w:szCs w:val="24"/>
        </w:rPr>
        <w:t xml:space="preserve"> positively influences employee innovative </w:t>
      </w:r>
      <w:r w:rsidR="002A2A0B" w:rsidRPr="00270BA8">
        <w:rPr>
          <w:rFonts w:ascii="Garamond" w:hAnsi="Garamond" w:cs="Times New Roman"/>
          <w:i/>
          <w:iCs/>
          <w:sz w:val="24"/>
          <w:szCs w:val="24"/>
        </w:rPr>
        <w:t>behavio</w:t>
      </w:r>
      <w:r w:rsidR="00270BA8">
        <w:rPr>
          <w:rFonts w:ascii="Garamond" w:hAnsi="Garamond" w:cs="Times New Roman"/>
          <w:i/>
          <w:iCs/>
          <w:sz w:val="24"/>
          <w:szCs w:val="24"/>
        </w:rPr>
        <w:t>u</w:t>
      </w:r>
      <w:r w:rsidR="002A2A0B" w:rsidRPr="00270BA8">
        <w:rPr>
          <w:rFonts w:ascii="Garamond" w:hAnsi="Garamond" w:cs="Times New Roman"/>
          <w:i/>
          <w:iCs/>
          <w:sz w:val="24"/>
          <w:szCs w:val="24"/>
        </w:rPr>
        <w:t>r</w:t>
      </w:r>
      <w:r w:rsidRPr="00270BA8">
        <w:rPr>
          <w:rFonts w:ascii="Garamond" w:hAnsi="Garamond" w:cs="Times New Roman"/>
          <w:i/>
          <w:iCs/>
          <w:sz w:val="24"/>
          <w:szCs w:val="24"/>
        </w:rPr>
        <w:t>.</w:t>
      </w:r>
    </w:p>
    <w:p w14:paraId="617BFC76" w14:textId="7B791B6B" w:rsidR="00EC5EFF" w:rsidRPr="00270BA8" w:rsidRDefault="00EC5EFF" w:rsidP="00270BA8">
      <w:pPr>
        <w:spacing w:before="120" w:after="360" w:line="360" w:lineRule="auto"/>
        <w:jc w:val="both"/>
        <w:rPr>
          <w:rFonts w:ascii="Garamond" w:hAnsi="Garamond" w:cs="Times New Roman"/>
          <w:i/>
          <w:iCs/>
          <w:sz w:val="24"/>
          <w:szCs w:val="24"/>
        </w:rPr>
      </w:pPr>
      <w:r w:rsidRPr="00270BA8">
        <w:rPr>
          <w:rFonts w:ascii="Garamond" w:hAnsi="Garamond" w:cs="Times New Roman"/>
          <w:i/>
          <w:iCs/>
          <w:sz w:val="24"/>
          <w:szCs w:val="24"/>
        </w:rPr>
        <w:t xml:space="preserve">H1b: </w:t>
      </w:r>
      <w:r w:rsidR="008A55A2" w:rsidRPr="00270BA8">
        <w:rPr>
          <w:rFonts w:ascii="Garamond" w:hAnsi="Garamond" w:cs="Times New Roman"/>
          <w:i/>
          <w:iCs/>
          <w:sz w:val="24"/>
          <w:szCs w:val="24"/>
        </w:rPr>
        <w:t>The c</w:t>
      </w:r>
      <w:r w:rsidRPr="00270BA8">
        <w:rPr>
          <w:rFonts w:ascii="Garamond" w:hAnsi="Garamond" w:cs="Times New Roman"/>
          <w:i/>
          <w:iCs/>
          <w:sz w:val="24"/>
          <w:szCs w:val="24"/>
        </w:rPr>
        <w:t xml:space="preserve">onsistency dimension of </w:t>
      </w:r>
      <w:r w:rsidR="008D7010" w:rsidRPr="00270BA8">
        <w:rPr>
          <w:rFonts w:ascii="Garamond" w:hAnsi="Garamond" w:cs="Times New Roman"/>
          <w:i/>
          <w:iCs/>
          <w:sz w:val="24"/>
          <w:szCs w:val="24"/>
        </w:rPr>
        <w:t>HRM Strength</w:t>
      </w:r>
      <w:r w:rsidRPr="00270BA8">
        <w:rPr>
          <w:rFonts w:ascii="Garamond" w:hAnsi="Garamond" w:cs="Times New Roman"/>
          <w:i/>
          <w:iCs/>
          <w:sz w:val="24"/>
          <w:szCs w:val="24"/>
        </w:rPr>
        <w:t xml:space="preserve"> positively influences employees</w:t>
      </w:r>
      <w:r w:rsidR="007747C6" w:rsidRPr="00270BA8">
        <w:rPr>
          <w:rFonts w:ascii="Garamond" w:hAnsi="Garamond" w:cs="Times New Roman"/>
          <w:i/>
          <w:iCs/>
          <w:sz w:val="24"/>
          <w:szCs w:val="24"/>
        </w:rPr>
        <w:t>’</w:t>
      </w:r>
      <w:r w:rsidRPr="00270BA8">
        <w:rPr>
          <w:rFonts w:ascii="Garamond" w:hAnsi="Garamond" w:cs="Times New Roman"/>
          <w:i/>
          <w:iCs/>
          <w:sz w:val="24"/>
          <w:szCs w:val="24"/>
        </w:rPr>
        <w:t xml:space="preserve"> innovative </w:t>
      </w:r>
      <w:r w:rsidR="002A2A0B" w:rsidRPr="00270BA8">
        <w:rPr>
          <w:rFonts w:ascii="Garamond" w:hAnsi="Garamond" w:cs="Times New Roman"/>
          <w:i/>
          <w:iCs/>
          <w:sz w:val="24"/>
          <w:szCs w:val="24"/>
        </w:rPr>
        <w:t>behavio</w:t>
      </w:r>
      <w:r w:rsidR="00270BA8">
        <w:rPr>
          <w:rFonts w:ascii="Garamond" w:hAnsi="Garamond" w:cs="Times New Roman"/>
          <w:i/>
          <w:iCs/>
          <w:sz w:val="24"/>
          <w:szCs w:val="24"/>
        </w:rPr>
        <w:t>u</w:t>
      </w:r>
      <w:r w:rsidR="002A2A0B" w:rsidRPr="00270BA8">
        <w:rPr>
          <w:rFonts w:ascii="Garamond" w:hAnsi="Garamond" w:cs="Times New Roman"/>
          <w:i/>
          <w:iCs/>
          <w:sz w:val="24"/>
          <w:szCs w:val="24"/>
        </w:rPr>
        <w:t>r</w:t>
      </w:r>
      <w:r w:rsidRPr="00270BA8">
        <w:rPr>
          <w:rFonts w:ascii="Garamond" w:hAnsi="Garamond" w:cs="Times New Roman"/>
          <w:i/>
          <w:iCs/>
          <w:sz w:val="24"/>
          <w:szCs w:val="24"/>
        </w:rPr>
        <w:t>.</w:t>
      </w:r>
    </w:p>
    <w:p w14:paraId="229A1414" w14:textId="701DC6EA" w:rsidR="00220707" w:rsidRPr="00270BA8" w:rsidRDefault="00EC5EFF" w:rsidP="00270BA8">
      <w:pPr>
        <w:spacing w:before="120" w:after="360" w:line="360" w:lineRule="auto"/>
        <w:jc w:val="both"/>
        <w:rPr>
          <w:rFonts w:ascii="Garamond" w:hAnsi="Garamond" w:cs="Times New Roman"/>
          <w:i/>
          <w:iCs/>
          <w:sz w:val="24"/>
          <w:szCs w:val="24"/>
        </w:rPr>
      </w:pPr>
      <w:r w:rsidRPr="00270BA8">
        <w:rPr>
          <w:rFonts w:ascii="Garamond" w:hAnsi="Garamond" w:cs="Times New Roman"/>
          <w:i/>
          <w:iCs/>
          <w:sz w:val="24"/>
          <w:szCs w:val="24"/>
        </w:rPr>
        <w:t xml:space="preserve">H1c: The consensus dimension of </w:t>
      </w:r>
      <w:r w:rsidR="008D7010" w:rsidRPr="00270BA8">
        <w:rPr>
          <w:rFonts w:ascii="Garamond" w:hAnsi="Garamond" w:cs="Times New Roman"/>
          <w:i/>
          <w:iCs/>
          <w:sz w:val="24"/>
          <w:szCs w:val="24"/>
        </w:rPr>
        <w:t>HRM Strength</w:t>
      </w:r>
      <w:r w:rsidR="00222527" w:rsidRPr="00270BA8">
        <w:rPr>
          <w:rFonts w:ascii="Garamond" w:hAnsi="Garamond" w:cs="Times New Roman"/>
          <w:i/>
          <w:iCs/>
          <w:sz w:val="24"/>
          <w:szCs w:val="24"/>
        </w:rPr>
        <w:t xml:space="preserve"> </w:t>
      </w:r>
      <w:r w:rsidRPr="00270BA8">
        <w:rPr>
          <w:rFonts w:ascii="Garamond" w:hAnsi="Garamond" w:cs="Times New Roman"/>
          <w:i/>
          <w:iCs/>
          <w:sz w:val="24"/>
          <w:szCs w:val="24"/>
        </w:rPr>
        <w:t xml:space="preserve">has a positive effect on employee innovative </w:t>
      </w:r>
      <w:r w:rsidR="002A2A0B" w:rsidRPr="00270BA8">
        <w:rPr>
          <w:rFonts w:ascii="Garamond" w:hAnsi="Garamond" w:cs="Times New Roman"/>
          <w:i/>
          <w:iCs/>
          <w:sz w:val="24"/>
          <w:szCs w:val="24"/>
        </w:rPr>
        <w:t>behavio</w:t>
      </w:r>
      <w:r w:rsidR="00270BA8">
        <w:rPr>
          <w:rFonts w:ascii="Garamond" w:hAnsi="Garamond" w:cs="Times New Roman"/>
          <w:i/>
          <w:iCs/>
          <w:sz w:val="24"/>
          <w:szCs w:val="24"/>
        </w:rPr>
        <w:t>u</w:t>
      </w:r>
      <w:r w:rsidR="002A2A0B" w:rsidRPr="00270BA8">
        <w:rPr>
          <w:rFonts w:ascii="Garamond" w:hAnsi="Garamond" w:cs="Times New Roman"/>
          <w:i/>
          <w:iCs/>
          <w:sz w:val="24"/>
          <w:szCs w:val="24"/>
        </w:rPr>
        <w:t>r</w:t>
      </w:r>
      <w:r w:rsidRPr="00270BA8">
        <w:rPr>
          <w:rFonts w:ascii="Garamond" w:hAnsi="Garamond" w:cs="Times New Roman"/>
          <w:i/>
          <w:iCs/>
          <w:sz w:val="24"/>
          <w:szCs w:val="24"/>
        </w:rPr>
        <w:t>.</w:t>
      </w:r>
    </w:p>
    <w:p w14:paraId="647660FC" w14:textId="52509067" w:rsidR="00EC5EFF" w:rsidRPr="00270BA8" w:rsidRDefault="00E420DB" w:rsidP="00270BA8">
      <w:pPr>
        <w:pStyle w:val="2"/>
        <w:spacing w:before="120" w:after="360" w:line="360" w:lineRule="auto"/>
        <w:jc w:val="both"/>
        <w:rPr>
          <w:rFonts w:ascii="Garamond" w:hAnsi="Garamond" w:cs="Times New Roman"/>
        </w:rPr>
      </w:pPr>
      <w:bookmarkStart w:id="19" w:name="_Toc164360748"/>
      <w:bookmarkStart w:id="20" w:name="_Toc171702283"/>
      <w:r w:rsidRPr="00270BA8">
        <w:rPr>
          <w:rFonts w:ascii="Garamond" w:hAnsi="Garamond" w:cs="Times New Roman"/>
        </w:rPr>
        <w:t>2.</w:t>
      </w:r>
      <w:r w:rsidR="002A2A0B" w:rsidRPr="00270BA8">
        <w:rPr>
          <w:rFonts w:ascii="Garamond" w:hAnsi="Garamond" w:cs="Times New Roman"/>
        </w:rPr>
        <w:t>5</w:t>
      </w:r>
      <w:r w:rsidRPr="00270BA8">
        <w:rPr>
          <w:rFonts w:ascii="Garamond" w:hAnsi="Garamond" w:cs="Times New Roman"/>
        </w:rPr>
        <w:t xml:space="preserve"> </w:t>
      </w:r>
      <w:r w:rsidR="00EC5EFF" w:rsidRPr="00270BA8">
        <w:rPr>
          <w:rFonts w:ascii="Garamond" w:hAnsi="Garamond" w:cs="Times New Roman"/>
        </w:rPr>
        <w:t>The moderating effect of knowledge sharing</w:t>
      </w:r>
      <w:bookmarkEnd w:id="19"/>
      <w:bookmarkEnd w:id="20"/>
      <w:r w:rsidR="00EC5EFF" w:rsidRPr="00270BA8">
        <w:rPr>
          <w:rFonts w:ascii="Garamond" w:hAnsi="Garamond" w:cs="Times New Roman"/>
        </w:rPr>
        <w:t xml:space="preserve"> </w:t>
      </w:r>
    </w:p>
    <w:p w14:paraId="49EA7DD1" w14:textId="311ADDCA" w:rsidR="002A2A0B" w:rsidRPr="00270BA8" w:rsidRDefault="002A2A0B" w:rsidP="00270BA8">
      <w:pPr>
        <w:pStyle w:val="3"/>
        <w:spacing w:before="120" w:after="360" w:line="360" w:lineRule="auto"/>
        <w:rPr>
          <w:rFonts w:ascii="Garamond" w:hAnsi="Garamond"/>
        </w:rPr>
      </w:pPr>
      <w:bookmarkStart w:id="21" w:name="_Toc171702284"/>
      <w:r w:rsidRPr="00270BA8">
        <w:rPr>
          <w:rFonts w:ascii="Garamond" w:hAnsi="Garamond"/>
        </w:rPr>
        <w:t>2.5.1 HRM Strength and Employee Innovative Behaviours</w:t>
      </w:r>
      <w:bookmarkEnd w:id="21"/>
    </w:p>
    <w:p w14:paraId="6E79650B" w14:textId="10A917F7" w:rsidR="002A2A0B" w:rsidRPr="00270BA8" w:rsidRDefault="002A2A0B"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By analysing the research on antecedent variables of knowledge sharing, the existing literature mainly explores the </w:t>
      </w:r>
      <w:r w:rsidR="00270BA8">
        <w:rPr>
          <w:rFonts w:ascii="Garamond" w:hAnsi="Garamond" w:cs="Times New Roman"/>
          <w:sz w:val="24"/>
          <w:szCs w:val="24"/>
          <w:lang w:val="en-GB"/>
        </w:rPr>
        <w:t>factors that influence knowledge sharing from the perspectives of individual employees, organisational context,</w:t>
      </w:r>
      <w:r w:rsidRPr="00270BA8">
        <w:rPr>
          <w:rFonts w:ascii="Garamond" w:hAnsi="Garamond" w:cs="Times New Roman"/>
          <w:sz w:val="24"/>
          <w:szCs w:val="24"/>
          <w:lang w:val="en-GB"/>
        </w:rPr>
        <w:t xml:space="preserve"> and leadership. HRM Strength precisely reflects an organisational climate, in which when consensus is higher, the weaker the employees</w:t>
      </w:r>
      <w:r w:rsidR="00270BA8">
        <w:rPr>
          <w:rFonts w:ascii="Garamond" w:hAnsi="Garamond" w:cs="Times New Roman"/>
          <w:sz w:val="24"/>
          <w:szCs w:val="24"/>
          <w:lang w:val="en-GB"/>
        </w:rPr>
        <w:t>’</w:t>
      </w:r>
      <w:r w:rsidRPr="00270BA8">
        <w:rPr>
          <w:rFonts w:ascii="Garamond" w:hAnsi="Garamond" w:cs="Times New Roman"/>
          <w:sz w:val="24"/>
          <w:szCs w:val="24"/>
          <w:lang w:val="en-GB"/>
        </w:rPr>
        <w:t xml:space="preserve"> sense of unfairness towards the organisation, and the more they trust other people, so when in high strength, the efficiency of information transfer within the organisation will be greatly accelerated. The relevant measures and policies of HRM can also be effectively implemented.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{"citationID":"516XGy6a","properties":{"formattedCitation":"(Ding, Liu and Martin-Krumm, 2024)","plainCitation":"(Ding, Liu and Martin-Krumm, 2024)","noteIndex":0},"citationItems":[{"id":5344,"uris":["http://zotero.org/users/10703570/items/PXPNXBHN"],"itemData":{"id":5344,"type":"article-journal","container-title":"Current Psychology","ISSN":"1046-1310","issue":"5","journalAbbreviation":"Current Psychology","note":"publisher: Springer","page":"4337-4351","title":"Exploring the relationship of perceived strengths-based human system with knowledge sharing","volume":"43","author":[{"family":"Ding","given":"He"},{"family":"Liu","given":"Jun"},{"family":"Martin-Krumm","given":"Charles"}],"issued":{"date-parts":[["2024"]]}}}],"schema":"https://github.com/citation-style-language/schema/raw/master/csl-citation.json"}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sz w:val="24"/>
          <w:szCs w:val="28"/>
        </w:rPr>
        <w:t>Ding, Liu and Martin-Krumm (2024)</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first proposed that HRM strength has a positive impact on knowledge sharing and argued that the strong context formed when HRM strength is high can make employees trust the organisation and be on the same wavelength as the organisation and can also motivate employees to be willing to share knowledge from an organisational perspective in order to promote business development and help the organisation achieve further goals. It also encourages employees to share knowledge from the organisation</w:t>
      </w:r>
      <w:r w:rsidR="00270BA8">
        <w:rPr>
          <w:rFonts w:ascii="Garamond" w:hAnsi="Garamond" w:cs="Times New Roman"/>
          <w:sz w:val="24"/>
          <w:szCs w:val="24"/>
          <w:lang w:val="en-GB"/>
        </w:rPr>
        <w:t>’</w:t>
      </w:r>
      <w:r w:rsidRPr="00270BA8">
        <w:rPr>
          <w:rFonts w:ascii="Garamond" w:hAnsi="Garamond" w:cs="Times New Roman"/>
          <w:sz w:val="24"/>
          <w:szCs w:val="24"/>
          <w:lang w:val="en-GB"/>
        </w:rPr>
        <w:t xml:space="preserve">s perspective in order to facilitate </w:t>
      </w:r>
      <w:r w:rsidRPr="00270BA8">
        <w:rPr>
          <w:rFonts w:ascii="Garamond" w:hAnsi="Garamond" w:cs="Times New Roman"/>
          <w:sz w:val="24"/>
          <w:szCs w:val="24"/>
          <w:lang w:val="en-GB"/>
        </w:rPr>
        <w:lastRenderedPageBreak/>
        <w:t>business development and help the organisation achieve its goals. Some scholars have also pointed out that targeted HRM practices have a stronger role in shaping specific work behaviours of employees from the content level; for example, knowledge-oriented HRM practices can promote employees</w:t>
      </w:r>
      <w:r w:rsidR="00270BA8">
        <w:rPr>
          <w:rFonts w:ascii="Garamond" w:hAnsi="Garamond" w:cs="Times New Roman"/>
          <w:sz w:val="24"/>
          <w:szCs w:val="24"/>
          <w:lang w:val="en-GB"/>
        </w:rPr>
        <w:t>’</w:t>
      </w:r>
      <w:r w:rsidRPr="00270BA8">
        <w:rPr>
          <w:rFonts w:ascii="Garamond" w:hAnsi="Garamond" w:cs="Times New Roman"/>
          <w:sz w:val="24"/>
          <w:szCs w:val="24"/>
          <w:lang w:val="en-GB"/>
        </w:rPr>
        <w:t xml:space="preserve"> willingness to share knowledge, and high-commitment HR practices can enhance employees</w:t>
      </w:r>
      <w:r w:rsidR="00270BA8">
        <w:rPr>
          <w:rFonts w:ascii="Garamond" w:hAnsi="Garamond" w:cs="Times New Roman"/>
          <w:sz w:val="24"/>
          <w:szCs w:val="24"/>
          <w:lang w:val="en-GB"/>
        </w:rPr>
        <w:t>’</w:t>
      </w:r>
      <w:r w:rsidRPr="00270BA8">
        <w:rPr>
          <w:rFonts w:ascii="Garamond" w:hAnsi="Garamond" w:cs="Times New Roman"/>
          <w:sz w:val="24"/>
          <w:szCs w:val="24"/>
          <w:lang w:val="en-GB"/>
        </w:rPr>
        <w:t xml:space="preserve"> knowledge sharing and exchange behaviours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{"citationID":"7O5iVhC7","properties":{"formattedCitation":"(Park, Bae and Hong, 2019; Cao, Le and Nguyen, 2022; Than, Le and Le, 2023)","plainCitation":"(Park, Bae and Hong, 2019; Cao, Le and Nguyen, 2022; Than, Le and Le, 2023)","noteIndex":0},"citationItems":[{"id":5345,"uris":["http://zotero.org/users/10703570/items/5FAXFMRZ"],"itemData":{"id":5345,"type":"article-journal","container-title":"The International Journal of Human Resource Management","ISSN":"0958-5192","issue":"9","journalAbbreviation":"The International Journal of Human Resource Management","note":"publisher: Taylor &amp; Francis","page":"1526-1548","title":"High-commitment HRM system, HR capability, and ambidextrous technological innovation","volume":"30","author":[{"family":"Park","given":"Owwon"},{"family":"Bae","given":"Johngseok"},{"family":"Hong","given":"Woonki"}],"issued":{"date-parts":[["2019"]]}}},{"id":5346,"uris":["http://zotero.org/users/10703570/items/4KBV5BIB"],"itemData":{"id":5346,"type":"article-journal","container-title":"International Journal of Innovation Science","ISSN":"1757-2223","issue":"5","journalAbbreviation":"International Journal of Innovation Science","note":"publisher: Emerald Publishing Limited","page":"733-749","title":"Impacts of high-involvement HRM practices on organizational innovation capability: the mediating mechanism of tacit and explicit knowledge sharing","volume":"14","author":[{"family":"Cao","given":"Thanh Thi"},{"family":"Le","given":"Phong Ba"},{"family":"Nguyen","given":"Nhan Thi Minh"}],"issued":{"date-parts":[["2022"]]}}},{"id":5347,"uris":["http://zotero.org/users/10703570/items/EITNZL7U"],"itemData":{"id":5347,"type":"article-journal","container-title":"VINE Journal of Information and Knowledge Management Systems","ISSN":"2059-5891","issue":"3","journalAbbreviation":"VINE Journal of Information and Knowledge Management Systems","note":"publisher: Emerald Publishing Limited","page":"430-449","title":"The impacts of high-commitment HRM practices on exploitative and exploratory innovation: the mediating role of knowledge sharing","volume":"53","author":[{"family":"Than","given":"Son Thanh"},{"family":"Le","given":"Phong Ba"},{"family":"Le","given":"Thanh Trung"}],"issued":{"date-parts":[["2023"]]}}}],"schema":"https://github.com/citation-style-language/schema/raw/master/csl-citation.json"}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sz w:val="24"/>
          <w:szCs w:val="28"/>
        </w:rPr>
        <w:t>(Park, Bae and Hong, 2019; Cao, Le and Nguyen, 2022; Than, Le and Le, 2023)</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Therefore, this paper proposes the hypothesis:</w:t>
      </w:r>
    </w:p>
    <w:p w14:paraId="4226491D" w14:textId="3D7B01B0" w:rsidR="002A2A0B" w:rsidRPr="00270BA8" w:rsidRDefault="002A2A0B"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H2: HRM strength positively affects knowledge sharing.</w:t>
      </w:r>
    </w:p>
    <w:p w14:paraId="34DC36E3" w14:textId="25F92BA0" w:rsidR="002A2A0B" w:rsidRPr="00270BA8" w:rsidRDefault="002A2A0B" w:rsidP="00270BA8">
      <w:pPr>
        <w:pStyle w:val="3"/>
        <w:spacing w:before="120" w:after="360" w:line="360" w:lineRule="auto"/>
        <w:rPr>
          <w:rFonts w:ascii="Garamond" w:hAnsi="Garamond"/>
          <w:lang w:val="en-GB"/>
        </w:rPr>
      </w:pPr>
      <w:bookmarkStart w:id="22" w:name="_Toc171702285"/>
      <w:r w:rsidRPr="00270BA8">
        <w:rPr>
          <w:rFonts w:ascii="Garamond" w:hAnsi="Garamond"/>
          <w:lang w:val="en-GB"/>
        </w:rPr>
        <w:t>2.5.2 Knowledge sharing and employee innovative behaviours</w:t>
      </w:r>
      <w:bookmarkEnd w:id="22"/>
    </w:p>
    <w:p w14:paraId="3E76AD7C" w14:textId="2673CBA6" w:rsidR="002A2A0B" w:rsidRPr="00270BA8" w:rsidRDefault="002A2A0B"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{"citationID":"LbxGq9f0","properties":{"formattedCitation":"(Castaneda and Cuellar, 2020)","plainCitation":"(Castaneda and Cuellar, 2020)","noteIndex":0},"citationItems":[{"id":5348,"uris":["http://zotero.org/users/10703570/items/3UUGHD8W"],"itemData":{"id":5348,"type":"article-journal","container-title":"Knowledge and Process Management","ISSN":"1092-4604","issue":"3","journalAbbreviation":"Knowledge and Process Management","note":"publisher: Wiley Online Library","page":"159-173","title":"Knowledge sharing and innovation: A systematic review","volume":"27","author":[{"family":"Castaneda","given":"Delio Ignacio"},{"family":"Cuellar","given":"Sergio"}],"issued":{"date-parts":[["2020"]]}}}],"schema":"https://github.com/citation-style-language/schema/raw/master/csl-citation.json"}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sz w:val="24"/>
          <w:szCs w:val="28"/>
        </w:rPr>
        <w:t>Castaneda and Cuellar (2020)</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point out that knowledge-sharing activities can effectively spread the information, skills and knowledge of individuals or their own departments to the outside, while the information from the outside will also come into the inside, which will stimulate the creativity of employees, make it easier for them to complete their work, and more importantly, it will be conducive to the improvement of the innovation and problem-solving ability of employees.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{"citationID":"DZIO9MQE","properties":{"formattedCitation":"(Akram {\\i{}et al.}, 2020)","plainCitation":"(Akram et al., 2020)","noteIndex":0},"citationItems":[{"id":5349,"uris":["http://zotero.org/users/10703570/items/GUMZVT72"],"itemData":{"id":5349,"type":"article-journal","container-title":"Journal of Innovation &amp; Knowledge","ISSN":"2444-569X","issue":"2","journalAbbreviation":"Journal of Innovation &amp; Knowledge","note":"publisher: Elsevier","page":"117-129","title":"The impact of organizational justice on employee innovative work behavior: Mediating role of knowledge sharing","volume":"5","author":[{"family":"Akram","given":"Tayyaba"},{"family":"Lei","given":"Shen"},{"family":"Haider","given":"Muhammad Jamal"},{"family":"Hussain","given":"Syed Talib"}],"issued":{"date-parts":[["2020"]]}}}],"schema":"https://github.com/citation-style-language/schema/raw/master/csl-citation.json"}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cs="Times New Roman"/>
          <w:sz w:val="24"/>
          <w:szCs w:val="32"/>
        </w:rPr>
        <w:t xml:space="preserve">Akram </w:t>
      </w:r>
      <w:r w:rsidRPr="00270BA8">
        <w:rPr>
          <w:rFonts w:ascii="Garamond" w:hAnsi="Garamond" w:cs="Times New Roman"/>
          <w:i/>
          <w:iCs/>
          <w:sz w:val="24"/>
          <w:szCs w:val="32"/>
        </w:rPr>
        <w:t>et al.</w:t>
      </w:r>
      <w:r w:rsidRPr="00270BA8">
        <w:rPr>
          <w:rFonts w:ascii="Garamond" w:hAnsi="Garamond" w:cs="Times New Roman"/>
          <w:sz w:val="24"/>
          <w:szCs w:val="32"/>
        </w:rPr>
        <w:t xml:space="preserve"> (2020)</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pointed out that the stock of knowledge held by an organisation is a key factor in determining whether the organisation is able to understand and use the knowledge, suggesting that organisations integrate through knowledge sharing to enhance the organisation</w:t>
      </w:r>
      <w:r w:rsidR="00270BA8">
        <w:rPr>
          <w:rFonts w:ascii="Garamond" w:hAnsi="Garamond" w:cs="Times New Roman"/>
          <w:sz w:val="24"/>
          <w:szCs w:val="24"/>
          <w:lang w:val="en-GB"/>
        </w:rPr>
        <w:t>’</w:t>
      </w:r>
      <w:r w:rsidRPr="00270BA8">
        <w:rPr>
          <w:rFonts w:ascii="Garamond" w:hAnsi="Garamond" w:cs="Times New Roman"/>
          <w:sz w:val="24"/>
          <w:szCs w:val="24"/>
          <w:lang w:val="en-GB"/>
        </w:rPr>
        <w:t xml:space="preserve">s access to external information as well as provide a solid knowledge base for breakthrough innovation.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{"citationID":"WQjhthpY","properties":{"formattedCitation":"(Papa {\\i{}et al.}, 2020)","plainCitation":"(Papa et al., 2020)","noteIndex":0},"citationItems":[{"id":5329,"uris":["http://zotero.org/users/10703570/items/EU9BT5YG"],"itemData":{"id":5329,"type":"article-journal","container-title":"Journal of Knowledge Management","ISSN":"1367-3270","issue":"3","journalAbbreviation":"Journal of Knowledge Management","note":"publisher: Emerald Publishing Limited","page":"589-605","title":"Improving innovation performance through knowledge acquisition: the moderating role of employee retention and human resource management practices","volume":"24","author":[{"family":"Papa","given":"Armando"},{"family":"Dezi","given":"Luca"},{"family":"Gregori","given":"Gian Luca"},{"family":"Mueller","given":"Jens"},{"family":"Miglietta","given":"Nicola"}],"issued":{"date-parts":[["2020"]]}}}],"schema":"https://github.com/citation-style-language/schema/raw/master/csl-citation.json"}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cs="Times New Roman"/>
          <w:sz w:val="24"/>
          <w:szCs w:val="32"/>
        </w:rPr>
        <w:t xml:space="preserve">Papa </w:t>
      </w:r>
      <w:r w:rsidRPr="00270BA8">
        <w:rPr>
          <w:rFonts w:ascii="Garamond" w:hAnsi="Garamond" w:cs="Times New Roman"/>
          <w:i/>
          <w:iCs/>
          <w:sz w:val="24"/>
          <w:szCs w:val="32"/>
        </w:rPr>
        <w:t>et al.</w:t>
      </w:r>
      <w:r w:rsidRPr="00270BA8">
        <w:rPr>
          <w:rFonts w:ascii="Garamond" w:hAnsi="Garamond" w:cs="Times New Roman"/>
          <w:sz w:val="24"/>
          <w:szCs w:val="32"/>
        </w:rPr>
        <w:t xml:space="preserve"> (2020)</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put forward an idea about aggregation, in which </w:t>
      </w:r>
      <w:r w:rsidR="00270BA8">
        <w:rPr>
          <w:rFonts w:ascii="Garamond" w:hAnsi="Garamond" w:cs="Times New Roman"/>
          <w:sz w:val="24"/>
          <w:szCs w:val="24"/>
          <w:lang w:val="en-GB"/>
        </w:rPr>
        <w:t>they</w:t>
      </w:r>
      <w:r w:rsidRPr="00270BA8">
        <w:rPr>
          <w:rFonts w:ascii="Garamond" w:hAnsi="Garamond" w:cs="Times New Roman"/>
          <w:sz w:val="24"/>
          <w:szCs w:val="24"/>
          <w:lang w:val="en-GB"/>
        </w:rPr>
        <w:t xml:space="preserve"> argue that employees will discover their shortcomings and find the direction of progress in the process of continuous knowledge aggregation, thus laying the foundation for further innovation. A large number of empirical evidence has supported the research on knowledge sharing and employees</w:t>
      </w:r>
      <w:r w:rsidR="00270BA8">
        <w:rPr>
          <w:rFonts w:ascii="Garamond" w:hAnsi="Garamond" w:cs="Times New Roman"/>
          <w:sz w:val="24"/>
          <w:szCs w:val="24"/>
          <w:lang w:val="en-GB"/>
        </w:rPr>
        <w:t>’</w:t>
      </w:r>
      <w:r w:rsidRPr="00270BA8">
        <w:rPr>
          <w:rFonts w:ascii="Garamond" w:hAnsi="Garamond" w:cs="Times New Roman"/>
          <w:sz w:val="24"/>
          <w:szCs w:val="24"/>
          <w:lang w:val="en-GB"/>
        </w:rPr>
        <w:t xml:space="preserve"> innovative behaviour. The results show that different knowledge structures and reserves between individual employees will provide one of the conditions for sharing. Individuals will be more willing to exchange knowledge in a relaxed and trusting environment so that the different knowledge compositions between employees will help their colleagues and leaders to broaden their horizons in the process of sharing, identify opportunities for improvement and innovation, and put forward new ideas and creativity, or they may not have the knowledge they need at the moment </w:t>
      </w:r>
      <w:r w:rsidRPr="00270BA8">
        <w:rPr>
          <w:rFonts w:ascii="Garamond" w:hAnsi="Garamond" w:cs="Times New Roman"/>
          <w:sz w:val="24"/>
          <w:szCs w:val="24"/>
          <w:lang w:val="en-GB"/>
        </w:rPr>
        <w:fldChar w:fldCharType="begin"/>
      </w:r>
      <w:r w:rsidRPr="00270BA8">
        <w:rPr>
          <w:rFonts w:ascii="Garamond" w:hAnsi="Garamond" w:cs="Times New Roman"/>
          <w:sz w:val="24"/>
          <w:szCs w:val="24"/>
          <w:lang w:val="en-GB"/>
        </w:rPr>
        <w:instrText xml:space="preserve"> ADDIN ZOTERO_ITEM CSL_CITATION {"citationID":"jbI8tMJ7","properties":{"formattedCitation":"(Imam and Zaheer, 2021; Kmieciak, 2021; Le and Nguyen, 2023)","plainCitation":"(Imam and Zaheer, 2021; Kmieciak, 2021; Le and Nguyen, 2023)","noteIndex":0},"citationItems":[{"id":5352,"uris":["http://zotero.org/users/10703570/items/EWKH5ZA8"],"itemData":{"id":5352,"type":"article-journal","container-title":"International journal of project management","ISSN":"0263-7863","issue":"5","journalAbbreviation":"International journal of project management","note":"publisher: Elsevier","page":"463-473","title":"Shared leadership and project success: The roles of knowledge sharing, cohesion and trust in the team","volume":"39","author":[{"family":"Imam","given":"Hassan"},{"family":"Zaheer","given":"Muhammad Kashif"}],"issued":{"date-parts":[["2021"]]}}},{"id":5351,"uris":["http://zotero.org/users/10703570/items/GYBMSVLR"],"itemData":{"id":5351,"type":"article-journal","container-title":"European Journal of Innovation Management","ISSN":"1460-1060","issue":"5","journalAbbreviation":"European Journal of Innovation Management","note":"publisher: Emerald Publishing Limited","page":"1832-1859","title":"Trust, knowledge sharing, and innovative work behavior: empirical evidence from Poland","volume":"24","author":[{"family":"Kmieciak","given":"Roman"}],"issued":{"date-parts":[["2021"]]}}},{"id":5353,"uris":["http://zotero.org/users/10703570/items/EWYLAUDZ"],"itemData":{"id":5353,"type":"article-journal","container-title":"Journal of Knowledge Management","ISSN":"1367-3270","issue":"3","journalAbbreviation":"Journal of Knowledge Management","note":"publisher: Emerald Publishing Limited","page":"820-841","title":"Stimulating knowledge-sharing behaviours through ethical leadership and employee trust in leadership: the moderating role of distributive justice","volume":"27","author":[{"family":"Le","given":"Phong Ba"},{"family":"Nguyen","given":"Dung Thi Nguyet"}],"issued":{"date-parts":[["2023"]]}}}],"schema":"https://github.com/citation-style-language/schema/raw/master/csl-citation.json"}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sz w:val="24"/>
          <w:szCs w:val="28"/>
        </w:rPr>
        <w:t>(Imam and Zaheer, 2021; Kmieciak, 2021; Le and Nguyen, 2023)</w:t>
      </w:r>
      <w:r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The different knowledge composition among employees will help colleagues and leaders to broaden their horizons in the process of sharing, identify opportunities for improvement and innovation, and come up with new ideas and creativity when there </w:t>
      </w:r>
      <w:r w:rsidRPr="00270BA8">
        <w:rPr>
          <w:rFonts w:ascii="Garamond" w:hAnsi="Garamond" w:cs="Times New Roman"/>
          <w:sz w:val="24"/>
          <w:szCs w:val="24"/>
          <w:lang w:val="en-GB"/>
        </w:rPr>
        <w:lastRenderedPageBreak/>
        <w:t>are no conditions for innovation for the time being,</w:t>
      </w:r>
      <w:r w:rsidR="00270BA8">
        <w:rPr>
          <w:rFonts w:ascii="Garamond" w:hAnsi="Garamond" w:cs="Times New Roman"/>
          <w:sz w:val="24"/>
          <w:szCs w:val="24"/>
          <w:lang w:val="en-GB"/>
        </w:rPr>
        <w:t xml:space="preserve"> and</w:t>
      </w:r>
      <w:r w:rsidRPr="00270BA8">
        <w:rPr>
          <w:rFonts w:ascii="Garamond" w:hAnsi="Garamond" w:cs="Times New Roman"/>
          <w:sz w:val="24"/>
          <w:szCs w:val="24"/>
          <w:lang w:val="en-GB"/>
        </w:rPr>
        <w:t xml:space="preserve"> a knowledge base will be formed in the organisation as a guarantee for subsequent innovation.</w:t>
      </w:r>
    </w:p>
    <w:p w14:paraId="08FE5C11" w14:textId="77777777" w:rsidR="002A2A0B" w:rsidRPr="00270BA8" w:rsidRDefault="002A2A0B"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Therefore, this paper makes the following hypotheses: </w:t>
      </w:r>
    </w:p>
    <w:p w14:paraId="58BEC47D" w14:textId="4F10A052" w:rsidR="002A2A0B" w:rsidRPr="00270BA8" w:rsidRDefault="002A2A0B" w:rsidP="00270BA8">
      <w:pPr>
        <w:spacing w:before="120" w:after="360" w:line="360" w:lineRule="auto"/>
        <w:jc w:val="both"/>
        <w:rPr>
          <w:rFonts w:ascii="Garamond" w:hAnsi="Garamond" w:cs="Times New Roman"/>
          <w:i/>
          <w:iCs/>
          <w:sz w:val="24"/>
          <w:szCs w:val="24"/>
          <w:lang w:val="en-GB"/>
        </w:rPr>
      </w:pPr>
      <w:r w:rsidRPr="00270BA8">
        <w:rPr>
          <w:rFonts w:ascii="Garamond" w:hAnsi="Garamond" w:cs="Times New Roman"/>
          <w:i/>
          <w:iCs/>
          <w:sz w:val="24"/>
          <w:szCs w:val="24"/>
          <w:lang w:val="en-GB"/>
        </w:rPr>
        <w:t>H3: Knowledge sharing has a positive impact on employees</w:t>
      </w:r>
      <w:r w:rsidR="00270BA8" w:rsidRPr="00270BA8">
        <w:rPr>
          <w:rFonts w:ascii="Garamond" w:hAnsi="Garamond" w:cs="Times New Roman"/>
          <w:i/>
          <w:iCs/>
          <w:sz w:val="24"/>
          <w:szCs w:val="24"/>
          <w:lang w:val="en-GB"/>
        </w:rPr>
        <w:t>’</w:t>
      </w:r>
      <w:r w:rsidRPr="00270BA8">
        <w:rPr>
          <w:rFonts w:ascii="Garamond" w:hAnsi="Garamond" w:cs="Times New Roman"/>
          <w:i/>
          <w:iCs/>
          <w:sz w:val="24"/>
          <w:szCs w:val="24"/>
          <w:lang w:val="en-GB"/>
        </w:rPr>
        <w:t xml:space="preserve"> innovative behaviour.</w:t>
      </w:r>
    </w:p>
    <w:p w14:paraId="13BBCBC5" w14:textId="4392011A" w:rsidR="002A2A0B" w:rsidRPr="00270BA8" w:rsidRDefault="002A2A0B" w:rsidP="00270BA8">
      <w:pPr>
        <w:pStyle w:val="3"/>
        <w:spacing w:before="120" w:after="360" w:line="360" w:lineRule="auto"/>
        <w:rPr>
          <w:rFonts w:ascii="Garamond" w:hAnsi="Garamond" w:cs="Times New Roman"/>
          <w:sz w:val="20"/>
          <w:szCs w:val="20"/>
          <w:lang w:val="en-GB"/>
        </w:rPr>
      </w:pPr>
      <w:bookmarkStart w:id="23" w:name="_Toc171702286"/>
      <w:r w:rsidRPr="00270BA8">
        <w:rPr>
          <w:rFonts w:ascii="Garamond" w:hAnsi="Garamond"/>
          <w:lang w:val="en-GB"/>
        </w:rPr>
        <w:t>2.5.3 The moderating effects of knowledge sharing</w:t>
      </w:r>
      <w:bookmarkEnd w:id="23"/>
      <w:r w:rsidRPr="00270BA8">
        <w:rPr>
          <w:rFonts w:ascii="Garamond" w:hAnsi="Garamond"/>
          <w:lang w:val="en-GB"/>
        </w:rPr>
        <w:t xml:space="preserve"> </w:t>
      </w:r>
    </w:p>
    <w:p w14:paraId="63106067" w14:textId="3401A980" w:rsidR="00EC5EFF" w:rsidRPr="00270BA8" w:rsidRDefault="00EC5EF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The direct effect of </w:t>
      </w:r>
      <w:r w:rsidR="008D7010" w:rsidRPr="00270BA8">
        <w:rPr>
          <w:rFonts w:ascii="Garamond" w:hAnsi="Garamond" w:cs="Times New Roman"/>
          <w:sz w:val="24"/>
          <w:szCs w:val="24"/>
          <w:lang w:val="en-GB"/>
        </w:rPr>
        <w:t>HRM Strength</w:t>
      </w:r>
      <w:r w:rsidRPr="00270BA8">
        <w:rPr>
          <w:rFonts w:ascii="Garamond" w:hAnsi="Garamond" w:cs="Times New Roman"/>
          <w:sz w:val="24"/>
          <w:szCs w:val="24"/>
          <w:lang w:val="en-GB"/>
        </w:rPr>
        <w:t xml:space="preserve"> and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innovative behaviour has been explored, but knowledge sharing has not been proposed as a mediating variable between the two</w:t>
      </w:r>
      <w:r w:rsidR="00270BA8">
        <w:rPr>
          <w:rFonts w:ascii="Garamond" w:hAnsi="Garamond" w:cs="Times New Roman"/>
          <w:sz w:val="24"/>
          <w:szCs w:val="24"/>
          <w:lang w:val="en-GB"/>
        </w:rPr>
        <w:t>. T</w:t>
      </w:r>
      <w:r w:rsidRPr="00270BA8">
        <w:rPr>
          <w:rFonts w:ascii="Garamond" w:hAnsi="Garamond" w:cs="Times New Roman"/>
          <w:sz w:val="24"/>
          <w:szCs w:val="24"/>
          <w:lang w:val="en-GB"/>
        </w:rPr>
        <w:t>his paper will analyse the mediating role of knowledge sharing based on the social exchange theory. From the perspective of social exchange, knowledge sharing is an exchange process where knowledge flows in the organisational context due to employee interaction</w:t>
      </w:r>
      <w:r w:rsidR="008A55A2" w:rsidRPr="00270BA8">
        <w:rPr>
          <w:rFonts w:ascii="Garamond" w:hAnsi="Garamond" w:cs="Times New Roman"/>
          <w:sz w:val="24"/>
          <w:szCs w:val="24"/>
          <w:lang w:val="en-GB"/>
        </w:rPr>
        <w:t xml:space="preserve"> </w:t>
      </w:r>
      <w:r w:rsidR="008A55A2"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{"citationID":"c1Yu0TxG","properties":{"formattedCitation":"(Soto-Acosta, Popa and Palacios-Marqu\\uc0\\u233{}s, 2017)","plainCitation":"(Soto-Acosta, Popa and Palacios-Marqués, 2017)","noteIndex":0},"citationItems":[{"id":"MRBxNWYl/WuO8DqZl","uris":["http://zotero.org/users/10703570/items/HM85MCAQ"],"itemData":{"id":3948,"type":"article-journal","abstract":"This paper develops an integrative research model to assess the effect of different factors on social web knowledge sharing and its effect on innovation performance in manufacturing small and medium-sized enterprises (SMEs). In addition, this study analyzes whether social web knowledge sharing may be a mediator in the relationship between human resource (HR) practices and innovation performance. The proposed research model and its associated hypotheses were tested by using partial least squares structural equation modeling on a dataset of manufacturing SMEs. This study contributes to research seeking to understand the factors affecting social web knowledge sharing by demonstrating that technological and organizational factors have greater impact than environmental factors on social web knowledge sharing. It also contributes to research by exploring the indirect effects of the social influence of HR practices on organizational innovation performance by offering evidence on the mediating effect of social web knowledge sharing in the relationship between HR practices and organizational innovation performance in manufacturing SMEs.","container-title":"The Journal of Technology Transfer","DOI":"10.1007/s10961-016-9498-z","ISSN":"1573-7047","issue":"2","journalAbbreviation":"J Technol Transf","language":"en","page":"425-440","source":"Springer Link","title":"Social web knowledge sharing and innovation performance in knowledge-intensive manufacturing SMEs","volume":"42","author":[{"family":"Soto-Acosta","given":"Pedro"},{"family":"Popa","given":"Simona"},{"family":"Palacios-Marqués","given":"Daniel"}],"issued":{"date-parts":[["2017",4,1]]}}}],"schema":"https://github.com/citation-style-language/schema/raw/master/csl-citation.json"} </w:instrText>
      </w:r>
      <w:r w:rsidR="008A55A2" w:rsidRPr="00270BA8">
        <w:rPr>
          <w:rFonts w:ascii="Garamond" w:hAnsi="Garamond" w:cs="Times New Roman"/>
          <w:sz w:val="24"/>
          <w:szCs w:val="24"/>
          <w:lang w:val="en-GB"/>
        </w:rPr>
        <w:fldChar w:fldCharType="separate"/>
      </w:r>
      <w:r w:rsidR="008A55A2" w:rsidRPr="00270BA8">
        <w:rPr>
          <w:rFonts w:ascii="Garamond" w:hAnsi="Garamond" w:cs="Times New Roman"/>
          <w:sz w:val="24"/>
          <w:szCs w:val="24"/>
          <w:lang w:val="en-GB"/>
        </w:rPr>
        <w:t>(Soto-Acosta, Popa and Palacios-Marqués, 2017)</w:t>
      </w:r>
      <w:r w:rsidR="008A55A2"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xml:space="preserve">. </w:t>
      </w:r>
      <w:r w:rsidR="00D33E0E" w:rsidRPr="00270BA8">
        <w:rPr>
          <w:rFonts w:ascii="Garamond" w:hAnsi="Garamond" w:cs="Times New Roman"/>
          <w:sz w:val="24"/>
          <w:szCs w:val="24"/>
          <w:lang w:val="en-GB"/>
        </w:rPr>
        <w:t>The h</w:t>
      </w:r>
      <w:r w:rsidRPr="00270BA8">
        <w:rPr>
          <w:rFonts w:ascii="Garamond" w:hAnsi="Garamond" w:cs="Times New Roman"/>
          <w:sz w:val="24"/>
          <w:szCs w:val="24"/>
          <w:lang w:val="en-GB"/>
        </w:rPr>
        <w:t>igh-</w:t>
      </w:r>
      <w:r w:rsidR="002A2A0B" w:rsidRPr="00270BA8">
        <w:rPr>
          <w:rFonts w:ascii="Garamond" w:hAnsi="Garamond" w:cs="Times New Roman"/>
          <w:sz w:val="24"/>
          <w:szCs w:val="24"/>
          <w:lang w:val="en-GB"/>
        </w:rPr>
        <w:t>strength</w:t>
      </w:r>
      <w:r w:rsidRPr="00270BA8">
        <w:rPr>
          <w:rFonts w:ascii="Garamond" w:hAnsi="Garamond" w:cs="Times New Roman"/>
          <w:sz w:val="24"/>
          <w:szCs w:val="24"/>
          <w:lang w:val="en-GB"/>
        </w:rPr>
        <w:t xml:space="preserve"> organisational context will reduce the obstacles to promote the occurrence of the flow</w:t>
      </w:r>
      <w:r w:rsidR="002A2A0B" w:rsidRPr="00270BA8">
        <w:rPr>
          <w:rFonts w:ascii="Garamond" w:hAnsi="Garamond" w:cs="Times New Roman"/>
          <w:sz w:val="24"/>
          <w:szCs w:val="24"/>
          <w:lang w:val="en-GB"/>
        </w:rPr>
        <w:t>. In the process of interaction, the individual employee’s single knowledge resources will be widely disseminated within the organisation. Each</w:t>
      </w:r>
      <w:r w:rsidRPr="00270BA8">
        <w:rPr>
          <w:rFonts w:ascii="Garamond" w:hAnsi="Garamond" w:cs="Times New Roman"/>
          <w:sz w:val="24"/>
          <w:szCs w:val="24"/>
          <w:lang w:val="en-GB"/>
        </w:rPr>
        <w:t xml:space="preserve"> other can be absorbed into the new work experience and methods, which is conducive to stimulat</w:t>
      </w:r>
      <w:r w:rsidR="00270BA8">
        <w:rPr>
          <w:rFonts w:ascii="Garamond" w:hAnsi="Garamond" w:cs="Times New Roman"/>
          <w:sz w:val="24"/>
          <w:szCs w:val="24"/>
          <w:lang w:val="en-GB"/>
        </w:rPr>
        <w:t>ing</w:t>
      </w:r>
      <w:r w:rsidRPr="00270BA8">
        <w:rPr>
          <w:rFonts w:ascii="Garamond" w:hAnsi="Garamond" w:cs="Times New Roman"/>
          <w:sz w:val="24"/>
          <w:szCs w:val="24"/>
          <w:lang w:val="en-GB"/>
        </w:rPr>
        <w:t xml:space="preserve"> the innovative behaviour of employees</w:t>
      </w:r>
      <w:r w:rsidR="008A55A2" w:rsidRPr="00270BA8">
        <w:rPr>
          <w:rFonts w:ascii="Garamond" w:hAnsi="Garamond" w:cs="Times New Roman"/>
          <w:sz w:val="24"/>
          <w:szCs w:val="24"/>
          <w:lang w:val="en-GB"/>
        </w:rPr>
        <w:t xml:space="preserve"> </w:t>
      </w:r>
      <w:r w:rsidR="008A55A2"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{"citationID":"oGEywzoI","properties":{"formattedCitation":"(Lin and Lo, 2015)","plainCitation":"(Lin and Lo, 2015)","noteIndex":0},"citationItems":[{"id":"MRBxNWYl/eqm4nAsk","uris":["http://zotero.org/users/10703570/items/B9R6PVF5"],"itemData":{"id":3949,"type":"article-journal","abstract":"Purpose The purpose of this study is to develop a theoretical model that integrates two different mechanisms to explain knowledge sharing. First, adapted from traditional reward systems, the calculative-based mechanism (CBM) serves as the benchmark. Second, the relational-based mechanism (RBM) plays a complementary role. RBM is founded on social interaction and consists of two social network constructs: relational deposits (i.e. network and valued network centralities) and withdrawals (i.e. network and valued network densities). Design/methodology/approach This study collected survey data in collaboration with a health-care organization. The data collected from 180 respondents were tested against the research model using a partial least squares analysis. Findings This study found the CBM to be beneficial for knowledge sharing. The findings support the RBM prediction of a positive relationship between the deposit construct and knowledge sharing, but fail to support the RBM prediction on the withdrawal construct. The RBM explained about 15 per cent more of the variance than the CBM. In addition, the withdrawal construct of the RBM predicts respondents’ beliefs in reciprocal obligation. Research limitations/implications RBM does not as strongly associate with economic benefits as the CBM, but it still plays a noteworthy role in increasing the possibility of an individual knowledge sharing. Originality/value The study is the first to propose the concepts of relational deposits and withdrawals. The authors use a roster-based sociometric approach to collect the social network data and to benchmark the effect of RBM with that of CBM on individual knowledge sharing and his/her beliefs in reciprocal obligation.","container-title":"Journal of Knowledge Management","DOI":"10.1108/JKM-05-2014-0209","ISSN":"1367-3270","issue":"2","note":"publisher: Emerald Group Publishing Limited","page":"212-235","source":"Emerald Insight","title":"Mechanisms to motivate knowledge sharing: integrating the reward systems and social network perspectives","title-short":"Mechanisms to motivate knowledge sharing","volume":"19","author":[{"family":"Lin","given":"Sheng-Wei"},{"family":"Lo","given":"Louis Yi-Shih"}],"issued":{"date-parts":[["2015",1,1]]}}}],"schema":"https://github.com/citation-style-language/schema/raw/master/csl-citation.json"} </w:instrText>
      </w:r>
      <w:r w:rsidR="008A55A2" w:rsidRPr="00270BA8">
        <w:rPr>
          <w:rFonts w:ascii="Garamond" w:hAnsi="Garamond" w:cs="Times New Roman"/>
          <w:sz w:val="24"/>
          <w:szCs w:val="24"/>
          <w:lang w:val="en-GB"/>
        </w:rPr>
        <w:fldChar w:fldCharType="separate"/>
      </w:r>
      <w:r w:rsidR="008A55A2" w:rsidRPr="00270BA8">
        <w:rPr>
          <w:rFonts w:ascii="Garamond" w:hAnsi="Garamond" w:cs="Times New Roman"/>
          <w:sz w:val="24"/>
          <w:szCs w:val="24"/>
          <w:lang w:val="en-GB"/>
        </w:rPr>
        <w:t>(Lin and Lo, 2015)</w:t>
      </w:r>
      <w:r w:rsidR="008A55A2" w:rsidRPr="00270BA8">
        <w:rPr>
          <w:rFonts w:ascii="Garamond" w:hAnsi="Garamond" w:cs="Times New Roman"/>
          <w:sz w:val="24"/>
          <w:szCs w:val="24"/>
          <w:lang w:val="en-GB"/>
        </w:rPr>
        <w:fldChar w:fldCharType="end"/>
      </w:r>
      <w:r w:rsidRPr="00270BA8">
        <w:rPr>
          <w:rFonts w:ascii="Garamond" w:hAnsi="Garamond" w:cs="Times New Roman"/>
          <w:sz w:val="24"/>
          <w:szCs w:val="24"/>
          <w:lang w:val="en-GB"/>
        </w:rPr>
        <w:t>. Employees in the process of frequent communication and exchange of knowledge, based on the principle of reciprocity organisational members of the organisation</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s gifts will produce a strong feeling of wanting to give back to the organisation so that the organisation is willing to advocate and expect the way to carry out the actual return, such as the generation of innovative activities. Based on this, this paper argues that </w:t>
      </w:r>
      <w:r w:rsidR="008D7010" w:rsidRPr="00270BA8">
        <w:rPr>
          <w:rFonts w:ascii="Garamond" w:hAnsi="Garamond" w:cs="Times New Roman"/>
          <w:sz w:val="24"/>
          <w:szCs w:val="24"/>
          <w:lang w:val="en-GB"/>
        </w:rPr>
        <w:t>HRM Strength</w:t>
      </w:r>
      <w:r w:rsidRPr="00270BA8">
        <w:rPr>
          <w:rFonts w:ascii="Garamond" w:hAnsi="Garamond" w:cs="Times New Roman"/>
          <w:sz w:val="24"/>
          <w:szCs w:val="24"/>
          <w:lang w:val="en-GB"/>
        </w:rPr>
        <w:t xml:space="preserve"> not only has a direct impact on employee innovation behaviour but may also indirectly affect employee innovation through knowledge sharing.</w:t>
      </w:r>
    </w:p>
    <w:p w14:paraId="73B59626" w14:textId="6BC84513" w:rsidR="002A2A0B" w:rsidRPr="00270BA8" w:rsidRDefault="002A2A0B" w:rsidP="00270BA8">
      <w:pPr>
        <w:spacing w:before="120" w:after="360" w:line="360" w:lineRule="auto"/>
        <w:jc w:val="both"/>
        <w:rPr>
          <w:rFonts w:ascii="Garamond" w:hAnsi="Garamond" w:cs="Times New Roman"/>
          <w:i/>
          <w:iCs/>
          <w:sz w:val="24"/>
          <w:szCs w:val="24"/>
          <w:lang w:val="en-GB"/>
        </w:rPr>
      </w:pPr>
      <w:r w:rsidRPr="00270BA8">
        <w:rPr>
          <w:rFonts w:ascii="Garamond" w:hAnsi="Garamond" w:cs="Times New Roman"/>
          <w:i/>
          <w:iCs/>
          <w:sz w:val="24"/>
          <w:szCs w:val="24"/>
          <w:lang w:val="en-GB"/>
        </w:rPr>
        <w:t>H4: Knowledge sharing mediates the mechanism by which HRM strength influences employees</w:t>
      </w:r>
      <w:r w:rsidR="00270BA8" w:rsidRPr="00270BA8">
        <w:rPr>
          <w:rFonts w:ascii="Garamond" w:hAnsi="Garamond" w:cs="Times New Roman"/>
          <w:i/>
          <w:iCs/>
          <w:sz w:val="24"/>
          <w:szCs w:val="24"/>
          <w:lang w:val="en-GB"/>
        </w:rPr>
        <w:t>’</w:t>
      </w:r>
      <w:r w:rsidRPr="00270BA8">
        <w:rPr>
          <w:rFonts w:ascii="Garamond" w:hAnsi="Garamond" w:cs="Times New Roman"/>
          <w:i/>
          <w:iCs/>
          <w:sz w:val="24"/>
          <w:szCs w:val="24"/>
          <w:lang w:val="en-GB"/>
        </w:rPr>
        <w:t xml:space="preserve"> innovative behaviour.</w:t>
      </w:r>
    </w:p>
    <w:p w14:paraId="37ACDD78" w14:textId="46DF4BCC" w:rsidR="00220707" w:rsidRPr="00270BA8" w:rsidRDefault="002A2A0B" w:rsidP="00270BA8">
      <w:pPr>
        <w:spacing w:before="120" w:after="360" w:line="360" w:lineRule="auto"/>
        <w:rPr>
          <w:rFonts w:ascii="Garamond" w:hAnsi="Garamond" w:cs="Times New Roman"/>
          <w:sz w:val="20"/>
          <w:szCs w:val="20"/>
          <w:lang w:val="en-GB"/>
        </w:rPr>
      </w:pPr>
      <w:r w:rsidRPr="00270BA8">
        <w:rPr>
          <w:rFonts w:ascii="Garamond" w:hAnsi="Garamond" w:cs="Times New Roman"/>
          <w:sz w:val="20"/>
          <w:szCs w:val="20"/>
          <w:lang w:val="en-GB"/>
        </w:rPr>
        <w:br w:type="page"/>
      </w:r>
    </w:p>
    <w:p w14:paraId="77118E97" w14:textId="6171BCF6" w:rsidR="00197A0F" w:rsidRPr="00270BA8" w:rsidRDefault="00082B0F" w:rsidP="00270BA8">
      <w:pPr>
        <w:pStyle w:val="1"/>
        <w:numPr>
          <w:ilvl w:val="0"/>
          <w:numId w:val="2"/>
        </w:numPr>
        <w:spacing w:before="120" w:after="360" w:line="360" w:lineRule="auto"/>
        <w:jc w:val="both"/>
        <w:rPr>
          <w:rFonts w:ascii="Garamond" w:hAnsi="Garamond" w:cs="Times New Roman"/>
          <w:lang w:val="en-GB"/>
        </w:rPr>
      </w:pPr>
      <w:bookmarkStart w:id="24" w:name="_Toc164360749"/>
      <w:bookmarkStart w:id="25" w:name="_Toc171702287"/>
      <w:r w:rsidRPr="00270BA8">
        <w:rPr>
          <w:rFonts w:ascii="Garamond" w:hAnsi="Garamond" w:cs="Times New Roman"/>
          <w:lang w:val="en-GB"/>
        </w:rPr>
        <w:lastRenderedPageBreak/>
        <w:t>Research paradigm and method</w:t>
      </w:r>
      <w:bookmarkEnd w:id="24"/>
      <w:bookmarkEnd w:id="25"/>
      <w:r w:rsidRPr="00270BA8">
        <w:rPr>
          <w:rFonts w:ascii="Garamond" w:hAnsi="Garamond" w:cs="Times New Roman"/>
          <w:lang w:val="en-GB"/>
        </w:rPr>
        <w:t xml:space="preserve"> </w:t>
      </w:r>
    </w:p>
    <w:p w14:paraId="20790D10" w14:textId="6C800A9A" w:rsidR="00197A0F" w:rsidRPr="00270BA8" w:rsidRDefault="00197A0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noProof/>
          <w:sz w:val="24"/>
          <w:szCs w:val="24"/>
        </w:rPr>
        <w:drawing>
          <wp:inline distT="0" distB="0" distL="0" distR="0" wp14:anchorId="76D11BDD" wp14:editId="4D431F48">
            <wp:extent cx="4247933" cy="3034879"/>
            <wp:effectExtent l="0" t="0" r="635" b="0"/>
            <wp:docPr id="14848429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5658" cy="3040398"/>
                    </a:xfrm>
                    <a:prstGeom prst="rect">
                      <a:avLst/>
                    </a:prstGeom>
                    <a:noFill/>
                  </pic:spPr>
                </pic:pic>
              </a:graphicData>
            </a:graphic>
          </wp:inline>
        </w:drawing>
      </w:r>
    </w:p>
    <w:p w14:paraId="162A5AE1" w14:textId="0A00B187" w:rsidR="00197A0F" w:rsidRPr="00270BA8" w:rsidRDefault="00197A0F"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Figure 1: The research onion</w:t>
      </w:r>
      <w:r w:rsidR="005B39CD" w:rsidRPr="00270BA8">
        <w:rPr>
          <w:rFonts w:ascii="Garamond" w:hAnsi="Garamond" w:cs="Times New Roman"/>
          <w:sz w:val="24"/>
          <w:szCs w:val="24"/>
          <w:lang w:val="en-GB"/>
        </w:rPr>
        <w:t xml:space="preserve"> </w:t>
      </w:r>
      <w:r w:rsidR="005B39CD"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{"citationID":"LtD5pVVr","properties":{"formattedCitation":"(Saunders, Lewis and Thornhill, 2009)","plainCitation":"(Saunders, Lewis and Thornhill, 2009)","noteIndex":0},"citationItems":[{"id":"MRBxNWYl/XNRopT1g","uris":["http://zotero.org/users/10703570/items/BYPMQCNV"],"itemData":{"id":3883,"type":"book","collection-title":"Always learning","ISBN":"978-0-273-71686-0","publisher":"Prentice Hall","title":"Research Methods for Business Students","URL":"https://books.google.se/books?id=u-txtfaCFiEC","author":[{"family":"Saunders","given":"M."},{"family":"Lewis","given":"P."},{"family":"Thornhill","given":"A."}],"issued":{"date-parts":[["2009"]]}}}],"schema":"https://github.com/citation-style-language/schema/raw/master/csl-citation.json"} </w:instrText>
      </w:r>
      <w:r w:rsidR="005B39CD" w:rsidRPr="00270BA8">
        <w:rPr>
          <w:rFonts w:ascii="Garamond" w:hAnsi="Garamond" w:cs="Times New Roman"/>
          <w:sz w:val="24"/>
          <w:szCs w:val="24"/>
          <w:lang w:val="en-GB"/>
        </w:rPr>
        <w:fldChar w:fldCharType="separate"/>
      </w:r>
      <w:r w:rsidR="005B39CD" w:rsidRPr="00270BA8">
        <w:rPr>
          <w:rFonts w:ascii="Garamond" w:hAnsi="Garamond" w:cs="Times New Roman"/>
          <w:sz w:val="24"/>
          <w:szCs w:val="24"/>
          <w:lang w:val="en-GB"/>
        </w:rPr>
        <w:t>(Saunders, Lewis and Thornhill, 2009)</w:t>
      </w:r>
      <w:r w:rsidR="005B39CD" w:rsidRPr="00270BA8">
        <w:rPr>
          <w:rFonts w:ascii="Garamond" w:hAnsi="Garamond" w:cs="Times New Roman"/>
          <w:sz w:val="24"/>
          <w:szCs w:val="24"/>
          <w:lang w:val="en-GB"/>
        </w:rPr>
        <w:fldChar w:fldCharType="end"/>
      </w:r>
    </w:p>
    <w:p w14:paraId="6A0F815B" w14:textId="77777777" w:rsidR="002A2A0B" w:rsidRPr="00270BA8" w:rsidRDefault="005B39CD"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Most researchers start with research design to address a specific research problem by figuring out what data they need and how they would collect these data. However, the decision to select appropriate data collection techniques represents only the final decisions of a systematic research design process. The present research resorts to the classic research onion to proceed with the research design step-wise. The model (presented in Figure 1) illustrates how the final choice of data collection and analysis (the onion core) is considered with other research design elements (the onion layers). </w:t>
      </w:r>
    </w:p>
    <w:p w14:paraId="65FD912B" w14:textId="7755F2EC" w:rsidR="003578D8" w:rsidRPr="00270BA8" w:rsidRDefault="005B39CD"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Among the typical stances proposed by </w:t>
      </w:r>
      <w:r w:rsidRPr="00270BA8">
        <w:rPr>
          <w:rFonts w:ascii="Garamond" w:hAnsi="Garamond" w:cs="Times New Roman"/>
          <w:sz w:val="24"/>
          <w:szCs w:val="24"/>
          <w:lang w:val="en-GB"/>
        </w:rPr>
        <w:fldChar w:fldCharType="begin"/>
      </w:r>
      <w:r w:rsidR="00D265CC" w:rsidRPr="00270BA8">
        <w:rPr>
          <w:rFonts w:ascii="Garamond" w:hAnsi="Garamond" w:cs="Times New Roman"/>
          <w:sz w:val="24"/>
          <w:szCs w:val="24"/>
          <w:lang w:val="en-GB"/>
        </w:rPr>
        <w:instrText xml:space="preserve"> ADDIN ZOTERO_ITEM CSL_CITATION {"citationID":"bHc8csJB","properties":{"formattedCitation":"(Saunders, Lewis and Thornhill, 2009)","plainCitation":"(Saunders, Lewis and Thornhill, 2009)","dontUpdate":true,"noteIndex":0},"citationItems":[{"id":"MRBxNWYl/XNRopT1g","uris":["http://zotero.org/users/10703570/items/BYPMQCNV"],"itemData":{"id":3883,"type":"book","collection-title":"Always learning","ISBN":"978-0-273-71686-0","publisher":"Prentice Hall","title":"Research Methods for Business Students","URL":"https://books.google.se/books?id=u-txtfaCFiEC","author":[{"family":"Saunders","given":"M."},{"family":"Lewis","given":"P."},{"family":"Thornhill","given":"A."}],"issued":{"date-parts":[["2009"]]}}}],"schema":"https://github.com/citation-style-language/schema/raw/master/csl-citation.json"} </w:instrText>
      </w:r>
      <w:r w:rsidRPr="00270BA8">
        <w:rPr>
          <w:rFonts w:ascii="Garamond" w:hAnsi="Garamond" w:cs="Times New Roman"/>
          <w:sz w:val="24"/>
          <w:szCs w:val="24"/>
          <w:lang w:val="en-GB"/>
        </w:rPr>
        <w:fldChar w:fldCharType="separate"/>
      </w:r>
      <w:r w:rsidRPr="00270BA8">
        <w:rPr>
          <w:rFonts w:ascii="Garamond" w:hAnsi="Garamond" w:cs="Times New Roman"/>
          <w:sz w:val="24"/>
          <w:szCs w:val="24"/>
          <w:lang w:val="en-GB"/>
        </w:rPr>
        <w:t>Saunders, Lewis and Thornhill (2009)</w:t>
      </w:r>
      <w:r w:rsidRPr="00270BA8">
        <w:rPr>
          <w:rFonts w:ascii="Garamond" w:hAnsi="Garamond" w:cs="Times New Roman"/>
          <w:sz w:val="24"/>
          <w:szCs w:val="24"/>
          <w:lang w:val="en-GB"/>
        </w:rPr>
        <w:fldChar w:fldCharType="end"/>
      </w:r>
      <w:r w:rsidR="001909D0" w:rsidRPr="00270BA8">
        <w:rPr>
          <w:rFonts w:ascii="Garamond" w:hAnsi="Garamond" w:cs="Times New Roman"/>
          <w:sz w:val="24"/>
          <w:szCs w:val="24"/>
          <w:lang w:val="en-GB"/>
        </w:rPr>
        <w:t>, including positivism, realism, interpretivism and pragmatism, the one chosen by the present research is positivism. Specifically, the underlying ontological assumption of the positivist stance is the objective, ordered and patterned reality separated and independent from the researcher</w:t>
      </w:r>
      <w:r w:rsidR="00D020E9" w:rsidRPr="00270BA8">
        <w:rPr>
          <w:rFonts w:ascii="Garamond" w:hAnsi="Garamond" w:cs="Times New Roman"/>
          <w:sz w:val="24"/>
          <w:szCs w:val="24"/>
          <w:lang w:val="en-GB"/>
        </w:rPr>
        <w:t>,</w:t>
      </w:r>
      <w:r w:rsidR="001909D0" w:rsidRPr="00270BA8">
        <w:rPr>
          <w:rFonts w:ascii="Garamond" w:hAnsi="Garamond" w:cs="Times New Roman"/>
          <w:sz w:val="24"/>
          <w:szCs w:val="24"/>
          <w:lang w:val="en-GB"/>
        </w:rPr>
        <w:t xml:space="preserve"> while the epistemological assumption of the positivist stance is that knowledge can be discovered and explained objectively, suggesting using empirical investigation to uncover the underlying regularities governing the specific social phenomenon. </w:t>
      </w:r>
      <w:r w:rsidR="00F16F96" w:rsidRPr="00270BA8">
        <w:rPr>
          <w:rFonts w:ascii="Garamond" w:hAnsi="Garamond" w:cs="Times New Roman"/>
          <w:sz w:val="24"/>
          <w:szCs w:val="24"/>
          <w:lang w:val="en-GB"/>
        </w:rPr>
        <w:t xml:space="preserve">The present research aims to investigate the causal impacts of </w:t>
      </w:r>
      <w:r w:rsidR="008D7010" w:rsidRPr="00270BA8">
        <w:rPr>
          <w:rFonts w:ascii="Garamond" w:hAnsi="Garamond" w:cs="Times New Roman"/>
          <w:sz w:val="24"/>
          <w:szCs w:val="24"/>
          <w:lang w:val="en-GB"/>
        </w:rPr>
        <w:t>HRM Strength</w:t>
      </w:r>
      <w:r w:rsidR="00F16F96" w:rsidRPr="00270BA8">
        <w:rPr>
          <w:rFonts w:ascii="Garamond" w:hAnsi="Garamond" w:cs="Times New Roman"/>
          <w:sz w:val="24"/>
          <w:szCs w:val="24"/>
          <w:lang w:val="en-GB"/>
        </w:rPr>
        <w:t xml:space="preserve"> on employee innovation and the moderating role of knowledge sharing, and these constructs are perceived as objective and measurable, justifying the selection of positivism. Also, the pursuit of generalizability </w:t>
      </w:r>
      <w:r w:rsidR="00F16F96" w:rsidRPr="00270BA8">
        <w:rPr>
          <w:rFonts w:ascii="Garamond" w:hAnsi="Garamond" w:cs="Times New Roman"/>
          <w:sz w:val="24"/>
          <w:szCs w:val="24"/>
          <w:lang w:val="en-GB"/>
        </w:rPr>
        <w:lastRenderedPageBreak/>
        <w:t>of the findings from the present study beyond the specific context to a greater population of organi</w:t>
      </w:r>
      <w:r w:rsidR="007747C6" w:rsidRPr="00270BA8">
        <w:rPr>
          <w:rFonts w:ascii="Garamond" w:hAnsi="Garamond" w:cs="Times New Roman"/>
          <w:sz w:val="24"/>
          <w:szCs w:val="24"/>
          <w:lang w:val="en-GB"/>
        </w:rPr>
        <w:t>s</w:t>
      </w:r>
      <w:r w:rsidR="00F16F96" w:rsidRPr="00270BA8">
        <w:rPr>
          <w:rFonts w:ascii="Garamond" w:hAnsi="Garamond" w:cs="Times New Roman"/>
          <w:sz w:val="24"/>
          <w:szCs w:val="24"/>
          <w:lang w:val="en-GB"/>
        </w:rPr>
        <w:t>ations indicates the appropriateness of positivism, which is appraised for producing generali</w:t>
      </w:r>
      <w:r w:rsidR="007747C6" w:rsidRPr="00270BA8">
        <w:rPr>
          <w:rFonts w:ascii="Garamond" w:hAnsi="Garamond" w:cs="Times New Roman"/>
          <w:sz w:val="24"/>
          <w:szCs w:val="24"/>
          <w:lang w:val="en-GB"/>
        </w:rPr>
        <w:t>s</w:t>
      </w:r>
      <w:r w:rsidR="00F16F96" w:rsidRPr="00270BA8">
        <w:rPr>
          <w:rFonts w:ascii="Garamond" w:hAnsi="Garamond" w:cs="Times New Roman"/>
          <w:sz w:val="24"/>
          <w:szCs w:val="24"/>
          <w:lang w:val="en-GB"/>
        </w:rPr>
        <w:t>able knowledge. Based on the choice of the positivist stance, the present research relies on the deductive approach</w:t>
      </w:r>
      <w:r w:rsidR="00D020E9" w:rsidRPr="00270BA8">
        <w:rPr>
          <w:rFonts w:ascii="Garamond" w:hAnsi="Garamond" w:cs="Times New Roman"/>
          <w:sz w:val="24"/>
          <w:szCs w:val="24"/>
          <w:lang w:val="en-GB"/>
        </w:rPr>
        <w:t>,</w:t>
      </w:r>
      <w:r w:rsidR="00F16F96" w:rsidRPr="00270BA8">
        <w:rPr>
          <w:rFonts w:ascii="Garamond" w:hAnsi="Garamond" w:cs="Times New Roman"/>
          <w:sz w:val="24"/>
          <w:szCs w:val="24"/>
          <w:lang w:val="en-GB"/>
        </w:rPr>
        <w:t xml:space="preserve"> which starts with established hypotheses synthesi</w:t>
      </w:r>
      <w:r w:rsidR="007747C6" w:rsidRPr="00270BA8">
        <w:rPr>
          <w:rFonts w:ascii="Garamond" w:hAnsi="Garamond" w:cs="Times New Roman"/>
          <w:sz w:val="24"/>
          <w:szCs w:val="24"/>
          <w:lang w:val="en-GB"/>
        </w:rPr>
        <w:t>s</w:t>
      </w:r>
      <w:r w:rsidR="00F16F96" w:rsidRPr="00270BA8">
        <w:rPr>
          <w:rFonts w:ascii="Garamond" w:hAnsi="Garamond" w:cs="Times New Roman"/>
          <w:sz w:val="24"/>
          <w:szCs w:val="24"/>
          <w:lang w:val="en-GB"/>
        </w:rPr>
        <w:t xml:space="preserve">ed from existing literature and ends with testing or validating these hypotheses to enrich knowledge. Informed by the inductive approach, the study will rely on the quantitative data to address the research question, justified by the fact that the variables of interest (e.g. </w:t>
      </w:r>
      <w:r w:rsidR="008D7010" w:rsidRPr="00270BA8">
        <w:rPr>
          <w:rFonts w:ascii="Garamond" w:hAnsi="Garamond" w:cs="Times New Roman"/>
          <w:sz w:val="24"/>
          <w:szCs w:val="24"/>
          <w:lang w:val="en-GB"/>
        </w:rPr>
        <w:t>HRM Strength</w:t>
      </w:r>
      <w:r w:rsidR="00F16F96" w:rsidRPr="00270BA8">
        <w:rPr>
          <w:rFonts w:ascii="Garamond" w:hAnsi="Garamond" w:cs="Times New Roman"/>
          <w:sz w:val="24"/>
          <w:szCs w:val="24"/>
          <w:lang w:val="en-GB"/>
        </w:rPr>
        <w:t xml:space="preserve">, employee innovation and knowledge sharing) are objectively constructed and can be quantitatively measured. </w:t>
      </w:r>
    </w:p>
    <w:p w14:paraId="44F57684" w14:textId="595E9ACD" w:rsidR="00082B0F" w:rsidRPr="00270BA8" w:rsidRDefault="00082B0F" w:rsidP="00270BA8">
      <w:pPr>
        <w:pStyle w:val="1"/>
        <w:numPr>
          <w:ilvl w:val="0"/>
          <w:numId w:val="2"/>
        </w:numPr>
        <w:spacing w:before="120" w:after="360" w:line="360" w:lineRule="auto"/>
        <w:jc w:val="both"/>
        <w:rPr>
          <w:rFonts w:ascii="Garamond" w:hAnsi="Garamond" w:cs="Times New Roman"/>
          <w:lang w:val="en-GB"/>
        </w:rPr>
      </w:pPr>
      <w:bookmarkStart w:id="26" w:name="_Toc164360750"/>
      <w:bookmarkStart w:id="27" w:name="_Toc171702288"/>
      <w:r w:rsidRPr="00270BA8">
        <w:rPr>
          <w:rFonts w:ascii="Garamond" w:hAnsi="Garamond" w:cs="Times New Roman"/>
          <w:lang w:val="en-GB"/>
        </w:rPr>
        <w:t>Data collection</w:t>
      </w:r>
      <w:bookmarkEnd w:id="26"/>
      <w:bookmarkEnd w:id="27"/>
      <w:r w:rsidRPr="00270BA8">
        <w:rPr>
          <w:rFonts w:ascii="Garamond" w:hAnsi="Garamond" w:cs="Times New Roman"/>
          <w:lang w:val="en-GB"/>
        </w:rPr>
        <w:t xml:space="preserve"> </w:t>
      </w:r>
    </w:p>
    <w:p w14:paraId="5A7F0A36" w14:textId="4025B3CE" w:rsidR="002A2A0B" w:rsidRPr="00270BA8" w:rsidRDefault="00C063FD"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To investigate the influential relationship between </w:t>
      </w:r>
      <w:r w:rsidR="008D7010" w:rsidRPr="00270BA8">
        <w:rPr>
          <w:rFonts w:ascii="Garamond" w:hAnsi="Garamond" w:cs="Times New Roman"/>
          <w:sz w:val="24"/>
          <w:szCs w:val="24"/>
          <w:lang w:val="en-GB"/>
        </w:rPr>
        <w:t>HRM Strength</w:t>
      </w:r>
      <w:r w:rsidRPr="00270BA8">
        <w:rPr>
          <w:rFonts w:ascii="Garamond" w:hAnsi="Garamond" w:cs="Times New Roman"/>
          <w:sz w:val="24"/>
          <w:szCs w:val="24"/>
          <w:lang w:val="en-GB"/>
        </w:rPr>
        <w:t xml:space="preserve"> and employees</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 innovative behaviours and to find the mechanism of knowledge sharing in which they play a role</w:t>
      </w:r>
      <w:r w:rsidR="00270BA8" w:rsidRPr="00270BA8">
        <w:rPr>
          <w:rFonts w:ascii="Garamond" w:hAnsi="Garamond" w:cs="Times New Roman"/>
          <w:sz w:val="24"/>
          <w:szCs w:val="24"/>
          <w:lang w:val="en-GB"/>
        </w:rPr>
        <w:t xml:space="preserve"> in the Chinese biopharmaceutical industry</w:t>
      </w:r>
      <w:r w:rsidRPr="00270BA8">
        <w:rPr>
          <w:rFonts w:ascii="Garamond" w:hAnsi="Garamond" w:cs="Times New Roman"/>
          <w:sz w:val="24"/>
          <w:szCs w:val="24"/>
          <w:lang w:val="en-GB"/>
        </w:rPr>
        <w:t>, the proposed hypotheses will be verified by using mathematical and statistical methods. Before carrying out the empirical evidence, this paper will select appropriate scales for the above research variables and design and distribute questionnaires for data collection. The specific steps are as follows: first, determine the scale required for the questionnaire. The research will first clarify the concepts and dimensions of the important research variables</w:t>
      </w:r>
      <w:r w:rsidR="002A2A0B" w:rsidRPr="00270BA8">
        <w:rPr>
          <w:rFonts w:ascii="Garamond" w:hAnsi="Garamond" w:cs="Times New Roman"/>
          <w:sz w:val="24"/>
          <w:szCs w:val="24"/>
          <w:lang w:val="en-GB"/>
        </w:rPr>
        <w:t xml:space="preserve"> and, at the same time,</w:t>
      </w:r>
      <w:r w:rsidRPr="00270BA8">
        <w:rPr>
          <w:rFonts w:ascii="Garamond" w:hAnsi="Garamond" w:cs="Times New Roman"/>
          <w:sz w:val="24"/>
          <w:szCs w:val="24"/>
          <w:lang w:val="en-GB"/>
        </w:rPr>
        <w:t xml:space="preserve"> put forward the research hypotheses and construct the research model based on clear theory. Therefore, to reasonably measure the variables to obtain data, authoritative scales that have been validated many times should be selected. </w:t>
      </w:r>
    </w:p>
    <w:p w14:paraId="4D1F9788" w14:textId="3ED060AD" w:rsidR="00F16F96" w:rsidRPr="00270BA8" w:rsidRDefault="00C063FD"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The target samples are incumbent employees from various departments and hierarchical levels with job responsibilities related to innovation (e.g., product innovation, system innovation, administrative innovation)</w:t>
      </w:r>
      <w:r w:rsidR="00D020E9" w:rsidRPr="00270BA8">
        <w:rPr>
          <w:rFonts w:ascii="Garamond" w:hAnsi="Garamond" w:cs="Times New Roman"/>
          <w:sz w:val="24"/>
          <w:szCs w:val="24"/>
          <w:lang w:val="en-GB"/>
        </w:rPr>
        <w:t xml:space="preserve"> working in the Chinese biopharmaceutical industry</w:t>
      </w:r>
      <w:r w:rsidRPr="00270BA8">
        <w:rPr>
          <w:rFonts w:ascii="Garamond" w:hAnsi="Garamond" w:cs="Times New Roman"/>
          <w:sz w:val="24"/>
          <w:szCs w:val="24"/>
          <w:lang w:val="en-GB"/>
        </w:rPr>
        <w:t xml:space="preserve">. The primary sampling method relied on by the present research is convenience sampling, which involves recruiting and selecting potential participants who are easily </w:t>
      </w:r>
      <w:r w:rsidR="00771C4F" w:rsidRPr="00270BA8">
        <w:rPr>
          <w:rFonts w:ascii="Garamond" w:hAnsi="Garamond" w:cs="Times New Roman"/>
          <w:sz w:val="24"/>
          <w:szCs w:val="24"/>
          <w:lang w:val="en-GB"/>
        </w:rPr>
        <w:t>accessible</w:t>
      </w:r>
      <w:r w:rsidRPr="00270BA8">
        <w:rPr>
          <w:rFonts w:ascii="Garamond" w:hAnsi="Garamond" w:cs="Times New Roman"/>
          <w:sz w:val="24"/>
          <w:szCs w:val="24"/>
          <w:lang w:val="en-GB"/>
        </w:rPr>
        <w:t>. Specifically, the questionnaire will be mainly distributed online</w:t>
      </w:r>
      <w:r w:rsidR="002A2A0B" w:rsidRPr="00270BA8">
        <w:rPr>
          <w:rFonts w:ascii="Garamond" w:hAnsi="Garamond" w:cs="Times New Roman"/>
          <w:sz w:val="24"/>
          <w:szCs w:val="24"/>
          <w:lang w:val="en-GB"/>
        </w:rPr>
        <w:t xml:space="preserve"> through the researcher’s personal and professional network</w:t>
      </w:r>
      <w:r w:rsidRPr="00270BA8">
        <w:rPr>
          <w:rFonts w:ascii="Garamond" w:hAnsi="Garamond" w:cs="Times New Roman"/>
          <w:sz w:val="24"/>
          <w:szCs w:val="24"/>
          <w:lang w:val="en-GB"/>
        </w:rPr>
        <w:t xml:space="preserve">. </w:t>
      </w:r>
      <w:r w:rsidR="00771C4F" w:rsidRPr="00270BA8">
        <w:rPr>
          <w:rFonts w:ascii="Garamond" w:hAnsi="Garamond" w:cs="Times New Roman"/>
          <w:sz w:val="24"/>
          <w:szCs w:val="24"/>
          <w:lang w:val="en-GB"/>
        </w:rPr>
        <w:t xml:space="preserve">The questionnaire method is chosen due to its alignment with the positivist stance and the deductive approach, as well as its cost-efficiency in generating extensive structured data by reaching a large-scale targeted audience. </w:t>
      </w:r>
    </w:p>
    <w:p w14:paraId="298E5D85" w14:textId="5053CECB" w:rsidR="00E5542C" w:rsidRPr="00270BA8" w:rsidRDefault="00E5542C"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The information sheet and the informed consent will be attached at the forefront of the questionnaire to fully inform the relevant information about the research (e.g., the research purpose and the research procedure) and </w:t>
      </w:r>
      <w:r w:rsidRPr="00270BA8">
        <w:rPr>
          <w:rFonts w:ascii="Garamond" w:hAnsi="Garamond" w:cs="Times New Roman"/>
          <w:sz w:val="24"/>
          <w:szCs w:val="24"/>
          <w:lang w:val="en-GB"/>
        </w:rPr>
        <w:lastRenderedPageBreak/>
        <w:t>the relevant rights of participating (e.g. the rights to withdraw at any time). The questionnaire will not collect any identifiable</w:t>
      </w:r>
      <w:r w:rsidR="002A2A0B" w:rsidRPr="00270BA8">
        <w:rPr>
          <w:rFonts w:ascii="Garamond" w:hAnsi="Garamond" w:cs="Times New Roman"/>
          <w:sz w:val="24"/>
          <w:szCs w:val="24"/>
          <w:lang w:val="en-GB"/>
        </w:rPr>
        <w:t>,</w:t>
      </w:r>
      <w:r w:rsidRPr="00270BA8">
        <w:rPr>
          <w:rFonts w:ascii="Garamond" w:hAnsi="Garamond" w:cs="Times New Roman"/>
          <w:sz w:val="24"/>
          <w:szCs w:val="24"/>
          <w:lang w:val="en-GB"/>
        </w:rPr>
        <w:t xml:space="preserve"> sensitive data, and all participants will be anonymi</w:t>
      </w:r>
      <w:r w:rsidR="007747C6" w:rsidRPr="00270BA8">
        <w:rPr>
          <w:rFonts w:ascii="Garamond" w:hAnsi="Garamond" w:cs="Times New Roman"/>
          <w:sz w:val="24"/>
          <w:szCs w:val="24"/>
          <w:lang w:val="en-GB"/>
        </w:rPr>
        <w:t>s</w:t>
      </w:r>
      <w:r w:rsidRPr="00270BA8">
        <w:rPr>
          <w:rFonts w:ascii="Garamond" w:hAnsi="Garamond" w:cs="Times New Roman"/>
          <w:sz w:val="24"/>
          <w:szCs w:val="24"/>
          <w:lang w:val="en-GB"/>
        </w:rPr>
        <w:t xml:space="preserve">ed throughout the research </w:t>
      </w:r>
      <w:r w:rsidR="002A2A0B" w:rsidRPr="00270BA8">
        <w:rPr>
          <w:rFonts w:ascii="Garamond" w:hAnsi="Garamond" w:cs="Times New Roman"/>
          <w:sz w:val="24"/>
          <w:szCs w:val="24"/>
          <w:lang w:val="en-GB"/>
        </w:rPr>
        <w:t>to protect privacy and confidentiality fully</w:t>
      </w:r>
      <w:r w:rsidRPr="00270BA8">
        <w:rPr>
          <w:rFonts w:ascii="Garamond" w:hAnsi="Garamond" w:cs="Times New Roman"/>
          <w:sz w:val="24"/>
          <w:szCs w:val="24"/>
          <w:lang w:val="en-GB"/>
        </w:rPr>
        <w:t xml:space="preserve">. </w:t>
      </w:r>
      <w:r w:rsidR="002A2A0B" w:rsidRPr="00270BA8">
        <w:rPr>
          <w:rFonts w:ascii="Garamond" w:hAnsi="Garamond" w:cs="Times New Roman"/>
          <w:sz w:val="24"/>
          <w:szCs w:val="24"/>
          <w:lang w:val="en-GB"/>
        </w:rPr>
        <w:t>Since the questionnaire will collect the attitudes, opinions and experiences of employees and will not obtain organi</w:t>
      </w:r>
      <w:r w:rsidR="00270BA8">
        <w:rPr>
          <w:rFonts w:ascii="Garamond" w:hAnsi="Garamond" w:cs="Times New Roman"/>
          <w:sz w:val="24"/>
          <w:szCs w:val="24"/>
          <w:lang w:val="en-GB"/>
        </w:rPr>
        <w:t>s</w:t>
      </w:r>
      <w:r w:rsidR="002A2A0B" w:rsidRPr="00270BA8">
        <w:rPr>
          <w:rFonts w:ascii="Garamond" w:hAnsi="Garamond" w:cs="Times New Roman"/>
          <w:sz w:val="24"/>
          <w:szCs w:val="24"/>
          <w:lang w:val="en-GB"/>
        </w:rPr>
        <w:t>ation-specific information, the data collection does not need to obtain consent from organi</w:t>
      </w:r>
      <w:r w:rsidR="00270BA8">
        <w:rPr>
          <w:rFonts w:ascii="Garamond" w:hAnsi="Garamond" w:cs="Times New Roman"/>
          <w:sz w:val="24"/>
          <w:szCs w:val="24"/>
          <w:lang w:val="en-GB"/>
        </w:rPr>
        <w:t>s</w:t>
      </w:r>
      <w:r w:rsidR="002A2A0B" w:rsidRPr="00270BA8">
        <w:rPr>
          <w:rFonts w:ascii="Garamond" w:hAnsi="Garamond" w:cs="Times New Roman"/>
          <w:sz w:val="24"/>
          <w:szCs w:val="24"/>
          <w:lang w:val="en-GB"/>
        </w:rPr>
        <w:t xml:space="preserve">ations. </w:t>
      </w:r>
    </w:p>
    <w:p w14:paraId="353F8E46" w14:textId="77777777" w:rsidR="00222527" w:rsidRPr="00270BA8" w:rsidRDefault="00222527" w:rsidP="00270BA8">
      <w:pPr>
        <w:spacing w:before="120" w:after="360" w:line="360" w:lineRule="auto"/>
        <w:jc w:val="both"/>
        <w:rPr>
          <w:rFonts w:ascii="Garamond" w:hAnsi="Garamond" w:cs="Times New Roman"/>
          <w:sz w:val="20"/>
          <w:szCs w:val="20"/>
          <w:lang w:val="en-GB"/>
        </w:rPr>
      </w:pPr>
    </w:p>
    <w:p w14:paraId="482CCE03" w14:textId="77777777" w:rsidR="003578D8" w:rsidRPr="00270BA8" w:rsidRDefault="003578D8" w:rsidP="00270BA8">
      <w:pPr>
        <w:spacing w:before="120" w:after="360" w:line="360" w:lineRule="auto"/>
        <w:jc w:val="both"/>
        <w:rPr>
          <w:rFonts w:ascii="Garamond" w:hAnsi="Garamond" w:cs="Times New Roman"/>
          <w:sz w:val="24"/>
          <w:szCs w:val="24"/>
          <w:lang w:val="en-GB"/>
        </w:rPr>
      </w:pPr>
    </w:p>
    <w:p w14:paraId="4224220F" w14:textId="0E7FE3B9" w:rsidR="00197A0F" w:rsidRPr="00270BA8" w:rsidRDefault="00082B0F" w:rsidP="00270BA8">
      <w:pPr>
        <w:pStyle w:val="1"/>
        <w:numPr>
          <w:ilvl w:val="0"/>
          <w:numId w:val="2"/>
        </w:numPr>
        <w:spacing w:before="120" w:after="360" w:line="360" w:lineRule="auto"/>
        <w:jc w:val="both"/>
        <w:rPr>
          <w:rFonts w:ascii="Garamond" w:hAnsi="Garamond" w:cs="Times New Roman"/>
          <w:lang w:val="en-GB"/>
        </w:rPr>
      </w:pPr>
      <w:bookmarkStart w:id="28" w:name="_Toc164360751"/>
      <w:bookmarkStart w:id="29" w:name="_Toc171702289"/>
      <w:r w:rsidRPr="00270BA8">
        <w:rPr>
          <w:rFonts w:ascii="Garamond" w:hAnsi="Garamond" w:cs="Times New Roman"/>
          <w:lang w:val="en-GB"/>
        </w:rPr>
        <w:t>Method of data analysis</w:t>
      </w:r>
      <w:bookmarkEnd w:id="28"/>
      <w:bookmarkEnd w:id="29"/>
      <w:r w:rsidRPr="00270BA8">
        <w:rPr>
          <w:rFonts w:ascii="Garamond" w:hAnsi="Garamond" w:cs="Times New Roman"/>
          <w:lang w:val="en-GB"/>
        </w:rPr>
        <w:t xml:space="preserve"> </w:t>
      </w:r>
    </w:p>
    <w:p w14:paraId="6B7BE225" w14:textId="136ECE8D" w:rsidR="00E5542C" w:rsidRPr="00270BA8" w:rsidRDefault="00E5542C"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In this study, the data of the formal questionnaire </w:t>
      </w:r>
      <w:r w:rsidR="00D020E9" w:rsidRPr="00270BA8">
        <w:rPr>
          <w:rFonts w:ascii="Garamond" w:hAnsi="Garamond" w:cs="Times New Roman"/>
          <w:sz w:val="24"/>
          <w:szCs w:val="24"/>
          <w:lang w:val="en-GB"/>
        </w:rPr>
        <w:t>will be</w:t>
      </w:r>
      <w:r w:rsidRPr="00270BA8">
        <w:rPr>
          <w:rFonts w:ascii="Garamond" w:hAnsi="Garamond" w:cs="Times New Roman"/>
          <w:sz w:val="24"/>
          <w:szCs w:val="24"/>
          <w:lang w:val="en-GB"/>
        </w:rPr>
        <w:t xml:space="preserve"> tested for reliability using SPSS2</w:t>
      </w:r>
      <w:r w:rsidR="00D020E9" w:rsidRPr="00270BA8">
        <w:rPr>
          <w:rFonts w:ascii="Garamond" w:hAnsi="Garamond" w:cs="Times New Roman"/>
          <w:sz w:val="24"/>
          <w:szCs w:val="24"/>
          <w:lang w:val="en-GB"/>
        </w:rPr>
        <w:t xml:space="preserve"> </w:t>
      </w:r>
      <w:r w:rsidRPr="00270BA8">
        <w:rPr>
          <w:rFonts w:ascii="Garamond" w:hAnsi="Garamond" w:cs="Times New Roman"/>
          <w:sz w:val="24"/>
          <w:szCs w:val="24"/>
          <w:lang w:val="en-GB"/>
        </w:rPr>
        <w:t>software, which is to test the consistency and stability of the results of the questionnaire for measurement. Then, this study</w:t>
      </w:r>
      <w:r w:rsidR="00D020E9" w:rsidRPr="00270BA8">
        <w:rPr>
          <w:rFonts w:ascii="Garamond" w:hAnsi="Garamond" w:cs="Times New Roman"/>
          <w:sz w:val="24"/>
          <w:szCs w:val="24"/>
          <w:lang w:val="en-GB"/>
        </w:rPr>
        <w:t xml:space="preserve"> intends to</w:t>
      </w:r>
      <w:r w:rsidRPr="00270BA8">
        <w:rPr>
          <w:rFonts w:ascii="Garamond" w:hAnsi="Garamond" w:cs="Times New Roman"/>
          <w:sz w:val="24"/>
          <w:szCs w:val="24"/>
          <w:lang w:val="en-GB"/>
        </w:rPr>
        <w:t xml:space="preserve"> </w:t>
      </w:r>
      <w:r w:rsidR="00D020E9" w:rsidRPr="00270BA8">
        <w:rPr>
          <w:rFonts w:ascii="Garamond" w:hAnsi="Garamond" w:cs="Times New Roman"/>
          <w:sz w:val="24"/>
          <w:szCs w:val="24"/>
          <w:lang w:val="en-GB"/>
        </w:rPr>
        <w:t>conduct</w:t>
      </w:r>
      <w:r w:rsidRPr="00270BA8">
        <w:rPr>
          <w:rFonts w:ascii="Garamond" w:hAnsi="Garamond" w:cs="Times New Roman"/>
          <w:sz w:val="24"/>
          <w:szCs w:val="24"/>
          <w:lang w:val="en-GB"/>
        </w:rPr>
        <w:t xml:space="preserve"> the second step of testing the results of the formal questionnaire using SPSS software and AMOS software - validity test</w:t>
      </w:r>
      <w:r w:rsidR="00D020E9" w:rsidRPr="00270BA8">
        <w:rPr>
          <w:rFonts w:ascii="Garamond" w:hAnsi="Garamond" w:cs="Times New Roman"/>
          <w:sz w:val="24"/>
          <w:szCs w:val="24"/>
          <w:lang w:val="en-GB"/>
        </w:rPr>
        <w:t>. This is done</w:t>
      </w:r>
      <w:r w:rsidRPr="00270BA8">
        <w:rPr>
          <w:rFonts w:ascii="Garamond" w:hAnsi="Garamond" w:cs="Times New Roman"/>
          <w:sz w:val="24"/>
          <w:szCs w:val="24"/>
          <w:lang w:val="en-GB"/>
        </w:rPr>
        <w:t xml:space="preserve"> to test whether the scale selected in this case contains the variables to be measured. The study </w:t>
      </w:r>
      <w:r w:rsidR="00D020E9" w:rsidRPr="00270BA8">
        <w:rPr>
          <w:rFonts w:ascii="Garamond" w:hAnsi="Garamond" w:cs="Times New Roman"/>
          <w:sz w:val="24"/>
          <w:szCs w:val="24"/>
          <w:lang w:val="en-GB"/>
        </w:rPr>
        <w:t xml:space="preserve">then plans to use </w:t>
      </w:r>
      <w:r w:rsidRPr="00270BA8">
        <w:rPr>
          <w:rFonts w:ascii="Garamond" w:hAnsi="Garamond" w:cs="Times New Roman"/>
          <w:sz w:val="24"/>
          <w:szCs w:val="24"/>
          <w:lang w:val="en-GB"/>
        </w:rPr>
        <w:t>SPSS software for descriptive statistical analysis</w:t>
      </w:r>
      <w:r w:rsidR="00D020E9" w:rsidRPr="00270BA8">
        <w:rPr>
          <w:rFonts w:ascii="Garamond" w:hAnsi="Garamond" w:cs="Times New Roman"/>
          <w:sz w:val="24"/>
          <w:szCs w:val="24"/>
          <w:lang w:val="en-GB"/>
        </w:rPr>
        <w:t xml:space="preserve"> to obtain insights into the </w:t>
      </w:r>
      <w:r w:rsidRPr="00270BA8">
        <w:rPr>
          <w:rFonts w:ascii="Garamond" w:hAnsi="Garamond" w:cs="Times New Roman"/>
          <w:sz w:val="24"/>
          <w:szCs w:val="24"/>
          <w:lang w:val="en-GB"/>
        </w:rPr>
        <w:t>characteristics of</w:t>
      </w:r>
      <w:r w:rsidR="00D020E9" w:rsidRPr="00270BA8">
        <w:rPr>
          <w:rFonts w:ascii="Garamond" w:hAnsi="Garamond" w:cs="Times New Roman"/>
          <w:sz w:val="24"/>
          <w:szCs w:val="24"/>
          <w:lang w:val="en-GB"/>
        </w:rPr>
        <w:t xml:space="preserve"> data</w:t>
      </w:r>
      <w:r w:rsidRPr="00270BA8">
        <w:rPr>
          <w:rFonts w:ascii="Garamond" w:hAnsi="Garamond" w:cs="Times New Roman"/>
          <w:sz w:val="24"/>
          <w:szCs w:val="24"/>
          <w:lang w:val="en-GB"/>
        </w:rPr>
        <w:t xml:space="preserve"> distribution and the degree of dispersion. </w:t>
      </w:r>
    </w:p>
    <w:p w14:paraId="48BD39D8" w14:textId="72A454FF" w:rsidR="003578D8" w:rsidRPr="00270BA8" w:rsidRDefault="00E5542C"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This study will </w:t>
      </w:r>
      <w:r w:rsidR="00D020E9" w:rsidRPr="00270BA8">
        <w:rPr>
          <w:rFonts w:ascii="Garamond" w:hAnsi="Garamond" w:cs="Times New Roman"/>
          <w:sz w:val="24"/>
          <w:szCs w:val="24"/>
          <w:lang w:val="en-GB"/>
        </w:rPr>
        <w:t xml:space="preserve">then </w:t>
      </w:r>
      <w:r w:rsidRPr="00270BA8">
        <w:rPr>
          <w:rFonts w:ascii="Garamond" w:hAnsi="Garamond" w:cs="Times New Roman"/>
          <w:sz w:val="24"/>
          <w:szCs w:val="24"/>
          <w:lang w:val="en-GB"/>
        </w:rPr>
        <w:t>use SPSS software to correlate the results of the questionnaire data before conducting the regression analysis, to determine the degree of closeness between the variables through Pearson</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s correlation coefficient (also known as Pearson</w:t>
      </w:r>
      <w:r w:rsidR="007747C6" w:rsidRPr="00270BA8">
        <w:rPr>
          <w:rFonts w:ascii="Garamond" w:hAnsi="Garamond" w:cs="Times New Roman"/>
          <w:sz w:val="24"/>
          <w:szCs w:val="24"/>
          <w:lang w:val="en-GB"/>
        </w:rPr>
        <w:t>’</w:t>
      </w:r>
      <w:r w:rsidRPr="00270BA8">
        <w:rPr>
          <w:rFonts w:ascii="Garamond" w:hAnsi="Garamond" w:cs="Times New Roman"/>
          <w:sz w:val="24"/>
          <w:szCs w:val="24"/>
          <w:lang w:val="en-GB"/>
        </w:rPr>
        <w:t xml:space="preserve">s coefficient), and to lay the foundation for further regression analysis. In this study, SPSS26.0 software and process plug-in were used to conduct regression analyses with mediation and moderated effects tests </w:t>
      </w:r>
      <w:r w:rsidR="00D020E9" w:rsidRPr="00270BA8">
        <w:rPr>
          <w:rFonts w:ascii="Garamond" w:hAnsi="Garamond" w:cs="Times New Roman"/>
          <w:sz w:val="24"/>
          <w:szCs w:val="24"/>
          <w:lang w:val="en-GB"/>
        </w:rPr>
        <w:t>to explore further</w:t>
      </w:r>
      <w:r w:rsidRPr="00270BA8">
        <w:rPr>
          <w:rFonts w:ascii="Garamond" w:hAnsi="Garamond" w:cs="Times New Roman"/>
          <w:sz w:val="24"/>
          <w:szCs w:val="24"/>
          <w:lang w:val="en-GB"/>
        </w:rPr>
        <w:t xml:space="preserve"> the closeness of the relationship between the main research variables and to test the research hypotheses one by one.</w:t>
      </w:r>
    </w:p>
    <w:p w14:paraId="30C3E0F0" w14:textId="1405B9F7" w:rsidR="00082B0F" w:rsidRPr="00270BA8" w:rsidRDefault="00082B0F" w:rsidP="00270BA8">
      <w:pPr>
        <w:pStyle w:val="1"/>
        <w:numPr>
          <w:ilvl w:val="0"/>
          <w:numId w:val="2"/>
        </w:numPr>
        <w:spacing w:before="120" w:after="360" w:line="360" w:lineRule="auto"/>
        <w:jc w:val="both"/>
        <w:rPr>
          <w:rFonts w:ascii="Garamond" w:hAnsi="Garamond" w:cs="Times New Roman"/>
          <w:lang w:val="en-GB"/>
        </w:rPr>
      </w:pPr>
      <w:bookmarkStart w:id="30" w:name="_Toc164360752"/>
      <w:bookmarkStart w:id="31" w:name="_Toc171702290"/>
      <w:r w:rsidRPr="00270BA8">
        <w:rPr>
          <w:rFonts w:ascii="Garamond" w:hAnsi="Garamond" w:cs="Times New Roman"/>
          <w:lang w:val="en-GB"/>
        </w:rPr>
        <w:t>Resource and time management</w:t>
      </w:r>
      <w:bookmarkEnd w:id="30"/>
      <w:bookmarkEnd w:id="31"/>
      <w:r w:rsidRPr="00270BA8">
        <w:rPr>
          <w:rFonts w:ascii="Garamond" w:hAnsi="Garamond" w:cs="Times New Roman"/>
          <w:lang w:val="en-GB"/>
        </w:rPr>
        <w:t xml:space="preserve"> </w:t>
      </w:r>
    </w:p>
    <w:p w14:paraId="30A35608" w14:textId="599BD8F3" w:rsidR="003578D8" w:rsidRPr="00270BA8" w:rsidRDefault="00E5542C"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t xml:space="preserve">There are no financial resources involved in the present research. </w:t>
      </w:r>
      <w:r w:rsidR="002A2A0B" w:rsidRPr="00270BA8">
        <w:rPr>
          <w:rFonts w:ascii="Garamond" w:hAnsi="Garamond" w:cs="Times New Roman"/>
          <w:sz w:val="24"/>
          <w:szCs w:val="24"/>
          <w:lang w:val="en-GB"/>
        </w:rPr>
        <w:t>Alternative resources include access to academic publications to complete the literature review and to statistical software, SPSS,</w:t>
      </w:r>
      <w:r w:rsidRPr="00270BA8">
        <w:rPr>
          <w:rFonts w:ascii="Garamond" w:hAnsi="Garamond" w:cs="Times New Roman"/>
          <w:sz w:val="24"/>
          <w:szCs w:val="24"/>
          <w:lang w:val="en-GB"/>
        </w:rPr>
        <w:t xml:space="preserve"> to finish the data analysis, which </w:t>
      </w:r>
      <w:r w:rsidRPr="00270BA8">
        <w:rPr>
          <w:rFonts w:ascii="Garamond" w:hAnsi="Garamond" w:cs="Times New Roman"/>
          <w:sz w:val="24"/>
          <w:szCs w:val="24"/>
          <w:lang w:val="en-GB"/>
        </w:rPr>
        <w:lastRenderedPageBreak/>
        <w:t>can be obtained through the university library. A detailed</w:t>
      </w:r>
      <w:r w:rsidR="00084E2D" w:rsidRPr="00270BA8">
        <w:rPr>
          <w:rFonts w:ascii="Garamond" w:hAnsi="Garamond" w:cs="Times New Roman"/>
          <w:sz w:val="24"/>
          <w:szCs w:val="24"/>
          <w:lang w:val="en-GB"/>
        </w:rPr>
        <w:t xml:space="preserve"> </w:t>
      </w:r>
      <w:r w:rsidRPr="00270BA8">
        <w:rPr>
          <w:rFonts w:ascii="Garamond" w:hAnsi="Garamond" w:cs="Times New Roman"/>
          <w:sz w:val="24"/>
          <w:szCs w:val="24"/>
          <w:lang w:val="en-GB"/>
        </w:rPr>
        <w:t xml:space="preserve">chart is attached below to demonstrate how the time is to be managed to complete the present research. Small deviations from the schedule can be tolerated. </w:t>
      </w:r>
    </w:p>
    <w:p w14:paraId="1CB0752B" w14:textId="7BDC03F7" w:rsidR="00084E2D" w:rsidRPr="00270BA8" w:rsidRDefault="003578D8"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noProof/>
        </w:rPr>
        <w:drawing>
          <wp:anchor distT="0" distB="0" distL="114300" distR="114300" simplePos="0" relativeHeight="251658240" behindDoc="0" locked="0" layoutInCell="1" allowOverlap="1" wp14:anchorId="2029195E" wp14:editId="695FDE99">
            <wp:simplePos x="0" y="0"/>
            <wp:positionH relativeFrom="column">
              <wp:posOffset>-414655</wp:posOffset>
            </wp:positionH>
            <wp:positionV relativeFrom="paragraph">
              <wp:posOffset>404495</wp:posOffset>
            </wp:positionV>
            <wp:extent cx="6941185" cy="2924175"/>
            <wp:effectExtent l="0" t="0" r="0" b="9525"/>
            <wp:wrapSquare wrapText="bothSides"/>
            <wp:docPr id="5919874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41185" cy="2924175"/>
                    </a:xfrm>
                    <a:prstGeom prst="rect">
                      <a:avLst/>
                    </a:prstGeom>
                    <a:noFill/>
                    <a:ln>
                      <a:noFill/>
                    </a:ln>
                  </pic:spPr>
                </pic:pic>
              </a:graphicData>
            </a:graphic>
            <wp14:sizeRelH relativeFrom="page">
              <wp14:pctWidth>0</wp14:pctWidth>
            </wp14:sizeRelH>
            <wp14:sizeRelV relativeFrom="page">
              <wp14:pctHeight>0</wp14:pctHeight>
            </wp14:sizeRelV>
          </wp:anchor>
        </w:drawing>
      </w:r>
      <w:r w:rsidR="00084E2D" w:rsidRPr="00270BA8">
        <w:rPr>
          <w:rFonts w:ascii="Garamond" w:hAnsi="Garamond" w:cs="Times New Roman"/>
          <w:sz w:val="24"/>
          <w:szCs w:val="24"/>
          <w:lang w:val="en-GB"/>
        </w:rPr>
        <w:t>Table 2: Gantt Chart for the dissertation</w:t>
      </w:r>
    </w:p>
    <w:p w14:paraId="6C02A0A3" w14:textId="45A591ED" w:rsidR="00084E2D" w:rsidRPr="00270BA8" w:rsidRDefault="00084E2D" w:rsidP="00270BA8">
      <w:pPr>
        <w:spacing w:before="120" w:after="360" w:line="360" w:lineRule="auto"/>
        <w:jc w:val="both"/>
        <w:rPr>
          <w:rFonts w:ascii="Garamond" w:hAnsi="Garamond" w:cs="Times New Roman"/>
          <w:sz w:val="24"/>
          <w:szCs w:val="24"/>
          <w:lang w:val="en-GB"/>
        </w:rPr>
      </w:pPr>
    </w:p>
    <w:p w14:paraId="79010C4C" w14:textId="2C796F99" w:rsidR="00084E2D" w:rsidRPr="00270BA8" w:rsidRDefault="00222527" w:rsidP="00270BA8">
      <w:pPr>
        <w:spacing w:before="120" w:after="360" w:line="360" w:lineRule="auto"/>
        <w:jc w:val="both"/>
        <w:rPr>
          <w:rFonts w:ascii="Garamond" w:hAnsi="Garamond" w:cs="Times New Roman"/>
          <w:sz w:val="24"/>
          <w:szCs w:val="24"/>
          <w:lang w:val="en-GB"/>
        </w:rPr>
      </w:pPr>
      <w:r w:rsidRPr="00270BA8">
        <w:rPr>
          <w:rFonts w:ascii="Garamond" w:hAnsi="Garamond" w:cs="Times New Roman"/>
          <w:sz w:val="24"/>
          <w:szCs w:val="24"/>
          <w:lang w:val="en-GB"/>
        </w:rPr>
        <w:br w:type="page"/>
      </w:r>
    </w:p>
    <w:p w14:paraId="1FA873E4" w14:textId="77777777" w:rsidR="00084E2D" w:rsidRPr="00270BA8" w:rsidRDefault="00BC7E78" w:rsidP="00270BA8">
      <w:pPr>
        <w:pStyle w:val="1"/>
        <w:spacing w:before="120" w:after="360" w:line="360" w:lineRule="auto"/>
        <w:jc w:val="both"/>
        <w:rPr>
          <w:rFonts w:ascii="Garamond" w:hAnsi="Garamond" w:cs="Times New Roman"/>
          <w:lang w:val="en-GB"/>
        </w:rPr>
      </w:pPr>
      <w:bookmarkStart w:id="32" w:name="_Toc164360753"/>
      <w:bookmarkStart w:id="33" w:name="_Toc171702291"/>
      <w:r w:rsidRPr="00270BA8">
        <w:rPr>
          <w:rFonts w:ascii="Garamond" w:hAnsi="Garamond" w:cs="Times New Roman"/>
          <w:lang w:val="en-GB"/>
        </w:rPr>
        <w:lastRenderedPageBreak/>
        <w:t>References</w:t>
      </w:r>
      <w:bookmarkEnd w:id="32"/>
      <w:bookmarkEnd w:id="33"/>
    </w:p>
    <w:p w14:paraId="7517A182" w14:textId="0BF5D8E5" w:rsidR="00270BA8" w:rsidRPr="00270BA8" w:rsidRDefault="00222527" w:rsidP="00270BA8">
      <w:pPr>
        <w:pStyle w:val="afb"/>
        <w:spacing w:before="120" w:after="360" w:line="360" w:lineRule="auto"/>
        <w:rPr>
          <w:rFonts w:ascii="Garamond" w:hAnsi="Garamond"/>
          <w:sz w:val="24"/>
          <w:szCs w:val="24"/>
          <w:lang w:val="fr-FR"/>
        </w:rPr>
      </w:pPr>
      <w:r w:rsidRPr="00270BA8">
        <w:rPr>
          <w:rFonts w:ascii="Garamond" w:hAnsi="Garamond"/>
          <w:sz w:val="24"/>
          <w:szCs w:val="24"/>
          <w:lang w:val="en-GB"/>
        </w:rPr>
        <w:fldChar w:fldCharType="begin"/>
      </w:r>
      <w:r w:rsidRPr="00270BA8">
        <w:rPr>
          <w:rFonts w:ascii="Garamond" w:hAnsi="Garamond"/>
          <w:sz w:val="24"/>
          <w:szCs w:val="24"/>
          <w:lang w:val="en-GB"/>
        </w:rPr>
        <w:instrText xml:space="preserve"> ADDIN ZOTERO_BIBL {"uncited":[],"omitted":[],"custom":[]} CSL_BIBLIOGRAPHY </w:instrText>
      </w:r>
      <w:r w:rsidRPr="00270BA8">
        <w:rPr>
          <w:rFonts w:ascii="Garamond" w:hAnsi="Garamond"/>
          <w:sz w:val="24"/>
          <w:szCs w:val="24"/>
          <w:lang w:val="en-GB"/>
        </w:rPr>
        <w:fldChar w:fldCharType="separate"/>
      </w:r>
      <w:r w:rsidR="00270BA8" w:rsidRPr="00270BA8">
        <w:rPr>
          <w:rFonts w:ascii="Garamond" w:hAnsi="Garamond"/>
          <w:sz w:val="24"/>
          <w:szCs w:val="24"/>
        </w:rPr>
        <w:t>Akdere, M. and Egan, T. (2020) ‘Transformational leadership and human resource development: Linking employee learning, job satisfaction, and organi</w:t>
      </w:r>
      <w:r w:rsidR="00270BA8">
        <w:rPr>
          <w:rFonts w:ascii="Garamond" w:hAnsi="Garamond"/>
          <w:sz w:val="24"/>
          <w:szCs w:val="24"/>
        </w:rPr>
        <w:t>s</w:t>
      </w:r>
      <w:r w:rsidR="00270BA8" w:rsidRPr="00270BA8">
        <w:rPr>
          <w:rFonts w:ascii="Garamond" w:hAnsi="Garamond"/>
          <w:sz w:val="24"/>
          <w:szCs w:val="24"/>
        </w:rPr>
        <w:t xml:space="preserve">ational performance’, </w:t>
      </w:r>
      <w:r w:rsidR="00270BA8" w:rsidRPr="00270BA8">
        <w:rPr>
          <w:rFonts w:ascii="Garamond" w:hAnsi="Garamond"/>
          <w:i/>
          <w:iCs/>
          <w:sz w:val="24"/>
          <w:szCs w:val="24"/>
        </w:rPr>
        <w:t>Human Resource Development Quarterly</w:t>
      </w:r>
      <w:r w:rsidR="00270BA8" w:rsidRPr="00270BA8">
        <w:rPr>
          <w:rFonts w:ascii="Garamond" w:hAnsi="Garamond"/>
          <w:sz w:val="24"/>
          <w:szCs w:val="24"/>
        </w:rPr>
        <w:t xml:space="preserve">, 31(4), pp. 393–421. </w:t>
      </w:r>
      <w:r w:rsidR="00270BA8" w:rsidRPr="00270BA8">
        <w:rPr>
          <w:rFonts w:ascii="Garamond" w:hAnsi="Garamond"/>
          <w:sz w:val="24"/>
          <w:szCs w:val="24"/>
          <w:lang w:val="fr-FR"/>
        </w:rPr>
        <w:t>Available at: https://doi.org/10.1002/hrdq.21404.</w:t>
      </w:r>
    </w:p>
    <w:p w14:paraId="269BDD28" w14:textId="0550FB44"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Akram, T.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(2020) ‘The impact of organi</w:t>
      </w:r>
      <w:r>
        <w:rPr>
          <w:rFonts w:ascii="Garamond" w:hAnsi="Garamond"/>
          <w:sz w:val="24"/>
          <w:szCs w:val="24"/>
        </w:rPr>
        <w:t>s</w:t>
      </w:r>
      <w:r w:rsidRPr="00270BA8">
        <w:rPr>
          <w:rFonts w:ascii="Garamond" w:hAnsi="Garamond"/>
          <w:sz w:val="24"/>
          <w:szCs w:val="24"/>
        </w:rPr>
        <w:t xml:space="preserve">ational justice on employee innovative work behavior: Mediating role of knowledge sharing’, </w:t>
      </w:r>
      <w:r w:rsidRPr="00270BA8">
        <w:rPr>
          <w:rFonts w:ascii="Garamond" w:hAnsi="Garamond"/>
          <w:i/>
          <w:iCs/>
          <w:sz w:val="24"/>
          <w:szCs w:val="24"/>
        </w:rPr>
        <w:t>Journal of Innovation &amp; Knowledge</w:t>
      </w:r>
      <w:r w:rsidRPr="00270BA8">
        <w:rPr>
          <w:rFonts w:ascii="Garamond" w:hAnsi="Garamond"/>
          <w:sz w:val="24"/>
          <w:szCs w:val="24"/>
        </w:rPr>
        <w:t>, 5(2), pp. 117–129.</w:t>
      </w:r>
    </w:p>
    <w:p w14:paraId="448014C8" w14:textId="14E6C8F4"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Åmo, B.W. and Kolvereid, L. (2005) ‘Organi</w:t>
      </w:r>
      <w:r>
        <w:rPr>
          <w:rFonts w:ascii="Garamond" w:hAnsi="Garamond"/>
          <w:sz w:val="24"/>
          <w:szCs w:val="24"/>
        </w:rPr>
        <w:t>s</w:t>
      </w:r>
      <w:r w:rsidRPr="00270BA8">
        <w:rPr>
          <w:rFonts w:ascii="Garamond" w:hAnsi="Garamond"/>
          <w:sz w:val="24"/>
          <w:szCs w:val="24"/>
        </w:rPr>
        <w:t xml:space="preserve">ational strategy, individual personality and innovation behavior’, </w:t>
      </w:r>
      <w:r w:rsidRPr="00270BA8">
        <w:rPr>
          <w:rFonts w:ascii="Garamond" w:hAnsi="Garamond"/>
          <w:i/>
          <w:iCs/>
          <w:sz w:val="24"/>
          <w:szCs w:val="24"/>
        </w:rPr>
        <w:t>Journal of Enterprising Culture</w:t>
      </w:r>
      <w:r w:rsidRPr="00270BA8">
        <w:rPr>
          <w:rFonts w:ascii="Garamond" w:hAnsi="Garamond"/>
          <w:sz w:val="24"/>
          <w:szCs w:val="24"/>
        </w:rPr>
        <w:t>, 13(01), pp. 7–19.</w:t>
      </w:r>
    </w:p>
    <w:p w14:paraId="00AA20EA"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Anwar, G. and Abdullah, N.N. (2021) ‘The Impact of Human Resource Management Practice on Organizational Performance’. Rochester, NY. Available at: https://papers.ssrn.com/abstract=3824689 (Accessed: 16 April 2024).</w:t>
      </w:r>
    </w:p>
    <w:p w14:paraId="19BD65D6" w14:textId="4F010B89"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Argote, L., McEvily, B. and Reagans, R. (2003) ‘Managing Knowledge in Organi</w:t>
      </w:r>
      <w:r>
        <w:rPr>
          <w:rFonts w:ascii="Garamond" w:hAnsi="Garamond"/>
          <w:sz w:val="24"/>
          <w:szCs w:val="24"/>
        </w:rPr>
        <w:t>s</w:t>
      </w:r>
      <w:r w:rsidRPr="00270BA8">
        <w:rPr>
          <w:rFonts w:ascii="Garamond" w:hAnsi="Garamond"/>
          <w:sz w:val="24"/>
          <w:szCs w:val="24"/>
        </w:rPr>
        <w:t xml:space="preserve">ations: An Integrative Framework and Review of Emerging Themes’, </w:t>
      </w:r>
      <w:r w:rsidRPr="00270BA8">
        <w:rPr>
          <w:rFonts w:ascii="Garamond" w:hAnsi="Garamond"/>
          <w:i/>
          <w:iCs/>
          <w:sz w:val="24"/>
          <w:szCs w:val="24"/>
        </w:rPr>
        <w:t>Management Science</w:t>
      </w:r>
      <w:r w:rsidRPr="00270BA8">
        <w:rPr>
          <w:rFonts w:ascii="Garamond" w:hAnsi="Garamond"/>
          <w:sz w:val="24"/>
          <w:szCs w:val="24"/>
        </w:rPr>
        <w:t>, 49(4), pp. 571–582. Available at: https://doi.org/10.1287/mnsc.49.4.571.14424.</w:t>
      </w:r>
    </w:p>
    <w:p w14:paraId="11F87865" w14:textId="6D5E898C"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Ashiru, J.-A., Erdil, G.E. and Oluwajana, D. (2021) ‘The linkage between high performance work systems on organi</w:t>
      </w:r>
      <w:r>
        <w:rPr>
          <w:rFonts w:ascii="Garamond" w:hAnsi="Garamond"/>
          <w:sz w:val="24"/>
          <w:szCs w:val="24"/>
        </w:rPr>
        <w:t>s</w:t>
      </w:r>
      <w:r w:rsidRPr="00270BA8">
        <w:rPr>
          <w:rFonts w:ascii="Garamond" w:hAnsi="Garamond"/>
          <w:sz w:val="24"/>
          <w:szCs w:val="24"/>
        </w:rPr>
        <w:t xml:space="preserve">ational performance, employee voice and employee innovation’, </w:t>
      </w:r>
      <w:r w:rsidRPr="00270BA8">
        <w:rPr>
          <w:rFonts w:ascii="Garamond" w:hAnsi="Garamond"/>
          <w:i/>
          <w:iCs/>
          <w:sz w:val="24"/>
          <w:szCs w:val="24"/>
        </w:rPr>
        <w:t>Journal of Organizational Change Management</w:t>
      </w:r>
      <w:r w:rsidRPr="00270BA8">
        <w:rPr>
          <w:rFonts w:ascii="Garamond" w:hAnsi="Garamond"/>
          <w:sz w:val="24"/>
          <w:szCs w:val="24"/>
        </w:rPr>
        <w:t>, 35(1), pp. 1–17. Available at: https://doi.org/10.1108/JOCM-02-2021-0039.</w:t>
      </w:r>
    </w:p>
    <w:p w14:paraId="042F7BC5"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Atar E. and Li Z. (2023) ‘The Mediating Role of Organizational Climate in Assessing the Influence of Local Governance-Based Paternalist Leadership on Employee Innovation’. Available at: https://doi.org/10.1163/15692108-12341615.</w:t>
      </w:r>
    </w:p>
    <w:p w14:paraId="2CABF1D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Bäckström, I. and Bengtsson, L. (2019) ‘A mapping study of employee innovation: proposing a research agenda’, </w:t>
      </w:r>
      <w:r w:rsidRPr="00270BA8">
        <w:rPr>
          <w:rFonts w:ascii="Garamond" w:hAnsi="Garamond"/>
          <w:i/>
          <w:iCs/>
          <w:sz w:val="24"/>
          <w:szCs w:val="24"/>
        </w:rPr>
        <w:t>European Journal of Innovation Management</w:t>
      </w:r>
      <w:r w:rsidRPr="00270BA8">
        <w:rPr>
          <w:rFonts w:ascii="Garamond" w:hAnsi="Garamond"/>
          <w:sz w:val="24"/>
          <w:szCs w:val="24"/>
        </w:rPr>
        <w:t>, 22(3), pp. 468–492.</w:t>
      </w:r>
    </w:p>
    <w:p w14:paraId="5B68DECA"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lastRenderedPageBreak/>
        <w:t xml:space="preserve">Bowen, D.E. and Ostroff, C. (2004) ‘Understanding HRM–Firm Performance Linkages: The Role of the “Strength” of the HRM System’, </w:t>
      </w:r>
      <w:r w:rsidRPr="00270BA8">
        <w:rPr>
          <w:rFonts w:ascii="Garamond" w:hAnsi="Garamond"/>
          <w:i/>
          <w:iCs/>
          <w:sz w:val="24"/>
          <w:szCs w:val="24"/>
        </w:rPr>
        <w:t>Academy of Management Review</w:t>
      </w:r>
      <w:r w:rsidRPr="00270BA8">
        <w:rPr>
          <w:rFonts w:ascii="Garamond" w:hAnsi="Garamond"/>
          <w:sz w:val="24"/>
          <w:szCs w:val="24"/>
        </w:rPr>
        <w:t>, 29(2), pp. 203–221. Available at: https://doi.org/10.5465/amr.2004.12736076.</w:t>
      </w:r>
    </w:p>
    <w:p w14:paraId="6137D73E" w14:textId="613C0C40"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Cao, T.T., Le, P.B. and Nguyen, N.T.M. (2022) ‘Impacts of high-involvement HRM practices on organi</w:t>
      </w:r>
      <w:r>
        <w:rPr>
          <w:rFonts w:ascii="Garamond" w:hAnsi="Garamond"/>
          <w:sz w:val="24"/>
          <w:szCs w:val="24"/>
        </w:rPr>
        <w:t>s</w:t>
      </w:r>
      <w:r w:rsidRPr="00270BA8">
        <w:rPr>
          <w:rFonts w:ascii="Garamond" w:hAnsi="Garamond"/>
          <w:sz w:val="24"/>
          <w:szCs w:val="24"/>
        </w:rPr>
        <w:t xml:space="preserve">ational innovation capability: the mediating mechanism of tacit and explicit knowledge sharing’, </w:t>
      </w:r>
      <w:r w:rsidRPr="00270BA8">
        <w:rPr>
          <w:rFonts w:ascii="Garamond" w:hAnsi="Garamond"/>
          <w:i/>
          <w:iCs/>
          <w:sz w:val="24"/>
          <w:szCs w:val="24"/>
        </w:rPr>
        <w:t>International Journal of Innovation Science</w:t>
      </w:r>
      <w:r w:rsidRPr="00270BA8">
        <w:rPr>
          <w:rFonts w:ascii="Garamond" w:hAnsi="Garamond"/>
          <w:sz w:val="24"/>
          <w:szCs w:val="24"/>
        </w:rPr>
        <w:t>, 14(5), pp. 733–749.</w:t>
      </w:r>
    </w:p>
    <w:p w14:paraId="36493E3D"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Castaneda, D.I. and Cuellar, S. (2020) ‘Knowledge sharing and innovation: A systematic review’, </w:t>
      </w:r>
      <w:r w:rsidRPr="00270BA8">
        <w:rPr>
          <w:rFonts w:ascii="Garamond" w:hAnsi="Garamond"/>
          <w:i/>
          <w:iCs/>
          <w:sz w:val="24"/>
          <w:szCs w:val="24"/>
        </w:rPr>
        <w:t>Knowledge and Process Management</w:t>
      </w:r>
      <w:r w:rsidRPr="00270BA8">
        <w:rPr>
          <w:rFonts w:ascii="Garamond" w:hAnsi="Garamond"/>
          <w:sz w:val="24"/>
          <w:szCs w:val="24"/>
        </w:rPr>
        <w:t>, 27(3), pp. 159–173.</w:t>
      </w:r>
    </w:p>
    <w:p w14:paraId="32E58666"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Chasanah, N., Gunawan, I. and Baroudi, B. (2024) ‘Post</w:t>
      </w:r>
      <w:r w:rsidRPr="00270BA8">
        <w:rPr>
          <w:rFonts w:ascii="Cambria Math" w:hAnsi="Cambria Math" w:cs="Cambria Math"/>
          <w:sz w:val="24"/>
          <w:szCs w:val="24"/>
        </w:rPr>
        <w:t>‐</w:t>
      </w:r>
      <w:r w:rsidRPr="00270BA8">
        <w:rPr>
          <w:rFonts w:ascii="Garamond" w:hAnsi="Garamond"/>
          <w:sz w:val="24"/>
          <w:szCs w:val="24"/>
        </w:rPr>
        <w:t>project sustainability evaluation by using a complex systems approach: A framework and an application to a revolving loan fund (microfinance) project in Indonesia</w:t>
      </w:r>
      <w:r w:rsidRPr="00270BA8">
        <w:rPr>
          <w:rFonts w:ascii="Garamond" w:hAnsi="Garamond" w:cs="Garamond"/>
          <w:sz w:val="24"/>
          <w:szCs w:val="24"/>
        </w:rPr>
        <w:t>’</w:t>
      </w:r>
      <w:r w:rsidRPr="00270BA8">
        <w:rPr>
          <w:rFonts w:ascii="Garamond" w:hAnsi="Garamond"/>
          <w:sz w:val="24"/>
          <w:szCs w:val="24"/>
        </w:rPr>
        <w:t xml:space="preserve">, </w:t>
      </w:r>
      <w:r w:rsidRPr="00270BA8">
        <w:rPr>
          <w:rFonts w:ascii="Garamond" w:hAnsi="Garamond"/>
          <w:i/>
          <w:iCs/>
          <w:sz w:val="24"/>
          <w:szCs w:val="24"/>
        </w:rPr>
        <w:t>Systems Research and Behavioral Science</w:t>
      </w:r>
      <w:r w:rsidRPr="00270BA8">
        <w:rPr>
          <w:rFonts w:ascii="Garamond" w:hAnsi="Garamond"/>
          <w:sz w:val="24"/>
          <w:szCs w:val="24"/>
        </w:rPr>
        <w:t>, 41(2), pp. 274–300.</w:t>
      </w:r>
    </w:p>
    <w:p w14:paraId="2A61C189"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Coelho, J.P.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 xml:space="preserve">(2015) ‘Strength of the HRM system: The development of a measure’, </w:t>
      </w:r>
      <w:r w:rsidRPr="00270BA8">
        <w:rPr>
          <w:rFonts w:ascii="Garamond" w:hAnsi="Garamond"/>
          <w:i/>
          <w:iCs/>
          <w:sz w:val="24"/>
          <w:szCs w:val="24"/>
        </w:rPr>
        <w:t>Journal of Industrial Engineering and Management</w:t>
      </w:r>
      <w:r w:rsidRPr="00270BA8">
        <w:rPr>
          <w:rFonts w:ascii="Garamond" w:hAnsi="Garamond"/>
          <w:sz w:val="24"/>
          <w:szCs w:val="24"/>
        </w:rPr>
        <w:t>, 8(4), pp. 1069–1086. Available at: https://doi.org/10.3926/jiem.1432.</w:t>
      </w:r>
    </w:p>
    <w:p w14:paraId="034A6D61"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Collins, C.J. (2022) ‘Expanding the resource based view model of strategic human resource management’, in </w:t>
      </w:r>
      <w:r w:rsidRPr="00270BA8">
        <w:rPr>
          <w:rFonts w:ascii="Garamond" w:hAnsi="Garamond"/>
          <w:i/>
          <w:iCs/>
          <w:sz w:val="24"/>
          <w:szCs w:val="24"/>
        </w:rPr>
        <w:t>Strategic Human Resource Management and Organizational Effectiveness</w:t>
      </w:r>
      <w:r w:rsidRPr="00270BA8">
        <w:rPr>
          <w:rFonts w:ascii="Garamond" w:hAnsi="Garamond"/>
          <w:sz w:val="24"/>
          <w:szCs w:val="24"/>
        </w:rPr>
        <w:t>. Routledge, pp. 107–134.</w:t>
      </w:r>
    </w:p>
    <w:p w14:paraId="5952D616"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Dhar, R.L. (2015) ‘The effects of high performance human resource practices on service innovative behaviour’, </w:t>
      </w:r>
      <w:r w:rsidRPr="00270BA8">
        <w:rPr>
          <w:rFonts w:ascii="Garamond" w:hAnsi="Garamond"/>
          <w:i/>
          <w:iCs/>
          <w:sz w:val="24"/>
          <w:szCs w:val="24"/>
        </w:rPr>
        <w:t>International Journal of Hospitality Management</w:t>
      </w:r>
      <w:r w:rsidRPr="00270BA8">
        <w:rPr>
          <w:rFonts w:ascii="Garamond" w:hAnsi="Garamond"/>
          <w:sz w:val="24"/>
          <w:szCs w:val="24"/>
        </w:rPr>
        <w:t>, 51, pp. 67–75. Available at: https://doi.org/10.1016/j.ijhm.2015.09.002.</w:t>
      </w:r>
    </w:p>
    <w:p w14:paraId="59EBFE8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Ding, H., Liu, J. and Martin-Krumm, C. (2024) ‘Exploring the relationship of perceived strengths-based human system with knowledge sharing’, </w:t>
      </w:r>
      <w:r w:rsidRPr="00270BA8">
        <w:rPr>
          <w:rFonts w:ascii="Garamond" w:hAnsi="Garamond"/>
          <w:i/>
          <w:iCs/>
          <w:sz w:val="24"/>
          <w:szCs w:val="24"/>
        </w:rPr>
        <w:t>Current Psychology</w:t>
      </w:r>
      <w:r w:rsidRPr="00270BA8">
        <w:rPr>
          <w:rFonts w:ascii="Garamond" w:hAnsi="Garamond"/>
          <w:sz w:val="24"/>
          <w:szCs w:val="24"/>
        </w:rPr>
        <w:t>, 43(5), pp. 4337–4351.</w:t>
      </w:r>
    </w:p>
    <w:p w14:paraId="4D8F9D03"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Fakhar Manesh, M.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 xml:space="preserve">(2021) ‘Knowledge Management in the Fourth Industrial Revolution: Mapping the Literature and Scoping Future Avenues’, </w:t>
      </w:r>
      <w:r w:rsidRPr="00270BA8">
        <w:rPr>
          <w:rFonts w:ascii="Garamond" w:hAnsi="Garamond"/>
          <w:i/>
          <w:iCs/>
          <w:sz w:val="24"/>
          <w:szCs w:val="24"/>
        </w:rPr>
        <w:t>IEEE Transactions on Engineering Management</w:t>
      </w:r>
      <w:r w:rsidRPr="00270BA8">
        <w:rPr>
          <w:rFonts w:ascii="Garamond" w:hAnsi="Garamond"/>
          <w:sz w:val="24"/>
          <w:szCs w:val="24"/>
        </w:rPr>
        <w:t>, 68(1), pp. 289–300. Available at: https://doi.org/10.1109/TEM.2019.2963489.</w:t>
      </w:r>
    </w:p>
    <w:p w14:paraId="1987697D" w14:textId="77777777" w:rsidR="00270BA8" w:rsidRPr="00270BA8" w:rsidRDefault="00270BA8" w:rsidP="00270BA8">
      <w:pPr>
        <w:pStyle w:val="afb"/>
        <w:spacing w:before="120" w:after="360" w:line="360" w:lineRule="auto"/>
        <w:rPr>
          <w:rFonts w:ascii="Garamond" w:hAnsi="Garamond"/>
          <w:sz w:val="24"/>
          <w:szCs w:val="24"/>
          <w:lang w:val="fr-FR"/>
        </w:rPr>
      </w:pPr>
      <w:r w:rsidRPr="00270BA8">
        <w:rPr>
          <w:rFonts w:ascii="Garamond" w:hAnsi="Garamond"/>
          <w:sz w:val="24"/>
          <w:szCs w:val="24"/>
        </w:rPr>
        <w:lastRenderedPageBreak/>
        <w:t xml:space="preserve">Farooq, R. (2018) ‘A conceptual model of knowledge sharing’, </w:t>
      </w:r>
      <w:r w:rsidRPr="00270BA8">
        <w:rPr>
          <w:rFonts w:ascii="Garamond" w:hAnsi="Garamond"/>
          <w:i/>
          <w:iCs/>
          <w:sz w:val="24"/>
          <w:szCs w:val="24"/>
        </w:rPr>
        <w:t>International Journal of Innovation Science</w:t>
      </w:r>
      <w:r w:rsidRPr="00270BA8">
        <w:rPr>
          <w:rFonts w:ascii="Garamond" w:hAnsi="Garamond"/>
          <w:sz w:val="24"/>
          <w:szCs w:val="24"/>
        </w:rPr>
        <w:t xml:space="preserve">, 10(2), pp. 238–260. </w:t>
      </w:r>
      <w:r w:rsidRPr="00270BA8">
        <w:rPr>
          <w:rFonts w:ascii="Garamond" w:hAnsi="Garamond"/>
          <w:sz w:val="24"/>
          <w:szCs w:val="24"/>
          <w:lang w:val="fr-FR"/>
        </w:rPr>
        <w:t>Available at: https://doi.org/10.1108/IJIS-09-2017-0087.</w:t>
      </w:r>
    </w:p>
    <w:p w14:paraId="7AE69B60"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Giebels, E.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 xml:space="preserve">(2016) ‘The critical roles of task conflict and job autonomy in the relationship between proactive personalities and innovative employee behavior’, </w:t>
      </w:r>
      <w:r w:rsidRPr="00270BA8">
        <w:rPr>
          <w:rFonts w:ascii="Garamond" w:hAnsi="Garamond"/>
          <w:i/>
          <w:iCs/>
          <w:sz w:val="24"/>
          <w:szCs w:val="24"/>
        </w:rPr>
        <w:t>The Journal of applied behavioral science</w:t>
      </w:r>
      <w:r w:rsidRPr="00270BA8">
        <w:rPr>
          <w:rFonts w:ascii="Garamond" w:hAnsi="Garamond"/>
          <w:sz w:val="24"/>
          <w:szCs w:val="24"/>
        </w:rPr>
        <w:t>, 52(3), pp. 320–341.</w:t>
      </w:r>
    </w:p>
    <w:p w14:paraId="7BE3B033" w14:textId="6A0CC55C"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Gumusluo</w:t>
      </w:r>
      <w:r w:rsidRPr="00270BA8">
        <w:rPr>
          <w:rFonts w:ascii="Garamond" w:hAnsi="Garamond" w:cs="Cambria"/>
          <w:sz w:val="24"/>
          <w:szCs w:val="24"/>
        </w:rPr>
        <w:t>ğ</w:t>
      </w:r>
      <w:r w:rsidRPr="00270BA8">
        <w:rPr>
          <w:rFonts w:ascii="Garamond" w:hAnsi="Garamond"/>
          <w:sz w:val="24"/>
          <w:szCs w:val="24"/>
        </w:rPr>
        <w:t xml:space="preserve">lu, L. and Ilsev, A. (2009) </w:t>
      </w:r>
      <w:r w:rsidRPr="00270BA8">
        <w:rPr>
          <w:rFonts w:ascii="Garamond" w:eastAsia="等线" w:hAnsi="Garamond" w:cs="等线"/>
          <w:sz w:val="24"/>
          <w:szCs w:val="24"/>
        </w:rPr>
        <w:t>‘</w:t>
      </w:r>
      <w:r w:rsidRPr="00270BA8">
        <w:rPr>
          <w:rFonts w:ascii="Garamond" w:hAnsi="Garamond"/>
          <w:sz w:val="24"/>
          <w:szCs w:val="24"/>
        </w:rPr>
        <w:t>Transformational leadership and organi</w:t>
      </w:r>
      <w:r>
        <w:rPr>
          <w:rFonts w:ascii="Garamond" w:hAnsi="Garamond"/>
          <w:sz w:val="24"/>
          <w:szCs w:val="24"/>
        </w:rPr>
        <w:t>s</w:t>
      </w:r>
      <w:r w:rsidRPr="00270BA8">
        <w:rPr>
          <w:rFonts w:ascii="Garamond" w:hAnsi="Garamond"/>
          <w:sz w:val="24"/>
          <w:szCs w:val="24"/>
        </w:rPr>
        <w:t>ational innovation: The roles of internal and external support for innovation</w:t>
      </w:r>
      <w:r w:rsidRPr="00270BA8">
        <w:rPr>
          <w:rFonts w:ascii="Garamond" w:eastAsia="等线" w:hAnsi="Garamond" w:cs="等线"/>
          <w:sz w:val="24"/>
          <w:szCs w:val="24"/>
        </w:rPr>
        <w:t>’</w:t>
      </w:r>
      <w:r w:rsidRPr="00270BA8">
        <w:rPr>
          <w:rFonts w:ascii="Garamond" w:hAnsi="Garamond"/>
          <w:sz w:val="24"/>
          <w:szCs w:val="24"/>
        </w:rPr>
        <w:t xml:space="preserve">, </w:t>
      </w:r>
      <w:r w:rsidRPr="00270BA8">
        <w:rPr>
          <w:rFonts w:ascii="Garamond" w:hAnsi="Garamond"/>
          <w:i/>
          <w:iCs/>
          <w:sz w:val="24"/>
          <w:szCs w:val="24"/>
        </w:rPr>
        <w:t>Journal of Product Innovation Management</w:t>
      </w:r>
      <w:r w:rsidRPr="00270BA8">
        <w:rPr>
          <w:rFonts w:ascii="Garamond" w:hAnsi="Garamond"/>
          <w:sz w:val="24"/>
          <w:szCs w:val="24"/>
        </w:rPr>
        <w:t>, 26(3), pp. 264–277.</w:t>
      </w:r>
    </w:p>
    <w:p w14:paraId="68EB9E51"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Guzzo, R.A. and Noonan, K.A. (1994) ‘Human resource practices as communications and the psychological contract’, </w:t>
      </w:r>
      <w:r w:rsidRPr="00270BA8">
        <w:rPr>
          <w:rFonts w:ascii="Garamond" w:hAnsi="Garamond"/>
          <w:i/>
          <w:iCs/>
          <w:sz w:val="24"/>
          <w:szCs w:val="24"/>
        </w:rPr>
        <w:t>Human Resource Management</w:t>
      </w:r>
      <w:r w:rsidRPr="00270BA8">
        <w:rPr>
          <w:rFonts w:ascii="Garamond" w:hAnsi="Garamond"/>
          <w:sz w:val="24"/>
          <w:szCs w:val="24"/>
        </w:rPr>
        <w:t>, 33(3), pp. 447–462. Available at: https://doi.org/10.1002/hrm.3930330311.</w:t>
      </w:r>
    </w:p>
    <w:p w14:paraId="32258B21" w14:textId="77777777" w:rsidR="00270BA8" w:rsidRPr="00270BA8" w:rsidRDefault="00270BA8" w:rsidP="00270BA8">
      <w:pPr>
        <w:pStyle w:val="afb"/>
        <w:spacing w:before="120" w:after="360" w:line="360" w:lineRule="auto"/>
        <w:rPr>
          <w:rFonts w:ascii="Garamond" w:hAnsi="Garamond"/>
          <w:sz w:val="24"/>
          <w:szCs w:val="24"/>
          <w:lang w:val="fr-FR"/>
        </w:rPr>
      </w:pPr>
      <w:r w:rsidRPr="00270BA8">
        <w:rPr>
          <w:rFonts w:ascii="Garamond" w:hAnsi="Garamond"/>
          <w:sz w:val="24"/>
          <w:szCs w:val="24"/>
        </w:rPr>
        <w:t xml:space="preserve">Hauff, S., Alewell, D. and Katrin Hansen, N. (2017) ‘HRM System Strength and HRM Target Achievement—Toward a Broader Understanding of HRM Processes’, </w:t>
      </w:r>
      <w:r w:rsidRPr="00270BA8">
        <w:rPr>
          <w:rFonts w:ascii="Garamond" w:hAnsi="Garamond"/>
          <w:i/>
          <w:iCs/>
          <w:sz w:val="24"/>
          <w:szCs w:val="24"/>
        </w:rPr>
        <w:t>Human Resource Management</w:t>
      </w:r>
      <w:r w:rsidRPr="00270BA8">
        <w:rPr>
          <w:rFonts w:ascii="Garamond" w:hAnsi="Garamond"/>
          <w:sz w:val="24"/>
          <w:szCs w:val="24"/>
        </w:rPr>
        <w:t xml:space="preserve">, 56(5), pp. 715–729. </w:t>
      </w:r>
      <w:r w:rsidRPr="00270BA8">
        <w:rPr>
          <w:rFonts w:ascii="Garamond" w:hAnsi="Garamond"/>
          <w:sz w:val="24"/>
          <w:szCs w:val="24"/>
          <w:lang w:val="fr-FR"/>
        </w:rPr>
        <w:t>Available at: https://doi.org/10.1002/hrm.21798.</w:t>
      </w:r>
    </w:p>
    <w:p w14:paraId="6557349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Heffernan, M.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 xml:space="preserve">(2022) ‘HRM system strength and employee well-being: the role of internal process and open systems’, </w:t>
      </w:r>
      <w:r w:rsidRPr="00270BA8">
        <w:rPr>
          <w:rFonts w:ascii="Garamond" w:hAnsi="Garamond"/>
          <w:i/>
          <w:iCs/>
          <w:sz w:val="24"/>
          <w:szCs w:val="24"/>
        </w:rPr>
        <w:t>Asia Pacific Journal of Human Resources</w:t>
      </w:r>
      <w:r w:rsidRPr="00270BA8">
        <w:rPr>
          <w:rFonts w:ascii="Garamond" w:hAnsi="Garamond"/>
          <w:sz w:val="24"/>
          <w:szCs w:val="24"/>
        </w:rPr>
        <w:t>, 60(1), pp. 171–193. Available at: https://doi.org/10.1111/1744-7941.12302.</w:t>
      </w:r>
    </w:p>
    <w:p w14:paraId="5D88BF19"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Ho, H. and Kuvaas, B. (2020) ‘Human resource management systems, employee well-being, and firm performance from the mutual gains and critical perspectives: The well-being paradox’, </w:t>
      </w:r>
      <w:r w:rsidRPr="00270BA8">
        <w:rPr>
          <w:rFonts w:ascii="Garamond" w:hAnsi="Garamond"/>
          <w:i/>
          <w:iCs/>
          <w:sz w:val="24"/>
          <w:szCs w:val="24"/>
        </w:rPr>
        <w:t>Human Resource Management</w:t>
      </w:r>
      <w:r w:rsidRPr="00270BA8">
        <w:rPr>
          <w:rFonts w:ascii="Garamond" w:hAnsi="Garamond"/>
          <w:sz w:val="24"/>
          <w:szCs w:val="24"/>
        </w:rPr>
        <w:t>, 59(3), pp. 235–253. Available at: https://doi.org/10.1002/hrm.21990.</w:t>
      </w:r>
    </w:p>
    <w:p w14:paraId="6217F7CC"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Hu, C., Din, Q.M.U. and Zhang, L. (2024) ‘Short Empirical Insight: Leadership and Artificial Intelligence in the Pharmaceutical Industry’, </w:t>
      </w:r>
      <w:r w:rsidRPr="00270BA8">
        <w:rPr>
          <w:rFonts w:ascii="Garamond" w:hAnsi="Garamond"/>
          <w:i/>
          <w:iCs/>
          <w:sz w:val="24"/>
          <w:szCs w:val="24"/>
        </w:rPr>
        <w:t>Engineering, Technology &amp; Applied Science Research</w:t>
      </w:r>
      <w:r w:rsidRPr="00270BA8">
        <w:rPr>
          <w:rFonts w:ascii="Garamond" w:hAnsi="Garamond"/>
          <w:sz w:val="24"/>
          <w:szCs w:val="24"/>
        </w:rPr>
        <w:t>, 14(2), pp. 13658–13664.</w:t>
      </w:r>
    </w:p>
    <w:p w14:paraId="4C8A4585"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Huhtala, H. and Parzefall, M. (2007) ‘A review of employee well</w:t>
      </w:r>
      <w:r w:rsidRPr="00270BA8">
        <w:rPr>
          <w:rFonts w:ascii="Cambria Math" w:hAnsi="Cambria Math" w:cs="Cambria Math"/>
          <w:sz w:val="24"/>
          <w:szCs w:val="24"/>
        </w:rPr>
        <w:t>‐</w:t>
      </w:r>
      <w:r w:rsidRPr="00270BA8">
        <w:rPr>
          <w:rFonts w:ascii="Garamond" w:hAnsi="Garamond"/>
          <w:sz w:val="24"/>
          <w:szCs w:val="24"/>
        </w:rPr>
        <w:t>being and innovativeness: An opportunity for a mutual benefit</w:t>
      </w:r>
      <w:r w:rsidRPr="00270BA8">
        <w:rPr>
          <w:rFonts w:ascii="Garamond" w:hAnsi="Garamond" w:cs="Garamond"/>
          <w:sz w:val="24"/>
          <w:szCs w:val="24"/>
        </w:rPr>
        <w:t>’</w:t>
      </w:r>
      <w:r w:rsidRPr="00270BA8">
        <w:rPr>
          <w:rFonts w:ascii="Garamond" w:hAnsi="Garamond"/>
          <w:sz w:val="24"/>
          <w:szCs w:val="24"/>
        </w:rPr>
        <w:t xml:space="preserve">, </w:t>
      </w:r>
      <w:r w:rsidRPr="00270BA8">
        <w:rPr>
          <w:rFonts w:ascii="Garamond" w:hAnsi="Garamond"/>
          <w:i/>
          <w:iCs/>
          <w:sz w:val="24"/>
          <w:szCs w:val="24"/>
        </w:rPr>
        <w:t>Creativity and innovation management</w:t>
      </w:r>
      <w:r w:rsidRPr="00270BA8">
        <w:rPr>
          <w:rFonts w:ascii="Garamond" w:hAnsi="Garamond"/>
          <w:sz w:val="24"/>
          <w:szCs w:val="24"/>
        </w:rPr>
        <w:t>, 16(3), pp. 299–306.</w:t>
      </w:r>
    </w:p>
    <w:p w14:paraId="6F99D52F"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lastRenderedPageBreak/>
        <w:t>Hurmelinna</w:t>
      </w:r>
      <w:r w:rsidRPr="00270BA8">
        <w:rPr>
          <w:rFonts w:ascii="Cambria Math" w:hAnsi="Cambria Math" w:cs="Cambria Math"/>
          <w:sz w:val="24"/>
          <w:szCs w:val="24"/>
        </w:rPr>
        <w:t>‐</w:t>
      </w:r>
      <w:r w:rsidRPr="00270BA8">
        <w:rPr>
          <w:rFonts w:ascii="Garamond" w:hAnsi="Garamond"/>
          <w:sz w:val="24"/>
          <w:szCs w:val="24"/>
        </w:rPr>
        <w:t xml:space="preserve">Laukkanen, P. (2011) </w:t>
      </w:r>
      <w:r w:rsidRPr="00270BA8">
        <w:rPr>
          <w:rFonts w:ascii="Garamond" w:hAnsi="Garamond" w:cs="Garamond"/>
          <w:sz w:val="24"/>
          <w:szCs w:val="24"/>
        </w:rPr>
        <w:t>‘</w:t>
      </w:r>
      <w:r w:rsidRPr="00270BA8">
        <w:rPr>
          <w:rFonts w:ascii="Garamond" w:hAnsi="Garamond"/>
          <w:sz w:val="24"/>
          <w:szCs w:val="24"/>
        </w:rPr>
        <w:t xml:space="preserve">Enabling collaborative innovation </w:t>
      </w:r>
      <w:r w:rsidRPr="00270BA8">
        <w:rPr>
          <w:rFonts w:ascii="Garamond" w:hAnsi="Garamond" w:cs="Garamond"/>
          <w:sz w:val="24"/>
          <w:szCs w:val="24"/>
        </w:rPr>
        <w:t>–</w:t>
      </w:r>
      <w:r w:rsidRPr="00270BA8">
        <w:rPr>
          <w:rFonts w:ascii="Garamond" w:hAnsi="Garamond"/>
          <w:sz w:val="24"/>
          <w:szCs w:val="24"/>
        </w:rPr>
        <w:t xml:space="preserve"> knowledge protection for knowledge sharing</w:t>
      </w:r>
      <w:r w:rsidRPr="00270BA8">
        <w:rPr>
          <w:rFonts w:ascii="Garamond" w:hAnsi="Garamond" w:cs="Garamond"/>
          <w:sz w:val="24"/>
          <w:szCs w:val="24"/>
        </w:rPr>
        <w:t>’</w:t>
      </w:r>
      <w:r w:rsidRPr="00270BA8">
        <w:rPr>
          <w:rFonts w:ascii="Garamond" w:hAnsi="Garamond"/>
          <w:sz w:val="24"/>
          <w:szCs w:val="24"/>
        </w:rPr>
        <w:t xml:space="preserve">, </w:t>
      </w:r>
      <w:r w:rsidRPr="00270BA8">
        <w:rPr>
          <w:rFonts w:ascii="Garamond" w:hAnsi="Garamond"/>
          <w:i/>
          <w:iCs/>
          <w:sz w:val="24"/>
          <w:szCs w:val="24"/>
        </w:rPr>
        <w:t>European Journal of Innovation Management</w:t>
      </w:r>
      <w:r w:rsidRPr="00270BA8">
        <w:rPr>
          <w:rFonts w:ascii="Garamond" w:hAnsi="Garamond"/>
          <w:sz w:val="24"/>
          <w:szCs w:val="24"/>
        </w:rPr>
        <w:t>, 14(3), pp. 303–321. Available at: https://doi.org/10.1108/14601061111148816.</w:t>
      </w:r>
    </w:p>
    <w:p w14:paraId="7B944C0E"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Imam, H. and Zaheer, M.K. (2021) ‘Shared leadership and project success: The roles of knowledge sharing, cohesion and trust in the team’, </w:t>
      </w:r>
      <w:r w:rsidRPr="00270BA8">
        <w:rPr>
          <w:rFonts w:ascii="Garamond" w:hAnsi="Garamond"/>
          <w:i/>
          <w:iCs/>
          <w:sz w:val="24"/>
          <w:szCs w:val="24"/>
        </w:rPr>
        <w:t>International journal of project management</w:t>
      </w:r>
      <w:r w:rsidRPr="00270BA8">
        <w:rPr>
          <w:rFonts w:ascii="Garamond" w:hAnsi="Garamond"/>
          <w:sz w:val="24"/>
          <w:szCs w:val="24"/>
        </w:rPr>
        <w:t>, 39(5), pp. 463–473.</w:t>
      </w:r>
    </w:p>
    <w:p w14:paraId="0336A927" w14:textId="16538A29"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Janssen, M.J., Castaldi, C. and Alexiev, A. (2016) ‘Dynamic capabilities for service innovation: conceptuali</w:t>
      </w:r>
      <w:r>
        <w:rPr>
          <w:rFonts w:ascii="Garamond" w:hAnsi="Garamond"/>
          <w:sz w:val="24"/>
          <w:szCs w:val="24"/>
        </w:rPr>
        <w:t>s</w:t>
      </w:r>
      <w:r w:rsidRPr="00270BA8">
        <w:rPr>
          <w:rFonts w:ascii="Garamond" w:hAnsi="Garamond"/>
          <w:sz w:val="24"/>
          <w:szCs w:val="24"/>
        </w:rPr>
        <w:t xml:space="preserve">ation and measurement’, </w:t>
      </w:r>
      <w:r w:rsidRPr="00270BA8">
        <w:rPr>
          <w:rFonts w:ascii="Garamond" w:hAnsi="Garamond"/>
          <w:i/>
          <w:iCs/>
          <w:sz w:val="24"/>
          <w:szCs w:val="24"/>
        </w:rPr>
        <w:t>R&amp;D Management</w:t>
      </w:r>
      <w:r w:rsidRPr="00270BA8">
        <w:rPr>
          <w:rFonts w:ascii="Garamond" w:hAnsi="Garamond"/>
          <w:sz w:val="24"/>
          <w:szCs w:val="24"/>
        </w:rPr>
        <w:t>, 46(4), pp. 797–811. Available at: https://doi.org/10.1111/radm.12147.</w:t>
      </w:r>
    </w:p>
    <w:p w14:paraId="6303FE94"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Jiménez</w:t>
      </w:r>
      <w:r w:rsidRPr="00270BA8">
        <w:rPr>
          <w:rFonts w:ascii="Cambria Math" w:hAnsi="Cambria Math" w:cs="Cambria Math"/>
          <w:sz w:val="24"/>
          <w:szCs w:val="24"/>
        </w:rPr>
        <w:t>‐</w:t>
      </w:r>
      <w:r w:rsidRPr="00270BA8">
        <w:rPr>
          <w:rFonts w:ascii="Garamond" w:hAnsi="Garamond"/>
          <w:sz w:val="24"/>
          <w:szCs w:val="24"/>
        </w:rPr>
        <w:t>Jim</w:t>
      </w:r>
      <w:r w:rsidRPr="00270BA8">
        <w:rPr>
          <w:rFonts w:ascii="Garamond" w:hAnsi="Garamond" w:cs="Garamond"/>
          <w:sz w:val="24"/>
          <w:szCs w:val="24"/>
        </w:rPr>
        <w:t>é</w:t>
      </w:r>
      <w:r w:rsidRPr="00270BA8">
        <w:rPr>
          <w:rFonts w:ascii="Garamond" w:hAnsi="Garamond"/>
          <w:sz w:val="24"/>
          <w:szCs w:val="24"/>
        </w:rPr>
        <w:t>nez, D. and Sanz</w:t>
      </w:r>
      <w:r w:rsidRPr="00270BA8">
        <w:rPr>
          <w:rFonts w:ascii="Cambria Math" w:hAnsi="Cambria Math" w:cs="Cambria Math"/>
          <w:sz w:val="24"/>
          <w:szCs w:val="24"/>
        </w:rPr>
        <w:t>‐</w:t>
      </w:r>
      <w:r w:rsidRPr="00270BA8">
        <w:rPr>
          <w:rFonts w:ascii="Garamond" w:hAnsi="Garamond"/>
          <w:sz w:val="24"/>
          <w:szCs w:val="24"/>
        </w:rPr>
        <w:t xml:space="preserve">Valle, R. (2005) </w:t>
      </w:r>
      <w:r w:rsidRPr="00270BA8">
        <w:rPr>
          <w:rFonts w:ascii="Garamond" w:hAnsi="Garamond" w:cs="Garamond"/>
          <w:sz w:val="24"/>
          <w:szCs w:val="24"/>
        </w:rPr>
        <w:t>‘</w:t>
      </w:r>
      <w:r w:rsidRPr="00270BA8">
        <w:rPr>
          <w:rFonts w:ascii="Garamond" w:hAnsi="Garamond"/>
          <w:sz w:val="24"/>
          <w:szCs w:val="24"/>
        </w:rPr>
        <w:t>Innovation and human resource management fit: an empirical study</w:t>
      </w:r>
      <w:r w:rsidRPr="00270BA8">
        <w:rPr>
          <w:rFonts w:ascii="Garamond" w:hAnsi="Garamond" w:cs="Garamond"/>
          <w:sz w:val="24"/>
          <w:szCs w:val="24"/>
        </w:rPr>
        <w:t>’</w:t>
      </w:r>
      <w:r w:rsidRPr="00270BA8">
        <w:rPr>
          <w:rFonts w:ascii="Garamond" w:hAnsi="Garamond"/>
          <w:sz w:val="24"/>
          <w:szCs w:val="24"/>
        </w:rPr>
        <w:t xml:space="preserve">, </w:t>
      </w:r>
      <w:r w:rsidRPr="00270BA8">
        <w:rPr>
          <w:rFonts w:ascii="Garamond" w:hAnsi="Garamond"/>
          <w:i/>
          <w:iCs/>
          <w:sz w:val="24"/>
          <w:szCs w:val="24"/>
        </w:rPr>
        <w:t>International Journal of Manpower</w:t>
      </w:r>
      <w:r w:rsidRPr="00270BA8">
        <w:rPr>
          <w:rFonts w:ascii="Garamond" w:hAnsi="Garamond"/>
          <w:sz w:val="24"/>
          <w:szCs w:val="24"/>
        </w:rPr>
        <w:t>, 26(4), pp. 364–381. Available at: https://doi.org/10.1108/01437720510609555.</w:t>
      </w:r>
    </w:p>
    <w:p w14:paraId="2B4A6390"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de Jong, J.P.J. and Den Hartog, D.N. (2007) ‘How leaders influence employees’ innovative behaviour’, </w:t>
      </w:r>
      <w:r w:rsidRPr="00270BA8">
        <w:rPr>
          <w:rFonts w:ascii="Garamond" w:hAnsi="Garamond"/>
          <w:i/>
          <w:iCs/>
          <w:sz w:val="24"/>
          <w:szCs w:val="24"/>
        </w:rPr>
        <w:t>European Journal of Innovation Management</w:t>
      </w:r>
      <w:r w:rsidRPr="00270BA8">
        <w:rPr>
          <w:rFonts w:ascii="Garamond" w:hAnsi="Garamond"/>
          <w:sz w:val="24"/>
          <w:szCs w:val="24"/>
        </w:rPr>
        <w:t>, 10(1), pp. 41–64. Available at: https://doi.org/10.1108/14601060710720546.</w:t>
      </w:r>
    </w:p>
    <w:p w14:paraId="5FDA5617"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Kamaşak, R. and Bulutlar, F. (2010) ‘The influence of knowledge sharing on innovation’, </w:t>
      </w:r>
      <w:r w:rsidRPr="00270BA8">
        <w:rPr>
          <w:rFonts w:ascii="Garamond" w:hAnsi="Garamond"/>
          <w:i/>
          <w:iCs/>
          <w:sz w:val="24"/>
          <w:szCs w:val="24"/>
        </w:rPr>
        <w:t>European Business Review</w:t>
      </w:r>
      <w:r w:rsidRPr="00270BA8">
        <w:rPr>
          <w:rFonts w:ascii="Garamond" w:hAnsi="Garamond"/>
          <w:sz w:val="24"/>
          <w:szCs w:val="24"/>
        </w:rPr>
        <w:t>, 22(3), pp. 306–317. Available at: https://doi.org/10.1108/09555341011040994.</w:t>
      </w:r>
    </w:p>
    <w:p w14:paraId="562594D5"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Kehoe, R.R. and Wright, P.M. (2013) ‘The Impact of High-Performance Human Resource Practices on Employees’ Attitudes and Behaviors’, </w:t>
      </w:r>
      <w:r w:rsidRPr="00270BA8">
        <w:rPr>
          <w:rFonts w:ascii="Garamond" w:hAnsi="Garamond"/>
          <w:i/>
          <w:iCs/>
          <w:sz w:val="24"/>
          <w:szCs w:val="24"/>
        </w:rPr>
        <w:t>Journal of Management</w:t>
      </w:r>
      <w:r w:rsidRPr="00270BA8">
        <w:rPr>
          <w:rFonts w:ascii="Garamond" w:hAnsi="Garamond"/>
          <w:sz w:val="24"/>
          <w:szCs w:val="24"/>
        </w:rPr>
        <w:t>, 39(2), pp. 366–391. Available at: https://doi.org/10.1177/0149206310365901.</w:t>
      </w:r>
    </w:p>
    <w:p w14:paraId="7ACB9F78"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Kianto, A., Sáenz, J. and Aramburu, N. (2017) ‘Knowledge-based human resource management practices, intellectual capital and innovation’, </w:t>
      </w:r>
      <w:r w:rsidRPr="00270BA8">
        <w:rPr>
          <w:rFonts w:ascii="Garamond" w:hAnsi="Garamond"/>
          <w:i/>
          <w:iCs/>
          <w:sz w:val="24"/>
          <w:szCs w:val="24"/>
        </w:rPr>
        <w:t>Journal of Business Research</w:t>
      </w:r>
      <w:r w:rsidRPr="00270BA8">
        <w:rPr>
          <w:rFonts w:ascii="Garamond" w:hAnsi="Garamond"/>
          <w:sz w:val="24"/>
          <w:szCs w:val="24"/>
        </w:rPr>
        <w:t>, 81, pp. 11–20. Available at: https://doi.org/10.1016/j.jbusres.2017.07.018.</w:t>
      </w:r>
    </w:p>
    <w:p w14:paraId="70B1B49A" w14:textId="02DB0DD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Kleysen, R.F. and Street, C</w:t>
      </w:r>
      <w:r>
        <w:rPr>
          <w:rFonts w:ascii="Garamond" w:hAnsi="Garamond"/>
          <w:sz w:val="24"/>
          <w:szCs w:val="24"/>
        </w:rPr>
        <w:t>T</w:t>
      </w:r>
      <w:r w:rsidRPr="00270BA8">
        <w:rPr>
          <w:rFonts w:ascii="Garamond" w:hAnsi="Garamond"/>
          <w:sz w:val="24"/>
          <w:szCs w:val="24"/>
        </w:rPr>
        <w:t xml:space="preserve"> (2001) ‘Toward a multi</w:t>
      </w:r>
      <w:r w:rsidRPr="00270BA8">
        <w:rPr>
          <w:rFonts w:ascii="Cambria Math" w:hAnsi="Cambria Math" w:cs="Cambria Math"/>
          <w:sz w:val="24"/>
          <w:szCs w:val="24"/>
        </w:rPr>
        <w:t>‐</w:t>
      </w:r>
      <w:r w:rsidRPr="00270BA8">
        <w:rPr>
          <w:rFonts w:ascii="Garamond" w:hAnsi="Garamond"/>
          <w:sz w:val="24"/>
          <w:szCs w:val="24"/>
        </w:rPr>
        <w:t>dimensional measure of individual innovative behavior</w:t>
      </w:r>
      <w:r w:rsidRPr="00270BA8">
        <w:rPr>
          <w:rFonts w:ascii="Garamond" w:hAnsi="Garamond" w:cs="Garamond"/>
          <w:sz w:val="24"/>
          <w:szCs w:val="24"/>
        </w:rPr>
        <w:t>’</w:t>
      </w:r>
      <w:r w:rsidRPr="00270BA8">
        <w:rPr>
          <w:rFonts w:ascii="Garamond" w:hAnsi="Garamond"/>
          <w:sz w:val="24"/>
          <w:szCs w:val="24"/>
        </w:rPr>
        <w:t xml:space="preserve">, </w:t>
      </w:r>
      <w:r w:rsidRPr="00270BA8">
        <w:rPr>
          <w:rFonts w:ascii="Garamond" w:hAnsi="Garamond"/>
          <w:i/>
          <w:iCs/>
          <w:sz w:val="24"/>
          <w:szCs w:val="24"/>
        </w:rPr>
        <w:t>Journal of Intellectual Capital</w:t>
      </w:r>
      <w:r w:rsidRPr="00270BA8">
        <w:rPr>
          <w:rFonts w:ascii="Garamond" w:hAnsi="Garamond"/>
          <w:sz w:val="24"/>
          <w:szCs w:val="24"/>
        </w:rPr>
        <w:t>, 2(3), pp. 284–296. Available at: https://doi.org/10.1108/EUM0000000005660.</w:t>
      </w:r>
    </w:p>
    <w:p w14:paraId="6C6A7B71"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lastRenderedPageBreak/>
        <w:t xml:space="preserve">Kmieciak, R. (2021) ‘Trust, knowledge sharing, and innovative work behavior: empirical evidence from Poland’, </w:t>
      </w:r>
      <w:r w:rsidRPr="00270BA8">
        <w:rPr>
          <w:rFonts w:ascii="Garamond" w:hAnsi="Garamond"/>
          <w:i/>
          <w:iCs/>
          <w:sz w:val="24"/>
          <w:szCs w:val="24"/>
        </w:rPr>
        <w:t>European Journal of Innovation Management</w:t>
      </w:r>
      <w:r w:rsidRPr="00270BA8">
        <w:rPr>
          <w:rFonts w:ascii="Garamond" w:hAnsi="Garamond"/>
          <w:sz w:val="24"/>
          <w:szCs w:val="24"/>
        </w:rPr>
        <w:t>, 24(5), pp. 1832–1859.</w:t>
      </w:r>
    </w:p>
    <w:p w14:paraId="4C0E95DC"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Kremer, H., Villamor, I. and Aguinis, H. (2019) ‘Innovation leadership: Best-practice recommendations for promoting employee creativity, voice, and knowledge sharing’, </w:t>
      </w:r>
      <w:r w:rsidRPr="00270BA8">
        <w:rPr>
          <w:rFonts w:ascii="Garamond" w:hAnsi="Garamond"/>
          <w:i/>
          <w:iCs/>
          <w:sz w:val="24"/>
          <w:szCs w:val="24"/>
        </w:rPr>
        <w:t>Business Horizons</w:t>
      </w:r>
      <w:r w:rsidRPr="00270BA8">
        <w:rPr>
          <w:rFonts w:ascii="Garamond" w:hAnsi="Garamond"/>
          <w:sz w:val="24"/>
          <w:szCs w:val="24"/>
        </w:rPr>
        <w:t>, 62(1), pp. 65–74. Available at: https://doi.org/10.1016/j.bushor.2018.08.010.</w:t>
      </w:r>
    </w:p>
    <w:p w14:paraId="669803D8"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Kwon, K. and Kim, T. (2020) ‘An integrative literature review of employee engagement and innovative behavior: Revisiting the JD-R model’, </w:t>
      </w:r>
      <w:r w:rsidRPr="00270BA8">
        <w:rPr>
          <w:rFonts w:ascii="Garamond" w:hAnsi="Garamond"/>
          <w:i/>
          <w:iCs/>
          <w:sz w:val="24"/>
          <w:szCs w:val="24"/>
        </w:rPr>
        <w:t>Human Resource Management Review</w:t>
      </w:r>
      <w:r w:rsidRPr="00270BA8">
        <w:rPr>
          <w:rFonts w:ascii="Garamond" w:hAnsi="Garamond"/>
          <w:sz w:val="24"/>
          <w:szCs w:val="24"/>
        </w:rPr>
        <w:t>, 30(2), p. 100704. Available at: https://doi.org/10.1016/j.hrmr.2019.100704.</w:t>
      </w:r>
    </w:p>
    <w:p w14:paraId="70D85706"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Lasisi, T.T. </w:t>
      </w:r>
      <w:r w:rsidRPr="00270BA8">
        <w:rPr>
          <w:rFonts w:ascii="Garamond" w:hAnsi="Garamond"/>
          <w:i/>
          <w:iCs/>
          <w:sz w:val="24"/>
          <w:szCs w:val="24"/>
        </w:rPr>
        <w:t>et al.</w:t>
      </w:r>
      <w:r w:rsidRPr="00270BA8">
        <w:rPr>
          <w:rFonts w:ascii="Garamond" w:hAnsi="Garamond"/>
          <w:sz w:val="24"/>
          <w:szCs w:val="24"/>
        </w:rPr>
        <w:t xml:space="preserve"> (2020) ‘Explicating innovation-based human resource management’s influence on employee satisfaction and performance’, </w:t>
      </w:r>
      <w:r w:rsidRPr="00270BA8">
        <w:rPr>
          <w:rFonts w:ascii="Garamond" w:hAnsi="Garamond"/>
          <w:i/>
          <w:iCs/>
          <w:sz w:val="24"/>
          <w:szCs w:val="24"/>
        </w:rPr>
        <w:t>Employee Relations: The International Journal</w:t>
      </w:r>
      <w:r w:rsidRPr="00270BA8">
        <w:rPr>
          <w:rFonts w:ascii="Garamond" w:hAnsi="Garamond"/>
          <w:sz w:val="24"/>
          <w:szCs w:val="24"/>
        </w:rPr>
        <w:t>, 42(6), pp. 1181–1203.</w:t>
      </w:r>
    </w:p>
    <w:p w14:paraId="368F6E0D"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Le, P.B. and Nguyen, D.T.N. (2023) ‘Stimulating knowledge-sharing behaviours through ethical leadership and employee trust in leadership: the moderating role of distributive justice’, </w:t>
      </w:r>
      <w:r w:rsidRPr="00270BA8">
        <w:rPr>
          <w:rFonts w:ascii="Garamond" w:hAnsi="Garamond"/>
          <w:i/>
          <w:iCs/>
          <w:sz w:val="24"/>
          <w:szCs w:val="24"/>
        </w:rPr>
        <w:t>Journal of Knowledge Management</w:t>
      </w:r>
      <w:r w:rsidRPr="00270BA8">
        <w:rPr>
          <w:rFonts w:ascii="Garamond" w:hAnsi="Garamond"/>
          <w:sz w:val="24"/>
          <w:szCs w:val="24"/>
        </w:rPr>
        <w:t>, 27(3), pp. 820–841.</w:t>
      </w:r>
    </w:p>
    <w:p w14:paraId="377DBFB7"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Li, H., Chen, T. and Cao, G. (2017) ‘How high-commitment work systems enhance employee creativity: A mediated moderation model’, </w:t>
      </w:r>
      <w:r w:rsidRPr="00270BA8">
        <w:rPr>
          <w:rFonts w:ascii="Garamond" w:hAnsi="Garamond"/>
          <w:i/>
          <w:iCs/>
          <w:sz w:val="24"/>
          <w:szCs w:val="24"/>
        </w:rPr>
        <w:t>Social Behavior and Personality: an international journal</w:t>
      </w:r>
      <w:r w:rsidRPr="00270BA8">
        <w:rPr>
          <w:rFonts w:ascii="Garamond" w:hAnsi="Garamond"/>
          <w:sz w:val="24"/>
          <w:szCs w:val="24"/>
        </w:rPr>
        <w:t>, 45(9), pp. 1437–1450. Available at: https://doi.org/10.2224/sbp.6514.</w:t>
      </w:r>
    </w:p>
    <w:p w14:paraId="6E30A4E5"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Lin, S.-W. and Lo, L.Y.-S. (2015) ‘Mechanisms to motivate knowledge sharing: integrating the reward systems and social network perspectives’, </w:t>
      </w:r>
      <w:r w:rsidRPr="00270BA8">
        <w:rPr>
          <w:rFonts w:ascii="Garamond" w:hAnsi="Garamond"/>
          <w:i/>
          <w:iCs/>
          <w:sz w:val="24"/>
          <w:szCs w:val="24"/>
        </w:rPr>
        <w:t>Journal of Knowledge Management</w:t>
      </w:r>
      <w:r w:rsidRPr="00270BA8">
        <w:rPr>
          <w:rFonts w:ascii="Garamond" w:hAnsi="Garamond"/>
          <w:sz w:val="24"/>
          <w:szCs w:val="24"/>
        </w:rPr>
        <w:t>, 19(2), pp. 212–235. Available at: https://doi.org/10.1108/JKM-05-2014-0209.</w:t>
      </w:r>
    </w:p>
    <w:p w14:paraId="5B32E817"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Lukes, M. and Stephan, U. (2017) ‘Measuring employee innovation: A review of existing scales and the development of the innovative behavior and innovation support inventories across cultures’, </w:t>
      </w:r>
      <w:r w:rsidRPr="00270BA8">
        <w:rPr>
          <w:rFonts w:ascii="Garamond" w:hAnsi="Garamond"/>
          <w:i/>
          <w:iCs/>
          <w:sz w:val="24"/>
          <w:szCs w:val="24"/>
        </w:rPr>
        <w:t>International Journal of Entrepreneurial Behavior &amp; Research</w:t>
      </w:r>
      <w:r w:rsidRPr="00270BA8">
        <w:rPr>
          <w:rFonts w:ascii="Garamond" w:hAnsi="Garamond"/>
          <w:sz w:val="24"/>
          <w:szCs w:val="24"/>
        </w:rPr>
        <w:t>, 23(1), pp. 136–158.</w:t>
      </w:r>
    </w:p>
    <w:p w14:paraId="4AFEA0C8" w14:textId="4D9F48CE"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Musen, M</w:t>
      </w:r>
      <w:r>
        <w:rPr>
          <w:rFonts w:ascii="Garamond" w:hAnsi="Garamond"/>
          <w:sz w:val="24"/>
          <w:szCs w:val="24"/>
        </w:rPr>
        <w:t>A</w:t>
      </w:r>
      <w:r w:rsidRPr="00270BA8">
        <w:rPr>
          <w:rFonts w:ascii="Garamond" w:hAnsi="Garamond"/>
          <w:sz w:val="24"/>
          <w:szCs w:val="24"/>
        </w:rPr>
        <w:t xml:space="preserve"> (1992) ‘Dimensions of knowledge sharing and reuse’, </w:t>
      </w:r>
      <w:r w:rsidRPr="00270BA8">
        <w:rPr>
          <w:rFonts w:ascii="Garamond" w:hAnsi="Garamond"/>
          <w:i/>
          <w:iCs/>
          <w:sz w:val="24"/>
          <w:szCs w:val="24"/>
        </w:rPr>
        <w:t>Computers and Biomedical Research</w:t>
      </w:r>
      <w:r w:rsidRPr="00270BA8">
        <w:rPr>
          <w:rFonts w:ascii="Garamond" w:hAnsi="Garamond"/>
          <w:sz w:val="24"/>
          <w:szCs w:val="24"/>
        </w:rPr>
        <w:t>, 25(5), pp. 435–467. Available at: https://doi.org/10.1016/0010-4809(92)90003-S.</w:t>
      </w:r>
    </w:p>
    <w:p w14:paraId="256AFE1C"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lastRenderedPageBreak/>
        <w:t xml:space="preserve">Nasifoglu Elidemir, S., Ozturen, A. and Bayighomog, S.W. (2020) ‘Innovative behaviors, employee creativity, and sustainable competitive advantage: A moderated mediation’, </w:t>
      </w:r>
      <w:r w:rsidRPr="00270BA8">
        <w:rPr>
          <w:rFonts w:ascii="Garamond" w:hAnsi="Garamond"/>
          <w:i/>
          <w:iCs/>
          <w:sz w:val="24"/>
          <w:szCs w:val="24"/>
        </w:rPr>
        <w:t>Sustainability</w:t>
      </w:r>
      <w:r w:rsidRPr="00270BA8">
        <w:rPr>
          <w:rFonts w:ascii="Garamond" w:hAnsi="Garamond"/>
          <w:sz w:val="24"/>
          <w:szCs w:val="24"/>
        </w:rPr>
        <w:t>, 12(8), p. 3295.</w:t>
      </w:r>
    </w:p>
    <w:p w14:paraId="14A34FC4" w14:textId="5F45B638"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Nazir, S. </w:t>
      </w:r>
      <w:r w:rsidRPr="00270BA8">
        <w:rPr>
          <w:rFonts w:ascii="Garamond" w:hAnsi="Garamond"/>
          <w:i/>
          <w:iCs/>
          <w:sz w:val="24"/>
          <w:szCs w:val="24"/>
        </w:rPr>
        <w:t>et al.</w:t>
      </w:r>
      <w:r w:rsidRPr="00270BA8">
        <w:rPr>
          <w:rFonts w:ascii="Garamond" w:hAnsi="Garamond"/>
          <w:sz w:val="24"/>
          <w:szCs w:val="24"/>
        </w:rPr>
        <w:t xml:space="preserve"> (2019) ‘How organi</w:t>
      </w:r>
      <w:r>
        <w:rPr>
          <w:rFonts w:ascii="Garamond" w:hAnsi="Garamond"/>
          <w:sz w:val="24"/>
          <w:szCs w:val="24"/>
        </w:rPr>
        <w:t>s</w:t>
      </w:r>
      <w:r w:rsidRPr="00270BA8">
        <w:rPr>
          <w:rFonts w:ascii="Garamond" w:hAnsi="Garamond"/>
          <w:sz w:val="24"/>
          <w:szCs w:val="24"/>
        </w:rPr>
        <w:t>ation justice and perceived organi</w:t>
      </w:r>
      <w:r>
        <w:rPr>
          <w:rFonts w:ascii="Garamond" w:hAnsi="Garamond"/>
          <w:sz w:val="24"/>
          <w:szCs w:val="24"/>
        </w:rPr>
        <w:t>s</w:t>
      </w:r>
      <w:r w:rsidRPr="00270BA8">
        <w:rPr>
          <w:rFonts w:ascii="Garamond" w:hAnsi="Garamond"/>
          <w:sz w:val="24"/>
          <w:szCs w:val="24"/>
        </w:rPr>
        <w:t xml:space="preserve">ational support facilitate employees’ innovative behavior at work’, </w:t>
      </w:r>
      <w:r w:rsidRPr="00270BA8">
        <w:rPr>
          <w:rFonts w:ascii="Garamond" w:hAnsi="Garamond"/>
          <w:i/>
          <w:iCs/>
          <w:sz w:val="24"/>
          <w:szCs w:val="24"/>
        </w:rPr>
        <w:t>Employee Relations: The International Journal</w:t>
      </w:r>
      <w:r w:rsidRPr="00270BA8">
        <w:rPr>
          <w:rFonts w:ascii="Garamond" w:hAnsi="Garamond"/>
          <w:sz w:val="24"/>
          <w:szCs w:val="24"/>
        </w:rPr>
        <w:t>, 41(6), pp. 1288–1311.</w:t>
      </w:r>
    </w:p>
    <w:p w14:paraId="5837D2A4" w14:textId="77777777" w:rsidR="00270BA8" w:rsidRPr="00270BA8" w:rsidRDefault="00270BA8" w:rsidP="00270BA8">
      <w:pPr>
        <w:pStyle w:val="afb"/>
        <w:spacing w:before="120" w:after="360" w:line="360" w:lineRule="auto"/>
        <w:rPr>
          <w:rFonts w:ascii="Garamond" w:hAnsi="Garamond"/>
          <w:sz w:val="24"/>
          <w:szCs w:val="24"/>
          <w:lang w:val="fr-FR"/>
        </w:rPr>
      </w:pPr>
      <w:r w:rsidRPr="00270BA8">
        <w:rPr>
          <w:rFonts w:ascii="Garamond" w:hAnsi="Garamond"/>
          <w:sz w:val="24"/>
          <w:szCs w:val="24"/>
        </w:rPr>
        <w:t xml:space="preserve">Ostroff, C. and Bowen, D.E. (2016) ‘Reflections on the 2014 Decade Award: Is There Strength in the Construct of HR System Strength?’, </w:t>
      </w:r>
      <w:r w:rsidRPr="00270BA8">
        <w:rPr>
          <w:rFonts w:ascii="Garamond" w:hAnsi="Garamond"/>
          <w:i/>
          <w:iCs/>
          <w:sz w:val="24"/>
          <w:szCs w:val="24"/>
        </w:rPr>
        <w:t>Academy of Management Review</w:t>
      </w:r>
      <w:r w:rsidRPr="00270BA8">
        <w:rPr>
          <w:rFonts w:ascii="Garamond" w:hAnsi="Garamond"/>
          <w:sz w:val="24"/>
          <w:szCs w:val="24"/>
        </w:rPr>
        <w:t xml:space="preserve">, 41(2), pp. 196–214. </w:t>
      </w:r>
      <w:r w:rsidRPr="00270BA8">
        <w:rPr>
          <w:rFonts w:ascii="Garamond" w:hAnsi="Garamond"/>
          <w:sz w:val="24"/>
          <w:szCs w:val="24"/>
          <w:lang w:val="fr-FR"/>
        </w:rPr>
        <w:t>Available at: https://doi.org/10.5465/amr.2015.0323.</w:t>
      </w:r>
    </w:p>
    <w:p w14:paraId="7098BF8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Papa, A.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 xml:space="preserve">(2020) ‘Improving innovation performance through knowledge acquisition: the moderating role of employee retention and human resource management practices’, </w:t>
      </w:r>
      <w:r w:rsidRPr="00270BA8">
        <w:rPr>
          <w:rFonts w:ascii="Garamond" w:hAnsi="Garamond"/>
          <w:i/>
          <w:iCs/>
          <w:sz w:val="24"/>
          <w:szCs w:val="24"/>
        </w:rPr>
        <w:t>Journal of Knowledge Management</w:t>
      </w:r>
      <w:r w:rsidRPr="00270BA8">
        <w:rPr>
          <w:rFonts w:ascii="Garamond" w:hAnsi="Garamond"/>
          <w:sz w:val="24"/>
          <w:szCs w:val="24"/>
        </w:rPr>
        <w:t>, 24(3), pp. 589–605.</w:t>
      </w:r>
    </w:p>
    <w:p w14:paraId="2EF7C794"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Park, O., Bae, J. and Hong, W. (2019) ‘High-commitment HRM system, HR capability, and ambidextrous technological innovation’, </w:t>
      </w:r>
      <w:r w:rsidRPr="00270BA8">
        <w:rPr>
          <w:rFonts w:ascii="Garamond" w:hAnsi="Garamond"/>
          <w:i/>
          <w:iCs/>
          <w:sz w:val="24"/>
          <w:szCs w:val="24"/>
        </w:rPr>
        <w:t>The International Journal of Human Resource Management</w:t>
      </w:r>
      <w:r w:rsidRPr="00270BA8">
        <w:rPr>
          <w:rFonts w:ascii="Garamond" w:hAnsi="Garamond"/>
          <w:sz w:val="24"/>
          <w:szCs w:val="24"/>
        </w:rPr>
        <w:t>, 30(9), pp. 1526–1548.</w:t>
      </w:r>
    </w:p>
    <w:p w14:paraId="72B03B39" w14:textId="77777777" w:rsidR="00270BA8" w:rsidRPr="00270BA8" w:rsidRDefault="00270BA8" w:rsidP="00270BA8">
      <w:pPr>
        <w:pStyle w:val="afb"/>
        <w:spacing w:before="120" w:after="360" w:line="360" w:lineRule="auto"/>
        <w:rPr>
          <w:rFonts w:ascii="Garamond" w:hAnsi="Garamond"/>
          <w:sz w:val="24"/>
          <w:szCs w:val="24"/>
          <w:lang w:val="fr-FR"/>
        </w:rPr>
      </w:pPr>
      <w:r w:rsidRPr="00270BA8">
        <w:rPr>
          <w:rFonts w:ascii="Garamond" w:hAnsi="Garamond"/>
          <w:sz w:val="24"/>
          <w:szCs w:val="24"/>
        </w:rPr>
        <w:t xml:space="preserve">Purwanto, A. </w:t>
      </w:r>
      <w:r w:rsidRPr="00270BA8">
        <w:rPr>
          <w:rFonts w:ascii="Garamond" w:hAnsi="Garamond"/>
          <w:i/>
          <w:iCs/>
          <w:sz w:val="24"/>
          <w:szCs w:val="24"/>
        </w:rPr>
        <w:t>et al.</w:t>
      </w:r>
      <w:r w:rsidRPr="00270BA8">
        <w:rPr>
          <w:rFonts w:ascii="Garamond" w:hAnsi="Garamond"/>
          <w:sz w:val="24"/>
          <w:szCs w:val="24"/>
        </w:rPr>
        <w:t xml:space="preserve"> (2021) ‘Effect of Psychological Capital and Authentic Leadership on Innovation Work Behavior’, </w:t>
      </w:r>
      <w:r w:rsidRPr="00270BA8">
        <w:rPr>
          <w:rFonts w:ascii="Garamond" w:hAnsi="Garamond"/>
          <w:i/>
          <w:iCs/>
          <w:sz w:val="24"/>
          <w:szCs w:val="24"/>
        </w:rPr>
        <w:t>International Journal of Social and Management Studies</w:t>
      </w:r>
      <w:r w:rsidRPr="00270BA8">
        <w:rPr>
          <w:rFonts w:ascii="Garamond" w:hAnsi="Garamond"/>
          <w:sz w:val="24"/>
          <w:szCs w:val="24"/>
        </w:rPr>
        <w:t xml:space="preserve">, 2(1), pp. 1–13. </w:t>
      </w:r>
      <w:r w:rsidRPr="00270BA8">
        <w:rPr>
          <w:rFonts w:ascii="Garamond" w:hAnsi="Garamond"/>
          <w:sz w:val="24"/>
          <w:szCs w:val="24"/>
          <w:lang w:val="fr-FR"/>
        </w:rPr>
        <w:t>Available at: https://doi.org/10.5555/ijosmas.v2i1.4.</w:t>
      </w:r>
    </w:p>
    <w:p w14:paraId="6DDCFE54" w14:textId="2A9A4BE8"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Rabenu, E.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(2018) ‘HR strength as a mediator or a moderator in the relationship between HR practices and organi</w:t>
      </w:r>
      <w:r>
        <w:rPr>
          <w:rFonts w:ascii="Garamond" w:hAnsi="Garamond"/>
          <w:sz w:val="24"/>
          <w:szCs w:val="24"/>
        </w:rPr>
        <w:t>s</w:t>
      </w:r>
      <w:r w:rsidRPr="00270BA8">
        <w:rPr>
          <w:rFonts w:ascii="Garamond" w:hAnsi="Garamond"/>
          <w:sz w:val="24"/>
          <w:szCs w:val="24"/>
        </w:rPr>
        <w:t xml:space="preserve">ational innovation? The Romanian study’, </w:t>
      </w:r>
      <w:r w:rsidRPr="00270BA8">
        <w:rPr>
          <w:rFonts w:ascii="Garamond" w:hAnsi="Garamond"/>
          <w:i/>
          <w:iCs/>
          <w:sz w:val="24"/>
          <w:szCs w:val="24"/>
        </w:rPr>
        <w:t>Journal of East European Management Studies</w:t>
      </w:r>
      <w:r w:rsidRPr="00270BA8">
        <w:rPr>
          <w:rFonts w:ascii="Garamond" w:hAnsi="Garamond"/>
          <w:sz w:val="24"/>
          <w:szCs w:val="24"/>
        </w:rPr>
        <w:t>, 23(2), pp. 203–233.</w:t>
      </w:r>
    </w:p>
    <w:p w14:paraId="5215C9D6"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Riege, A. and O’keeffe, M. (2007) ‘Intra-organisational knowledge drivers in the inpd process: the case of wattyl limited’, </w:t>
      </w:r>
      <w:r w:rsidRPr="00270BA8">
        <w:rPr>
          <w:rFonts w:ascii="Garamond" w:hAnsi="Garamond"/>
          <w:i/>
          <w:iCs/>
          <w:sz w:val="24"/>
          <w:szCs w:val="24"/>
        </w:rPr>
        <w:t>International Journal of Innovation Management</w:t>
      </w:r>
      <w:r w:rsidRPr="00270BA8">
        <w:rPr>
          <w:rFonts w:ascii="Garamond" w:hAnsi="Garamond"/>
          <w:sz w:val="24"/>
          <w:szCs w:val="24"/>
        </w:rPr>
        <w:t>, 11(03), pp. 349–378. Available at: https://doi.org/10.1142/S1363919607001783.</w:t>
      </w:r>
    </w:p>
    <w:p w14:paraId="28ECF12F" w14:textId="27BFF00F"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Rosenblatt, M. (2011) ‘The use of innovation awards in the public sector: Individual and organi</w:t>
      </w:r>
      <w:r>
        <w:rPr>
          <w:rFonts w:ascii="Garamond" w:hAnsi="Garamond"/>
          <w:sz w:val="24"/>
          <w:szCs w:val="24"/>
        </w:rPr>
        <w:t>s</w:t>
      </w:r>
      <w:r w:rsidRPr="00270BA8">
        <w:rPr>
          <w:rFonts w:ascii="Garamond" w:hAnsi="Garamond"/>
          <w:sz w:val="24"/>
          <w:szCs w:val="24"/>
        </w:rPr>
        <w:t xml:space="preserve">ational perspectives’, </w:t>
      </w:r>
      <w:r>
        <w:rPr>
          <w:rFonts w:ascii="Garamond" w:hAnsi="Garamond"/>
          <w:i/>
          <w:iCs/>
          <w:sz w:val="24"/>
          <w:szCs w:val="24"/>
        </w:rPr>
        <w:t>i</w:t>
      </w:r>
      <w:r w:rsidRPr="00270BA8">
        <w:rPr>
          <w:rFonts w:ascii="Garamond" w:hAnsi="Garamond"/>
          <w:i/>
          <w:iCs/>
          <w:sz w:val="24"/>
          <w:szCs w:val="24"/>
        </w:rPr>
        <w:t>nnovation</w:t>
      </w:r>
      <w:r w:rsidRPr="00270BA8">
        <w:rPr>
          <w:rFonts w:ascii="Garamond" w:hAnsi="Garamond"/>
          <w:sz w:val="24"/>
          <w:szCs w:val="24"/>
        </w:rPr>
        <w:t>, 13(2), pp. 207–219. Available at: https://doi.org/10.5172/impp.2011.13.2.207.</w:t>
      </w:r>
    </w:p>
    <w:p w14:paraId="24ED54C5"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lastRenderedPageBreak/>
        <w:t xml:space="preserve">Ruijuan, Y., Jiale, S. and Chengli, S. (2021) ‘How to Motivate Engineering and Technical Personnel to Innovate? The Impact of Human Resource Management Strength on Employee Innovation Behavior’, in. </w:t>
      </w:r>
      <w:r w:rsidRPr="00270BA8">
        <w:rPr>
          <w:rFonts w:ascii="Garamond" w:hAnsi="Garamond"/>
          <w:i/>
          <w:iCs/>
          <w:sz w:val="24"/>
          <w:szCs w:val="24"/>
        </w:rPr>
        <w:t>E3S Web of Conferences</w:t>
      </w:r>
      <w:r w:rsidRPr="00270BA8">
        <w:rPr>
          <w:rFonts w:ascii="Garamond" w:hAnsi="Garamond"/>
          <w:sz w:val="24"/>
          <w:szCs w:val="24"/>
        </w:rPr>
        <w:t>, EDP Sciences, p. 02087.</w:t>
      </w:r>
    </w:p>
    <w:p w14:paraId="3FD9C1FD"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Sanders, K., Bednall, T.C. and Yang, H. (2021) ‘HR strength: past, current and future research’, in </w:t>
      </w:r>
      <w:r w:rsidRPr="00270BA8">
        <w:rPr>
          <w:rFonts w:ascii="Garamond" w:hAnsi="Garamond"/>
          <w:i/>
          <w:iCs/>
          <w:sz w:val="24"/>
          <w:szCs w:val="24"/>
        </w:rPr>
        <w:t>Handbook on HR Process Research</w:t>
      </w:r>
      <w:r w:rsidRPr="00270BA8">
        <w:rPr>
          <w:rFonts w:ascii="Garamond" w:hAnsi="Garamond"/>
          <w:sz w:val="24"/>
          <w:szCs w:val="24"/>
        </w:rPr>
        <w:t>. Edward Elgar Publishing, pp. 27–45. Available at: https://www.elgaronline.com/edcollchap/edcoll/9781839100062/9781839100062.00010.xml (Accessed: 15 April 2024).</w:t>
      </w:r>
    </w:p>
    <w:p w14:paraId="1FF3D82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Saunders, M., Lewis, P. and Thornhill, A. (2009) </w:t>
      </w:r>
      <w:r w:rsidRPr="00270BA8">
        <w:rPr>
          <w:rFonts w:ascii="Garamond" w:hAnsi="Garamond"/>
          <w:i/>
          <w:iCs/>
          <w:sz w:val="24"/>
          <w:szCs w:val="24"/>
        </w:rPr>
        <w:t>Research Methods for Business Students</w:t>
      </w:r>
      <w:r w:rsidRPr="00270BA8">
        <w:rPr>
          <w:rFonts w:ascii="Garamond" w:hAnsi="Garamond"/>
          <w:sz w:val="24"/>
          <w:szCs w:val="24"/>
        </w:rPr>
        <w:t>. Prentice Hall (Always learning). Available at: https://books.google.se/books?id=u-txtfaCFiEC.</w:t>
      </w:r>
    </w:p>
    <w:p w14:paraId="68B7664B"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Scott, S.G. and Bruce, R.A. (1994) ‘Determinants of Innovative Behavior: A Path Model of Individual Innovation in the Workplace’, </w:t>
      </w:r>
      <w:r w:rsidRPr="00270BA8">
        <w:rPr>
          <w:rFonts w:ascii="Garamond" w:hAnsi="Garamond"/>
          <w:i/>
          <w:iCs/>
          <w:sz w:val="24"/>
          <w:szCs w:val="24"/>
        </w:rPr>
        <w:t>Academy of Management Journal</w:t>
      </w:r>
      <w:r w:rsidRPr="00270BA8">
        <w:rPr>
          <w:rFonts w:ascii="Garamond" w:hAnsi="Garamond"/>
          <w:sz w:val="24"/>
          <w:szCs w:val="24"/>
        </w:rPr>
        <w:t>, 37(3), pp. 580–607. Available at: https://doi.org/10.5465/256701.</w:t>
      </w:r>
    </w:p>
    <w:p w14:paraId="5EDC323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Singh, S.K. </w:t>
      </w:r>
      <w:r w:rsidRPr="00270BA8">
        <w:rPr>
          <w:rFonts w:ascii="Garamond" w:hAnsi="Garamond"/>
          <w:i/>
          <w:iCs/>
          <w:sz w:val="24"/>
          <w:szCs w:val="24"/>
        </w:rPr>
        <w:t>et al.</w:t>
      </w:r>
      <w:r w:rsidRPr="00270BA8">
        <w:rPr>
          <w:rFonts w:ascii="Garamond" w:hAnsi="Garamond"/>
          <w:sz w:val="24"/>
          <w:szCs w:val="24"/>
        </w:rPr>
        <w:t xml:space="preserve"> (2021) ‘Knowledge-based HRM practices and innovation performance: Role of social capital and knowledge sharing’, </w:t>
      </w:r>
      <w:r w:rsidRPr="00270BA8">
        <w:rPr>
          <w:rFonts w:ascii="Garamond" w:hAnsi="Garamond"/>
          <w:i/>
          <w:iCs/>
          <w:sz w:val="24"/>
          <w:szCs w:val="24"/>
        </w:rPr>
        <w:t>Journal of International Management</w:t>
      </w:r>
      <w:r w:rsidRPr="00270BA8">
        <w:rPr>
          <w:rFonts w:ascii="Garamond" w:hAnsi="Garamond"/>
          <w:sz w:val="24"/>
          <w:szCs w:val="24"/>
        </w:rPr>
        <w:t>, 27(1), p. 100830. Available at: https://doi.org/10.1016/j.intman.2021.100830.</w:t>
      </w:r>
    </w:p>
    <w:p w14:paraId="407E9808"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Soto-Acosta, P., Popa, S. and Palacios-Marqués, D. (2017) ‘Social web knowledge sharing and innovation performance in knowledge-intensive manufacturing SMEs’, </w:t>
      </w:r>
      <w:r w:rsidRPr="00270BA8">
        <w:rPr>
          <w:rFonts w:ascii="Garamond" w:hAnsi="Garamond"/>
          <w:i/>
          <w:iCs/>
          <w:sz w:val="24"/>
          <w:szCs w:val="24"/>
        </w:rPr>
        <w:t>The Journal of Technology Transfer</w:t>
      </w:r>
      <w:r w:rsidRPr="00270BA8">
        <w:rPr>
          <w:rFonts w:ascii="Garamond" w:hAnsi="Garamond"/>
          <w:sz w:val="24"/>
          <w:szCs w:val="24"/>
        </w:rPr>
        <w:t>, 42(2), pp. 425–440. Available at: https://doi.org/10.1007/s10961-016-9498-z.</w:t>
      </w:r>
    </w:p>
    <w:p w14:paraId="539B4C03" w14:textId="4D68F886"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Sun, L. and Bunchapattanasakda, C. (2019) ‘Impact of Strength of Human Resource Management System on Perceived Organi</w:t>
      </w:r>
      <w:r>
        <w:rPr>
          <w:rFonts w:ascii="Garamond" w:hAnsi="Garamond"/>
          <w:sz w:val="24"/>
          <w:szCs w:val="24"/>
        </w:rPr>
        <w:t>s</w:t>
      </w:r>
      <w:r w:rsidRPr="00270BA8">
        <w:rPr>
          <w:rFonts w:ascii="Garamond" w:hAnsi="Garamond"/>
          <w:sz w:val="24"/>
          <w:szCs w:val="24"/>
        </w:rPr>
        <w:t xml:space="preserve">ational Support’, </w:t>
      </w:r>
      <w:r w:rsidRPr="00270BA8">
        <w:rPr>
          <w:rFonts w:ascii="Garamond" w:hAnsi="Garamond"/>
          <w:i/>
          <w:iCs/>
          <w:sz w:val="24"/>
          <w:szCs w:val="24"/>
        </w:rPr>
        <w:t>International Journal of Business and Management</w:t>
      </w:r>
      <w:r w:rsidRPr="00270BA8">
        <w:rPr>
          <w:rFonts w:ascii="Garamond" w:hAnsi="Garamond"/>
          <w:sz w:val="24"/>
          <w:szCs w:val="24"/>
        </w:rPr>
        <w:t>, 14(3), p. 60. Available at: https://doi.org/10.5539/ijbm.v14n3p60.</w:t>
      </w:r>
    </w:p>
    <w:p w14:paraId="07BFF885"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Than, S.T., Le, P.B. and Le, T.T. (2023) ‘The impacts of high-commitment HRM practices on exploitative and exploratory innovation: the mediating role of knowledge sharing’, </w:t>
      </w:r>
      <w:r w:rsidRPr="00270BA8">
        <w:rPr>
          <w:rFonts w:ascii="Garamond" w:hAnsi="Garamond"/>
          <w:i/>
          <w:iCs/>
          <w:sz w:val="24"/>
          <w:szCs w:val="24"/>
        </w:rPr>
        <w:t>VINE Journal of Information and Knowledge Management Systems</w:t>
      </w:r>
      <w:r w:rsidRPr="00270BA8">
        <w:rPr>
          <w:rFonts w:ascii="Garamond" w:hAnsi="Garamond"/>
          <w:sz w:val="24"/>
          <w:szCs w:val="24"/>
        </w:rPr>
        <w:t>, 53(3), pp. 430–449.</w:t>
      </w:r>
    </w:p>
    <w:p w14:paraId="6AADA93B"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lastRenderedPageBreak/>
        <w:t xml:space="preserve">Tierney, P. and Farmer, S.M. (2002) ‘Creative Self-Efficacy: Its Potential Antecedents and Relationship to Creative Performance’, </w:t>
      </w:r>
      <w:r w:rsidRPr="00270BA8">
        <w:rPr>
          <w:rFonts w:ascii="Garamond" w:hAnsi="Garamond"/>
          <w:i/>
          <w:iCs/>
          <w:sz w:val="24"/>
          <w:szCs w:val="24"/>
        </w:rPr>
        <w:t>Academy of Management Journal</w:t>
      </w:r>
      <w:r w:rsidRPr="00270BA8">
        <w:rPr>
          <w:rFonts w:ascii="Garamond" w:hAnsi="Garamond"/>
          <w:sz w:val="24"/>
          <w:szCs w:val="24"/>
        </w:rPr>
        <w:t>, 45(6), pp. 1137–1148. Available at: https://doi.org/10.5465/3069429.</w:t>
      </w:r>
    </w:p>
    <w:p w14:paraId="23422F00"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Tripathy, S. </w:t>
      </w:r>
      <w:r w:rsidRPr="00270BA8">
        <w:rPr>
          <w:rFonts w:ascii="Garamond" w:hAnsi="Garamond"/>
          <w:i/>
          <w:iCs/>
          <w:sz w:val="24"/>
          <w:szCs w:val="24"/>
        </w:rPr>
        <w:t>et al.</w:t>
      </w:r>
      <w:r w:rsidRPr="00270BA8">
        <w:rPr>
          <w:rFonts w:ascii="Garamond" w:hAnsi="Garamond"/>
          <w:sz w:val="24"/>
          <w:szCs w:val="24"/>
        </w:rPr>
        <w:t xml:space="preserve"> (2021) ‘Challenges and prospects in Chinese pharmaceutical regulatory environment’, </w:t>
      </w:r>
      <w:r w:rsidRPr="00270BA8">
        <w:rPr>
          <w:rFonts w:ascii="Garamond" w:hAnsi="Garamond"/>
          <w:i/>
          <w:iCs/>
          <w:sz w:val="24"/>
          <w:szCs w:val="24"/>
        </w:rPr>
        <w:t>Journal of Generic Medicines</w:t>
      </w:r>
      <w:r w:rsidRPr="00270BA8">
        <w:rPr>
          <w:rFonts w:ascii="Garamond" w:hAnsi="Garamond"/>
          <w:sz w:val="24"/>
          <w:szCs w:val="24"/>
        </w:rPr>
        <w:t>, 17(3), pp. 106–114.</w:t>
      </w:r>
    </w:p>
    <w:p w14:paraId="3D11E26D" w14:textId="39D7FB49"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Van de Ven, A</w:t>
      </w:r>
      <w:r>
        <w:rPr>
          <w:rFonts w:ascii="Garamond" w:hAnsi="Garamond"/>
          <w:sz w:val="24"/>
          <w:szCs w:val="24"/>
        </w:rPr>
        <w:t>H</w:t>
      </w:r>
      <w:r w:rsidRPr="00270BA8">
        <w:rPr>
          <w:rFonts w:ascii="Garamond" w:hAnsi="Garamond"/>
          <w:sz w:val="24"/>
          <w:szCs w:val="24"/>
        </w:rPr>
        <w:t xml:space="preserve"> (1986) ‘Central Problems in the Management of Innovation’, </w:t>
      </w:r>
      <w:r w:rsidRPr="00270BA8">
        <w:rPr>
          <w:rFonts w:ascii="Garamond" w:hAnsi="Garamond"/>
          <w:i/>
          <w:iCs/>
          <w:sz w:val="24"/>
          <w:szCs w:val="24"/>
        </w:rPr>
        <w:t>Management Science</w:t>
      </w:r>
      <w:r w:rsidRPr="00270BA8">
        <w:rPr>
          <w:rFonts w:ascii="Garamond" w:hAnsi="Garamond"/>
          <w:sz w:val="24"/>
          <w:szCs w:val="24"/>
        </w:rPr>
        <w:t>, 32(5), pp. 590–607. Available at: https://doi.org/10.1287/mnsc.32.5.590.</w:t>
      </w:r>
    </w:p>
    <w:p w14:paraId="722837C0"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Waheed, A., Abbas, Q. and Malik, O.F. (2018) ‘‘Perceptions of performance appraisal quality’and employee innovative behavior: Do psychological empowerment and ‘perceptions of HRM system strength’matter?’, </w:t>
      </w:r>
      <w:r w:rsidRPr="00270BA8">
        <w:rPr>
          <w:rFonts w:ascii="Garamond" w:hAnsi="Garamond"/>
          <w:i/>
          <w:iCs/>
          <w:sz w:val="24"/>
          <w:szCs w:val="24"/>
        </w:rPr>
        <w:t>Behavioral sciences</w:t>
      </w:r>
      <w:r w:rsidRPr="00270BA8">
        <w:rPr>
          <w:rFonts w:ascii="Garamond" w:hAnsi="Garamond"/>
          <w:sz w:val="24"/>
          <w:szCs w:val="24"/>
        </w:rPr>
        <w:t>, 8(12), p. 114.</w:t>
      </w:r>
    </w:p>
    <w:p w14:paraId="0BEFBDE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lang w:val="fr-FR"/>
        </w:rPr>
        <w:t xml:space="preserve">Wallace, J.C. </w:t>
      </w:r>
      <w:r w:rsidRPr="00270BA8">
        <w:rPr>
          <w:rFonts w:ascii="Garamond" w:hAnsi="Garamond"/>
          <w:i/>
          <w:iCs/>
          <w:sz w:val="24"/>
          <w:szCs w:val="24"/>
          <w:lang w:val="fr-FR"/>
        </w:rPr>
        <w:t>et al.</w:t>
      </w:r>
      <w:r w:rsidRPr="00270BA8">
        <w:rPr>
          <w:rFonts w:ascii="Garamond" w:hAnsi="Garamond"/>
          <w:sz w:val="24"/>
          <w:szCs w:val="24"/>
          <w:lang w:val="fr-FR"/>
        </w:rPr>
        <w:t xml:space="preserve"> </w:t>
      </w:r>
      <w:r w:rsidRPr="00270BA8">
        <w:rPr>
          <w:rFonts w:ascii="Garamond" w:hAnsi="Garamond"/>
          <w:sz w:val="24"/>
          <w:szCs w:val="24"/>
        </w:rPr>
        <w:t xml:space="preserve">(2016) ‘A multilevel model of employee innovation: Understanding the effects of regulatory focus, thriving, and employee involvement climate’, </w:t>
      </w:r>
      <w:r w:rsidRPr="00270BA8">
        <w:rPr>
          <w:rFonts w:ascii="Garamond" w:hAnsi="Garamond"/>
          <w:i/>
          <w:iCs/>
          <w:sz w:val="24"/>
          <w:szCs w:val="24"/>
        </w:rPr>
        <w:t>Journal of Management</w:t>
      </w:r>
      <w:r w:rsidRPr="00270BA8">
        <w:rPr>
          <w:rFonts w:ascii="Garamond" w:hAnsi="Garamond"/>
          <w:sz w:val="24"/>
          <w:szCs w:val="24"/>
        </w:rPr>
        <w:t>, 42(4), pp. 982–1004.</w:t>
      </w:r>
    </w:p>
    <w:p w14:paraId="075447C5"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Wang, S. and Noe, R.A. (2010) ‘Knowledge sharing: A review and directions for future research’, </w:t>
      </w:r>
      <w:r w:rsidRPr="00270BA8">
        <w:rPr>
          <w:rFonts w:ascii="Garamond" w:hAnsi="Garamond"/>
          <w:i/>
          <w:iCs/>
          <w:sz w:val="24"/>
          <w:szCs w:val="24"/>
        </w:rPr>
        <w:t>Human Resource Management Review</w:t>
      </w:r>
      <w:r w:rsidRPr="00270BA8">
        <w:rPr>
          <w:rFonts w:ascii="Garamond" w:hAnsi="Garamond"/>
          <w:sz w:val="24"/>
          <w:szCs w:val="24"/>
        </w:rPr>
        <w:t>, 20(2), pp. 115–131. Available at: https://doi.org/10.1016/j.hrmr.2009.10.001.</w:t>
      </w:r>
    </w:p>
    <w:p w14:paraId="4751FAAD"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Wang, S., Noe, R.A. and Wang, Z.-M. (2014) ‘Motivating Knowledge Sharing in Knowledge Management Systems: A Quasi–Field Experiment’, </w:t>
      </w:r>
      <w:r w:rsidRPr="00270BA8">
        <w:rPr>
          <w:rFonts w:ascii="Garamond" w:hAnsi="Garamond"/>
          <w:i/>
          <w:iCs/>
          <w:sz w:val="24"/>
          <w:szCs w:val="24"/>
        </w:rPr>
        <w:t>Journal of Management</w:t>
      </w:r>
      <w:r w:rsidRPr="00270BA8">
        <w:rPr>
          <w:rFonts w:ascii="Garamond" w:hAnsi="Garamond"/>
          <w:sz w:val="24"/>
          <w:szCs w:val="24"/>
        </w:rPr>
        <w:t>, 40(4), pp. 978–1009. Available at: https://doi.org/10.1177/0149206311412192.</w:t>
      </w:r>
    </w:p>
    <w:p w14:paraId="2F0A9BD6"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Wood, S. (1999) ‘Human resource management and performance’, </w:t>
      </w:r>
      <w:r w:rsidRPr="00270BA8">
        <w:rPr>
          <w:rFonts w:ascii="Garamond" w:hAnsi="Garamond"/>
          <w:i/>
          <w:iCs/>
          <w:sz w:val="24"/>
          <w:szCs w:val="24"/>
        </w:rPr>
        <w:t>International Journal of Management Reviews</w:t>
      </w:r>
      <w:r w:rsidRPr="00270BA8">
        <w:rPr>
          <w:rFonts w:ascii="Garamond" w:hAnsi="Garamond"/>
          <w:sz w:val="24"/>
          <w:szCs w:val="24"/>
        </w:rPr>
        <w:t>, 1(4), pp. 367–413. Available at: https://doi.org/10.1111/1468-2370.00020.</w:t>
      </w:r>
    </w:p>
    <w:p w14:paraId="4509242D"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Wright, P.M. and Nishii, L.H. (2006) ‘Strategic HRM and Organizational Behavior: Integrating Multiple Levels of Analysis’. Available at: https://hdl.handle.net/1813/77283 (Accessed: 16 April 2024).</w:t>
      </w:r>
    </w:p>
    <w:p w14:paraId="0ABDBE79"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Xu, J., Wang, X. and Liu, F. (2021) ‘Government subsidies, R&amp;D investment and innovation performance: analysis from pharmaceutical sector in China’, </w:t>
      </w:r>
      <w:r w:rsidRPr="00270BA8">
        <w:rPr>
          <w:rFonts w:ascii="Garamond" w:hAnsi="Garamond"/>
          <w:i/>
          <w:iCs/>
          <w:sz w:val="24"/>
          <w:szCs w:val="24"/>
        </w:rPr>
        <w:t>Technology Analysis &amp; Strategic Management</w:t>
      </w:r>
      <w:r w:rsidRPr="00270BA8">
        <w:rPr>
          <w:rFonts w:ascii="Garamond" w:hAnsi="Garamond"/>
          <w:sz w:val="24"/>
          <w:szCs w:val="24"/>
        </w:rPr>
        <w:t>, 33(5), pp. 535–553.</w:t>
      </w:r>
    </w:p>
    <w:p w14:paraId="2C40DF8E"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lastRenderedPageBreak/>
        <w:t xml:space="preserve">Yuan, F. and Woodman, R.W. (2010) ‘Innovative Behavior in the Workplace: The Role of Performance and Image Outcome Expectations’, </w:t>
      </w:r>
      <w:r w:rsidRPr="00270BA8">
        <w:rPr>
          <w:rFonts w:ascii="Garamond" w:hAnsi="Garamond"/>
          <w:i/>
          <w:iCs/>
          <w:sz w:val="24"/>
          <w:szCs w:val="24"/>
        </w:rPr>
        <w:t>Academy of Management Journal</w:t>
      </w:r>
      <w:r w:rsidRPr="00270BA8">
        <w:rPr>
          <w:rFonts w:ascii="Garamond" w:hAnsi="Garamond"/>
          <w:sz w:val="24"/>
          <w:szCs w:val="24"/>
        </w:rPr>
        <w:t>, 53(2), pp. 323–342. Available at: https://doi.org/10.5465/amj.2010.49388995.</w:t>
      </w:r>
    </w:p>
    <w:p w14:paraId="4FCD1BE2"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Zhang, J. and Chen, Z. (2024) ‘Exploring human resource management digital transformation in the digital age’, </w:t>
      </w:r>
      <w:r w:rsidRPr="00270BA8">
        <w:rPr>
          <w:rFonts w:ascii="Garamond" w:hAnsi="Garamond"/>
          <w:i/>
          <w:iCs/>
          <w:sz w:val="24"/>
          <w:szCs w:val="24"/>
        </w:rPr>
        <w:t>Journal of the Knowledge Economy</w:t>
      </w:r>
      <w:r w:rsidRPr="00270BA8">
        <w:rPr>
          <w:rFonts w:ascii="Garamond" w:hAnsi="Garamond"/>
          <w:sz w:val="24"/>
          <w:szCs w:val="24"/>
        </w:rPr>
        <w:t>, 15(1), pp. 1482–1498.</w:t>
      </w:r>
    </w:p>
    <w:p w14:paraId="0AB38A04"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Zhang, K. and Liu, W. (2020) ‘The current status, trend, and development strategies of Chinese biopharmaceutical industry with a challenging perspective’, </w:t>
      </w:r>
      <w:r w:rsidRPr="00270BA8">
        <w:rPr>
          <w:rFonts w:ascii="Garamond" w:hAnsi="Garamond"/>
          <w:i/>
          <w:iCs/>
          <w:sz w:val="24"/>
          <w:szCs w:val="24"/>
        </w:rPr>
        <w:t>Sage Open</w:t>
      </w:r>
      <w:r w:rsidRPr="00270BA8">
        <w:rPr>
          <w:rFonts w:ascii="Garamond" w:hAnsi="Garamond"/>
          <w:sz w:val="24"/>
          <w:szCs w:val="24"/>
        </w:rPr>
        <w:t>, 10(1), p. 2158244020901529.</w:t>
      </w:r>
    </w:p>
    <w:p w14:paraId="24C277EC"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Zhang, Y., Xi, W. and Xu, F.Z. (2022) ‘Determinants of employee innovation: An open innovation perspective’, </w:t>
      </w:r>
      <w:r w:rsidRPr="00270BA8">
        <w:rPr>
          <w:rFonts w:ascii="Garamond" w:hAnsi="Garamond"/>
          <w:i/>
          <w:iCs/>
          <w:sz w:val="24"/>
          <w:szCs w:val="24"/>
        </w:rPr>
        <w:t>Journal of Hospitality Marketing &amp; Management</w:t>
      </w:r>
      <w:r w:rsidRPr="00270BA8">
        <w:rPr>
          <w:rFonts w:ascii="Garamond" w:hAnsi="Garamond"/>
          <w:sz w:val="24"/>
          <w:szCs w:val="24"/>
        </w:rPr>
        <w:t>, 31(1), pp. 97–124.</w:t>
      </w:r>
    </w:p>
    <w:p w14:paraId="537F629D" w14:textId="77777777" w:rsidR="00270BA8" w:rsidRPr="00270BA8" w:rsidRDefault="00270BA8" w:rsidP="00270BA8">
      <w:pPr>
        <w:pStyle w:val="afb"/>
        <w:spacing w:before="120" w:after="360" w:line="360" w:lineRule="auto"/>
        <w:rPr>
          <w:rFonts w:ascii="Garamond" w:hAnsi="Garamond"/>
          <w:sz w:val="24"/>
          <w:szCs w:val="24"/>
        </w:rPr>
      </w:pPr>
      <w:r w:rsidRPr="00270BA8">
        <w:rPr>
          <w:rFonts w:ascii="Garamond" w:hAnsi="Garamond"/>
          <w:sz w:val="24"/>
          <w:szCs w:val="24"/>
        </w:rPr>
        <w:t xml:space="preserve">Zhou, F. and Wu, Y.J. (2018) ‘How humble leadership fosters employee innovation behavior: A two-way perspective on the leader-employee interaction’, </w:t>
      </w:r>
      <w:r w:rsidRPr="00270BA8">
        <w:rPr>
          <w:rFonts w:ascii="Garamond" w:hAnsi="Garamond"/>
          <w:i/>
          <w:iCs/>
          <w:sz w:val="24"/>
          <w:szCs w:val="24"/>
        </w:rPr>
        <w:t>Leadership &amp; Organization Development Journal</w:t>
      </w:r>
      <w:r w:rsidRPr="00270BA8">
        <w:rPr>
          <w:rFonts w:ascii="Garamond" w:hAnsi="Garamond"/>
          <w:sz w:val="24"/>
          <w:szCs w:val="24"/>
        </w:rPr>
        <w:t>, 39(3), pp. 375–387.</w:t>
      </w:r>
    </w:p>
    <w:p w14:paraId="204EDDBD" w14:textId="1DD79549" w:rsidR="00BC7E78" w:rsidRPr="00270BA8" w:rsidRDefault="00222527" w:rsidP="00270BA8">
      <w:pPr>
        <w:spacing w:before="120" w:after="360" w:line="360" w:lineRule="auto"/>
        <w:jc w:val="both"/>
        <w:rPr>
          <w:rFonts w:ascii="Garamond" w:hAnsi="Garamond" w:cs="Times New Roman"/>
          <w:sz w:val="24"/>
          <w:szCs w:val="24"/>
        </w:rPr>
      </w:pPr>
      <w:r w:rsidRPr="00270BA8">
        <w:rPr>
          <w:rFonts w:ascii="Garamond" w:hAnsi="Garamond" w:cs="Times New Roman"/>
          <w:sz w:val="24"/>
          <w:szCs w:val="24"/>
          <w:lang w:val="en-GB"/>
        </w:rPr>
        <w:fldChar w:fldCharType="end"/>
      </w:r>
    </w:p>
    <w:sectPr w:rsidR="00BC7E78" w:rsidRPr="00270BA8" w:rsidSect="00412DBD">
      <w:pgSz w:w="11906" w:h="16838"/>
      <w:pgMar w:top="720" w:right="720" w:bottom="720" w:left="72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BC6F2F" w14:textId="77777777" w:rsidR="00E91CC3" w:rsidRPr="00EC5EFF" w:rsidRDefault="00E91CC3" w:rsidP="006E6AC5">
      <w:pPr>
        <w:spacing w:after="0" w:line="240" w:lineRule="auto"/>
        <w:rPr>
          <w:lang w:val="en-GB"/>
        </w:rPr>
      </w:pPr>
      <w:r w:rsidRPr="00EC5EFF">
        <w:rPr>
          <w:lang w:val="en-GB"/>
        </w:rPr>
        <w:separator/>
      </w:r>
    </w:p>
  </w:endnote>
  <w:endnote w:type="continuationSeparator" w:id="0">
    <w:p w14:paraId="6B4165A5" w14:textId="77777777" w:rsidR="00E91CC3" w:rsidRPr="00EC5EFF" w:rsidRDefault="00E91CC3" w:rsidP="006E6AC5">
      <w:pPr>
        <w:spacing w:after="0" w:line="240" w:lineRule="auto"/>
        <w:rPr>
          <w:lang w:val="en-GB"/>
        </w:rPr>
      </w:pPr>
      <w:r w:rsidRPr="00EC5EFF">
        <w:rPr>
          <w:lang w:val="en-GB"/>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0086739"/>
      <w:docPartObj>
        <w:docPartGallery w:val="Page Numbers (Bottom of Page)"/>
        <w:docPartUnique/>
      </w:docPartObj>
    </w:sdtPr>
    <w:sdtEndPr/>
    <w:sdtContent>
      <w:p w14:paraId="48271A29" w14:textId="5B46DCB1" w:rsidR="008437E9" w:rsidRDefault="008437E9">
        <w:pPr>
          <w:pStyle w:val="a5"/>
          <w:jc w:val="center"/>
        </w:pPr>
        <w:r>
          <w:fldChar w:fldCharType="begin"/>
        </w:r>
        <w:r>
          <w:instrText>PAGE   \* MERGEFORMAT</w:instrText>
        </w:r>
        <w:r>
          <w:fldChar w:fldCharType="separate"/>
        </w:r>
        <w:r w:rsidR="001D09F4" w:rsidRPr="001D09F4">
          <w:rPr>
            <w:noProof/>
            <w:lang w:val="zh-CN"/>
          </w:rPr>
          <w:t>1</w:t>
        </w:r>
        <w:r>
          <w:fldChar w:fldCharType="end"/>
        </w:r>
      </w:p>
    </w:sdtContent>
  </w:sdt>
  <w:p w14:paraId="2BBF1540" w14:textId="77777777" w:rsidR="008437E9" w:rsidRDefault="008437E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899AF5" w14:textId="77777777" w:rsidR="00E91CC3" w:rsidRPr="00EC5EFF" w:rsidRDefault="00E91CC3" w:rsidP="006E6AC5">
      <w:pPr>
        <w:spacing w:after="0" w:line="240" w:lineRule="auto"/>
        <w:rPr>
          <w:lang w:val="en-GB"/>
        </w:rPr>
      </w:pPr>
      <w:r w:rsidRPr="00EC5EFF">
        <w:rPr>
          <w:lang w:val="en-GB"/>
        </w:rPr>
        <w:separator/>
      </w:r>
    </w:p>
  </w:footnote>
  <w:footnote w:type="continuationSeparator" w:id="0">
    <w:p w14:paraId="70EBE56D" w14:textId="77777777" w:rsidR="00E91CC3" w:rsidRPr="00EC5EFF" w:rsidRDefault="00E91CC3" w:rsidP="006E6AC5">
      <w:pPr>
        <w:spacing w:after="0" w:line="240" w:lineRule="auto"/>
        <w:rPr>
          <w:lang w:val="en-GB"/>
        </w:rPr>
      </w:pPr>
      <w:r w:rsidRPr="00EC5EFF">
        <w:rPr>
          <w:lang w:val="en-GB"/>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D4EFE"/>
    <w:multiLevelType w:val="multilevel"/>
    <w:tmpl w:val="586E073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98F6D42"/>
    <w:multiLevelType w:val="multilevel"/>
    <w:tmpl w:val="76B0D2BA"/>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10FB1451"/>
    <w:multiLevelType w:val="hybridMultilevel"/>
    <w:tmpl w:val="4856787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C1FA9"/>
    <w:multiLevelType w:val="multilevel"/>
    <w:tmpl w:val="A98AB634"/>
    <w:lvl w:ilvl="0">
      <w:start w:val="1"/>
      <w:numFmt w:val="decimal"/>
      <w:lvlText w:val="%1"/>
      <w:lvlJc w:val="left"/>
      <w:pPr>
        <w:ind w:left="456" w:hanging="456"/>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1B34C06"/>
    <w:multiLevelType w:val="hybridMultilevel"/>
    <w:tmpl w:val="532645C2"/>
    <w:lvl w:ilvl="0" w:tplc="9014B17C">
      <w:start w:val="1"/>
      <w:numFmt w:val="decimal"/>
      <w:lvlText w:val="%1."/>
      <w:lvlJc w:val="left"/>
      <w:pPr>
        <w:ind w:left="780" w:hanging="360"/>
      </w:pPr>
      <w:rPr>
        <w:rFonts w:ascii="Times New Roman" w:hAnsi="Times New Roman" w:cs="Times New Roman" w:hint="default"/>
        <w:color w:val="0563C1" w:themeColor="hyperlink"/>
        <w:u w:val="single"/>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5" w15:restartNumberingAfterBreak="0">
    <w:nsid w:val="3D831DFB"/>
    <w:multiLevelType w:val="hybridMultilevel"/>
    <w:tmpl w:val="B55E5EC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4F4053"/>
    <w:multiLevelType w:val="hybridMultilevel"/>
    <w:tmpl w:val="DB2A868C"/>
    <w:lvl w:ilvl="0" w:tplc="56E4F252">
      <w:numFmt w:val="bullet"/>
      <w:lvlText w:val="-"/>
      <w:lvlJc w:val="left"/>
      <w:pPr>
        <w:ind w:left="360" w:hanging="360"/>
      </w:pPr>
      <w:rPr>
        <w:rFonts w:ascii="Garamond" w:eastAsiaTheme="minorEastAsia" w:hAnsi="Garamond" w:cstheme="minorBidi"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5AC457C4"/>
    <w:multiLevelType w:val="hybridMultilevel"/>
    <w:tmpl w:val="71D6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D14913"/>
    <w:multiLevelType w:val="multilevel"/>
    <w:tmpl w:val="1DF45E26"/>
    <w:lvl w:ilvl="0">
      <w:start w:val="2"/>
      <w:numFmt w:val="decimal"/>
      <w:lvlText w:val="%1"/>
      <w:lvlJc w:val="left"/>
      <w:pPr>
        <w:ind w:left="456" w:hanging="456"/>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6BCD5C10"/>
    <w:multiLevelType w:val="hybridMultilevel"/>
    <w:tmpl w:val="3794B680"/>
    <w:lvl w:ilvl="0" w:tplc="6EBA3330">
      <w:start w:val="2"/>
      <w:numFmt w:val="bullet"/>
      <w:lvlText w:val=""/>
      <w:lvlJc w:val="left"/>
      <w:pPr>
        <w:ind w:left="440" w:hanging="440"/>
      </w:pPr>
      <w:rPr>
        <w:rFonts w:ascii="Wingdings" w:eastAsia="宋体"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6C89004B"/>
    <w:multiLevelType w:val="hybridMultilevel"/>
    <w:tmpl w:val="F1E47B1C"/>
    <w:lvl w:ilvl="0" w:tplc="6EBA3330">
      <w:start w:val="2"/>
      <w:numFmt w:val="bullet"/>
      <w:lvlText w:val=""/>
      <w:lvlJc w:val="left"/>
      <w:pPr>
        <w:ind w:left="720" w:hanging="360"/>
      </w:pPr>
      <w:rPr>
        <w:rFonts w:ascii="Wingdings" w:eastAsia="宋体"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253E92"/>
    <w:multiLevelType w:val="multilevel"/>
    <w:tmpl w:val="F92A7D8C"/>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1"/>
  </w:num>
  <w:num w:numId="3">
    <w:abstractNumId w:val="9"/>
  </w:num>
  <w:num w:numId="4">
    <w:abstractNumId w:val="6"/>
  </w:num>
  <w:num w:numId="5">
    <w:abstractNumId w:val="1"/>
  </w:num>
  <w:num w:numId="6">
    <w:abstractNumId w:val="3"/>
  </w:num>
  <w:num w:numId="7">
    <w:abstractNumId w:val="4"/>
  </w:num>
  <w:num w:numId="8">
    <w:abstractNumId w:val="7"/>
  </w:num>
  <w:num w:numId="9">
    <w:abstractNumId w:val="2"/>
  </w:num>
  <w:num w:numId="10">
    <w:abstractNumId w:val="10"/>
  </w:num>
  <w:num w:numId="11">
    <w:abstractNumId w:val="8"/>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hideSpellingErrors/>
  <w:hideGrammaticalErrors/>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czNTM3MzExMrA0NrVQ0lEKTi0uzszPAykwrQUAojvnWSwAAAA="/>
  </w:docVars>
  <w:rsids>
    <w:rsidRoot w:val="006E5184"/>
    <w:rsid w:val="00074923"/>
    <w:rsid w:val="00082B0F"/>
    <w:rsid w:val="00084E2D"/>
    <w:rsid w:val="00095F25"/>
    <w:rsid w:val="00171D12"/>
    <w:rsid w:val="00181437"/>
    <w:rsid w:val="0018269A"/>
    <w:rsid w:val="00184214"/>
    <w:rsid w:val="001909D0"/>
    <w:rsid w:val="00197A0F"/>
    <w:rsid w:val="001D09F4"/>
    <w:rsid w:val="00220707"/>
    <w:rsid w:val="00222527"/>
    <w:rsid w:val="00244A29"/>
    <w:rsid w:val="00245439"/>
    <w:rsid w:val="00270BA8"/>
    <w:rsid w:val="002776CB"/>
    <w:rsid w:val="002A2A0B"/>
    <w:rsid w:val="002E2A4F"/>
    <w:rsid w:val="002F5EEC"/>
    <w:rsid w:val="00325639"/>
    <w:rsid w:val="003452EA"/>
    <w:rsid w:val="00346FA3"/>
    <w:rsid w:val="003578D8"/>
    <w:rsid w:val="003B0792"/>
    <w:rsid w:val="003C3112"/>
    <w:rsid w:val="003E23C1"/>
    <w:rsid w:val="004026E5"/>
    <w:rsid w:val="00412DBD"/>
    <w:rsid w:val="004305F5"/>
    <w:rsid w:val="004A3EF8"/>
    <w:rsid w:val="004C1D97"/>
    <w:rsid w:val="00575151"/>
    <w:rsid w:val="005A0F03"/>
    <w:rsid w:val="005B39CD"/>
    <w:rsid w:val="005C0B46"/>
    <w:rsid w:val="005C35C7"/>
    <w:rsid w:val="00681DE4"/>
    <w:rsid w:val="00685CDF"/>
    <w:rsid w:val="006A5ED8"/>
    <w:rsid w:val="006E5184"/>
    <w:rsid w:val="006E6AC5"/>
    <w:rsid w:val="0072111D"/>
    <w:rsid w:val="00771C4F"/>
    <w:rsid w:val="007747C6"/>
    <w:rsid w:val="00782293"/>
    <w:rsid w:val="00792E18"/>
    <w:rsid w:val="007959D0"/>
    <w:rsid w:val="0080626F"/>
    <w:rsid w:val="008437E9"/>
    <w:rsid w:val="00852BA4"/>
    <w:rsid w:val="008772B3"/>
    <w:rsid w:val="008A55A2"/>
    <w:rsid w:val="008D7010"/>
    <w:rsid w:val="009136BB"/>
    <w:rsid w:val="00945964"/>
    <w:rsid w:val="0095589C"/>
    <w:rsid w:val="00972D8B"/>
    <w:rsid w:val="00A03A0A"/>
    <w:rsid w:val="00A267E3"/>
    <w:rsid w:val="00A42DDD"/>
    <w:rsid w:val="00A432BB"/>
    <w:rsid w:val="00B06CFE"/>
    <w:rsid w:val="00B3133D"/>
    <w:rsid w:val="00B41F94"/>
    <w:rsid w:val="00B45911"/>
    <w:rsid w:val="00BA633F"/>
    <w:rsid w:val="00BB5100"/>
    <w:rsid w:val="00BC7E78"/>
    <w:rsid w:val="00BE3A22"/>
    <w:rsid w:val="00C063FD"/>
    <w:rsid w:val="00C42811"/>
    <w:rsid w:val="00C60C6C"/>
    <w:rsid w:val="00CB1092"/>
    <w:rsid w:val="00CB5613"/>
    <w:rsid w:val="00CF7477"/>
    <w:rsid w:val="00D020E9"/>
    <w:rsid w:val="00D17B1D"/>
    <w:rsid w:val="00D265CC"/>
    <w:rsid w:val="00D33E0E"/>
    <w:rsid w:val="00E263DC"/>
    <w:rsid w:val="00E30344"/>
    <w:rsid w:val="00E420DB"/>
    <w:rsid w:val="00E5542C"/>
    <w:rsid w:val="00E640FA"/>
    <w:rsid w:val="00E91CC3"/>
    <w:rsid w:val="00EC1AF2"/>
    <w:rsid w:val="00EC5EFF"/>
    <w:rsid w:val="00F07B44"/>
    <w:rsid w:val="00F16F96"/>
    <w:rsid w:val="00F24C85"/>
    <w:rsid w:val="00F42F91"/>
    <w:rsid w:val="00F50918"/>
    <w:rsid w:val="00FB320D"/>
    <w:rsid w:val="00FC2F7A"/>
    <w:rsid w:val="00FE68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EF80B80"/>
  <w15:chartTrackingRefBased/>
  <w15:docId w15:val="{0AC90BB8-74FD-449A-9BEB-EC2E10C91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70BA8"/>
  </w:style>
  <w:style w:type="paragraph" w:styleId="1">
    <w:name w:val="heading 1"/>
    <w:basedOn w:val="a"/>
    <w:next w:val="a"/>
    <w:link w:val="10"/>
    <w:uiPriority w:val="9"/>
    <w:qFormat/>
    <w:rsid w:val="00270B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270BA8"/>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unhideWhenUsed/>
    <w:qFormat/>
    <w:rsid w:val="00270BA8"/>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4">
    <w:name w:val="heading 4"/>
    <w:basedOn w:val="a"/>
    <w:next w:val="a"/>
    <w:link w:val="40"/>
    <w:uiPriority w:val="9"/>
    <w:semiHidden/>
    <w:unhideWhenUsed/>
    <w:qFormat/>
    <w:rsid w:val="00270BA8"/>
    <w:pPr>
      <w:keepNext/>
      <w:keepLines/>
      <w:spacing w:before="40" w:after="0"/>
      <w:outlineLvl w:val="3"/>
    </w:pPr>
    <w:rPr>
      <w:i/>
      <w:iCs/>
    </w:rPr>
  </w:style>
  <w:style w:type="paragraph" w:styleId="5">
    <w:name w:val="heading 5"/>
    <w:basedOn w:val="a"/>
    <w:next w:val="a"/>
    <w:link w:val="50"/>
    <w:uiPriority w:val="9"/>
    <w:semiHidden/>
    <w:unhideWhenUsed/>
    <w:qFormat/>
    <w:rsid w:val="00270BA8"/>
    <w:pPr>
      <w:keepNext/>
      <w:keepLines/>
      <w:spacing w:before="40" w:after="0"/>
      <w:outlineLvl w:val="4"/>
    </w:pPr>
    <w:rPr>
      <w:color w:val="2F5496" w:themeColor="accent1" w:themeShade="BF"/>
    </w:rPr>
  </w:style>
  <w:style w:type="paragraph" w:styleId="6">
    <w:name w:val="heading 6"/>
    <w:basedOn w:val="a"/>
    <w:next w:val="a"/>
    <w:link w:val="60"/>
    <w:uiPriority w:val="9"/>
    <w:semiHidden/>
    <w:unhideWhenUsed/>
    <w:qFormat/>
    <w:rsid w:val="00270BA8"/>
    <w:pPr>
      <w:keepNext/>
      <w:keepLines/>
      <w:spacing w:before="40" w:after="0"/>
      <w:outlineLvl w:val="5"/>
    </w:pPr>
    <w:rPr>
      <w:color w:val="1F3864" w:themeColor="accent1" w:themeShade="80"/>
    </w:rPr>
  </w:style>
  <w:style w:type="paragraph" w:styleId="7">
    <w:name w:val="heading 7"/>
    <w:basedOn w:val="a"/>
    <w:next w:val="a"/>
    <w:link w:val="70"/>
    <w:uiPriority w:val="9"/>
    <w:semiHidden/>
    <w:unhideWhenUsed/>
    <w:qFormat/>
    <w:rsid w:val="00270BA8"/>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8">
    <w:name w:val="heading 8"/>
    <w:basedOn w:val="a"/>
    <w:next w:val="a"/>
    <w:link w:val="80"/>
    <w:uiPriority w:val="9"/>
    <w:semiHidden/>
    <w:unhideWhenUsed/>
    <w:qFormat/>
    <w:rsid w:val="00270BA8"/>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270BA8"/>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E6AC5"/>
    <w:pPr>
      <w:tabs>
        <w:tab w:val="center" w:pos="4153"/>
        <w:tab w:val="right" w:pos="8306"/>
      </w:tabs>
      <w:snapToGrid w:val="0"/>
      <w:jc w:val="center"/>
    </w:pPr>
    <w:rPr>
      <w:sz w:val="18"/>
      <w:szCs w:val="18"/>
    </w:rPr>
  </w:style>
  <w:style w:type="character" w:customStyle="1" w:styleId="a4">
    <w:name w:val="页眉 字符"/>
    <w:basedOn w:val="a0"/>
    <w:link w:val="a3"/>
    <w:uiPriority w:val="99"/>
    <w:rsid w:val="006E6AC5"/>
    <w:rPr>
      <w:sz w:val="18"/>
      <w:szCs w:val="18"/>
      <w:lang w:val="en-GB"/>
    </w:rPr>
  </w:style>
  <w:style w:type="paragraph" w:styleId="a5">
    <w:name w:val="footer"/>
    <w:basedOn w:val="a"/>
    <w:link w:val="a6"/>
    <w:uiPriority w:val="99"/>
    <w:unhideWhenUsed/>
    <w:rsid w:val="006E6AC5"/>
    <w:pPr>
      <w:tabs>
        <w:tab w:val="center" w:pos="4153"/>
        <w:tab w:val="right" w:pos="8306"/>
      </w:tabs>
      <w:snapToGrid w:val="0"/>
    </w:pPr>
    <w:rPr>
      <w:sz w:val="18"/>
      <w:szCs w:val="18"/>
    </w:rPr>
  </w:style>
  <w:style w:type="character" w:customStyle="1" w:styleId="a6">
    <w:name w:val="页脚 字符"/>
    <w:basedOn w:val="a0"/>
    <w:link w:val="a5"/>
    <w:uiPriority w:val="99"/>
    <w:rsid w:val="006E6AC5"/>
    <w:rPr>
      <w:sz w:val="18"/>
      <w:szCs w:val="18"/>
      <w:lang w:val="en-GB"/>
    </w:rPr>
  </w:style>
  <w:style w:type="character" w:customStyle="1" w:styleId="10">
    <w:name w:val="标题 1 字符"/>
    <w:basedOn w:val="a0"/>
    <w:link w:val="1"/>
    <w:uiPriority w:val="9"/>
    <w:rsid w:val="00270BA8"/>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270BA8"/>
    <w:rPr>
      <w:rFonts w:asciiTheme="majorHAnsi" w:eastAsiaTheme="majorEastAsia" w:hAnsiTheme="majorHAnsi" w:cstheme="majorBidi"/>
      <w:color w:val="2F5496" w:themeColor="accent1" w:themeShade="BF"/>
      <w:sz w:val="28"/>
      <w:szCs w:val="28"/>
    </w:rPr>
  </w:style>
  <w:style w:type="paragraph" w:styleId="a7">
    <w:name w:val="List Paragraph"/>
    <w:basedOn w:val="a"/>
    <w:uiPriority w:val="34"/>
    <w:qFormat/>
    <w:rsid w:val="006E6AC5"/>
    <w:pPr>
      <w:ind w:left="720"/>
      <w:contextualSpacing/>
    </w:pPr>
  </w:style>
  <w:style w:type="character" w:customStyle="1" w:styleId="30">
    <w:name w:val="标题 3 字符"/>
    <w:basedOn w:val="a0"/>
    <w:link w:val="3"/>
    <w:uiPriority w:val="9"/>
    <w:rsid w:val="00270BA8"/>
    <w:rPr>
      <w:rFonts w:asciiTheme="majorHAnsi" w:eastAsiaTheme="majorEastAsia" w:hAnsiTheme="majorHAnsi" w:cstheme="majorBidi"/>
      <w:color w:val="1F3864" w:themeColor="accent1" w:themeShade="80"/>
      <w:sz w:val="24"/>
      <w:szCs w:val="24"/>
    </w:rPr>
  </w:style>
  <w:style w:type="character" w:customStyle="1" w:styleId="40">
    <w:name w:val="标题 4 字符"/>
    <w:basedOn w:val="a0"/>
    <w:link w:val="4"/>
    <w:uiPriority w:val="9"/>
    <w:semiHidden/>
    <w:rsid w:val="00270BA8"/>
    <w:rPr>
      <w:i/>
      <w:iCs/>
    </w:rPr>
  </w:style>
  <w:style w:type="character" w:customStyle="1" w:styleId="50">
    <w:name w:val="标题 5 字符"/>
    <w:basedOn w:val="a0"/>
    <w:link w:val="5"/>
    <w:uiPriority w:val="9"/>
    <w:semiHidden/>
    <w:rsid w:val="00270BA8"/>
    <w:rPr>
      <w:color w:val="2F5496" w:themeColor="accent1" w:themeShade="BF"/>
    </w:rPr>
  </w:style>
  <w:style w:type="character" w:customStyle="1" w:styleId="60">
    <w:name w:val="标题 6 字符"/>
    <w:basedOn w:val="a0"/>
    <w:link w:val="6"/>
    <w:uiPriority w:val="9"/>
    <w:semiHidden/>
    <w:rsid w:val="00270BA8"/>
    <w:rPr>
      <w:color w:val="1F3864" w:themeColor="accent1" w:themeShade="80"/>
    </w:rPr>
  </w:style>
  <w:style w:type="character" w:customStyle="1" w:styleId="70">
    <w:name w:val="标题 7 字符"/>
    <w:basedOn w:val="a0"/>
    <w:link w:val="7"/>
    <w:uiPriority w:val="9"/>
    <w:semiHidden/>
    <w:rsid w:val="00270BA8"/>
    <w:rPr>
      <w:rFonts w:asciiTheme="majorHAnsi" w:eastAsiaTheme="majorEastAsia" w:hAnsiTheme="majorHAnsi" w:cstheme="majorBidi"/>
      <w:i/>
      <w:iCs/>
      <w:color w:val="1F3864" w:themeColor="accent1" w:themeShade="80"/>
    </w:rPr>
  </w:style>
  <w:style w:type="character" w:customStyle="1" w:styleId="80">
    <w:name w:val="标题 8 字符"/>
    <w:basedOn w:val="a0"/>
    <w:link w:val="8"/>
    <w:uiPriority w:val="9"/>
    <w:semiHidden/>
    <w:rsid w:val="00270BA8"/>
    <w:rPr>
      <w:color w:val="262626" w:themeColor="text1" w:themeTint="D9"/>
      <w:sz w:val="21"/>
      <w:szCs w:val="21"/>
    </w:rPr>
  </w:style>
  <w:style w:type="character" w:customStyle="1" w:styleId="90">
    <w:name w:val="标题 9 字符"/>
    <w:basedOn w:val="a0"/>
    <w:link w:val="9"/>
    <w:uiPriority w:val="9"/>
    <w:semiHidden/>
    <w:rsid w:val="00270BA8"/>
    <w:rPr>
      <w:rFonts w:asciiTheme="majorHAnsi" w:eastAsiaTheme="majorEastAsia" w:hAnsiTheme="majorHAnsi" w:cstheme="majorBidi"/>
      <w:i/>
      <w:iCs/>
      <w:color w:val="262626" w:themeColor="text1" w:themeTint="D9"/>
      <w:sz w:val="21"/>
      <w:szCs w:val="21"/>
    </w:rPr>
  </w:style>
  <w:style w:type="paragraph" w:styleId="a8">
    <w:name w:val="caption"/>
    <w:basedOn w:val="a"/>
    <w:next w:val="a"/>
    <w:uiPriority w:val="35"/>
    <w:semiHidden/>
    <w:unhideWhenUsed/>
    <w:qFormat/>
    <w:rsid w:val="00270BA8"/>
    <w:pPr>
      <w:spacing w:after="200" w:line="240" w:lineRule="auto"/>
    </w:pPr>
    <w:rPr>
      <w:i/>
      <w:iCs/>
      <w:color w:val="44546A" w:themeColor="text2"/>
      <w:sz w:val="18"/>
      <w:szCs w:val="18"/>
    </w:rPr>
  </w:style>
  <w:style w:type="paragraph" w:styleId="a9">
    <w:name w:val="Title"/>
    <w:basedOn w:val="a"/>
    <w:next w:val="a"/>
    <w:link w:val="aa"/>
    <w:uiPriority w:val="10"/>
    <w:qFormat/>
    <w:rsid w:val="00270BA8"/>
    <w:pPr>
      <w:spacing w:after="0" w:line="240" w:lineRule="auto"/>
      <w:contextualSpacing/>
    </w:pPr>
    <w:rPr>
      <w:rFonts w:asciiTheme="majorHAnsi" w:eastAsiaTheme="majorEastAsia" w:hAnsiTheme="majorHAnsi" w:cstheme="majorBidi"/>
      <w:spacing w:val="-10"/>
      <w:sz w:val="56"/>
      <w:szCs w:val="56"/>
    </w:rPr>
  </w:style>
  <w:style w:type="character" w:customStyle="1" w:styleId="aa">
    <w:name w:val="标题 字符"/>
    <w:basedOn w:val="a0"/>
    <w:link w:val="a9"/>
    <w:uiPriority w:val="10"/>
    <w:rsid w:val="00270BA8"/>
    <w:rPr>
      <w:rFonts w:asciiTheme="majorHAnsi" w:eastAsiaTheme="majorEastAsia" w:hAnsiTheme="majorHAnsi" w:cstheme="majorBidi"/>
      <w:spacing w:val="-10"/>
      <w:sz w:val="56"/>
      <w:szCs w:val="56"/>
    </w:rPr>
  </w:style>
  <w:style w:type="paragraph" w:styleId="ab">
    <w:name w:val="Subtitle"/>
    <w:basedOn w:val="a"/>
    <w:next w:val="a"/>
    <w:link w:val="ac"/>
    <w:uiPriority w:val="11"/>
    <w:qFormat/>
    <w:rsid w:val="00270BA8"/>
    <w:pPr>
      <w:numPr>
        <w:ilvl w:val="1"/>
      </w:numPr>
    </w:pPr>
    <w:rPr>
      <w:color w:val="5A5A5A" w:themeColor="text1" w:themeTint="A5"/>
      <w:spacing w:val="15"/>
    </w:rPr>
  </w:style>
  <w:style w:type="character" w:customStyle="1" w:styleId="ac">
    <w:name w:val="副标题 字符"/>
    <w:basedOn w:val="a0"/>
    <w:link w:val="ab"/>
    <w:uiPriority w:val="11"/>
    <w:rsid w:val="00270BA8"/>
    <w:rPr>
      <w:color w:val="5A5A5A" w:themeColor="text1" w:themeTint="A5"/>
      <w:spacing w:val="15"/>
    </w:rPr>
  </w:style>
  <w:style w:type="character" w:styleId="ad">
    <w:name w:val="Strong"/>
    <w:basedOn w:val="a0"/>
    <w:uiPriority w:val="22"/>
    <w:qFormat/>
    <w:rsid w:val="00270BA8"/>
    <w:rPr>
      <w:b/>
      <w:bCs/>
      <w:color w:val="auto"/>
    </w:rPr>
  </w:style>
  <w:style w:type="character" w:styleId="ae">
    <w:name w:val="Emphasis"/>
    <w:basedOn w:val="a0"/>
    <w:uiPriority w:val="20"/>
    <w:qFormat/>
    <w:rsid w:val="00270BA8"/>
    <w:rPr>
      <w:i/>
      <w:iCs/>
      <w:color w:val="auto"/>
    </w:rPr>
  </w:style>
  <w:style w:type="paragraph" w:styleId="af">
    <w:name w:val="No Spacing"/>
    <w:uiPriority w:val="1"/>
    <w:qFormat/>
    <w:rsid w:val="00270BA8"/>
    <w:pPr>
      <w:spacing w:after="0" w:line="240" w:lineRule="auto"/>
    </w:pPr>
  </w:style>
  <w:style w:type="paragraph" w:styleId="af0">
    <w:name w:val="Quote"/>
    <w:basedOn w:val="a"/>
    <w:next w:val="a"/>
    <w:link w:val="af1"/>
    <w:uiPriority w:val="29"/>
    <w:qFormat/>
    <w:rsid w:val="00270BA8"/>
    <w:pPr>
      <w:spacing w:before="200"/>
      <w:ind w:left="864" w:right="864"/>
    </w:pPr>
    <w:rPr>
      <w:i/>
      <w:iCs/>
      <w:color w:val="404040" w:themeColor="text1" w:themeTint="BF"/>
    </w:rPr>
  </w:style>
  <w:style w:type="character" w:customStyle="1" w:styleId="af1">
    <w:name w:val="引用 字符"/>
    <w:basedOn w:val="a0"/>
    <w:link w:val="af0"/>
    <w:uiPriority w:val="29"/>
    <w:rsid w:val="00270BA8"/>
    <w:rPr>
      <w:i/>
      <w:iCs/>
      <w:color w:val="404040" w:themeColor="text1" w:themeTint="BF"/>
    </w:rPr>
  </w:style>
  <w:style w:type="paragraph" w:styleId="af2">
    <w:name w:val="Intense Quote"/>
    <w:basedOn w:val="a"/>
    <w:next w:val="a"/>
    <w:link w:val="af3"/>
    <w:uiPriority w:val="30"/>
    <w:qFormat/>
    <w:rsid w:val="00270BA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f3">
    <w:name w:val="明显引用 字符"/>
    <w:basedOn w:val="a0"/>
    <w:link w:val="af2"/>
    <w:uiPriority w:val="30"/>
    <w:rsid w:val="00270BA8"/>
    <w:rPr>
      <w:i/>
      <w:iCs/>
      <w:color w:val="4472C4" w:themeColor="accent1"/>
    </w:rPr>
  </w:style>
  <w:style w:type="character" w:styleId="af4">
    <w:name w:val="Subtle Emphasis"/>
    <w:basedOn w:val="a0"/>
    <w:uiPriority w:val="19"/>
    <w:qFormat/>
    <w:rsid w:val="00270BA8"/>
    <w:rPr>
      <w:i/>
      <w:iCs/>
      <w:color w:val="404040" w:themeColor="text1" w:themeTint="BF"/>
    </w:rPr>
  </w:style>
  <w:style w:type="character" w:styleId="af5">
    <w:name w:val="Intense Emphasis"/>
    <w:basedOn w:val="a0"/>
    <w:uiPriority w:val="21"/>
    <w:qFormat/>
    <w:rsid w:val="00270BA8"/>
    <w:rPr>
      <w:i/>
      <w:iCs/>
      <w:color w:val="4472C4" w:themeColor="accent1"/>
    </w:rPr>
  </w:style>
  <w:style w:type="character" w:styleId="af6">
    <w:name w:val="Subtle Reference"/>
    <w:basedOn w:val="a0"/>
    <w:uiPriority w:val="31"/>
    <w:qFormat/>
    <w:rsid w:val="00270BA8"/>
    <w:rPr>
      <w:smallCaps/>
      <w:color w:val="404040" w:themeColor="text1" w:themeTint="BF"/>
    </w:rPr>
  </w:style>
  <w:style w:type="character" w:styleId="af7">
    <w:name w:val="Intense Reference"/>
    <w:basedOn w:val="a0"/>
    <w:uiPriority w:val="32"/>
    <w:qFormat/>
    <w:rsid w:val="00270BA8"/>
    <w:rPr>
      <w:b/>
      <w:bCs/>
      <w:smallCaps/>
      <w:color w:val="4472C4" w:themeColor="accent1"/>
      <w:spacing w:val="5"/>
    </w:rPr>
  </w:style>
  <w:style w:type="character" w:styleId="af8">
    <w:name w:val="Book Title"/>
    <w:basedOn w:val="a0"/>
    <w:uiPriority w:val="33"/>
    <w:qFormat/>
    <w:rsid w:val="00270BA8"/>
    <w:rPr>
      <w:b/>
      <w:bCs/>
      <w:i/>
      <w:iCs/>
      <w:spacing w:val="5"/>
    </w:rPr>
  </w:style>
  <w:style w:type="paragraph" w:styleId="TOC">
    <w:name w:val="TOC Heading"/>
    <w:basedOn w:val="1"/>
    <w:next w:val="a"/>
    <w:uiPriority w:val="39"/>
    <w:unhideWhenUsed/>
    <w:qFormat/>
    <w:rsid w:val="00270BA8"/>
    <w:pPr>
      <w:outlineLvl w:val="9"/>
    </w:pPr>
  </w:style>
  <w:style w:type="character" w:styleId="af9">
    <w:name w:val="Hyperlink"/>
    <w:basedOn w:val="a0"/>
    <w:uiPriority w:val="99"/>
    <w:unhideWhenUsed/>
    <w:rsid w:val="00C063FD"/>
    <w:rPr>
      <w:color w:val="0563C1" w:themeColor="hyperlink"/>
      <w:u w:val="single"/>
    </w:rPr>
  </w:style>
  <w:style w:type="character" w:customStyle="1" w:styleId="11">
    <w:name w:val="未处理的提及1"/>
    <w:basedOn w:val="a0"/>
    <w:uiPriority w:val="99"/>
    <w:semiHidden/>
    <w:unhideWhenUsed/>
    <w:rsid w:val="00C063FD"/>
    <w:rPr>
      <w:color w:val="605E5C"/>
      <w:shd w:val="clear" w:color="auto" w:fill="E1DFDD"/>
    </w:rPr>
  </w:style>
  <w:style w:type="table" w:styleId="afa">
    <w:name w:val="Table Grid"/>
    <w:basedOn w:val="a1"/>
    <w:uiPriority w:val="39"/>
    <w:rsid w:val="00E55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b">
    <w:name w:val="Bibliography"/>
    <w:basedOn w:val="a"/>
    <w:next w:val="a"/>
    <w:uiPriority w:val="37"/>
    <w:unhideWhenUsed/>
    <w:rsid w:val="00084E2D"/>
    <w:pPr>
      <w:spacing w:after="240" w:line="240" w:lineRule="auto"/>
    </w:pPr>
  </w:style>
  <w:style w:type="paragraph" w:styleId="12">
    <w:name w:val="toc 1"/>
    <w:basedOn w:val="a"/>
    <w:next w:val="a"/>
    <w:autoRedefine/>
    <w:uiPriority w:val="39"/>
    <w:unhideWhenUsed/>
    <w:rsid w:val="00E420DB"/>
  </w:style>
  <w:style w:type="paragraph" w:styleId="21">
    <w:name w:val="toc 2"/>
    <w:basedOn w:val="a"/>
    <w:next w:val="a"/>
    <w:autoRedefine/>
    <w:uiPriority w:val="39"/>
    <w:unhideWhenUsed/>
    <w:rsid w:val="00E420DB"/>
    <w:pPr>
      <w:ind w:leftChars="200" w:left="420"/>
    </w:pPr>
  </w:style>
  <w:style w:type="paragraph" w:styleId="31">
    <w:name w:val="toc 3"/>
    <w:basedOn w:val="a"/>
    <w:next w:val="a"/>
    <w:autoRedefine/>
    <w:uiPriority w:val="39"/>
    <w:unhideWhenUsed/>
    <w:rsid w:val="00E420DB"/>
    <w:pPr>
      <w:ind w:leftChars="400" w:left="840"/>
    </w:pPr>
  </w:style>
  <w:style w:type="character" w:styleId="afc">
    <w:name w:val="annotation reference"/>
    <w:basedOn w:val="a0"/>
    <w:uiPriority w:val="99"/>
    <w:semiHidden/>
    <w:unhideWhenUsed/>
    <w:rsid w:val="00B06CFE"/>
    <w:rPr>
      <w:sz w:val="16"/>
      <w:szCs w:val="16"/>
    </w:rPr>
  </w:style>
  <w:style w:type="paragraph" w:styleId="afd">
    <w:name w:val="annotation text"/>
    <w:basedOn w:val="a"/>
    <w:link w:val="afe"/>
    <w:uiPriority w:val="99"/>
    <w:semiHidden/>
    <w:unhideWhenUsed/>
    <w:rsid w:val="00B06CFE"/>
    <w:pPr>
      <w:spacing w:line="240" w:lineRule="auto"/>
    </w:pPr>
    <w:rPr>
      <w:sz w:val="20"/>
      <w:szCs w:val="20"/>
    </w:rPr>
  </w:style>
  <w:style w:type="character" w:customStyle="1" w:styleId="afe">
    <w:name w:val="批注文字 字符"/>
    <w:basedOn w:val="a0"/>
    <w:link w:val="afd"/>
    <w:uiPriority w:val="99"/>
    <w:semiHidden/>
    <w:rsid w:val="00B06CFE"/>
    <w:rPr>
      <w:sz w:val="20"/>
      <w:szCs w:val="20"/>
    </w:rPr>
  </w:style>
  <w:style w:type="paragraph" w:styleId="aff">
    <w:name w:val="annotation subject"/>
    <w:basedOn w:val="afd"/>
    <w:next w:val="afd"/>
    <w:link w:val="aff0"/>
    <w:uiPriority w:val="99"/>
    <w:semiHidden/>
    <w:unhideWhenUsed/>
    <w:rsid w:val="00B06CFE"/>
    <w:rPr>
      <w:b/>
      <w:bCs/>
    </w:rPr>
  </w:style>
  <w:style w:type="character" w:customStyle="1" w:styleId="aff0">
    <w:name w:val="批注主题 字符"/>
    <w:basedOn w:val="afe"/>
    <w:link w:val="aff"/>
    <w:uiPriority w:val="99"/>
    <w:semiHidden/>
    <w:rsid w:val="00B06C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604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D883A6-9137-477F-AD82-E7049AB2D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Pages>
  <Words>29081</Words>
  <Characters>165762</Characters>
  <Application>Microsoft Office Word</Application>
  <DocSecurity>0</DocSecurity>
  <Lines>1381</Lines>
  <Paragraphs>388</Paragraphs>
  <ScaleCrop>false</ScaleCrop>
  <Company/>
  <LinksUpToDate>false</LinksUpToDate>
  <CharactersWithSpaces>194455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蔡靖</dc:creator>
  <cp:keywords/>
  <dc:description/>
  <cp:lastModifiedBy>蔡靖</cp:lastModifiedBy>
  <cp:revision>19</cp:revision>
  <dcterms:created xsi:type="dcterms:W3CDTF">2024-04-18T17:23:00Z</dcterms:created>
  <dcterms:modified xsi:type="dcterms:W3CDTF">2024-07-16T14:48:00Z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4dbb54621c1634fe70de09de514d8027fb4145998586dc3327b8b88802b07744</vt:lpwstr>
  </property>
  <property fmtid="{D5CDD505-2E9C-101B-9397-08002B2CF9AE}" pid="3" name="ZOTERO_PREF_1">
    <vt:lpwstr>&lt;data data-version="3" zotero-version="6.0.36"&gt;&lt;session id="MRBxNWYl"/&gt;&lt;style id="http://www.zotero.org/styles/harvard-cite-them-right" hasBibliography="1" bibliographyStyleHasBeenSet="1"/&gt;&lt;prefs&gt;&lt;pref name="fieldType" value="Field"/&gt;&lt;/prefs&gt;&lt;/data&gt;</vt:lpwstr>
  </property>
</Properties>
</file>