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1BA0" w:rsidRPr="00A90EF8" w:rsidRDefault="003A1BA0" w:rsidP="00A90EF8">
      <w:pPr>
        <w:rPr>
          <w:sz w:val="24"/>
          <w:szCs w:val="24"/>
        </w:rPr>
      </w:pPr>
      <w:r w:rsidRPr="00A90EF8">
        <w:rPr>
          <w:sz w:val="24"/>
          <w:szCs w:val="24"/>
        </w:rPr>
        <w:t xml:space="preserve">MODULE CODE       </w:t>
      </w:r>
      <w:r w:rsidR="003D3CD8" w:rsidRPr="00A90EF8">
        <w:rPr>
          <w:sz w:val="24"/>
          <w:szCs w:val="24"/>
        </w:rPr>
        <w:tab/>
      </w:r>
      <w:r w:rsidRPr="00A90EF8">
        <w:rPr>
          <w:sz w:val="24"/>
          <w:szCs w:val="24"/>
        </w:rPr>
        <w:t>AHAC7014</w:t>
      </w:r>
    </w:p>
    <w:p w:rsidR="003A1BA0" w:rsidRPr="00A90EF8" w:rsidRDefault="003A1BA0" w:rsidP="00A90EF8">
      <w:pPr>
        <w:rPr>
          <w:sz w:val="28"/>
        </w:rPr>
      </w:pPr>
      <w:r w:rsidRPr="00A90EF8">
        <w:rPr>
          <w:sz w:val="24"/>
        </w:rPr>
        <w:t>TITLE:</w:t>
      </w:r>
      <w:r w:rsidRPr="00A90EF8">
        <w:rPr>
          <w:sz w:val="24"/>
        </w:rPr>
        <w:tab/>
      </w:r>
      <w:r w:rsidRPr="00A90EF8">
        <w:rPr>
          <w:sz w:val="28"/>
        </w:rPr>
        <w:tab/>
      </w:r>
      <w:r w:rsidRPr="00A90EF8">
        <w:rPr>
          <w:sz w:val="28"/>
        </w:rPr>
        <w:tab/>
      </w:r>
      <w:r w:rsidRPr="00A90EF8">
        <w:rPr>
          <w:sz w:val="28"/>
          <w:u w:val="single"/>
        </w:rPr>
        <w:t>Heritage and Architecture:  Heritage and the Built Environment</w:t>
      </w:r>
    </w:p>
    <w:p w:rsidR="003A1BA0" w:rsidRPr="00A90EF8" w:rsidRDefault="003A1BA0" w:rsidP="00A90EF8">
      <w:pPr>
        <w:rPr>
          <w:sz w:val="24"/>
          <w:szCs w:val="24"/>
        </w:rPr>
      </w:pPr>
      <w:r w:rsidRPr="00A90EF8">
        <w:rPr>
          <w:sz w:val="24"/>
          <w:szCs w:val="24"/>
        </w:rPr>
        <w:t xml:space="preserve">LEVEL: </w:t>
      </w:r>
      <w:r w:rsidRPr="00A90EF8">
        <w:rPr>
          <w:sz w:val="24"/>
          <w:szCs w:val="24"/>
        </w:rPr>
        <w:tab/>
      </w:r>
      <w:r w:rsidRPr="00A90EF8">
        <w:rPr>
          <w:sz w:val="24"/>
          <w:szCs w:val="24"/>
        </w:rPr>
        <w:tab/>
      </w:r>
      <w:r w:rsidR="003D3CD8" w:rsidRPr="00A90EF8">
        <w:rPr>
          <w:sz w:val="24"/>
          <w:szCs w:val="24"/>
        </w:rPr>
        <w:tab/>
      </w:r>
      <w:r w:rsidRPr="00A90EF8">
        <w:rPr>
          <w:sz w:val="24"/>
          <w:szCs w:val="24"/>
        </w:rPr>
        <w:t>7</w:t>
      </w:r>
      <w:r w:rsidRPr="00A90EF8">
        <w:rPr>
          <w:sz w:val="24"/>
          <w:szCs w:val="24"/>
        </w:rPr>
        <w:tab/>
      </w:r>
      <w:r w:rsidRPr="00A90EF8">
        <w:rPr>
          <w:sz w:val="24"/>
          <w:szCs w:val="24"/>
        </w:rPr>
        <w:tab/>
      </w:r>
      <w:r w:rsidRPr="00A90EF8">
        <w:rPr>
          <w:sz w:val="24"/>
          <w:szCs w:val="24"/>
        </w:rPr>
        <w:tab/>
      </w:r>
    </w:p>
    <w:p w:rsidR="003A1BA0" w:rsidRPr="00A90EF8" w:rsidRDefault="003A1BA0" w:rsidP="00A90EF8">
      <w:pPr>
        <w:rPr>
          <w:sz w:val="24"/>
          <w:szCs w:val="24"/>
        </w:rPr>
      </w:pPr>
      <w:r w:rsidRPr="00A90EF8">
        <w:rPr>
          <w:sz w:val="24"/>
          <w:szCs w:val="24"/>
        </w:rPr>
        <w:t xml:space="preserve">CREDITS: </w:t>
      </w:r>
      <w:r w:rsidRPr="00A90EF8">
        <w:rPr>
          <w:sz w:val="24"/>
          <w:szCs w:val="24"/>
        </w:rPr>
        <w:tab/>
      </w:r>
      <w:r w:rsidRPr="00A90EF8">
        <w:rPr>
          <w:sz w:val="24"/>
          <w:szCs w:val="24"/>
        </w:rPr>
        <w:tab/>
        <w:t>20</w:t>
      </w:r>
      <w:r w:rsidRPr="00A90EF8">
        <w:rPr>
          <w:sz w:val="24"/>
          <w:szCs w:val="24"/>
        </w:rPr>
        <w:tab/>
      </w:r>
      <w:r w:rsidRPr="00A90EF8">
        <w:rPr>
          <w:sz w:val="24"/>
          <w:szCs w:val="24"/>
        </w:rPr>
        <w:tab/>
      </w:r>
      <w:r w:rsidRPr="00A90EF8">
        <w:rPr>
          <w:sz w:val="24"/>
          <w:szCs w:val="24"/>
        </w:rPr>
        <w:tab/>
      </w:r>
      <w:r w:rsidRPr="00A90EF8">
        <w:rPr>
          <w:sz w:val="24"/>
          <w:szCs w:val="24"/>
        </w:rPr>
        <w:tab/>
      </w:r>
      <w:r w:rsidRPr="00A90EF8">
        <w:rPr>
          <w:sz w:val="24"/>
          <w:szCs w:val="24"/>
        </w:rPr>
        <w:tab/>
      </w:r>
      <w:r w:rsidRPr="00A90EF8">
        <w:rPr>
          <w:sz w:val="24"/>
          <w:szCs w:val="24"/>
        </w:rPr>
        <w:tab/>
      </w:r>
    </w:p>
    <w:p w:rsidR="003A1BA0" w:rsidRPr="00A90EF8" w:rsidRDefault="003D3CD8" w:rsidP="00A90EF8">
      <w:pPr>
        <w:rPr>
          <w:sz w:val="24"/>
          <w:szCs w:val="24"/>
        </w:rPr>
      </w:pPr>
      <w:r w:rsidRPr="00A90EF8">
        <w:rPr>
          <w:sz w:val="24"/>
          <w:szCs w:val="24"/>
        </w:rPr>
        <w:t>JACS CODE:</w:t>
      </w:r>
      <w:r w:rsidRPr="00A90EF8">
        <w:rPr>
          <w:sz w:val="24"/>
          <w:szCs w:val="24"/>
        </w:rPr>
        <w:tab/>
      </w:r>
      <w:r w:rsidRPr="00A90EF8">
        <w:rPr>
          <w:sz w:val="24"/>
          <w:szCs w:val="24"/>
        </w:rPr>
        <w:tab/>
      </w:r>
      <w:r w:rsidR="003A1BA0" w:rsidRPr="00A90EF8">
        <w:rPr>
          <w:sz w:val="24"/>
          <w:szCs w:val="24"/>
        </w:rPr>
        <w:t>F420</w:t>
      </w:r>
    </w:p>
    <w:p w:rsidR="003A1BA0" w:rsidRPr="00A90EF8" w:rsidRDefault="003A1BA0" w:rsidP="00A90EF8">
      <w:pPr>
        <w:rPr>
          <w:sz w:val="32"/>
        </w:rPr>
      </w:pPr>
    </w:p>
    <w:p w:rsidR="00236620" w:rsidRPr="00A90EF8" w:rsidRDefault="00236620" w:rsidP="00A90EF8">
      <w:pPr>
        <w:spacing w:before="360" w:after="180"/>
        <w:rPr>
          <w:rFonts w:eastAsia="Times New Roman" w:cs="Arial"/>
          <w:b/>
          <w:sz w:val="28"/>
        </w:rPr>
      </w:pPr>
      <w:r w:rsidRPr="00A90EF8">
        <w:rPr>
          <w:rFonts w:eastAsia="Times New Roman" w:cs="Arial"/>
          <w:b/>
          <w:sz w:val="28"/>
        </w:rPr>
        <w:t>Rationale</w:t>
      </w:r>
      <w:r w:rsidR="00064332" w:rsidRPr="00A90EF8">
        <w:rPr>
          <w:rFonts w:eastAsia="Times New Roman" w:cs="Arial"/>
          <w:b/>
          <w:sz w:val="28"/>
        </w:rPr>
        <w:t xml:space="preserve"> &amp; Aims</w:t>
      </w:r>
    </w:p>
    <w:p w:rsidR="00236620" w:rsidRPr="00A90EF8" w:rsidRDefault="00236620" w:rsidP="00A90EF8">
      <w:pPr>
        <w:rPr>
          <w:rFonts w:eastAsia="Calibri"/>
        </w:rPr>
      </w:pPr>
      <w:r w:rsidRPr="00A90EF8">
        <w:rPr>
          <w:rFonts w:eastAsia="Calibri"/>
        </w:rPr>
        <w:t xml:space="preserve">Historic Buildings and Structures </w:t>
      </w:r>
      <w:r w:rsidR="00064332" w:rsidRPr="00A90EF8">
        <w:rPr>
          <w:rFonts w:eastAsia="Calibri"/>
        </w:rPr>
        <w:t>are</w:t>
      </w:r>
      <w:r w:rsidRPr="00A90EF8">
        <w:rPr>
          <w:rFonts w:eastAsia="Calibri"/>
        </w:rPr>
        <w:t xml:space="preserve"> some of the most visible elements of our heritage.  Like landscapes they can be “read” as unwritten records of the past – in most cases</w:t>
      </w:r>
      <w:r w:rsidR="00064332" w:rsidRPr="00A90EF8">
        <w:rPr>
          <w:rFonts w:eastAsia="Calibri"/>
        </w:rPr>
        <w:t xml:space="preserve"> however</w:t>
      </w:r>
      <w:r w:rsidRPr="00A90EF8">
        <w:rPr>
          <w:rFonts w:eastAsia="Calibri"/>
        </w:rPr>
        <w:t xml:space="preserve">, </w:t>
      </w:r>
      <w:r w:rsidR="00064332" w:rsidRPr="00A90EF8">
        <w:rPr>
          <w:rFonts w:eastAsia="Calibri"/>
        </w:rPr>
        <w:t>especially with later buildings</w:t>
      </w:r>
      <w:r w:rsidRPr="00A90EF8">
        <w:rPr>
          <w:rFonts w:eastAsia="Calibri"/>
        </w:rPr>
        <w:t xml:space="preserve">, this unwritten record is supported by a rich documentary archive which can often illuminate details of the story.   </w:t>
      </w:r>
    </w:p>
    <w:p w:rsidR="00C37F2B" w:rsidRPr="00A90EF8" w:rsidRDefault="00064332" w:rsidP="00A90EF8">
      <w:pPr>
        <w:rPr>
          <w:rFonts w:eastAsia="Calibri"/>
        </w:rPr>
      </w:pPr>
      <w:r w:rsidRPr="00A90EF8">
        <w:rPr>
          <w:rFonts w:eastAsia="Calibri"/>
        </w:rPr>
        <w:t>The proper study of historic buildings is multidisciplinary</w:t>
      </w:r>
      <w:r w:rsidR="00C37F2B" w:rsidRPr="00A90EF8">
        <w:rPr>
          <w:rFonts w:eastAsia="Calibri"/>
        </w:rPr>
        <w:t>;</w:t>
      </w:r>
      <w:r w:rsidRPr="00A90EF8">
        <w:rPr>
          <w:rFonts w:eastAsia="Calibri"/>
        </w:rPr>
        <w:t xml:space="preserve"> involving collaboration between architectural historians, conservation architects, building archaeologists and practical building conservation specialists.  </w:t>
      </w:r>
      <w:r w:rsidR="00C37F2B" w:rsidRPr="00A90EF8">
        <w:rPr>
          <w:rFonts w:eastAsia="Calibri"/>
        </w:rPr>
        <w:t>The diversity of approaches is reflected by the diversity of bodies involved in UK conservation practice.  The module therefore aims to adopt a similar broad based approach and explores the varied perspectives and attitudes to the significance, protection and conservation of the built environment.</w:t>
      </w:r>
    </w:p>
    <w:p w:rsidR="00C37F2B" w:rsidRPr="00A90EF8" w:rsidRDefault="00C37F2B" w:rsidP="00A90EF8">
      <w:pPr>
        <w:rPr>
          <w:rFonts w:eastAsia="Calibri"/>
        </w:rPr>
      </w:pPr>
      <w:r w:rsidRPr="00A90EF8">
        <w:rPr>
          <w:rFonts w:eastAsia="Calibri"/>
        </w:rPr>
        <w:t>The aims are:</w:t>
      </w:r>
    </w:p>
    <w:p w:rsidR="00C37F2B" w:rsidRPr="00A90EF8" w:rsidRDefault="00C37F2B" w:rsidP="00A90EF8">
      <w:pPr>
        <w:pStyle w:val="ListParagraph"/>
        <w:numPr>
          <w:ilvl w:val="0"/>
          <w:numId w:val="4"/>
        </w:numPr>
        <w:contextualSpacing w:val="0"/>
        <w:rPr>
          <w:rFonts w:eastAsia="Calibri"/>
        </w:rPr>
      </w:pPr>
      <w:r w:rsidRPr="00A90EF8">
        <w:rPr>
          <w:rFonts w:eastAsia="Calibri"/>
        </w:rPr>
        <w:t xml:space="preserve">To give participants a broad based understanding of the architectural heritage of Wales and the UK from the late-mediaeval period to the present and enable them to “read buildings”; to begin to understand the story which they record and to be able to assess their cultural and historic significance.   </w:t>
      </w:r>
    </w:p>
    <w:p w:rsidR="00C37F2B" w:rsidRPr="00A90EF8" w:rsidRDefault="00C37F2B" w:rsidP="00A90EF8">
      <w:pPr>
        <w:pStyle w:val="ListParagraph"/>
        <w:numPr>
          <w:ilvl w:val="0"/>
          <w:numId w:val="4"/>
        </w:numPr>
        <w:contextualSpacing w:val="0"/>
      </w:pPr>
      <w:r w:rsidRPr="00A90EF8">
        <w:t>To enable students to understand the complexity and problematic nature of architectural heritage within the built environment as a socio-political and cultural practice, enabling them to reflect critically upon its various conceptual and methodological issues.</w:t>
      </w:r>
    </w:p>
    <w:p w:rsidR="00C37F2B" w:rsidRPr="00A90EF8" w:rsidRDefault="00C37F2B" w:rsidP="00A90EF8">
      <w:pPr>
        <w:pStyle w:val="ListParagraph"/>
        <w:numPr>
          <w:ilvl w:val="0"/>
          <w:numId w:val="4"/>
        </w:numPr>
        <w:contextualSpacing w:val="0"/>
      </w:pPr>
      <w:r w:rsidRPr="00A90EF8">
        <w:t>To enable students to critically reflect upon the various legal, conventional, ethical and institutional frameworks within which the activities and practice of architectural heritage take place.</w:t>
      </w:r>
    </w:p>
    <w:p w:rsidR="00236620" w:rsidRPr="00A90EF8" w:rsidRDefault="00064332" w:rsidP="00A90EF8">
      <w:pPr>
        <w:rPr>
          <w:rFonts w:eastAsia="Calibri"/>
        </w:rPr>
      </w:pPr>
      <w:r w:rsidRPr="00A90EF8">
        <w:rPr>
          <w:rFonts w:eastAsia="Calibri"/>
        </w:rPr>
        <w:t xml:space="preserve">Emphasis will be placed on </w:t>
      </w:r>
      <w:r w:rsidR="00236620" w:rsidRPr="00A90EF8">
        <w:rPr>
          <w:rFonts w:eastAsia="Calibri"/>
        </w:rPr>
        <w:t>how the heritage significance of buildings ca</w:t>
      </w:r>
      <w:r w:rsidR="00C37F2B" w:rsidRPr="00A90EF8">
        <w:rPr>
          <w:rFonts w:eastAsia="Calibri"/>
        </w:rPr>
        <w:t>n be researched and assessed – In particular</w:t>
      </w:r>
      <w:r w:rsidRPr="00A90EF8">
        <w:rPr>
          <w:rFonts w:eastAsia="Calibri"/>
        </w:rPr>
        <w:t xml:space="preserve"> how </w:t>
      </w:r>
      <w:r w:rsidR="00236620" w:rsidRPr="00A90EF8">
        <w:rPr>
          <w:rFonts w:eastAsia="Calibri"/>
        </w:rPr>
        <w:t xml:space="preserve">field-evidence </w:t>
      </w:r>
      <w:r w:rsidRPr="00A90EF8">
        <w:rPr>
          <w:rFonts w:eastAsia="Calibri"/>
        </w:rPr>
        <w:t xml:space="preserve">can be linked </w:t>
      </w:r>
      <w:r w:rsidR="00236620" w:rsidRPr="00A90EF8">
        <w:rPr>
          <w:rFonts w:eastAsia="Calibri"/>
        </w:rPr>
        <w:t xml:space="preserve">with other forms of heritage record to provide an integrated assessment.   </w:t>
      </w:r>
    </w:p>
    <w:p w:rsidR="00233F86" w:rsidRPr="00A90EF8" w:rsidRDefault="00233F86" w:rsidP="00A90EF8">
      <w:pPr>
        <w:spacing w:before="360" w:after="180"/>
        <w:rPr>
          <w:rFonts w:eastAsia="Times New Roman" w:cs="Arial"/>
          <w:b/>
          <w:sz w:val="28"/>
        </w:rPr>
      </w:pPr>
      <w:r w:rsidRPr="00A90EF8">
        <w:rPr>
          <w:rFonts w:eastAsia="Times New Roman" w:cs="Arial"/>
          <w:b/>
          <w:sz w:val="28"/>
        </w:rPr>
        <w:t>L</w:t>
      </w:r>
      <w:r w:rsidR="00236620" w:rsidRPr="00A90EF8">
        <w:rPr>
          <w:rFonts w:eastAsia="Times New Roman" w:cs="Arial"/>
          <w:b/>
          <w:sz w:val="28"/>
        </w:rPr>
        <w:t>earning Outcomes</w:t>
      </w:r>
    </w:p>
    <w:p w:rsidR="00233F86" w:rsidRPr="00A90EF8" w:rsidRDefault="00233F86" w:rsidP="00A90EF8">
      <w:pPr>
        <w:pStyle w:val="NoSpacing"/>
        <w:spacing w:after="240" w:line="280" w:lineRule="atLeast"/>
        <w:rPr>
          <w:rFonts w:asciiTheme="minorHAnsi" w:hAnsiTheme="minorHAnsi" w:cs="Arial"/>
        </w:rPr>
      </w:pPr>
      <w:r w:rsidRPr="00A90EF8">
        <w:rPr>
          <w:rFonts w:asciiTheme="minorHAnsi" w:hAnsiTheme="minorHAnsi" w:cs="Arial"/>
        </w:rPr>
        <w:t xml:space="preserve">By the end of this module students should be able to:  </w:t>
      </w:r>
    </w:p>
    <w:p w:rsidR="00236620" w:rsidRPr="00A90EF8" w:rsidRDefault="00236620" w:rsidP="00A90EF8">
      <w:pPr>
        <w:ind w:left="720" w:hanging="720"/>
        <w:rPr>
          <w:rFonts w:cs="Arial"/>
          <w:color w:val="000000" w:themeColor="text1"/>
        </w:rPr>
      </w:pPr>
      <w:r w:rsidRPr="00A90EF8">
        <w:rPr>
          <w:rFonts w:cs="Arial"/>
          <w:color w:val="000000" w:themeColor="text1"/>
        </w:rPr>
        <w:t>LO1</w:t>
      </w:r>
      <w:r w:rsidRPr="00A90EF8">
        <w:rPr>
          <w:rFonts w:cs="Arial"/>
          <w:color w:val="000000" w:themeColor="text1"/>
        </w:rPr>
        <w:tab/>
        <w:t xml:space="preserve">Demonstrate a substantial understanding of the ethical, conceptual and methodological issues which underpin the theory and practice of architectural and built environment conservation.  </w:t>
      </w:r>
    </w:p>
    <w:p w:rsidR="00236620" w:rsidRPr="00A90EF8" w:rsidRDefault="00236620" w:rsidP="00A90EF8">
      <w:pPr>
        <w:ind w:left="720" w:hanging="720"/>
        <w:rPr>
          <w:rFonts w:cs="Arial"/>
          <w:color w:val="000000" w:themeColor="text1"/>
        </w:rPr>
      </w:pPr>
      <w:r w:rsidRPr="00A90EF8">
        <w:rPr>
          <w:rFonts w:cs="Arial"/>
          <w:color w:val="000000" w:themeColor="text1"/>
        </w:rPr>
        <w:lastRenderedPageBreak/>
        <w:t>LO2</w:t>
      </w:r>
      <w:r w:rsidRPr="00A90EF8">
        <w:rPr>
          <w:rFonts w:cs="Arial"/>
          <w:color w:val="000000" w:themeColor="text1"/>
        </w:rPr>
        <w:tab/>
      </w:r>
      <w:r w:rsidRPr="00A90EF8">
        <w:rPr>
          <w:color w:val="000000" w:themeColor="text1"/>
        </w:rPr>
        <w:t>Display a clear understanding</w:t>
      </w:r>
      <w:r w:rsidRPr="00A90EF8">
        <w:rPr>
          <w:rFonts w:cs="Arial"/>
          <w:color w:val="000000" w:themeColor="text1"/>
        </w:rPr>
        <w:t xml:space="preserve"> of the relevant institutions, conventions, legal instruments and mechanisms which are associated with the protection and conservation of historic buildings, structures and environments. </w:t>
      </w:r>
    </w:p>
    <w:p w:rsidR="00236620" w:rsidRPr="00A90EF8" w:rsidRDefault="00236620" w:rsidP="00A90EF8">
      <w:pPr>
        <w:ind w:left="720" w:hanging="720"/>
        <w:rPr>
          <w:rFonts w:eastAsia="Calibri"/>
          <w:color w:val="000000" w:themeColor="text1"/>
        </w:rPr>
      </w:pPr>
      <w:r w:rsidRPr="00A90EF8">
        <w:rPr>
          <w:rFonts w:eastAsia="Calibri"/>
          <w:color w:val="000000" w:themeColor="text1"/>
        </w:rPr>
        <w:t>LO3</w:t>
      </w:r>
      <w:r w:rsidRPr="00A90EF8">
        <w:rPr>
          <w:rFonts w:eastAsia="Calibri"/>
          <w:color w:val="000000" w:themeColor="text1"/>
        </w:rPr>
        <w:tab/>
        <w:t xml:space="preserve">Offer comparative perspectives on the </w:t>
      </w:r>
      <w:r w:rsidRPr="00A90EF8">
        <w:rPr>
          <w:color w:val="000000" w:themeColor="text1"/>
        </w:rPr>
        <w:t>preservation, conservation and representation of architectural heritage and the built environment</w:t>
      </w:r>
      <w:r w:rsidRPr="00A90EF8">
        <w:rPr>
          <w:rFonts w:eastAsia="Calibri"/>
          <w:color w:val="000000" w:themeColor="text1"/>
        </w:rPr>
        <w:t xml:space="preserve"> from different historic, social, political and cultural contexts.</w:t>
      </w:r>
    </w:p>
    <w:p w:rsidR="00236620" w:rsidRPr="00A90EF8" w:rsidRDefault="00236620" w:rsidP="00A90EF8">
      <w:pPr>
        <w:ind w:left="720" w:hanging="720"/>
        <w:rPr>
          <w:rFonts w:eastAsia="Calibri"/>
          <w:color w:val="000000" w:themeColor="text1"/>
        </w:rPr>
      </w:pPr>
      <w:r w:rsidRPr="00A90EF8">
        <w:rPr>
          <w:rFonts w:eastAsia="Calibri"/>
          <w:color w:val="000000" w:themeColor="text1"/>
        </w:rPr>
        <w:t>LO4</w:t>
      </w:r>
      <w:r w:rsidRPr="00A90EF8">
        <w:rPr>
          <w:rFonts w:eastAsia="Calibri"/>
          <w:color w:val="000000" w:themeColor="text1"/>
        </w:rPr>
        <w:tab/>
        <w:t>Exhibit a</w:t>
      </w:r>
      <w:r w:rsidRPr="00A90EF8">
        <w:rPr>
          <w:rFonts w:cs="Arial"/>
          <w:color w:val="000000" w:themeColor="text1"/>
        </w:rPr>
        <w:t xml:space="preserve"> broad knowledge of historic </w:t>
      </w:r>
      <w:r w:rsidRPr="00A90EF8">
        <w:rPr>
          <w:rFonts w:eastAsia="Calibri"/>
          <w:color w:val="000000" w:themeColor="text1"/>
        </w:rPr>
        <w:t>building construction, the characteristics of structures, the nature and properties of building materials and appropriate methods of repair and alteration of historic fabric.</w:t>
      </w:r>
    </w:p>
    <w:p w:rsidR="00236620" w:rsidRPr="00A90EF8" w:rsidRDefault="00236620" w:rsidP="00A90EF8">
      <w:pPr>
        <w:ind w:left="720" w:hanging="720"/>
        <w:rPr>
          <w:rFonts w:cs="Arial"/>
          <w:color w:val="000000" w:themeColor="text1"/>
        </w:rPr>
      </w:pPr>
      <w:r w:rsidRPr="00A90EF8">
        <w:rPr>
          <w:rFonts w:cs="Arial"/>
          <w:color w:val="000000" w:themeColor="text1"/>
        </w:rPr>
        <w:t>LO5</w:t>
      </w:r>
      <w:r w:rsidRPr="00A90EF8">
        <w:rPr>
          <w:rFonts w:cs="Arial"/>
          <w:color w:val="000000" w:themeColor="text1"/>
        </w:rPr>
        <w:tab/>
        <w:t xml:space="preserve">Illustrate the use of field and archive research to investigate a building or structure, indicate it’s architectural and heritage significance, critically </w:t>
      </w:r>
      <w:r w:rsidRPr="00A90EF8">
        <w:rPr>
          <w:rFonts w:eastAsia="Calibri"/>
          <w:color w:val="000000" w:themeColor="text1"/>
        </w:rPr>
        <w:t xml:space="preserve">assess the range of threats it faces and </w:t>
      </w:r>
      <w:r w:rsidRPr="00A90EF8">
        <w:rPr>
          <w:rFonts w:cs="Arial"/>
          <w:color w:val="000000" w:themeColor="text1"/>
        </w:rPr>
        <w:t>make reasoned recommendations for an appropriate conservation management strategy.</w:t>
      </w:r>
    </w:p>
    <w:p w:rsidR="00233F86" w:rsidRPr="00A90EF8" w:rsidRDefault="00233F86" w:rsidP="00435BC8">
      <w:pPr>
        <w:spacing w:before="360" w:after="180"/>
        <w:rPr>
          <w:rFonts w:eastAsia="Times New Roman" w:cs="Arial"/>
          <w:b/>
          <w:sz w:val="28"/>
        </w:rPr>
      </w:pPr>
      <w:r w:rsidRPr="00A90EF8">
        <w:rPr>
          <w:rFonts w:eastAsia="Times New Roman" w:cs="Arial"/>
          <w:b/>
          <w:sz w:val="28"/>
        </w:rPr>
        <w:t>I</w:t>
      </w:r>
      <w:r w:rsidR="00236620" w:rsidRPr="00A90EF8">
        <w:rPr>
          <w:rFonts w:eastAsia="Times New Roman" w:cs="Arial"/>
          <w:b/>
          <w:sz w:val="28"/>
        </w:rPr>
        <w:t xml:space="preserve">ndicative Content </w:t>
      </w:r>
    </w:p>
    <w:p w:rsidR="0064724B" w:rsidRPr="00A90EF8" w:rsidRDefault="0064724B" w:rsidP="00A90EF8">
      <w:r w:rsidRPr="00A90EF8">
        <w:t>This module examines the nature and character of architectural legacies and remains through the heritage and planning issues that aim to protect, conserve and represent the historic built environment. The module will explore architectural heritage approaches in the process of creating, revising and / or regenerating economies, socio political identities and cultural awareness.</w:t>
      </w:r>
    </w:p>
    <w:p w:rsidR="00C37F2B" w:rsidRPr="00A90EF8" w:rsidRDefault="00C37F2B" w:rsidP="00A90EF8">
      <w:pPr>
        <w:rPr>
          <w:rFonts w:eastAsia="Calibri"/>
        </w:rPr>
      </w:pPr>
      <w:r w:rsidRPr="00A90EF8">
        <w:rPr>
          <w:rFonts w:eastAsia="Calibri"/>
        </w:rPr>
        <w:t xml:space="preserve">This module introduces the diversity of architectural heritage in the UK and explores the chronological development of building styles, construction methods, technologies and materials and places them in historic context.  </w:t>
      </w:r>
    </w:p>
    <w:p w:rsidR="00C37F2B" w:rsidRPr="00A90EF8" w:rsidRDefault="00C37F2B" w:rsidP="00A90EF8">
      <w:pPr>
        <w:rPr>
          <w:rFonts w:eastAsia="Calibri"/>
        </w:rPr>
      </w:pPr>
      <w:r w:rsidRPr="00A90EF8">
        <w:rPr>
          <w:rFonts w:eastAsia="Calibri"/>
        </w:rPr>
        <w:t xml:space="preserve">It explores some of the chief conservation challenges facing each building type, construction method and material and explores how these issues may be addressed in a conservation management strategy.   </w:t>
      </w:r>
    </w:p>
    <w:p w:rsidR="00CB40D9" w:rsidRPr="00A90EF8" w:rsidRDefault="00C37F2B" w:rsidP="00A90EF8">
      <w:pPr>
        <w:rPr>
          <w:rFonts w:eastAsia="Calibri"/>
        </w:rPr>
      </w:pPr>
      <w:r w:rsidRPr="00A90EF8">
        <w:rPr>
          <w:rFonts w:eastAsia="Calibri"/>
        </w:rPr>
        <w:t xml:space="preserve">The module introduces the key bodies involved in their management and examines the different approaches which they have adopted to the assessment of </w:t>
      </w:r>
      <w:r w:rsidRPr="00A90EF8">
        <w:rPr>
          <w:rFonts w:cs="Arial"/>
        </w:rPr>
        <w:t xml:space="preserve">historic building and structure </w:t>
      </w:r>
      <w:r w:rsidRPr="00A90EF8">
        <w:rPr>
          <w:rFonts w:eastAsia="Calibri"/>
        </w:rPr>
        <w:t>significance, protection and conservation.</w:t>
      </w:r>
    </w:p>
    <w:p w:rsidR="001F79C7" w:rsidRPr="00A90EF8" w:rsidRDefault="001F79C7" w:rsidP="00A90EF8">
      <w:r w:rsidRPr="00A90EF8">
        <w:t xml:space="preserve">Key Elements </w:t>
      </w:r>
      <w:r w:rsidR="00CB40D9" w:rsidRPr="00A90EF8">
        <w:t xml:space="preserve">of the Module </w:t>
      </w:r>
      <w:r w:rsidRPr="00A90EF8">
        <w:t>Include:</w:t>
      </w:r>
    </w:p>
    <w:p w:rsidR="00D93E8B" w:rsidRPr="00D93E8B" w:rsidRDefault="00D93E8B" w:rsidP="00D93E8B">
      <w:pPr>
        <w:pStyle w:val="ListParagraph"/>
        <w:numPr>
          <w:ilvl w:val="0"/>
          <w:numId w:val="5"/>
        </w:numPr>
        <w:spacing w:after="60"/>
        <w:contextualSpacing w:val="0"/>
      </w:pPr>
      <w:r w:rsidRPr="00D93E8B">
        <w:t xml:space="preserve">The ethical, conceptual and methodological issues which underpin the theory and practice of architectural and built environment conservation.  </w:t>
      </w:r>
    </w:p>
    <w:p w:rsidR="00D93E8B" w:rsidRPr="00D93E8B" w:rsidRDefault="00D93E8B" w:rsidP="00D93E8B">
      <w:pPr>
        <w:pStyle w:val="ListParagraph"/>
        <w:numPr>
          <w:ilvl w:val="0"/>
          <w:numId w:val="5"/>
        </w:numPr>
        <w:spacing w:after="60"/>
        <w:contextualSpacing w:val="0"/>
      </w:pPr>
      <w:r w:rsidRPr="00D93E8B">
        <w:t>The relevant bodies, organisations, legal instruments and mechanisms (and the criteria used) engaged in the protection and conservation of historic buildings and structures.</w:t>
      </w:r>
    </w:p>
    <w:p w:rsidR="00D93E8B" w:rsidRPr="00D93E8B" w:rsidRDefault="00D93E8B" w:rsidP="00D93E8B">
      <w:pPr>
        <w:pStyle w:val="ListParagraph"/>
        <w:numPr>
          <w:ilvl w:val="0"/>
          <w:numId w:val="5"/>
        </w:numPr>
        <w:spacing w:after="60"/>
        <w:contextualSpacing w:val="0"/>
        <w:rPr>
          <w:color w:val="000000" w:themeColor="text1"/>
        </w:rPr>
      </w:pPr>
      <w:r w:rsidRPr="00D93E8B">
        <w:rPr>
          <w:color w:val="000000" w:themeColor="text1"/>
        </w:rPr>
        <w:t>The characteristics of structures and structural elements (roofs, walls, etc.), the nature and properties of building materials and the techniques used in building construction.</w:t>
      </w:r>
    </w:p>
    <w:p w:rsidR="00D93E8B" w:rsidRPr="00D93E8B" w:rsidRDefault="00D93E8B" w:rsidP="00D93E8B">
      <w:pPr>
        <w:pStyle w:val="ListParagraph"/>
        <w:numPr>
          <w:ilvl w:val="0"/>
          <w:numId w:val="5"/>
        </w:numPr>
        <w:spacing w:after="60"/>
        <w:contextualSpacing w:val="0"/>
        <w:rPr>
          <w:color w:val="000000" w:themeColor="text1"/>
        </w:rPr>
      </w:pPr>
      <w:r w:rsidRPr="00D93E8B">
        <w:t xml:space="preserve">The architectural, archaeological and historical contexts of a range of historic buildings and </w:t>
      </w:r>
      <w:r w:rsidRPr="00D93E8B">
        <w:rPr>
          <w:color w:val="000000" w:themeColor="text1"/>
        </w:rPr>
        <w:t>structures with an emphasis on the later mediaeval and post-mediaeval eras.</w:t>
      </w:r>
    </w:p>
    <w:p w:rsidR="00D93E8B" w:rsidRPr="00D93E8B" w:rsidRDefault="00D93E8B" w:rsidP="00D93E8B">
      <w:pPr>
        <w:pStyle w:val="ListParagraph"/>
        <w:numPr>
          <w:ilvl w:val="0"/>
          <w:numId w:val="5"/>
        </w:numPr>
        <w:spacing w:after="60"/>
        <w:contextualSpacing w:val="0"/>
        <w:rPr>
          <w:color w:val="000000" w:themeColor="text1"/>
        </w:rPr>
      </w:pPr>
      <w:r w:rsidRPr="00D93E8B">
        <w:rPr>
          <w:color w:val="000000" w:themeColor="text1"/>
        </w:rPr>
        <w:t xml:space="preserve">The assessment of historic buildings and structures: Research, investigation and recording.   </w:t>
      </w:r>
    </w:p>
    <w:p w:rsidR="00D93E8B" w:rsidRPr="00D93E8B" w:rsidRDefault="00D93E8B" w:rsidP="00D93E8B">
      <w:pPr>
        <w:pStyle w:val="ListParagraph"/>
        <w:numPr>
          <w:ilvl w:val="0"/>
          <w:numId w:val="5"/>
        </w:numPr>
        <w:spacing w:after="60"/>
        <w:contextualSpacing w:val="0"/>
        <w:rPr>
          <w:color w:val="000000" w:themeColor="text1"/>
        </w:rPr>
      </w:pPr>
      <w:r w:rsidRPr="00D93E8B">
        <w:rPr>
          <w:color w:val="000000" w:themeColor="text1"/>
        </w:rPr>
        <w:t xml:space="preserve">The evaluation of the Heritage Significance of Historic Buildings and Structures together with the potential vulnerability of Historic Buildings and Structures to threats both internally and externally. </w:t>
      </w:r>
    </w:p>
    <w:p w:rsidR="00D93E8B" w:rsidRPr="00D93E8B" w:rsidRDefault="00D93E8B" w:rsidP="00A90EF8">
      <w:pPr>
        <w:pStyle w:val="ListParagraph"/>
        <w:numPr>
          <w:ilvl w:val="0"/>
          <w:numId w:val="5"/>
        </w:numPr>
        <w:spacing w:after="60"/>
        <w:contextualSpacing w:val="0"/>
        <w:rPr>
          <w:color w:val="000000" w:themeColor="text1"/>
        </w:rPr>
      </w:pPr>
      <w:r w:rsidRPr="00D93E8B">
        <w:rPr>
          <w:color w:val="000000" w:themeColor="text1"/>
        </w:rPr>
        <w:t>The design of management strategies to protect, conserve and monitor heritage significance – Conservation Management Strategies and Conservation Management Plans</w:t>
      </w:r>
      <w:r>
        <w:rPr>
          <w:color w:val="000000" w:themeColor="text1"/>
        </w:rPr>
        <w:t>.</w:t>
      </w:r>
    </w:p>
    <w:p w:rsidR="00CB40D9" w:rsidRDefault="00CB40D9" w:rsidP="00A90EF8">
      <w:pPr>
        <w:rPr>
          <w:rFonts w:eastAsia="Calibri"/>
        </w:rPr>
      </w:pPr>
      <w:r w:rsidRPr="00A90EF8">
        <w:rPr>
          <w:rFonts w:eastAsia="Calibri"/>
        </w:rPr>
        <w:lastRenderedPageBreak/>
        <w:t xml:space="preserve">At each stage these issues will be explored by a series of case studies.  It should be noted that the Learning Outcomes noted above are themes which cross cut the individual elements and hopefully give them coherence.  You should explore each case study with those themes in mind. </w:t>
      </w:r>
    </w:p>
    <w:p w:rsidR="009A5991" w:rsidRPr="00A90EF8" w:rsidRDefault="009A5991" w:rsidP="00A90EF8">
      <w:pPr>
        <w:rPr>
          <w:rFonts w:eastAsia="Calibri"/>
        </w:rPr>
      </w:pPr>
      <w:r>
        <w:rPr>
          <w:rFonts w:eastAsia="Calibri"/>
        </w:rPr>
        <w:t>For more information the content of individual parts of the course please see the “Module Element Guidance Note” appended as a file on Moodle.</w:t>
      </w:r>
    </w:p>
    <w:p w:rsidR="00C61074" w:rsidRPr="00A90EF8" w:rsidRDefault="00C61074" w:rsidP="00435BC8">
      <w:pPr>
        <w:spacing w:before="360" w:after="180"/>
        <w:rPr>
          <w:rFonts w:eastAsia="Times New Roman" w:cs="Arial"/>
          <w:b/>
          <w:sz w:val="28"/>
        </w:rPr>
      </w:pPr>
      <w:r w:rsidRPr="00A90EF8">
        <w:rPr>
          <w:rFonts w:eastAsia="Times New Roman" w:cs="Arial"/>
          <w:b/>
          <w:sz w:val="28"/>
        </w:rPr>
        <w:t xml:space="preserve">Assessment </w:t>
      </w:r>
    </w:p>
    <w:p w:rsidR="00C61074" w:rsidRPr="00A90EF8" w:rsidRDefault="00C61074" w:rsidP="00C61074">
      <w:r w:rsidRPr="00A90EF8">
        <w:rPr>
          <w:u w:val="single"/>
        </w:rPr>
        <w:t>Assessment Component 1</w:t>
      </w:r>
      <w:r w:rsidRPr="00A90EF8">
        <w:t xml:space="preserve"> – 50%</w:t>
      </w:r>
    </w:p>
    <w:p w:rsidR="00C61074" w:rsidRDefault="00C61074" w:rsidP="00C61074">
      <w:r w:rsidRPr="00A90EF8">
        <w:t>Essay of 2500 words</w:t>
      </w:r>
      <w:r>
        <w:t>.</w:t>
      </w:r>
    </w:p>
    <w:p w:rsidR="00C61074" w:rsidRDefault="00C61074" w:rsidP="00C61074">
      <w:r>
        <w:t>Chose ONE of the following topics:</w:t>
      </w:r>
    </w:p>
    <w:p w:rsidR="00C61074" w:rsidRDefault="00C61074" w:rsidP="000872DB">
      <w:pPr>
        <w:ind w:left="720" w:hanging="720"/>
      </w:pPr>
      <w:r>
        <w:t>a.</w:t>
      </w:r>
      <w:r>
        <w:tab/>
      </w:r>
      <w:r w:rsidRPr="00A90EF8">
        <w:t xml:space="preserve">Explore the legal and conservation pitfalls of renovating </w:t>
      </w:r>
      <w:r w:rsidR="00013603">
        <w:t>a</w:t>
      </w:r>
      <w:r w:rsidRPr="00A90EF8">
        <w:t xml:space="preserve"> pre-191</w:t>
      </w:r>
      <w:r>
        <w:t>9 timber framed building</w:t>
      </w:r>
      <w:r w:rsidR="00013603">
        <w:t xml:space="preserve"> </w:t>
      </w:r>
    </w:p>
    <w:p w:rsidR="000872DB" w:rsidRDefault="000872DB" w:rsidP="00C61074">
      <w:pPr>
        <w:ind w:left="720" w:hanging="720"/>
      </w:pPr>
      <w:r>
        <w:t>b</w:t>
      </w:r>
      <w:r w:rsidR="00C61074">
        <w:t>.</w:t>
      </w:r>
      <w:r w:rsidR="00C61074">
        <w:tab/>
      </w:r>
      <w:r>
        <w:t xml:space="preserve">Critically assess the value of conservation areas as a tool for the management of historic environments. </w:t>
      </w:r>
    </w:p>
    <w:p w:rsidR="00C61074" w:rsidRPr="00A90EF8" w:rsidRDefault="000872DB" w:rsidP="00C61074">
      <w:pPr>
        <w:ind w:left="720" w:hanging="720"/>
      </w:pPr>
      <w:r>
        <w:t>c.</w:t>
      </w:r>
      <w:r>
        <w:tab/>
      </w:r>
      <w:r w:rsidR="00C61074">
        <w:t xml:space="preserve">Assess the conservation challenges involved in the </w:t>
      </w:r>
      <w:r>
        <w:t>preservation</w:t>
      </w:r>
      <w:r w:rsidR="00C61074">
        <w:t xml:space="preserve"> and adaptive re-use of industrial heritage. </w:t>
      </w:r>
    </w:p>
    <w:p w:rsidR="00C61074" w:rsidRPr="00A90EF8" w:rsidRDefault="00C61074" w:rsidP="00435BC8">
      <w:pPr>
        <w:spacing w:before="240"/>
      </w:pPr>
      <w:r w:rsidRPr="00A90EF8">
        <w:rPr>
          <w:u w:val="single"/>
        </w:rPr>
        <w:t>Assessment Component 2</w:t>
      </w:r>
      <w:r w:rsidRPr="00A90EF8">
        <w:t xml:space="preserve"> – 50%</w:t>
      </w:r>
    </w:p>
    <w:p w:rsidR="00C61074" w:rsidRPr="00A90EF8" w:rsidRDefault="00C61074" w:rsidP="00C61074">
      <w:r w:rsidRPr="00A90EF8">
        <w:t>Report of 2500 words</w:t>
      </w:r>
    </w:p>
    <w:p w:rsidR="000872DB" w:rsidRDefault="00C61074" w:rsidP="00C61074">
      <w:r w:rsidRPr="00A90EF8">
        <w:t>Prepare a Conservation Management</w:t>
      </w:r>
      <w:r w:rsidR="000872DB">
        <w:t xml:space="preserve"> Plan for a Single Building of your c</w:t>
      </w:r>
      <w:r w:rsidRPr="00A90EF8">
        <w:t xml:space="preserve">hoice.  </w:t>
      </w:r>
    </w:p>
    <w:p w:rsidR="00C61074" w:rsidRDefault="00C61074" w:rsidP="00C61074">
      <w:r w:rsidRPr="00A90EF8">
        <w:t xml:space="preserve">This must </w:t>
      </w:r>
      <w:r w:rsidR="000872DB">
        <w:t>NOT</w:t>
      </w:r>
      <w:r w:rsidRPr="00A90EF8">
        <w:t xml:space="preserve"> be a building which is already listed, scheduled or legally protected in any way</w:t>
      </w:r>
      <w:r w:rsidR="00435BC8">
        <w:t xml:space="preserve"> (</w:t>
      </w:r>
      <w:r w:rsidR="00435BC8" w:rsidRPr="00435BC8">
        <w:rPr>
          <w:i/>
        </w:rPr>
        <w:t>other</w:t>
      </w:r>
      <w:r w:rsidR="00435BC8">
        <w:t xml:space="preserve"> </w:t>
      </w:r>
      <w:r w:rsidR="00435BC8" w:rsidRPr="00435BC8">
        <w:rPr>
          <w:i/>
        </w:rPr>
        <w:t>than by being in conservation area</w:t>
      </w:r>
      <w:r w:rsidR="00435BC8">
        <w:t>)</w:t>
      </w:r>
      <w:r w:rsidRPr="00A90EF8">
        <w:t xml:space="preserve"> or which has been the subject to a detailed survey by any recording body</w:t>
      </w:r>
      <w:r w:rsidR="000872DB">
        <w:t xml:space="preserve">.    </w:t>
      </w:r>
      <w:r w:rsidRPr="00A90EF8">
        <w:t xml:space="preserve">  </w:t>
      </w:r>
    </w:p>
    <w:p w:rsidR="000872DB" w:rsidRDefault="000872DB" w:rsidP="00C61074">
      <w:pPr>
        <w:rPr>
          <w:rFonts w:cs="Arial"/>
          <w:color w:val="000000" w:themeColor="text1"/>
        </w:rPr>
      </w:pPr>
      <w:r>
        <w:t xml:space="preserve">The building you choose must </w:t>
      </w:r>
      <w:r w:rsidRPr="00A90EF8">
        <w:rPr>
          <w:rFonts w:cs="Arial"/>
          <w:color w:val="000000" w:themeColor="text1"/>
        </w:rPr>
        <w:t>be</w:t>
      </w:r>
      <w:r>
        <w:rPr>
          <w:rFonts w:cs="Arial"/>
          <w:color w:val="000000" w:themeColor="text1"/>
        </w:rPr>
        <w:t>:</w:t>
      </w:r>
    </w:p>
    <w:p w:rsidR="000872DB" w:rsidRPr="000872DB" w:rsidRDefault="000872DB" w:rsidP="00435BC8">
      <w:pPr>
        <w:pStyle w:val="ListParagraph"/>
        <w:numPr>
          <w:ilvl w:val="0"/>
          <w:numId w:val="6"/>
        </w:numPr>
        <w:spacing w:after="60"/>
        <w:contextualSpacing w:val="0"/>
        <w:rPr>
          <w:rFonts w:cs="Arial"/>
          <w:color w:val="000000" w:themeColor="text1"/>
        </w:rPr>
      </w:pPr>
      <w:r w:rsidRPr="000872DB">
        <w:rPr>
          <w:rFonts w:cs="Arial"/>
          <w:color w:val="000000" w:themeColor="text1"/>
        </w:rPr>
        <w:t xml:space="preserve">Older than 1919 (although it may have more recent additions or “extensions”).  </w:t>
      </w:r>
    </w:p>
    <w:p w:rsidR="000872DB" w:rsidRPr="000872DB" w:rsidRDefault="000872DB" w:rsidP="00435BC8">
      <w:pPr>
        <w:pStyle w:val="ListParagraph"/>
        <w:numPr>
          <w:ilvl w:val="0"/>
          <w:numId w:val="6"/>
        </w:numPr>
        <w:spacing w:after="60"/>
        <w:contextualSpacing w:val="0"/>
        <w:rPr>
          <w:rFonts w:cs="Arial"/>
          <w:color w:val="000000" w:themeColor="text1"/>
        </w:rPr>
      </w:pPr>
      <w:r w:rsidRPr="000872DB">
        <w:rPr>
          <w:rFonts w:cs="Arial"/>
          <w:color w:val="000000" w:themeColor="text1"/>
        </w:rPr>
        <w:t xml:space="preserve">Of a reasonable scale (a single house, barn or </w:t>
      </w:r>
      <w:r>
        <w:rPr>
          <w:rFonts w:cs="Arial"/>
          <w:color w:val="000000" w:themeColor="text1"/>
        </w:rPr>
        <w:t xml:space="preserve">a </w:t>
      </w:r>
      <w:r w:rsidRPr="000872DB">
        <w:rPr>
          <w:rFonts w:cs="Arial"/>
          <w:color w:val="000000" w:themeColor="text1"/>
        </w:rPr>
        <w:t xml:space="preserve">small factory – </w:t>
      </w:r>
      <w:r>
        <w:rPr>
          <w:rFonts w:cs="Arial"/>
          <w:color w:val="000000" w:themeColor="text1"/>
        </w:rPr>
        <w:t xml:space="preserve">it should </w:t>
      </w:r>
      <w:r w:rsidRPr="000872DB">
        <w:rPr>
          <w:rFonts w:cs="Arial"/>
          <w:color w:val="000000" w:themeColor="text1"/>
        </w:rPr>
        <w:t xml:space="preserve">not </w:t>
      </w:r>
      <w:r>
        <w:rPr>
          <w:rFonts w:cs="Arial"/>
          <w:color w:val="000000" w:themeColor="text1"/>
        </w:rPr>
        <w:t xml:space="preserve">be </w:t>
      </w:r>
      <w:r w:rsidRPr="000872DB">
        <w:rPr>
          <w:rFonts w:cs="Arial"/>
          <w:color w:val="000000" w:themeColor="text1"/>
        </w:rPr>
        <w:t>a large complex with multiple units</w:t>
      </w:r>
      <w:r>
        <w:rPr>
          <w:rFonts w:cs="Arial"/>
          <w:color w:val="000000" w:themeColor="text1"/>
        </w:rPr>
        <w:t xml:space="preserve"> although one unit within a complex is permissible</w:t>
      </w:r>
      <w:r w:rsidRPr="000872DB">
        <w:rPr>
          <w:rFonts w:cs="Arial"/>
          <w:color w:val="000000" w:themeColor="text1"/>
        </w:rPr>
        <w:t xml:space="preserve">).  </w:t>
      </w:r>
    </w:p>
    <w:p w:rsidR="000872DB" w:rsidRPr="000872DB" w:rsidRDefault="000872DB" w:rsidP="00435BC8">
      <w:pPr>
        <w:pStyle w:val="ListParagraph"/>
        <w:numPr>
          <w:ilvl w:val="0"/>
          <w:numId w:val="6"/>
        </w:numPr>
        <w:spacing w:after="60"/>
        <w:contextualSpacing w:val="0"/>
      </w:pPr>
      <w:r w:rsidRPr="000872DB">
        <w:rPr>
          <w:rFonts w:cs="Arial"/>
          <w:color w:val="000000" w:themeColor="text1"/>
        </w:rPr>
        <w:t xml:space="preserve">Local and accessible </w:t>
      </w:r>
      <w:r w:rsidR="00435BC8">
        <w:rPr>
          <w:rFonts w:cs="Arial"/>
          <w:color w:val="000000" w:themeColor="text1"/>
        </w:rPr>
        <w:t xml:space="preserve">to you </w:t>
      </w:r>
      <w:r w:rsidRPr="000872DB">
        <w:rPr>
          <w:rFonts w:cs="Arial"/>
          <w:color w:val="000000" w:themeColor="text1"/>
        </w:rPr>
        <w:t xml:space="preserve">for </w:t>
      </w:r>
      <w:r>
        <w:rPr>
          <w:rFonts w:cs="Arial"/>
          <w:color w:val="000000" w:themeColor="text1"/>
        </w:rPr>
        <w:t xml:space="preserve">a preliminary inspection and </w:t>
      </w:r>
      <w:r w:rsidR="00435BC8">
        <w:rPr>
          <w:rFonts w:cs="Arial"/>
          <w:color w:val="000000" w:themeColor="text1"/>
        </w:rPr>
        <w:t>possibly</w:t>
      </w:r>
      <w:r>
        <w:rPr>
          <w:rFonts w:cs="Arial"/>
          <w:color w:val="000000" w:themeColor="text1"/>
        </w:rPr>
        <w:t xml:space="preserve"> a sketch </w:t>
      </w:r>
      <w:r w:rsidRPr="000872DB">
        <w:rPr>
          <w:rFonts w:cs="Arial"/>
          <w:color w:val="000000" w:themeColor="text1"/>
        </w:rPr>
        <w:t xml:space="preserve">survey. </w:t>
      </w:r>
    </w:p>
    <w:p w:rsidR="000872DB" w:rsidRDefault="000872DB" w:rsidP="000872DB">
      <w:pPr>
        <w:pStyle w:val="ListParagraph"/>
        <w:numPr>
          <w:ilvl w:val="0"/>
          <w:numId w:val="6"/>
        </w:numPr>
      </w:pPr>
      <w:r>
        <w:rPr>
          <w:rFonts w:cs="Arial"/>
          <w:color w:val="000000" w:themeColor="text1"/>
        </w:rPr>
        <w:t>Potentially significant and feasibly a candidate for legal protection.</w:t>
      </w:r>
      <w:r w:rsidRPr="000872DB">
        <w:rPr>
          <w:rFonts w:cs="Arial"/>
          <w:color w:val="000000" w:themeColor="text1"/>
        </w:rPr>
        <w:t xml:space="preserve"> </w:t>
      </w:r>
    </w:p>
    <w:p w:rsidR="000872DB" w:rsidRDefault="000872DB" w:rsidP="000872DB">
      <w:r>
        <w:t>In other words chose something interesting and local to you which may (possibly at a stretch) be considered for legal protection.  Good candidates are non-conformist chapels, railway buildings, farmhouses and barns.  The choice is up to you.</w:t>
      </w:r>
    </w:p>
    <w:p w:rsidR="00435BC8" w:rsidRDefault="000872DB" w:rsidP="00C61074">
      <w:r>
        <w:t>The Project Report should be structured as Conservation Management Plan</w:t>
      </w:r>
      <w:r w:rsidR="00435BC8">
        <w:t xml:space="preserve"> (see the Princes </w:t>
      </w:r>
      <w:r w:rsidR="00D323A4">
        <w:t xml:space="preserve">Regeneration </w:t>
      </w:r>
      <w:r w:rsidR="00435BC8">
        <w:t xml:space="preserve">Trust 2009).  </w:t>
      </w:r>
      <w:r>
        <w:t>It should contain</w:t>
      </w:r>
      <w:r w:rsidR="00435BC8">
        <w:t>:</w:t>
      </w:r>
    </w:p>
    <w:p w:rsidR="00435BC8" w:rsidRDefault="00435BC8" w:rsidP="00435BC8">
      <w:pPr>
        <w:pStyle w:val="ListParagraph"/>
        <w:numPr>
          <w:ilvl w:val="0"/>
          <w:numId w:val="7"/>
        </w:numPr>
        <w:spacing w:after="60"/>
        <w:contextualSpacing w:val="0"/>
      </w:pPr>
      <w:r>
        <w:t>A</w:t>
      </w:r>
      <w:r w:rsidR="000872DB">
        <w:t xml:space="preserve">n assessment </w:t>
      </w:r>
      <w:r>
        <w:t xml:space="preserve">of the </w:t>
      </w:r>
      <w:r w:rsidR="000872DB">
        <w:t xml:space="preserve">building accompanied by photographs and if possible a sketch survey (this can be very rough) </w:t>
      </w:r>
    </w:p>
    <w:p w:rsidR="00435BC8" w:rsidRDefault="00435BC8" w:rsidP="00435BC8">
      <w:pPr>
        <w:pStyle w:val="ListParagraph"/>
        <w:numPr>
          <w:ilvl w:val="0"/>
          <w:numId w:val="7"/>
        </w:numPr>
        <w:spacing w:after="60"/>
        <w:contextualSpacing w:val="0"/>
      </w:pPr>
      <w:r>
        <w:t>An evaluation of the possible heritage significance of the building.</w:t>
      </w:r>
    </w:p>
    <w:p w:rsidR="00435BC8" w:rsidRDefault="00435BC8" w:rsidP="00435BC8">
      <w:pPr>
        <w:pStyle w:val="ListParagraph"/>
        <w:numPr>
          <w:ilvl w:val="0"/>
          <w:numId w:val="7"/>
        </w:numPr>
        <w:spacing w:after="60"/>
        <w:contextualSpacing w:val="0"/>
      </w:pPr>
      <w:r>
        <w:t>An evaluation of the possible threats facing the building.</w:t>
      </w:r>
    </w:p>
    <w:p w:rsidR="00435BC8" w:rsidRDefault="00435BC8" w:rsidP="00435BC8">
      <w:pPr>
        <w:pStyle w:val="ListParagraph"/>
        <w:numPr>
          <w:ilvl w:val="0"/>
          <w:numId w:val="7"/>
        </w:numPr>
        <w:spacing w:after="60"/>
        <w:contextualSpacing w:val="0"/>
      </w:pPr>
      <w:r>
        <w:t xml:space="preserve">A structured management plan including both legal and conservation actions (interventions). </w:t>
      </w:r>
    </w:p>
    <w:p w:rsidR="00435BC8" w:rsidRDefault="00435BC8" w:rsidP="00435BC8">
      <w:pPr>
        <w:pStyle w:val="ListParagraph"/>
        <w:numPr>
          <w:ilvl w:val="0"/>
          <w:numId w:val="7"/>
        </w:numPr>
      </w:pPr>
      <w:r>
        <w:t>A monitoring plan to see if the management and conservation actions are successful</w:t>
      </w:r>
    </w:p>
    <w:p w:rsidR="00435BC8" w:rsidRDefault="00435BC8" w:rsidP="00435BC8">
      <w:pPr>
        <w:spacing w:before="240"/>
      </w:pPr>
      <w:r>
        <w:lastRenderedPageBreak/>
        <w:t>When researching and writing the report you are advised to look at and take note of:</w:t>
      </w:r>
    </w:p>
    <w:p w:rsidR="00435BC8" w:rsidRDefault="00435BC8" w:rsidP="00435BC8">
      <w:r>
        <w:t xml:space="preserve">The Princes Regeneration Trust 2009 </w:t>
      </w:r>
      <w:r w:rsidRPr="005E27B7">
        <w:rPr>
          <w:u w:val="single"/>
        </w:rPr>
        <w:t>How to: Write Conservation Reports</w:t>
      </w:r>
      <w:r>
        <w:t xml:space="preserve">.  See:  </w:t>
      </w:r>
      <w:hyperlink r:id="rId5" w:history="1">
        <w:r w:rsidRPr="00C86E8E">
          <w:rPr>
            <w:rStyle w:val="Hyperlink"/>
          </w:rPr>
          <w:t>http://www.princes-regeneration.org/sites/default/files/files/publication/How%20to%20Write%20Conservation%20Reports.pdf</w:t>
        </w:r>
      </w:hyperlink>
    </w:p>
    <w:p w:rsidR="00C61074" w:rsidRPr="00A90EF8" w:rsidRDefault="00C61074" w:rsidP="00C61074"/>
    <w:p w:rsidR="00C61074" w:rsidRPr="00A90EF8" w:rsidRDefault="00C61074" w:rsidP="00C61074">
      <w:pPr>
        <w:tabs>
          <w:tab w:val="left" w:pos="720"/>
          <w:tab w:val="left" w:pos="1440"/>
          <w:tab w:val="left" w:pos="2160"/>
          <w:tab w:val="left" w:pos="2880"/>
        </w:tabs>
        <w:overflowPunct w:val="0"/>
        <w:autoSpaceDE w:val="0"/>
        <w:autoSpaceDN w:val="0"/>
        <w:adjustRightInd w:val="0"/>
        <w:textAlignment w:val="baseline"/>
        <w:rPr>
          <w:rFonts w:eastAsia="Times New Roman" w:cs="Arial"/>
          <w:u w:val="single"/>
          <w:lang w:eastAsia="en-GB"/>
        </w:rPr>
      </w:pPr>
      <w:r w:rsidRPr="00A90EF8">
        <w:rPr>
          <w:rFonts w:eastAsia="Times New Roman" w:cs="Arial"/>
          <w:u w:val="single"/>
          <w:lang w:eastAsia="en-GB"/>
        </w:rPr>
        <w:t>Assessment Summary</w:t>
      </w:r>
    </w:p>
    <w:tbl>
      <w:tblPr>
        <w:tblStyle w:val="TableGrid"/>
        <w:tblpPr w:leftFromText="180" w:rightFromText="180" w:vertAnchor="text" w:horzAnchor="margin" w:tblpX="13" w:tblpY="83"/>
        <w:tblW w:w="0" w:type="auto"/>
        <w:tblLayout w:type="fixed"/>
        <w:tblLook w:val="04A0" w:firstRow="1" w:lastRow="0" w:firstColumn="1" w:lastColumn="0" w:noHBand="0" w:noVBand="1"/>
      </w:tblPr>
      <w:tblGrid>
        <w:gridCol w:w="3356"/>
        <w:gridCol w:w="1842"/>
      </w:tblGrid>
      <w:tr w:rsidR="00C61074" w:rsidRPr="00A90EF8" w:rsidTr="00435BC8">
        <w:tc>
          <w:tcPr>
            <w:tcW w:w="3356" w:type="dxa"/>
            <w:tcBorders>
              <w:top w:val="single" w:sz="4" w:space="0" w:color="auto"/>
              <w:left w:val="single" w:sz="4" w:space="0" w:color="auto"/>
            </w:tcBorders>
          </w:tcPr>
          <w:p w:rsidR="00C61074" w:rsidRPr="00A90EF8" w:rsidRDefault="00C61074" w:rsidP="00435BC8">
            <w:pPr>
              <w:overflowPunct w:val="0"/>
              <w:autoSpaceDE w:val="0"/>
              <w:autoSpaceDN w:val="0"/>
              <w:adjustRightInd w:val="0"/>
              <w:spacing w:after="0"/>
              <w:jc w:val="both"/>
              <w:textAlignment w:val="baseline"/>
              <w:rPr>
                <w:rFonts w:asciiTheme="minorHAnsi" w:hAnsiTheme="minorHAnsi" w:cs="Arial"/>
                <w:b/>
                <w:sz w:val="22"/>
                <w:szCs w:val="22"/>
              </w:rPr>
            </w:pPr>
            <w:r w:rsidRPr="00A90EF8">
              <w:rPr>
                <w:rFonts w:asciiTheme="minorHAnsi" w:hAnsiTheme="minorHAnsi" w:cs="Arial"/>
                <w:b/>
                <w:sz w:val="22"/>
                <w:szCs w:val="22"/>
              </w:rPr>
              <w:t>Activity type</w:t>
            </w:r>
          </w:p>
        </w:tc>
        <w:tc>
          <w:tcPr>
            <w:tcW w:w="1842" w:type="dxa"/>
          </w:tcPr>
          <w:p w:rsidR="00C61074" w:rsidRPr="00A90EF8" w:rsidRDefault="00C61074" w:rsidP="00435BC8">
            <w:pPr>
              <w:overflowPunct w:val="0"/>
              <w:autoSpaceDE w:val="0"/>
              <w:autoSpaceDN w:val="0"/>
              <w:adjustRightInd w:val="0"/>
              <w:spacing w:after="0"/>
              <w:jc w:val="both"/>
              <w:textAlignment w:val="baseline"/>
              <w:rPr>
                <w:rFonts w:asciiTheme="minorHAnsi" w:hAnsiTheme="minorHAnsi" w:cs="Arial"/>
                <w:b/>
                <w:sz w:val="22"/>
                <w:szCs w:val="22"/>
              </w:rPr>
            </w:pPr>
            <w:r w:rsidRPr="00A90EF8">
              <w:rPr>
                <w:rFonts w:asciiTheme="minorHAnsi" w:hAnsiTheme="minorHAnsi" w:cs="Arial"/>
                <w:b/>
                <w:sz w:val="22"/>
                <w:szCs w:val="22"/>
              </w:rPr>
              <w:t>Percentage</w:t>
            </w:r>
          </w:p>
        </w:tc>
      </w:tr>
      <w:tr w:rsidR="00C61074" w:rsidRPr="00A90EF8" w:rsidTr="00435BC8">
        <w:tc>
          <w:tcPr>
            <w:tcW w:w="3356" w:type="dxa"/>
          </w:tcPr>
          <w:p w:rsidR="00C61074" w:rsidRPr="00A90EF8" w:rsidRDefault="00C61074" w:rsidP="00435BC8">
            <w:pPr>
              <w:overflowPunct w:val="0"/>
              <w:autoSpaceDE w:val="0"/>
              <w:autoSpaceDN w:val="0"/>
              <w:adjustRightInd w:val="0"/>
              <w:spacing w:after="0"/>
              <w:jc w:val="both"/>
              <w:textAlignment w:val="baseline"/>
              <w:rPr>
                <w:rFonts w:asciiTheme="minorHAnsi" w:hAnsiTheme="minorHAnsi" w:cs="Arial"/>
                <w:sz w:val="22"/>
                <w:szCs w:val="22"/>
              </w:rPr>
            </w:pPr>
            <w:r w:rsidRPr="00A90EF8">
              <w:rPr>
                <w:rFonts w:asciiTheme="minorHAnsi" w:hAnsiTheme="minorHAnsi" w:cs="Arial"/>
                <w:sz w:val="22"/>
                <w:szCs w:val="22"/>
              </w:rPr>
              <w:t>Written exam</w:t>
            </w:r>
          </w:p>
        </w:tc>
        <w:tc>
          <w:tcPr>
            <w:tcW w:w="1842" w:type="dxa"/>
          </w:tcPr>
          <w:p w:rsidR="00C61074" w:rsidRPr="00A90EF8" w:rsidRDefault="00C61074" w:rsidP="00435BC8">
            <w:pPr>
              <w:overflowPunct w:val="0"/>
              <w:autoSpaceDE w:val="0"/>
              <w:autoSpaceDN w:val="0"/>
              <w:adjustRightInd w:val="0"/>
              <w:spacing w:after="0"/>
              <w:jc w:val="both"/>
              <w:textAlignment w:val="baseline"/>
              <w:rPr>
                <w:rFonts w:asciiTheme="minorHAnsi" w:hAnsiTheme="minorHAnsi" w:cs="Arial"/>
                <w:sz w:val="22"/>
                <w:szCs w:val="22"/>
              </w:rPr>
            </w:pPr>
          </w:p>
        </w:tc>
      </w:tr>
      <w:tr w:rsidR="00C61074" w:rsidRPr="00A90EF8" w:rsidTr="00435BC8">
        <w:tc>
          <w:tcPr>
            <w:tcW w:w="3356" w:type="dxa"/>
          </w:tcPr>
          <w:p w:rsidR="00C61074" w:rsidRPr="00A90EF8" w:rsidRDefault="00C61074" w:rsidP="00435BC8">
            <w:pPr>
              <w:overflowPunct w:val="0"/>
              <w:autoSpaceDE w:val="0"/>
              <w:autoSpaceDN w:val="0"/>
              <w:adjustRightInd w:val="0"/>
              <w:spacing w:after="0"/>
              <w:jc w:val="both"/>
              <w:textAlignment w:val="baseline"/>
              <w:rPr>
                <w:rFonts w:asciiTheme="minorHAnsi" w:hAnsiTheme="minorHAnsi" w:cs="Arial"/>
                <w:sz w:val="22"/>
                <w:szCs w:val="22"/>
              </w:rPr>
            </w:pPr>
            <w:r w:rsidRPr="00A90EF8">
              <w:rPr>
                <w:rFonts w:asciiTheme="minorHAnsi" w:hAnsiTheme="minorHAnsi" w:cs="Arial"/>
                <w:sz w:val="22"/>
                <w:szCs w:val="22"/>
              </w:rPr>
              <w:t>Coursework</w:t>
            </w:r>
          </w:p>
        </w:tc>
        <w:tc>
          <w:tcPr>
            <w:tcW w:w="1842" w:type="dxa"/>
          </w:tcPr>
          <w:p w:rsidR="00C61074" w:rsidRPr="00A90EF8" w:rsidRDefault="00C61074" w:rsidP="00435BC8">
            <w:pPr>
              <w:overflowPunct w:val="0"/>
              <w:autoSpaceDE w:val="0"/>
              <w:autoSpaceDN w:val="0"/>
              <w:adjustRightInd w:val="0"/>
              <w:spacing w:after="0"/>
              <w:jc w:val="both"/>
              <w:textAlignment w:val="baseline"/>
              <w:rPr>
                <w:rFonts w:asciiTheme="minorHAnsi" w:hAnsiTheme="minorHAnsi" w:cs="Arial"/>
                <w:sz w:val="22"/>
                <w:szCs w:val="22"/>
              </w:rPr>
            </w:pPr>
            <w:r w:rsidRPr="00A90EF8">
              <w:rPr>
                <w:rFonts w:asciiTheme="minorHAnsi" w:hAnsiTheme="minorHAnsi" w:cs="Arial"/>
                <w:sz w:val="22"/>
                <w:szCs w:val="22"/>
              </w:rPr>
              <w:t>100%</w:t>
            </w:r>
          </w:p>
        </w:tc>
      </w:tr>
      <w:tr w:rsidR="00C61074" w:rsidRPr="00A90EF8" w:rsidTr="00435BC8">
        <w:tc>
          <w:tcPr>
            <w:tcW w:w="3356" w:type="dxa"/>
          </w:tcPr>
          <w:p w:rsidR="00C61074" w:rsidRPr="00A90EF8" w:rsidRDefault="00C61074" w:rsidP="00435BC8">
            <w:pPr>
              <w:overflowPunct w:val="0"/>
              <w:autoSpaceDE w:val="0"/>
              <w:autoSpaceDN w:val="0"/>
              <w:adjustRightInd w:val="0"/>
              <w:spacing w:after="0"/>
              <w:jc w:val="both"/>
              <w:textAlignment w:val="baseline"/>
              <w:rPr>
                <w:rFonts w:asciiTheme="minorHAnsi" w:hAnsiTheme="minorHAnsi" w:cs="Arial"/>
                <w:sz w:val="22"/>
                <w:szCs w:val="22"/>
              </w:rPr>
            </w:pPr>
            <w:r w:rsidRPr="00A90EF8">
              <w:rPr>
                <w:rFonts w:asciiTheme="minorHAnsi" w:hAnsiTheme="minorHAnsi" w:cs="Arial"/>
                <w:sz w:val="22"/>
                <w:szCs w:val="22"/>
              </w:rPr>
              <w:t>Practical</w:t>
            </w:r>
          </w:p>
        </w:tc>
        <w:tc>
          <w:tcPr>
            <w:tcW w:w="1842" w:type="dxa"/>
          </w:tcPr>
          <w:p w:rsidR="00C61074" w:rsidRPr="00A90EF8" w:rsidRDefault="00C61074" w:rsidP="00435BC8">
            <w:pPr>
              <w:overflowPunct w:val="0"/>
              <w:autoSpaceDE w:val="0"/>
              <w:autoSpaceDN w:val="0"/>
              <w:adjustRightInd w:val="0"/>
              <w:spacing w:after="0"/>
              <w:jc w:val="both"/>
              <w:textAlignment w:val="baseline"/>
              <w:rPr>
                <w:rFonts w:asciiTheme="minorHAnsi" w:hAnsiTheme="minorHAnsi" w:cs="Arial"/>
                <w:sz w:val="22"/>
                <w:szCs w:val="22"/>
              </w:rPr>
            </w:pPr>
          </w:p>
        </w:tc>
      </w:tr>
      <w:tr w:rsidR="00C61074" w:rsidRPr="00A90EF8" w:rsidTr="00435BC8">
        <w:tc>
          <w:tcPr>
            <w:tcW w:w="3356" w:type="dxa"/>
          </w:tcPr>
          <w:p w:rsidR="00C61074" w:rsidRPr="00A90EF8" w:rsidRDefault="00C61074" w:rsidP="00435BC8">
            <w:pPr>
              <w:overflowPunct w:val="0"/>
              <w:autoSpaceDE w:val="0"/>
              <w:autoSpaceDN w:val="0"/>
              <w:adjustRightInd w:val="0"/>
              <w:spacing w:after="0"/>
              <w:jc w:val="both"/>
              <w:textAlignment w:val="baseline"/>
              <w:rPr>
                <w:rFonts w:asciiTheme="minorHAnsi" w:hAnsiTheme="minorHAnsi" w:cs="Arial"/>
                <w:sz w:val="22"/>
                <w:szCs w:val="22"/>
              </w:rPr>
            </w:pPr>
            <w:r w:rsidRPr="00A90EF8">
              <w:rPr>
                <w:rFonts w:asciiTheme="minorHAnsi" w:hAnsiTheme="minorHAnsi" w:cs="Arial"/>
                <w:b/>
                <w:sz w:val="22"/>
                <w:szCs w:val="22"/>
              </w:rPr>
              <w:t>TOTAL</w:t>
            </w:r>
          </w:p>
        </w:tc>
        <w:tc>
          <w:tcPr>
            <w:tcW w:w="1842" w:type="dxa"/>
          </w:tcPr>
          <w:p w:rsidR="00C61074" w:rsidRPr="00A90EF8" w:rsidRDefault="00C61074" w:rsidP="00435BC8">
            <w:pPr>
              <w:overflowPunct w:val="0"/>
              <w:autoSpaceDE w:val="0"/>
              <w:autoSpaceDN w:val="0"/>
              <w:adjustRightInd w:val="0"/>
              <w:spacing w:after="0"/>
              <w:jc w:val="both"/>
              <w:textAlignment w:val="baseline"/>
              <w:rPr>
                <w:rFonts w:asciiTheme="minorHAnsi" w:hAnsiTheme="minorHAnsi" w:cs="Arial"/>
                <w:b/>
                <w:sz w:val="22"/>
                <w:szCs w:val="22"/>
              </w:rPr>
            </w:pPr>
            <w:r w:rsidRPr="00A90EF8">
              <w:rPr>
                <w:rFonts w:asciiTheme="minorHAnsi" w:hAnsiTheme="minorHAnsi" w:cs="Arial"/>
                <w:b/>
                <w:sz w:val="22"/>
                <w:szCs w:val="22"/>
              </w:rPr>
              <w:t>100%</w:t>
            </w:r>
          </w:p>
        </w:tc>
      </w:tr>
    </w:tbl>
    <w:p w:rsidR="00C61074" w:rsidRPr="00A90EF8" w:rsidRDefault="00C61074" w:rsidP="00C61074">
      <w:pPr>
        <w:overflowPunct w:val="0"/>
        <w:autoSpaceDE w:val="0"/>
        <w:autoSpaceDN w:val="0"/>
        <w:adjustRightInd w:val="0"/>
        <w:spacing w:after="0"/>
        <w:jc w:val="both"/>
        <w:textAlignment w:val="baseline"/>
        <w:rPr>
          <w:rFonts w:eastAsia="Times New Roman" w:cs="Arial"/>
          <w:lang w:eastAsia="en-GB"/>
        </w:rPr>
      </w:pPr>
    </w:p>
    <w:p w:rsidR="00C61074" w:rsidRPr="00A90EF8" w:rsidRDefault="00C61074" w:rsidP="00C61074">
      <w:pPr>
        <w:overflowPunct w:val="0"/>
        <w:autoSpaceDE w:val="0"/>
        <w:autoSpaceDN w:val="0"/>
        <w:adjustRightInd w:val="0"/>
        <w:spacing w:after="0"/>
        <w:jc w:val="both"/>
        <w:textAlignment w:val="baseline"/>
        <w:rPr>
          <w:rFonts w:eastAsia="Times New Roman" w:cs="Arial"/>
          <w:b/>
          <w:lang w:eastAsia="en-GB"/>
        </w:rPr>
      </w:pPr>
    </w:p>
    <w:p w:rsidR="00C61074" w:rsidRPr="00A90EF8" w:rsidRDefault="00C61074" w:rsidP="00C61074">
      <w:pPr>
        <w:overflowPunct w:val="0"/>
        <w:autoSpaceDE w:val="0"/>
        <w:autoSpaceDN w:val="0"/>
        <w:adjustRightInd w:val="0"/>
        <w:spacing w:after="0"/>
        <w:jc w:val="both"/>
        <w:textAlignment w:val="baseline"/>
        <w:rPr>
          <w:rFonts w:eastAsia="Times New Roman" w:cs="Arial"/>
          <w:b/>
          <w:lang w:eastAsia="en-GB"/>
        </w:rPr>
      </w:pPr>
    </w:p>
    <w:p w:rsidR="00C61074" w:rsidRPr="00A90EF8" w:rsidRDefault="00C61074" w:rsidP="00C61074">
      <w:pPr>
        <w:overflowPunct w:val="0"/>
        <w:autoSpaceDE w:val="0"/>
        <w:autoSpaceDN w:val="0"/>
        <w:adjustRightInd w:val="0"/>
        <w:spacing w:after="0"/>
        <w:jc w:val="both"/>
        <w:textAlignment w:val="baseline"/>
        <w:rPr>
          <w:rFonts w:eastAsia="Times New Roman" w:cs="Arial"/>
          <w:b/>
          <w:lang w:eastAsia="en-GB"/>
        </w:rPr>
      </w:pPr>
    </w:p>
    <w:p w:rsidR="00C61074" w:rsidRPr="00A90EF8" w:rsidRDefault="00C61074" w:rsidP="00C61074">
      <w:pPr>
        <w:overflowPunct w:val="0"/>
        <w:autoSpaceDE w:val="0"/>
        <w:autoSpaceDN w:val="0"/>
        <w:adjustRightInd w:val="0"/>
        <w:spacing w:after="0"/>
        <w:jc w:val="both"/>
        <w:textAlignment w:val="baseline"/>
        <w:rPr>
          <w:rFonts w:eastAsia="Times New Roman" w:cs="Arial"/>
          <w:b/>
          <w:lang w:eastAsia="en-GB"/>
        </w:rPr>
      </w:pPr>
    </w:p>
    <w:p w:rsidR="00C61074" w:rsidRPr="00A90EF8" w:rsidRDefault="00C61074" w:rsidP="00C61074">
      <w:pPr>
        <w:overflowPunct w:val="0"/>
        <w:autoSpaceDE w:val="0"/>
        <w:autoSpaceDN w:val="0"/>
        <w:adjustRightInd w:val="0"/>
        <w:spacing w:after="0"/>
        <w:jc w:val="both"/>
        <w:textAlignment w:val="baseline"/>
        <w:rPr>
          <w:rFonts w:eastAsia="Times New Roman" w:cs="Arial"/>
          <w:b/>
          <w:lang w:eastAsia="en-GB"/>
        </w:rPr>
      </w:pPr>
    </w:p>
    <w:p w:rsidR="00C61074" w:rsidRPr="00A90EF8" w:rsidRDefault="00C61074" w:rsidP="00C61074">
      <w:pPr>
        <w:spacing w:before="240" w:after="240"/>
        <w:rPr>
          <w:rFonts w:eastAsia="Times New Roman" w:cs="Arial"/>
          <w:lang w:eastAsia="en-GB"/>
        </w:rPr>
      </w:pPr>
      <w:r w:rsidRPr="00A90EF8">
        <w:rPr>
          <w:rFonts w:eastAsia="Times New Roman" w:cs="Arial"/>
          <w:b/>
          <w:sz w:val="28"/>
        </w:rPr>
        <w:t xml:space="preserve">Education for Sustainable Development (ESD)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C61074" w:rsidRPr="00A90EF8" w:rsidTr="00435BC8">
        <w:tc>
          <w:tcPr>
            <w:tcW w:w="4443" w:type="dxa"/>
            <w:vMerge w:val="restart"/>
            <w:shd w:val="clear" w:color="auto" w:fill="auto"/>
            <w:vAlign w:val="center"/>
          </w:tcPr>
          <w:p w:rsidR="00C61074" w:rsidRPr="00A90EF8" w:rsidRDefault="00C61074" w:rsidP="00435BC8">
            <w:pPr>
              <w:tabs>
                <w:tab w:val="left" w:pos="720"/>
                <w:tab w:val="left" w:pos="1440"/>
                <w:tab w:val="left" w:pos="2160"/>
                <w:tab w:val="left" w:pos="2880"/>
              </w:tabs>
              <w:overflowPunct w:val="0"/>
              <w:autoSpaceDE w:val="0"/>
              <w:autoSpaceDN w:val="0"/>
              <w:adjustRightInd w:val="0"/>
              <w:spacing w:after="0"/>
              <w:textAlignment w:val="baseline"/>
              <w:rPr>
                <w:rFonts w:eastAsia="Times New Roman" w:cs="Arial"/>
                <w:lang w:eastAsia="en-GB"/>
              </w:rPr>
            </w:pPr>
            <w:r w:rsidRPr="00A90EF8">
              <w:rPr>
                <w:rFonts w:eastAsia="Times New Roman" w:cs="Arial"/>
                <w:lang w:eastAsia="en-GB"/>
              </w:rPr>
              <w:t>Does the module contribute to ESD?</w:t>
            </w:r>
          </w:p>
        </w:tc>
        <w:tc>
          <w:tcPr>
            <w:tcW w:w="4443" w:type="dxa"/>
            <w:shd w:val="clear" w:color="auto" w:fill="auto"/>
            <w:vAlign w:val="center"/>
          </w:tcPr>
          <w:p w:rsidR="00C61074" w:rsidRPr="00A90EF8" w:rsidRDefault="00C61074" w:rsidP="00435BC8">
            <w:pPr>
              <w:tabs>
                <w:tab w:val="left" w:pos="720"/>
                <w:tab w:val="left" w:pos="1440"/>
                <w:tab w:val="left" w:pos="2160"/>
                <w:tab w:val="left" w:pos="2880"/>
              </w:tabs>
              <w:overflowPunct w:val="0"/>
              <w:autoSpaceDE w:val="0"/>
              <w:autoSpaceDN w:val="0"/>
              <w:adjustRightInd w:val="0"/>
              <w:spacing w:after="0"/>
              <w:textAlignment w:val="baseline"/>
              <w:rPr>
                <w:rFonts w:eastAsia="Times New Roman" w:cs="Arial"/>
                <w:lang w:eastAsia="en-GB"/>
              </w:rPr>
            </w:pPr>
            <w:r w:rsidRPr="00A90EF8">
              <w:rPr>
                <w:rFonts w:eastAsia="Times New Roman" w:cs="Arial"/>
                <w:lang w:eastAsia="en-GB"/>
              </w:rPr>
              <w:t>Yes</w:t>
            </w:r>
          </w:p>
        </w:tc>
      </w:tr>
      <w:tr w:rsidR="00C61074" w:rsidRPr="00A90EF8" w:rsidTr="00435BC8">
        <w:tc>
          <w:tcPr>
            <w:tcW w:w="4443" w:type="dxa"/>
            <w:vMerge/>
            <w:shd w:val="clear" w:color="auto" w:fill="auto"/>
          </w:tcPr>
          <w:p w:rsidR="00C61074" w:rsidRPr="00A90EF8" w:rsidRDefault="00C61074" w:rsidP="00435BC8">
            <w:pPr>
              <w:tabs>
                <w:tab w:val="left" w:pos="720"/>
                <w:tab w:val="left" w:pos="1440"/>
                <w:tab w:val="left" w:pos="2160"/>
                <w:tab w:val="left" w:pos="2880"/>
              </w:tabs>
              <w:overflowPunct w:val="0"/>
              <w:autoSpaceDE w:val="0"/>
              <w:autoSpaceDN w:val="0"/>
              <w:adjustRightInd w:val="0"/>
              <w:spacing w:after="0"/>
              <w:textAlignment w:val="baseline"/>
              <w:rPr>
                <w:rFonts w:eastAsia="Times New Roman" w:cs="Arial"/>
                <w:lang w:eastAsia="en-GB"/>
              </w:rPr>
            </w:pPr>
          </w:p>
        </w:tc>
        <w:tc>
          <w:tcPr>
            <w:tcW w:w="4443" w:type="dxa"/>
            <w:shd w:val="clear" w:color="auto" w:fill="auto"/>
            <w:vAlign w:val="center"/>
          </w:tcPr>
          <w:p w:rsidR="00C61074" w:rsidRPr="00A90EF8" w:rsidRDefault="00C61074" w:rsidP="00435BC8">
            <w:pPr>
              <w:tabs>
                <w:tab w:val="left" w:pos="720"/>
                <w:tab w:val="left" w:pos="1440"/>
                <w:tab w:val="left" w:pos="2160"/>
                <w:tab w:val="left" w:pos="2880"/>
              </w:tabs>
              <w:overflowPunct w:val="0"/>
              <w:autoSpaceDE w:val="0"/>
              <w:autoSpaceDN w:val="0"/>
              <w:adjustRightInd w:val="0"/>
              <w:spacing w:after="0"/>
              <w:jc w:val="both"/>
              <w:textAlignment w:val="baseline"/>
              <w:rPr>
                <w:rFonts w:eastAsia="Times New Roman" w:cs="Arial"/>
                <w:lang w:eastAsia="en-GB"/>
              </w:rPr>
            </w:pPr>
          </w:p>
        </w:tc>
      </w:tr>
      <w:tr w:rsidR="00C61074" w:rsidRPr="00A90EF8" w:rsidTr="00435BC8">
        <w:tc>
          <w:tcPr>
            <w:tcW w:w="8886" w:type="dxa"/>
            <w:gridSpan w:val="2"/>
            <w:shd w:val="clear" w:color="auto" w:fill="auto"/>
          </w:tcPr>
          <w:p w:rsidR="00C61074" w:rsidRPr="00A90EF8" w:rsidRDefault="00C61074" w:rsidP="00435BC8">
            <w:pPr>
              <w:tabs>
                <w:tab w:val="left" w:pos="720"/>
                <w:tab w:val="left" w:pos="1440"/>
                <w:tab w:val="left" w:pos="2160"/>
                <w:tab w:val="left" w:pos="2880"/>
              </w:tabs>
              <w:overflowPunct w:val="0"/>
              <w:autoSpaceDE w:val="0"/>
              <w:autoSpaceDN w:val="0"/>
              <w:adjustRightInd w:val="0"/>
              <w:spacing w:after="0"/>
              <w:textAlignment w:val="baseline"/>
              <w:rPr>
                <w:rFonts w:eastAsia="Times New Roman" w:cs="Arial"/>
                <w:lang w:eastAsia="en-GB"/>
              </w:rPr>
            </w:pPr>
            <w:r w:rsidRPr="00A90EF8">
              <w:rPr>
                <w:rFonts w:eastAsia="Times New Roman" w:cs="Arial"/>
                <w:lang w:eastAsia="en-GB"/>
              </w:rPr>
              <w:t>If yes please provide brief details (no more than 100 words):</w:t>
            </w:r>
          </w:p>
          <w:p w:rsidR="00C61074" w:rsidRPr="00A90EF8" w:rsidRDefault="00C61074" w:rsidP="00435BC8">
            <w:pPr>
              <w:tabs>
                <w:tab w:val="left" w:pos="720"/>
                <w:tab w:val="left" w:pos="1440"/>
                <w:tab w:val="left" w:pos="2160"/>
                <w:tab w:val="left" w:pos="2880"/>
              </w:tabs>
              <w:overflowPunct w:val="0"/>
              <w:autoSpaceDE w:val="0"/>
              <w:autoSpaceDN w:val="0"/>
              <w:adjustRightInd w:val="0"/>
              <w:spacing w:after="0"/>
              <w:textAlignment w:val="baseline"/>
              <w:rPr>
                <w:rFonts w:eastAsia="Times New Roman" w:cs="Arial"/>
                <w:lang w:eastAsia="en-GB"/>
              </w:rPr>
            </w:pPr>
          </w:p>
          <w:p w:rsidR="00C61074" w:rsidRPr="00A90EF8" w:rsidRDefault="00C61074" w:rsidP="00435BC8">
            <w:pPr>
              <w:tabs>
                <w:tab w:val="left" w:pos="720"/>
                <w:tab w:val="left" w:pos="1440"/>
                <w:tab w:val="left" w:pos="2160"/>
                <w:tab w:val="left" w:pos="2880"/>
              </w:tabs>
              <w:overflowPunct w:val="0"/>
              <w:autoSpaceDE w:val="0"/>
              <w:autoSpaceDN w:val="0"/>
              <w:adjustRightInd w:val="0"/>
              <w:spacing w:after="0"/>
              <w:textAlignment w:val="baseline"/>
              <w:rPr>
                <w:rFonts w:eastAsia="Times New Roman" w:cs="Arial"/>
                <w:lang w:eastAsia="en-GB"/>
              </w:rPr>
            </w:pPr>
            <w:r w:rsidRPr="00A90EF8">
              <w:rPr>
                <w:rFonts w:eastAsia="Times New Roman" w:cs="Arial"/>
                <w:lang w:eastAsia="en-GB"/>
              </w:rPr>
              <w:t>This module is designed in line with 2 of the 5 pedagogic approaches to sustainable development identified by UNIESCO:</w:t>
            </w:r>
          </w:p>
          <w:p w:rsidR="00C61074" w:rsidRPr="00A90EF8" w:rsidRDefault="00C61074" w:rsidP="00435BC8">
            <w:pPr>
              <w:tabs>
                <w:tab w:val="left" w:pos="720"/>
                <w:tab w:val="left" w:pos="1440"/>
                <w:tab w:val="left" w:pos="2160"/>
                <w:tab w:val="left" w:pos="2880"/>
              </w:tabs>
              <w:overflowPunct w:val="0"/>
              <w:autoSpaceDE w:val="0"/>
              <w:autoSpaceDN w:val="0"/>
              <w:adjustRightInd w:val="0"/>
              <w:spacing w:after="0"/>
              <w:textAlignment w:val="baseline"/>
              <w:rPr>
                <w:rFonts w:eastAsia="Times New Roman" w:cs="Arial"/>
                <w:lang w:eastAsia="en-GB"/>
              </w:rPr>
            </w:pPr>
          </w:p>
          <w:p w:rsidR="00C61074" w:rsidRPr="00A90EF8" w:rsidRDefault="00C61074" w:rsidP="00435BC8">
            <w:pPr>
              <w:tabs>
                <w:tab w:val="left" w:pos="720"/>
                <w:tab w:val="left" w:pos="1440"/>
                <w:tab w:val="left" w:pos="2160"/>
                <w:tab w:val="left" w:pos="2880"/>
              </w:tabs>
              <w:overflowPunct w:val="0"/>
              <w:autoSpaceDE w:val="0"/>
              <w:autoSpaceDN w:val="0"/>
              <w:adjustRightInd w:val="0"/>
              <w:spacing w:after="0"/>
              <w:textAlignment w:val="baseline"/>
              <w:rPr>
                <w:rFonts w:eastAsia="Times New Roman" w:cs="Arial"/>
                <w:lang w:eastAsia="en-GB"/>
              </w:rPr>
            </w:pPr>
            <w:r w:rsidRPr="00A90EF8">
              <w:rPr>
                <w:rFonts w:eastAsia="Times New Roman" w:cs="Arial"/>
                <w:lang w:eastAsia="en-GB"/>
              </w:rPr>
              <w:t>•</w:t>
            </w:r>
            <w:r w:rsidRPr="00A90EF8">
              <w:rPr>
                <w:rFonts w:eastAsia="Times New Roman" w:cs="Arial"/>
                <w:lang w:eastAsia="en-GB"/>
              </w:rPr>
              <w:tab/>
            </w:r>
            <w:r w:rsidRPr="00A90EF8">
              <w:rPr>
                <w:rFonts w:eastAsia="Times New Roman" w:cs="Arial"/>
                <w:b/>
                <w:lang w:eastAsia="en-GB"/>
              </w:rPr>
              <w:t>Critical and Creative thinking</w:t>
            </w:r>
            <w:r w:rsidRPr="00A90EF8">
              <w:rPr>
                <w:rFonts w:eastAsia="Times New Roman" w:cs="Arial"/>
                <w:lang w:eastAsia="en-GB"/>
              </w:rPr>
              <w:t>:  Critical and creative thinking enables people to explore new ways of thinking and acting, make informed decisions, and create alternatives to present choices. It involves reflecting on how people interrelate with one other, understanding cultural differences and creating alternative ways to live together.</w:t>
            </w:r>
          </w:p>
          <w:p w:rsidR="00C61074" w:rsidRPr="00A90EF8" w:rsidRDefault="00C61074" w:rsidP="00435BC8">
            <w:pPr>
              <w:tabs>
                <w:tab w:val="left" w:pos="720"/>
                <w:tab w:val="left" w:pos="1440"/>
                <w:tab w:val="left" w:pos="2160"/>
                <w:tab w:val="left" w:pos="2880"/>
              </w:tabs>
              <w:overflowPunct w:val="0"/>
              <w:autoSpaceDE w:val="0"/>
              <w:autoSpaceDN w:val="0"/>
              <w:adjustRightInd w:val="0"/>
              <w:spacing w:after="0"/>
              <w:textAlignment w:val="baseline"/>
              <w:rPr>
                <w:rFonts w:eastAsia="Times New Roman" w:cs="Arial"/>
                <w:lang w:eastAsia="en-GB"/>
              </w:rPr>
            </w:pPr>
          </w:p>
          <w:p w:rsidR="00C61074" w:rsidRPr="00A90EF8" w:rsidRDefault="00C61074" w:rsidP="00435BC8">
            <w:pPr>
              <w:tabs>
                <w:tab w:val="left" w:pos="720"/>
                <w:tab w:val="left" w:pos="1440"/>
                <w:tab w:val="left" w:pos="2160"/>
                <w:tab w:val="left" w:pos="2880"/>
              </w:tabs>
              <w:overflowPunct w:val="0"/>
              <w:autoSpaceDE w:val="0"/>
              <w:autoSpaceDN w:val="0"/>
              <w:adjustRightInd w:val="0"/>
              <w:spacing w:after="0"/>
              <w:textAlignment w:val="baseline"/>
              <w:rPr>
                <w:rFonts w:eastAsia="Times New Roman" w:cs="Arial"/>
                <w:lang w:eastAsia="en-GB"/>
              </w:rPr>
            </w:pPr>
            <w:r w:rsidRPr="00A90EF8">
              <w:rPr>
                <w:rFonts w:eastAsia="Times New Roman" w:cs="Arial"/>
                <w:lang w:eastAsia="en-GB"/>
              </w:rPr>
              <w:t>•</w:t>
            </w:r>
            <w:r w:rsidRPr="00A90EF8">
              <w:rPr>
                <w:rFonts w:eastAsia="Times New Roman" w:cs="Arial"/>
                <w:lang w:eastAsia="en-GB"/>
              </w:rPr>
              <w:tab/>
            </w:r>
            <w:r w:rsidRPr="00A90EF8">
              <w:rPr>
                <w:rFonts w:eastAsia="Times New Roman" w:cs="Arial"/>
                <w:b/>
                <w:lang w:eastAsia="en-GB"/>
              </w:rPr>
              <w:t xml:space="preserve">Systemic thinking:  </w:t>
            </w:r>
            <w:r w:rsidRPr="00A90EF8">
              <w:rPr>
                <w:rFonts w:eastAsia="Times New Roman" w:cs="Arial"/>
                <w:lang w:eastAsia="en-GB"/>
              </w:rPr>
              <w:t xml:space="preserve">Thinking systemically is essential to sustainable development, as piecemeal approaches have proved not to work - instead resolving one issue while creating other problems. Sustainable development requires approaches which go beyond analysis in terms of ‘problem-solving’ and/or </w:t>
            </w:r>
            <w:proofErr w:type="spellStart"/>
            <w:r w:rsidRPr="00A90EF8">
              <w:rPr>
                <w:rFonts w:eastAsia="Times New Roman" w:cs="Arial"/>
                <w:lang w:eastAsia="en-GB"/>
              </w:rPr>
              <w:t>‘cause</w:t>
            </w:r>
            <w:proofErr w:type="spellEnd"/>
            <w:r w:rsidRPr="00A90EF8">
              <w:rPr>
                <w:rFonts w:eastAsia="Times New Roman" w:cs="Arial"/>
                <w:lang w:eastAsia="en-GB"/>
              </w:rPr>
              <w:t>-effect’.</w:t>
            </w:r>
          </w:p>
          <w:p w:rsidR="00C61074" w:rsidRPr="00A90EF8" w:rsidRDefault="00C61074" w:rsidP="00435BC8">
            <w:pPr>
              <w:tabs>
                <w:tab w:val="left" w:pos="720"/>
                <w:tab w:val="left" w:pos="1440"/>
                <w:tab w:val="left" w:pos="2160"/>
                <w:tab w:val="left" w:pos="2880"/>
              </w:tabs>
              <w:overflowPunct w:val="0"/>
              <w:autoSpaceDE w:val="0"/>
              <w:autoSpaceDN w:val="0"/>
              <w:adjustRightInd w:val="0"/>
              <w:spacing w:after="0"/>
              <w:textAlignment w:val="baseline"/>
              <w:rPr>
                <w:rFonts w:eastAsia="Times New Roman" w:cs="Arial"/>
                <w:lang w:eastAsia="en-GB"/>
              </w:rPr>
            </w:pPr>
          </w:p>
        </w:tc>
      </w:tr>
    </w:tbl>
    <w:p w:rsidR="00D93E8B" w:rsidRPr="00D93E8B" w:rsidRDefault="00D93E8B" w:rsidP="00D93E8B">
      <w:pPr>
        <w:rPr>
          <w:i/>
          <w:color w:val="000000" w:themeColor="text1"/>
          <w:sz w:val="24"/>
        </w:rPr>
      </w:pPr>
    </w:p>
    <w:p w:rsidR="00C61074" w:rsidRPr="00A90EF8" w:rsidRDefault="00C61074" w:rsidP="00C61074">
      <w:pPr>
        <w:spacing w:before="480" w:after="180"/>
        <w:rPr>
          <w:rFonts w:eastAsia="Times New Roman" w:cs="Arial"/>
          <w:b/>
          <w:sz w:val="28"/>
        </w:rPr>
      </w:pPr>
      <w:r w:rsidRPr="00A90EF8">
        <w:rPr>
          <w:rFonts w:eastAsia="Times New Roman" w:cs="Arial"/>
          <w:b/>
          <w:sz w:val="28"/>
        </w:rPr>
        <w:t xml:space="preserve">Bibliography </w:t>
      </w:r>
    </w:p>
    <w:p w:rsidR="00C61074" w:rsidRPr="00A90EF8" w:rsidRDefault="00C61074" w:rsidP="00C61074">
      <w:pPr>
        <w:rPr>
          <w:b/>
        </w:rPr>
      </w:pPr>
      <w:r w:rsidRPr="00A90EF8">
        <w:rPr>
          <w:b/>
        </w:rPr>
        <w:t>Essential</w:t>
      </w:r>
    </w:p>
    <w:p w:rsidR="00C61074" w:rsidRPr="00A90EF8" w:rsidRDefault="00C61074" w:rsidP="00C61074">
      <w:r w:rsidRPr="00A90EF8">
        <w:t xml:space="preserve">Blundell, C.  </w:t>
      </w:r>
      <w:proofErr w:type="gramStart"/>
      <w:r w:rsidRPr="00A90EF8">
        <w:t xml:space="preserve">2007  </w:t>
      </w:r>
      <w:r w:rsidRPr="00C61074">
        <w:rPr>
          <w:u w:val="single"/>
        </w:rPr>
        <w:t>Precious</w:t>
      </w:r>
      <w:proofErr w:type="gramEnd"/>
      <w:r w:rsidRPr="00C61074">
        <w:rPr>
          <w:u w:val="single"/>
        </w:rPr>
        <w:t xml:space="preserve"> Inheritance: The Conservation of Welsh Vernacular Buildings</w:t>
      </w:r>
      <w:r>
        <w:t>.</w:t>
      </w:r>
      <w:r w:rsidRPr="00A90EF8">
        <w:t xml:space="preserve"> Quinto Press Limited</w:t>
      </w:r>
    </w:p>
    <w:p w:rsidR="00C61074" w:rsidRPr="00A90EF8" w:rsidRDefault="00C61074" w:rsidP="00C61074">
      <w:proofErr w:type="spellStart"/>
      <w:r w:rsidRPr="00A90EF8">
        <w:t>Bouchenaki</w:t>
      </w:r>
      <w:proofErr w:type="spellEnd"/>
      <w:r w:rsidRPr="00A90EF8">
        <w:t>, M.</w:t>
      </w:r>
      <w:r w:rsidRPr="00A90EF8">
        <w:tab/>
      </w:r>
      <w:proofErr w:type="gramStart"/>
      <w:r w:rsidRPr="00A90EF8">
        <w:t xml:space="preserve">2011  </w:t>
      </w:r>
      <w:r w:rsidRPr="00C61074">
        <w:rPr>
          <w:u w:val="single"/>
        </w:rPr>
        <w:t>Architectural</w:t>
      </w:r>
      <w:proofErr w:type="gramEnd"/>
      <w:r w:rsidRPr="00C61074">
        <w:rPr>
          <w:u w:val="single"/>
        </w:rPr>
        <w:t xml:space="preserve"> Conservation in Europe and the Americas</w:t>
      </w:r>
      <w:r w:rsidRPr="00A90EF8">
        <w:t>.  John Wiley &amp; Sons</w:t>
      </w:r>
    </w:p>
    <w:p w:rsidR="00C61074" w:rsidRPr="00A90EF8" w:rsidRDefault="00C61074" w:rsidP="00C61074">
      <w:proofErr w:type="spellStart"/>
      <w:r w:rsidRPr="00A90EF8">
        <w:t>Brunskill</w:t>
      </w:r>
      <w:proofErr w:type="spellEnd"/>
      <w:r w:rsidRPr="00A90EF8">
        <w:t xml:space="preserve">, R.W.  </w:t>
      </w:r>
      <w:r w:rsidRPr="00A90EF8">
        <w:tab/>
        <w:t>2000 (4</w:t>
      </w:r>
      <w:r w:rsidRPr="00A90EF8">
        <w:rPr>
          <w:vertAlign w:val="superscript"/>
        </w:rPr>
        <w:t>th</w:t>
      </w:r>
      <w:r w:rsidRPr="00A90EF8">
        <w:t xml:space="preserve"> Edition).  </w:t>
      </w:r>
      <w:r w:rsidRPr="00A90EF8">
        <w:rPr>
          <w:u w:val="single"/>
        </w:rPr>
        <w:t>Vernacular Architecture: an Illustrated Handbook</w:t>
      </w:r>
      <w:r w:rsidRPr="00A90EF8">
        <w:t>.  Faber and Faber, London.</w:t>
      </w:r>
    </w:p>
    <w:p w:rsidR="00C61074" w:rsidRPr="00A90EF8" w:rsidRDefault="00C61074" w:rsidP="00C61074">
      <w:proofErr w:type="spellStart"/>
      <w:r w:rsidRPr="00A90EF8">
        <w:t>Brunskill</w:t>
      </w:r>
      <w:proofErr w:type="spellEnd"/>
      <w:r w:rsidRPr="00A90EF8">
        <w:t xml:space="preserve">, R.W.  </w:t>
      </w:r>
      <w:r w:rsidRPr="00A90EF8">
        <w:tab/>
        <w:t>2007 (4</w:t>
      </w:r>
      <w:r w:rsidRPr="00A90EF8">
        <w:rPr>
          <w:vertAlign w:val="superscript"/>
        </w:rPr>
        <w:t>th</w:t>
      </w:r>
      <w:r w:rsidRPr="00A90EF8">
        <w:t xml:space="preserve"> Edition).  </w:t>
      </w:r>
      <w:r w:rsidRPr="00A90EF8">
        <w:rPr>
          <w:u w:val="single"/>
        </w:rPr>
        <w:t>Traditional Farm Buildings of Britain and their Conservation</w:t>
      </w:r>
      <w:r w:rsidRPr="00A90EF8">
        <w:t>.  Yale University Press, New Haven and London.</w:t>
      </w:r>
    </w:p>
    <w:p w:rsidR="00C61074" w:rsidRPr="00A90EF8" w:rsidRDefault="00C61074" w:rsidP="00C61074">
      <w:proofErr w:type="spellStart"/>
      <w:r w:rsidRPr="00A90EF8">
        <w:lastRenderedPageBreak/>
        <w:t>Cocke</w:t>
      </w:r>
      <w:proofErr w:type="spellEnd"/>
      <w:r w:rsidRPr="00A90EF8">
        <w:t xml:space="preserve">, T. </w:t>
      </w:r>
      <w:r w:rsidRPr="00A90EF8">
        <w:rPr>
          <w:i/>
        </w:rPr>
        <w:t xml:space="preserve">et al </w:t>
      </w:r>
      <w:r w:rsidRPr="00A90EF8">
        <w:t xml:space="preserve">2015 </w:t>
      </w:r>
      <w:r w:rsidRPr="00A90EF8">
        <w:rPr>
          <w:u w:val="single"/>
        </w:rPr>
        <w:t>Recording a Church:  An illustrated Glossary</w:t>
      </w:r>
      <w:r w:rsidRPr="00A90EF8">
        <w:t xml:space="preserve">.  Practical Handbooks in Archaeology No.7.  Council for British Archaeology.   </w:t>
      </w:r>
    </w:p>
    <w:p w:rsidR="00C61074" w:rsidRPr="00A90EF8" w:rsidRDefault="00C61074" w:rsidP="00C61074">
      <w:proofErr w:type="spellStart"/>
      <w:r w:rsidRPr="00A90EF8">
        <w:t>Cragoe</w:t>
      </w:r>
      <w:proofErr w:type="spellEnd"/>
      <w:r w:rsidRPr="00A90EF8">
        <w:t xml:space="preserve">, C.D. </w:t>
      </w:r>
      <w:proofErr w:type="gramStart"/>
      <w:r w:rsidRPr="00A90EF8">
        <w:t xml:space="preserve">2016  </w:t>
      </w:r>
      <w:r w:rsidRPr="00A90EF8">
        <w:rPr>
          <w:u w:val="single"/>
        </w:rPr>
        <w:t>How</w:t>
      </w:r>
      <w:proofErr w:type="gramEnd"/>
      <w:r w:rsidRPr="00A90EF8">
        <w:rPr>
          <w:u w:val="single"/>
        </w:rPr>
        <w:t xml:space="preserve"> to Read Buildings – A Crash Course in Architecture</w:t>
      </w:r>
      <w:r w:rsidRPr="00A90EF8">
        <w:t>.  Bloomsbury, London &amp; New York.</w:t>
      </w:r>
    </w:p>
    <w:p w:rsidR="00C61074" w:rsidRPr="00A90EF8" w:rsidRDefault="00C61074" w:rsidP="00C61074">
      <w:proofErr w:type="spellStart"/>
      <w:r w:rsidRPr="00A90EF8">
        <w:t>Delafons</w:t>
      </w:r>
      <w:proofErr w:type="spellEnd"/>
      <w:r w:rsidRPr="00A90EF8">
        <w:t xml:space="preserve">, J. </w:t>
      </w:r>
      <w:proofErr w:type="gramStart"/>
      <w:r w:rsidRPr="00A90EF8">
        <w:t>1997  Politics</w:t>
      </w:r>
      <w:proofErr w:type="gramEnd"/>
      <w:r w:rsidRPr="00A90EF8">
        <w:t xml:space="preserve"> and Preservation: A policy history of the built heritage 1882-1996 Routledge</w:t>
      </w:r>
    </w:p>
    <w:p w:rsidR="00C61074" w:rsidRPr="00A90EF8" w:rsidRDefault="00C61074" w:rsidP="00C61074">
      <w:proofErr w:type="spellStart"/>
      <w:r w:rsidRPr="00A90EF8">
        <w:t>Feilden</w:t>
      </w:r>
      <w:proofErr w:type="spellEnd"/>
      <w:r w:rsidRPr="00A90EF8">
        <w:t xml:space="preserve">, B.  </w:t>
      </w:r>
      <w:proofErr w:type="gramStart"/>
      <w:r w:rsidRPr="00A90EF8">
        <w:t>2003  Conservation</w:t>
      </w:r>
      <w:proofErr w:type="gramEnd"/>
      <w:r w:rsidRPr="00A90EF8">
        <w:t xml:space="preserve"> of Historic Buildings  Architectural Press</w:t>
      </w:r>
    </w:p>
    <w:p w:rsidR="00C61074" w:rsidRPr="00A90EF8" w:rsidRDefault="00C61074" w:rsidP="00C61074">
      <w:r w:rsidRPr="00A90EF8">
        <w:t>Forsyth, M. (ed.</w:t>
      </w:r>
      <w:proofErr w:type="gramStart"/>
      <w:r w:rsidRPr="00A90EF8">
        <w:t>)  2007a</w:t>
      </w:r>
      <w:proofErr w:type="gramEnd"/>
      <w:r w:rsidRPr="00A90EF8">
        <w:t xml:space="preserve">  </w:t>
      </w:r>
      <w:r w:rsidRPr="00A90EF8">
        <w:rPr>
          <w:u w:val="single"/>
        </w:rPr>
        <w:t>Understanding Historic Building Conservation</w:t>
      </w:r>
      <w:r w:rsidRPr="00A90EF8">
        <w:t xml:space="preserve"> (Historic Building Conservation Series Volume 1). Wiley-Blackwell, Chichester.</w:t>
      </w:r>
    </w:p>
    <w:p w:rsidR="00C61074" w:rsidRPr="00A90EF8" w:rsidRDefault="00C61074" w:rsidP="00C61074">
      <w:r w:rsidRPr="00A90EF8">
        <w:t>Forsyth, M. (ed.</w:t>
      </w:r>
      <w:proofErr w:type="gramStart"/>
      <w:r w:rsidRPr="00A90EF8">
        <w:t>)  2007b</w:t>
      </w:r>
      <w:proofErr w:type="gramEnd"/>
      <w:r w:rsidRPr="00A90EF8">
        <w:t xml:space="preserve">  </w:t>
      </w:r>
      <w:r w:rsidRPr="00A90EF8">
        <w:rPr>
          <w:u w:val="single"/>
        </w:rPr>
        <w:t>Structures and Construction in Historic Building Conservation</w:t>
      </w:r>
      <w:r w:rsidRPr="00A90EF8">
        <w:t xml:space="preserve"> (Historic Building Conservation Series Volume 2). Wiley-Blackwell, Chichester.</w:t>
      </w:r>
    </w:p>
    <w:p w:rsidR="00C61074" w:rsidRPr="00A90EF8" w:rsidRDefault="00C61074" w:rsidP="00C61074">
      <w:r w:rsidRPr="00A90EF8">
        <w:t xml:space="preserve">McCaig, I. (ed.) </w:t>
      </w:r>
      <w:proofErr w:type="gramStart"/>
      <w:r w:rsidRPr="00A90EF8">
        <w:t xml:space="preserve">2013  </w:t>
      </w:r>
      <w:r w:rsidRPr="00A90EF8">
        <w:rPr>
          <w:u w:val="single"/>
        </w:rPr>
        <w:t>Conservation</w:t>
      </w:r>
      <w:proofErr w:type="gramEnd"/>
      <w:r w:rsidRPr="00A90EF8">
        <w:rPr>
          <w:u w:val="single"/>
        </w:rPr>
        <w:t xml:space="preserve"> Basics</w:t>
      </w:r>
      <w:r w:rsidRPr="00A90EF8">
        <w:t xml:space="preserve">.  English Heritage Practical Building Conservation Series.  </w:t>
      </w:r>
      <w:proofErr w:type="spellStart"/>
      <w:r w:rsidRPr="00A90EF8">
        <w:t>Ashgate</w:t>
      </w:r>
      <w:proofErr w:type="spellEnd"/>
      <w:r w:rsidRPr="00A90EF8">
        <w:t xml:space="preserve"> Publishing, Farnham.  </w:t>
      </w:r>
    </w:p>
    <w:p w:rsidR="00435BC8" w:rsidRDefault="00435BC8" w:rsidP="00C61074">
      <w:r>
        <w:t xml:space="preserve">The Princes Regeneration Trust 2009 </w:t>
      </w:r>
      <w:r w:rsidRPr="005E27B7">
        <w:rPr>
          <w:u w:val="single"/>
        </w:rPr>
        <w:t>How to: Write Conservation Reports</w:t>
      </w:r>
      <w:r>
        <w:t xml:space="preserve">.  See:  </w:t>
      </w:r>
      <w:hyperlink r:id="rId6" w:history="1">
        <w:r w:rsidRPr="00C86E8E">
          <w:rPr>
            <w:rStyle w:val="Hyperlink"/>
          </w:rPr>
          <w:t>http://www.princes-regeneration.org/sites/default/files/files/publication/How%20to%20Write%20Conservation%20Reports.pdf</w:t>
        </w:r>
      </w:hyperlink>
    </w:p>
    <w:p w:rsidR="00C61074" w:rsidRPr="00A90EF8" w:rsidRDefault="00C61074" w:rsidP="00C61074">
      <w:r w:rsidRPr="00A90EF8">
        <w:t xml:space="preserve">Yorke, T.  </w:t>
      </w:r>
      <w:proofErr w:type="gramStart"/>
      <w:r w:rsidRPr="00A90EF8">
        <w:t xml:space="preserve">2008  </w:t>
      </w:r>
      <w:r w:rsidRPr="00A90EF8">
        <w:rPr>
          <w:u w:val="single"/>
        </w:rPr>
        <w:t>British</w:t>
      </w:r>
      <w:proofErr w:type="gramEnd"/>
      <w:r w:rsidRPr="00A90EF8">
        <w:rPr>
          <w:u w:val="single"/>
        </w:rPr>
        <w:t xml:space="preserve"> Architectural Styles – An Easy Reference Guide</w:t>
      </w:r>
      <w:r w:rsidRPr="00A90EF8">
        <w:t>.  Countryside Books, Newbury.</w:t>
      </w:r>
    </w:p>
    <w:p w:rsidR="00C61074" w:rsidRPr="00A90EF8" w:rsidRDefault="00C61074" w:rsidP="00C61074">
      <w:r w:rsidRPr="00A90EF8">
        <w:t>Watt, D. 2015 (2</w:t>
      </w:r>
      <w:r w:rsidRPr="00A90EF8">
        <w:rPr>
          <w:vertAlign w:val="superscript"/>
        </w:rPr>
        <w:t>nd</w:t>
      </w:r>
      <w:r w:rsidRPr="00A90EF8">
        <w:t xml:space="preserve"> Edition).  </w:t>
      </w:r>
      <w:r w:rsidRPr="00A90EF8">
        <w:rPr>
          <w:u w:val="single"/>
        </w:rPr>
        <w:t>Surveying Historic Buildings</w:t>
      </w:r>
      <w:r w:rsidRPr="00A90EF8">
        <w:t xml:space="preserve">.  Routledge, Abingdon &amp; New York. </w:t>
      </w:r>
    </w:p>
    <w:p w:rsidR="00C61074" w:rsidRPr="00A90EF8" w:rsidRDefault="00C61074" w:rsidP="00C61074">
      <w:pPr>
        <w:spacing w:before="360"/>
        <w:rPr>
          <w:b/>
        </w:rPr>
      </w:pPr>
      <w:r w:rsidRPr="00A90EF8">
        <w:rPr>
          <w:b/>
        </w:rPr>
        <w:t>Recommended</w:t>
      </w:r>
    </w:p>
    <w:p w:rsidR="00C61074" w:rsidRPr="00A90EF8" w:rsidRDefault="00C61074" w:rsidP="00C61074">
      <w:r w:rsidRPr="00A90EF8">
        <w:t xml:space="preserve">Chitty, G. &amp; Baker, D. (eds.) 1999 </w:t>
      </w:r>
      <w:r w:rsidRPr="00A90EF8">
        <w:rPr>
          <w:u w:val="single"/>
        </w:rPr>
        <w:t>Managing Historic Sites and Buildings: Reconciling Presentation and Preservation</w:t>
      </w:r>
      <w:r w:rsidRPr="00A90EF8">
        <w:t>.   Routledge, Abingdon.</w:t>
      </w:r>
    </w:p>
    <w:p w:rsidR="00C61074" w:rsidRDefault="00C61074" w:rsidP="00C61074">
      <w:r w:rsidRPr="00C61074">
        <w:t xml:space="preserve">Clark, K.  2003 </w:t>
      </w:r>
      <w:r w:rsidRPr="00C61074">
        <w:tab/>
        <w:t>Informed Conservation: Understanding Historic Buildings and their Landscapes for Conservation.  English Heritage</w:t>
      </w:r>
      <w:r>
        <w:t>.</w:t>
      </w:r>
    </w:p>
    <w:p w:rsidR="00C61074" w:rsidRPr="00A90EF8" w:rsidRDefault="00C61074" w:rsidP="00C61074">
      <w:r w:rsidRPr="00A90EF8">
        <w:t xml:space="preserve">Cullingworth, J.B. and </w:t>
      </w:r>
      <w:proofErr w:type="spellStart"/>
      <w:r w:rsidRPr="00A90EF8">
        <w:t>Nadin</w:t>
      </w:r>
      <w:proofErr w:type="spellEnd"/>
      <w:r w:rsidRPr="00A90EF8">
        <w:t>, V., 2002. Town and Country Planning in the UK. Psychology Press.</w:t>
      </w:r>
    </w:p>
    <w:p w:rsidR="00C61074" w:rsidRPr="00A90EF8" w:rsidRDefault="00C61074" w:rsidP="00C61074">
      <w:r w:rsidRPr="00A90EF8">
        <w:t xml:space="preserve">Gill, S.E., Handley, J.F., </w:t>
      </w:r>
      <w:proofErr w:type="spellStart"/>
      <w:r w:rsidRPr="00A90EF8">
        <w:t>Ennos</w:t>
      </w:r>
      <w:proofErr w:type="spellEnd"/>
      <w:r w:rsidRPr="00A90EF8">
        <w:t xml:space="preserve">, A.R., </w:t>
      </w:r>
      <w:proofErr w:type="spellStart"/>
      <w:r w:rsidRPr="00A90EF8">
        <w:t>Pauleit</w:t>
      </w:r>
      <w:proofErr w:type="spellEnd"/>
      <w:r w:rsidRPr="00A90EF8">
        <w:t xml:space="preserve">, S., </w:t>
      </w:r>
      <w:proofErr w:type="spellStart"/>
      <w:r w:rsidRPr="00A90EF8">
        <w:t>Theuray</w:t>
      </w:r>
      <w:proofErr w:type="spellEnd"/>
      <w:r w:rsidRPr="00A90EF8">
        <w:t>, N. and Lindley, S.J., 2008. Characterising the urban environment of UK cities and towns: A template for landscape planning. Landscape and Urban Planning, 87(3), pp.210-222.</w:t>
      </w:r>
    </w:p>
    <w:p w:rsidR="00C61074" w:rsidRPr="00A90EF8" w:rsidRDefault="00C61074" w:rsidP="00C61074">
      <w:pPr>
        <w:rPr>
          <w:rFonts w:eastAsia="SimSun" w:cs="Arial"/>
          <w:color w:val="000000"/>
          <w:lang w:eastAsia="zh-CN"/>
        </w:rPr>
      </w:pPr>
      <w:r w:rsidRPr="00A90EF8">
        <w:rPr>
          <w:rFonts w:eastAsia="SimSun" w:cs="Arial"/>
          <w:color w:val="000000"/>
          <w:lang w:eastAsia="zh-CN"/>
        </w:rPr>
        <w:t>Hicks, D. &amp; Beaudry, M.C. (eds.</w:t>
      </w:r>
      <w:proofErr w:type="gramStart"/>
      <w:r w:rsidRPr="00A90EF8">
        <w:rPr>
          <w:rFonts w:eastAsia="SimSun" w:cs="Arial"/>
          <w:color w:val="000000"/>
          <w:lang w:eastAsia="zh-CN"/>
        </w:rPr>
        <w:t>)  2010</w:t>
      </w:r>
      <w:proofErr w:type="gramEnd"/>
      <w:r w:rsidRPr="00A90EF8">
        <w:rPr>
          <w:rFonts w:eastAsia="SimSun" w:cs="Arial"/>
          <w:color w:val="000000"/>
          <w:lang w:eastAsia="zh-CN"/>
        </w:rPr>
        <w:t xml:space="preserve"> (3</w:t>
      </w:r>
      <w:r w:rsidRPr="00A90EF8">
        <w:rPr>
          <w:rFonts w:eastAsia="SimSun" w:cs="Arial"/>
          <w:color w:val="000000"/>
          <w:vertAlign w:val="superscript"/>
          <w:lang w:eastAsia="zh-CN"/>
        </w:rPr>
        <w:t>rd</w:t>
      </w:r>
      <w:r w:rsidRPr="00A90EF8">
        <w:rPr>
          <w:rFonts w:eastAsia="SimSun" w:cs="Arial"/>
          <w:color w:val="000000"/>
          <w:lang w:eastAsia="zh-CN"/>
        </w:rPr>
        <w:t xml:space="preserve"> printing)  </w:t>
      </w:r>
      <w:r w:rsidRPr="00A90EF8">
        <w:rPr>
          <w:rFonts w:eastAsia="SimSun" w:cs="Arial"/>
          <w:i/>
          <w:color w:val="000000"/>
          <w:lang w:eastAsia="zh-CN"/>
        </w:rPr>
        <w:t>The Cambridge Companion to Historical Archaeology</w:t>
      </w:r>
      <w:r w:rsidRPr="00A90EF8">
        <w:rPr>
          <w:rFonts w:eastAsia="SimSun" w:cs="Arial"/>
          <w:color w:val="000000"/>
          <w:lang w:eastAsia="zh-CN"/>
        </w:rPr>
        <w:t>.  Cambridge University Press, Cambridge.</w:t>
      </w:r>
    </w:p>
    <w:p w:rsidR="00C61074" w:rsidRPr="00A90EF8" w:rsidRDefault="00C61074" w:rsidP="00C61074">
      <w:pPr>
        <w:rPr>
          <w:rFonts w:eastAsia="SimSun" w:cs="Arial"/>
        </w:rPr>
      </w:pPr>
      <w:r w:rsidRPr="00A90EF8">
        <w:rPr>
          <w:rFonts w:eastAsia="SimSun" w:cs="Arial"/>
        </w:rPr>
        <w:t xml:space="preserve">Hunter, J. &amp; Ralston, </w:t>
      </w:r>
      <w:proofErr w:type="gramStart"/>
      <w:r w:rsidRPr="00A90EF8">
        <w:rPr>
          <w:rFonts w:eastAsia="SimSun" w:cs="Arial"/>
        </w:rPr>
        <w:t>I  2007</w:t>
      </w:r>
      <w:proofErr w:type="gramEnd"/>
      <w:r w:rsidRPr="00A90EF8">
        <w:rPr>
          <w:rFonts w:eastAsia="SimSun" w:cs="Arial"/>
        </w:rPr>
        <w:t xml:space="preserve">  </w:t>
      </w:r>
      <w:r w:rsidRPr="00A90EF8">
        <w:rPr>
          <w:rFonts w:eastAsia="SimSun" w:cs="Arial"/>
          <w:i/>
        </w:rPr>
        <w:t>The archaeology of Britain; an introduction from the Upper Palaeolithic to the Industrial Revolution</w:t>
      </w:r>
      <w:r w:rsidRPr="00A90EF8">
        <w:rPr>
          <w:rFonts w:eastAsia="SimSun" w:cs="Arial"/>
        </w:rPr>
        <w:t xml:space="preserve">   (UCS E-Book - ISBN 0203029461)  </w:t>
      </w:r>
      <w:r>
        <w:rPr>
          <w:rFonts w:eastAsia="SimSun" w:cs="Arial"/>
        </w:rPr>
        <w:t>[For general background IF required]</w:t>
      </w:r>
    </w:p>
    <w:p w:rsidR="00C61074" w:rsidRPr="00A90EF8" w:rsidRDefault="00C61074" w:rsidP="00C61074">
      <w:proofErr w:type="spellStart"/>
      <w:r w:rsidRPr="00A90EF8">
        <w:t>Insall</w:t>
      </w:r>
      <w:proofErr w:type="spellEnd"/>
      <w:r w:rsidRPr="00A90EF8">
        <w:t xml:space="preserve">, D.W. </w:t>
      </w:r>
      <w:proofErr w:type="gramStart"/>
      <w:r w:rsidRPr="00A90EF8">
        <w:t>2008  Living</w:t>
      </w:r>
      <w:proofErr w:type="gramEnd"/>
      <w:r w:rsidRPr="00A90EF8">
        <w:t xml:space="preserve"> Buildings: Architectural Conservation, Philosophy, Principles and Practice   Images Publishing Group Pty Ltd </w:t>
      </w:r>
    </w:p>
    <w:p w:rsidR="00C61074" w:rsidRPr="00A90EF8" w:rsidRDefault="00C61074" w:rsidP="00C61074">
      <w:proofErr w:type="spellStart"/>
      <w:r w:rsidRPr="00A90EF8">
        <w:t>Jokilehto</w:t>
      </w:r>
      <w:proofErr w:type="spellEnd"/>
      <w:r w:rsidRPr="00A90EF8">
        <w:t>, J.  2002 History of Architectural Conservation.  Butterworth-Heinemann</w:t>
      </w:r>
    </w:p>
    <w:p w:rsidR="00C61074" w:rsidRPr="00A90EF8" w:rsidRDefault="00C61074" w:rsidP="00C61074">
      <w:proofErr w:type="spellStart"/>
      <w:r w:rsidRPr="00A90EF8">
        <w:t>Orbasli</w:t>
      </w:r>
      <w:proofErr w:type="spellEnd"/>
      <w:r w:rsidRPr="00A90EF8">
        <w:t xml:space="preserve">, A.  </w:t>
      </w:r>
      <w:proofErr w:type="gramStart"/>
      <w:r w:rsidRPr="00A90EF8">
        <w:t>2007  Architectural</w:t>
      </w:r>
      <w:proofErr w:type="gramEnd"/>
      <w:r w:rsidRPr="00A90EF8">
        <w:t xml:space="preserve"> Conservation: Principles and Practice.  Wiley-Blackwell</w:t>
      </w:r>
    </w:p>
    <w:p w:rsidR="00C61074" w:rsidRPr="00A90EF8" w:rsidRDefault="00C61074" w:rsidP="00C61074">
      <w:r w:rsidRPr="00A90EF8">
        <w:t xml:space="preserve">Saint, A.  2003 Building Conservation Philosophy.  </w:t>
      </w:r>
      <w:proofErr w:type="spellStart"/>
      <w:r w:rsidRPr="00A90EF8">
        <w:t>Donhead</w:t>
      </w:r>
      <w:proofErr w:type="spellEnd"/>
      <w:r w:rsidRPr="00A90EF8">
        <w:t xml:space="preserve"> Publishing (3rd Edition)</w:t>
      </w:r>
    </w:p>
    <w:p w:rsidR="00C61074" w:rsidRPr="00A90EF8" w:rsidRDefault="00C61074" w:rsidP="00C61074">
      <w:proofErr w:type="spellStart"/>
      <w:r w:rsidRPr="00A90EF8">
        <w:t>Semes</w:t>
      </w:r>
      <w:proofErr w:type="spellEnd"/>
      <w:r w:rsidRPr="00A90EF8">
        <w:t>, S.  2010</w:t>
      </w:r>
      <w:r w:rsidRPr="00A90EF8">
        <w:tab/>
        <w:t>The Future of the Past: A Conservation Ethic for</w:t>
      </w:r>
      <w:r w:rsidRPr="00A90EF8">
        <w:tab/>
        <w:t xml:space="preserve">Architecture, Urbanism, and Historic Preservation.  </w:t>
      </w:r>
      <w:proofErr w:type="spellStart"/>
      <w:r w:rsidRPr="00A90EF8">
        <w:t>W.W.Norton</w:t>
      </w:r>
      <w:proofErr w:type="spellEnd"/>
      <w:r w:rsidRPr="00A90EF8">
        <w:t xml:space="preserve"> &amp; Co.</w:t>
      </w:r>
    </w:p>
    <w:p w:rsidR="00C61074" w:rsidRPr="00A90EF8" w:rsidRDefault="00C61074" w:rsidP="00C61074">
      <w:r w:rsidRPr="00A90EF8">
        <w:t xml:space="preserve">Smith, P.  </w:t>
      </w:r>
      <w:proofErr w:type="gramStart"/>
      <w:r w:rsidRPr="00A90EF8">
        <w:t>1975  Houses</w:t>
      </w:r>
      <w:proofErr w:type="gramEnd"/>
      <w:r w:rsidRPr="00A90EF8">
        <w:t xml:space="preserve"> of the Welsh Countryside: A Study in Historical Geography RCHMW : HMSO</w:t>
      </w:r>
    </w:p>
    <w:p w:rsidR="00C61074" w:rsidRPr="00A90EF8" w:rsidRDefault="00C61074" w:rsidP="00C61074">
      <w:r w:rsidRPr="00A90EF8">
        <w:lastRenderedPageBreak/>
        <w:t xml:space="preserve">Strike, J.  </w:t>
      </w:r>
      <w:proofErr w:type="gramStart"/>
      <w:r w:rsidRPr="00A90EF8">
        <w:t>1994  Architecture</w:t>
      </w:r>
      <w:proofErr w:type="gramEnd"/>
      <w:r w:rsidRPr="00A90EF8">
        <w:t xml:space="preserve"> in Conservation: Managing Development at Historic Sites.  Routledge</w:t>
      </w:r>
    </w:p>
    <w:p w:rsidR="00C61074" w:rsidRPr="00A90EF8" w:rsidRDefault="00C61074" w:rsidP="00C61074">
      <w:proofErr w:type="spellStart"/>
      <w:r w:rsidRPr="00A90EF8">
        <w:t>Ugochukwu</w:t>
      </w:r>
      <w:proofErr w:type="spellEnd"/>
      <w:r w:rsidRPr="00A90EF8">
        <w:t xml:space="preserve">, C.  </w:t>
      </w:r>
      <w:proofErr w:type="gramStart"/>
      <w:r w:rsidRPr="00A90EF8">
        <w:t>2006  Urban</w:t>
      </w:r>
      <w:proofErr w:type="gramEnd"/>
      <w:r w:rsidRPr="00A90EF8">
        <w:t xml:space="preserve"> Neighbourhood Revitalization and Heritage</w:t>
      </w:r>
      <w:r w:rsidRPr="00A90EF8">
        <w:tab/>
        <w:t xml:space="preserve">Conservation: The Architecture of Urban Redesign.  Edwin </w:t>
      </w:r>
      <w:proofErr w:type="spellStart"/>
      <w:r w:rsidRPr="00A90EF8">
        <w:t>Mellen</w:t>
      </w:r>
      <w:proofErr w:type="spellEnd"/>
      <w:r w:rsidRPr="00A90EF8">
        <w:t xml:space="preserve"> Press Ltd</w:t>
      </w:r>
    </w:p>
    <w:p w:rsidR="00C61074" w:rsidRPr="00A90EF8" w:rsidRDefault="00C61074" w:rsidP="00C61074">
      <w:proofErr w:type="spellStart"/>
      <w:r w:rsidRPr="00A90EF8">
        <w:t>Worthong</w:t>
      </w:r>
      <w:proofErr w:type="spellEnd"/>
      <w:r w:rsidRPr="00A90EF8">
        <w:t xml:space="preserve">, D.  </w:t>
      </w:r>
      <w:proofErr w:type="gramStart"/>
      <w:r w:rsidRPr="00A90EF8">
        <w:t>2007  Managing</w:t>
      </w:r>
      <w:proofErr w:type="gramEnd"/>
      <w:r w:rsidRPr="00A90EF8">
        <w:t xml:space="preserve"> Built Heritage: The Role of Cultural Significance.  Wiley-Blackwell</w:t>
      </w:r>
    </w:p>
    <w:p w:rsidR="00C61074" w:rsidRPr="00A90EF8" w:rsidRDefault="00C61074" w:rsidP="00C61074">
      <w:proofErr w:type="spellStart"/>
      <w:r w:rsidRPr="00A90EF8">
        <w:t>Wiliam</w:t>
      </w:r>
      <w:proofErr w:type="spellEnd"/>
      <w:r w:rsidRPr="00A90EF8">
        <w:t xml:space="preserve">, E.  </w:t>
      </w:r>
      <w:proofErr w:type="gramStart"/>
      <w:r w:rsidRPr="00A90EF8">
        <w:t xml:space="preserve">1982  </w:t>
      </w:r>
      <w:r w:rsidRPr="00A90EF8">
        <w:rPr>
          <w:u w:val="single"/>
        </w:rPr>
        <w:t>Traditional</w:t>
      </w:r>
      <w:proofErr w:type="gramEnd"/>
      <w:r w:rsidRPr="00A90EF8">
        <w:rPr>
          <w:u w:val="single"/>
        </w:rPr>
        <w:t xml:space="preserve"> Farm Buildings in North-East Wales 1550-1900</w:t>
      </w:r>
      <w:r w:rsidRPr="00A90EF8">
        <w:t>.  National Museum Wales, Cardiff.</w:t>
      </w:r>
    </w:p>
    <w:p w:rsidR="00C61074" w:rsidRPr="00A90EF8" w:rsidRDefault="00C61074" w:rsidP="00C61074">
      <w:r w:rsidRPr="00A90EF8">
        <w:t>Nasser, N., 2003. Planning for urban heritage places: reconciling conservation, tourism, and sustainable development. Journal of planning literature, 17(4), pp.467-479.</w:t>
      </w:r>
    </w:p>
    <w:p w:rsidR="00C61074" w:rsidRPr="00A90EF8" w:rsidRDefault="00C61074" w:rsidP="00C61074">
      <w:proofErr w:type="spellStart"/>
      <w:r w:rsidRPr="00A90EF8">
        <w:t>Orbasli</w:t>
      </w:r>
      <w:proofErr w:type="spellEnd"/>
      <w:r w:rsidRPr="00A90EF8">
        <w:t>, Aylin. Tourists in historic towns: Urban conservation and heritage management. Taylor &amp; Francis, 2002.</w:t>
      </w:r>
    </w:p>
    <w:p w:rsidR="00C61074" w:rsidRPr="00A90EF8" w:rsidRDefault="00C61074" w:rsidP="00C61074">
      <w:proofErr w:type="spellStart"/>
      <w:r w:rsidRPr="00A90EF8">
        <w:t>Pendlebury</w:t>
      </w:r>
      <w:proofErr w:type="spellEnd"/>
      <w:r w:rsidRPr="00A90EF8">
        <w:t>, J., 1999. The conservation of historic areas in the UK: A case study of “Grainger Town”, Newcastle upon Tyne. Cities, 16(6), pp.423-433.</w:t>
      </w:r>
    </w:p>
    <w:p w:rsidR="00C61074" w:rsidRPr="00A90EF8" w:rsidRDefault="00C61074" w:rsidP="00C61074">
      <w:r w:rsidRPr="00A90EF8">
        <w:t>Strange, I. and Whitney, D., 2003. The changing roles and purposes of heritage conservation in the UK. Planning, Practice &amp; Research, 18(2-3), pp.219-229.</w:t>
      </w:r>
    </w:p>
    <w:p w:rsidR="00C61074" w:rsidRPr="00A90EF8" w:rsidRDefault="00C61074" w:rsidP="00C61074">
      <w:r w:rsidRPr="00A90EF8">
        <w:t xml:space="preserve">Townshend, T. and </w:t>
      </w:r>
      <w:proofErr w:type="spellStart"/>
      <w:r w:rsidRPr="00A90EF8">
        <w:t>Pendlebury</w:t>
      </w:r>
      <w:proofErr w:type="spellEnd"/>
      <w:r w:rsidRPr="00A90EF8">
        <w:t>, J., 1999. Public participation in the conservation of historic areas: Case‐studies from north‐east England. Journal of Urban Design, 4(3), pp.313-331.</w:t>
      </w:r>
    </w:p>
    <w:p w:rsidR="00C61074" w:rsidRDefault="00C61074" w:rsidP="00C61074">
      <w:r w:rsidRPr="00A90EF8">
        <w:t>Tweed, C. &amp; Sutherland, M. 2007 Built Cultural Heritage and Sustainable Urban Development.  Landscape and Urban Planning 83 (1), p62-69.</w:t>
      </w:r>
    </w:p>
    <w:p w:rsidR="005B5C6E" w:rsidRDefault="005B5C6E" w:rsidP="00C61074"/>
    <w:p w:rsidR="005B5C6E" w:rsidRDefault="005B5C6E" w:rsidP="00C61074"/>
    <w:p w:rsidR="005B5C6E" w:rsidRDefault="005B5C6E" w:rsidP="00C61074"/>
    <w:p w:rsidR="005B5C6E" w:rsidRPr="00A90EF8" w:rsidRDefault="005B5C6E" w:rsidP="00C61074">
      <w:bookmarkStart w:id="0" w:name="_GoBack"/>
      <w:bookmarkEnd w:id="0"/>
    </w:p>
    <w:sectPr w:rsidR="005B5C6E" w:rsidRPr="00A90EF8" w:rsidSect="00C61074">
      <w:pgSz w:w="12240" w:h="15840"/>
      <w:pgMar w:top="1152" w:right="1440" w:bottom="1152"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11507D"/>
    <w:multiLevelType w:val="hybridMultilevel"/>
    <w:tmpl w:val="FD6E1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972C23"/>
    <w:multiLevelType w:val="hybridMultilevel"/>
    <w:tmpl w:val="F75AE0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F2838"/>
    <w:multiLevelType w:val="hybridMultilevel"/>
    <w:tmpl w:val="46D60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3E0EC2"/>
    <w:multiLevelType w:val="hybridMultilevel"/>
    <w:tmpl w:val="A5F2C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5944C63"/>
    <w:multiLevelType w:val="hybridMultilevel"/>
    <w:tmpl w:val="A1E2D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1F0E23"/>
    <w:multiLevelType w:val="hybridMultilevel"/>
    <w:tmpl w:val="32EAAE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A8000A2"/>
    <w:multiLevelType w:val="hybridMultilevel"/>
    <w:tmpl w:val="0E7CF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6"/>
  </w:num>
  <w:num w:numId="4">
    <w:abstractNumId w:val="2"/>
  </w:num>
  <w:num w:numId="5">
    <w:abstractNumId w:val="1"/>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BA0"/>
    <w:rsid w:val="00013603"/>
    <w:rsid w:val="00034FF2"/>
    <w:rsid w:val="000534C8"/>
    <w:rsid w:val="00062DF2"/>
    <w:rsid w:val="00064332"/>
    <w:rsid w:val="000812F3"/>
    <w:rsid w:val="000872DB"/>
    <w:rsid w:val="000A0FC6"/>
    <w:rsid w:val="000A2B0B"/>
    <w:rsid w:val="000A7A1E"/>
    <w:rsid w:val="000E7755"/>
    <w:rsid w:val="001252FE"/>
    <w:rsid w:val="001319A3"/>
    <w:rsid w:val="00136298"/>
    <w:rsid w:val="00142714"/>
    <w:rsid w:val="0014644F"/>
    <w:rsid w:val="00167BB3"/>
    <w:rsid w:val="0017509A"/>
    <w:rsid w:val="00184528"/>
    <w:rsid w:val="00192B6A"/>
    <w:rsid w:val="001A4B53"/>
    <w:rsid w:val="001B05F5"/>
    <w:rsid w:val="001B1805"/>
    <w:rsid w:val="001C6E09"/>
    <w:rsid w:val="001D08F4"/>
    <w:rsid w:val="001D3BFA"/>
    <w:rsid w:val="001E49F7"/>
    <w:rsid w:val="001F79C7"/>
    <w:rsid w:val="00233AE9"/>
    <w:rsid w:val="00233F86"/>
    <w:rsid w:val="00236620"/>
    <w:rsid w:val="00256180"/>
    <w:rsid w:val="00263F9F"/>
    <w:rsid w:val="002648DC"/>
    <w:rsid w:val="002A1AF6"/>
    <w:rsid w:val="002A2B3D"/>
    <w:rsid w:val="002A4969"/>
    <w:rsid w:val="002B6945"/>
    <w:rsid w:val="002C2117"/>
    <w:rsid w:val="002D11F1"/>
    <w:rsid w:val="002E0206"/>
    <w:rsid w:val="003144B6"/>
    <w:rsid w:val="00320A0C"/>
    <w:rsid w:val="0033139E"/>
    <w:rsid w:val="003A1BA0"/>
    <w:rsid w:val="003B445C"/>
    <w:rsid w:val="003D3CD8"/>
    <w:rsid w:val="00413385"/>
    <w:rsid w:val="00435BC8"/>
    <w:rsid w:val="00465E9C"/>
    <w:rsid w:val="00466463"/>
    <w:rsid w:val="00470231"/>
    <w:rsid w:val="004B3CD6"/>
    <w:rsid w:val="004C774C"/>
    <w:rsid w:val="004D6BD5"/>
    <w:rsid w:val="004E01DC"/>
    <w:rsid w:val="004F165A"/>
    <w:rsid w:val="0050056D"/>
    <w:rsid w:val="00534659"/>
    <w:rsid w:val="00540DB2"/>
    <w:rsid w:val="00563B4E"/>
    <w:rsid w:val="005815F2"/>
    <w:rsid w:val="00591398"/>
    <w:rsid w:val="005B5C6E"/>
    <w:rsid w:val="005E27B7"/>
    <w:rsid w:val="0064724B"/>
    <w:rsid w:val="006527EF"/>
    <w:rsid w:val="00673009"/>
    <w:rsid w:val="0068189A"/>
    <w:rsid w:val="006A4D6C"/>
    <w:rsid w:val="006A63D2"/>
    <w:rsid w:val="006A6E96"/>
    <w:rsid w:val="00724AC5"/>
    <w:rsid w:val="00775737"/>
    <w:rsid w:val="007B16EA"/>
    <w:rsid w:val="007B579C"/>
    <w:rsid w:val="007D097E"/>
    <w:rsid w:val="007E71DA"/>
    <w:rsid w:val="007F58A3"/>
    <w:rsid w:val="00806792"/>
    <w:rsid w:val="0081152E"/>
    <w:rsid w:val="00812454"/>
    <w:rsid w:val="00830499"/>
    <w:rsid w:val="00882E3B"/>
    <w:rsid w:val="008B023C"/>
    <w:rsid w:val="008D7067"/>
    <w:rsid w:val="008F6460"/>
    <w:rsid w:val="00907405"/>
    <w:rsid w:val="00932FB2"/>
    <w:rsid w:val="00936E6F"/>
    <w:rsid w:val="00962C78"/>
    <w:rsid w:val="009A5991"/>
    <w:rsid w:val="009B3CC1"/>
    <w:rsid w:val="009F575B"/>
    <w:rsid w:val="00A01624"/>
    <w:rsid w:val="00A13774"/>
    <w:rsid w:val="00A42049"/>
    <w:rsid w:val="00A57FC1"/>
    <w:rsid w:val="00A738BE"/>
    <w:rsid w:val="00A83825"/>
    <w:rsid w:val="00A90EF8"/>
    <w:rsid w:val="00AB222C"/>
    <w:rsid w:val="00AB7B6F"/>
    <w:rsid w:val="00AC74E7"/>
    <w:rsid w:val="00AE2969"/>
    <w:rsid w:val="00AE4E4F"/>
    <w:rsid w:val="00B13DCE"/>
    <w:rsid w:val="00B14B51"/>
    <w:rsid w:val="00B50D51"/>
    <w:rsid w:val="00B5685F"/>
    <w:rsid w:val="00B96C81"/>
    <w:rsid w:val="00B97925"/>
    <w:rsid w:val="00BB0E41"/>
    <w:rsid w:val="00BC43DB"/>
    <w:rsid w:val="00BE2C75"/>
    <w:rsid w:val="00C0512A"/>
    <w:rsid w:val="00C065E6"/>
    <w:rsid w:val="00C16152"/>
    <w:rsid w:val="00C32A82"/>
    <w:rsid w:val="00C37F2B"/>
    <w:rsid w:val="00C41DBE"/>
    <w:rsid w:val="00C53307"/>
    <w:rsid w:val="00C566B6"/>
    <w:rsid w:val="00C61074"/>
    <w:rsid w:val="00C641E6"/>
    <w:rsid w:val="00C67DFD"/>
    <w:rsid w:val="00CA4140"/>
    <w:rsid w:val="00CA6E4A"/>
    <w:rsid w:val="00CB40D9"/>
    <w:rsid w:val="00CD4E2C"/>
    <w:rsid w:val="00D21571"/>
    <w:rsid w:val="00D323A4"/>
    <w:rsid w:val="00D66A6D"/>
    <w:rsid w:val="00D84378"/>
    <w:rsid w:val="00D93E8B"/>
    <w:rsid w:val="00DA6265"/>
    <w:rsid w:val="00DE497F"/>
    <w:rsid w:val="00E42ACA"/>
    <w:rsid w:val="00E566FC"/>
    <w:rsid w:val="00EC1021"/>
    <w:rsid w:val="00ED0EF5"/>
    <w:rsid w:val="00EF248A"/>
    <w:rsid w:val="00F116D3"/>
    <w:rsid w:val="00F1523F"/>
    <w:rsid w:val="00F215BD"/>
    <w:rsid w:val="00F52CCA"/>
    <w:rsid w:val="00F72AA2"/>
    <w:rsid w:val="00F95D50"/>
    <w:rsid w:val="00FB4AB2"/>
    <w:rsid w:val="00FC158B"/>
    <w:rsid w:val="00FD6F06"/>
    <w:rsid w:val="00FD7048"/>
    <w:rsid w:val="00FF1602"/>
    <w:rsid w:val="00FF68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2FF1D39-34D1-4474-AD9D-A74D161F7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5E9C"/>
    <w:pPr>
      <w:spacing w:after="120" w:line="280" w:lineRule="atLeast"/>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3F86"/>
    <w:pPr>
      <w:ind w:left="720"/>
      <w:contextualSpacing/>
    </w:pPr>
  </w:style>
  <w:style w:type="paragraph" w:customStyle="1" w:styleId="heading">
    <w:name w:val="heading"/>
    <w:basedOn w:val="Normal"/>
    <w:link w:val="headingChar"/>
    <w:rsid w:val="00233F86"/>
    <w:pPr>
      <w:tabs>
        <w:tab w:val="left" w:pos="720"/>
        <w:tab w:val="left" w:pos="1440"/>
        <w:tab w:val="left" w:pos="2160"/>
        <w:tab w:val="left" w:pos="2880"/>
      </w:tabs>
      <w:overflowPunct w:val="0"/>
      <w:autoSpaceDE w:val="0"/>
      <w:autoSpaceDN w:val="0"/>
      <w:adjustRightInd w:val="0"/>
      <w:spacing w:before="240" w:line="240" w:lineRule="auto"/>
      <w:ind w:left="3600" w:hanging="3600"/>
      <w:textAlignment w:val="baseline"/>
    </w:pPr>
    <w:rPr>
      <w:rFonts w:ascii="Arial" w:eastAsia="Times New Roman" w:hAnsi="Arial" w:cs="Times New Roman"/>
      <w:b/>
      <w:szCs w:val="20"/>
      <w:lang w:eastAsia="en-GB"/>
    </w:rPr>
  </w:style>
  <w:style w:type="character" w:customStyle="1" w:styleId="headingChar">
    <w:name w:val="heading Char"/>
    <w:link w:val="heading"/>
    <w:rsid w:val="00233F86"/>
    <w:rPr>
      <w:rFonts w:ascii="Arial" w:eastAsia="Times New Roman" w:hAnsi="Arial" w:cs="Times New Roman"/>
      <w:b/>
      <w:szCs w:val="20"/>
      <w:lang w:val="en-GB" w:eastAsia="en-GB"/>
    </w:rPr>
  </w:style>
  <w:style w:type="paragraph" w:styleId="NoSpacing">
    <w:name w:val="No Spacing"/>
    <w:uiPriority w:val="99"/>
    <w:qFormat/>
    <w:rsid w:val="00233F86"/>
    <w:pPr>
      <w:spacing w:after="0" w:line="240" w:lineRule="auto"/>
    </w:pPr>
    <w:rPr>
      <w:rFonts w:ascii="Calibri" w:eastAsia="Calibri" w:hAnsi="Calibri" w:cs="Times New Roman"/>
      <w:lang w:val="en-GB"/>
    </w:rPr>
  </w:style>
  <w:style w:type="table" w:styleId="TableGrid">
    <w:name w:val="Table Grid"/>
    <w:basedOn w:val="TableNormal"/>
    <w:uiPriority w:val="59"/>
    <w:rsid w:val="00CA6E4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E497F"/>
    <w:rPr>
      <w:color w:val="0563C1" w:themeColor="hyperlink"/>
      <w:u w:val="single"/>
    </w:rPr>
  </w:style>
  <w:style w:type="paragraph" w:styleId="BalloonText">
    <w:name w:val="Balloon Text"/>
    <w:basedOn w:val="Normal"/>
    <w:link w:val="BalloonTextChar"/>
    <w:uiPriority w:val="99"/>
    <w:semiHidden/>
    <w:unhideWhenUsed/>
    <w:rsid w:val="005B5C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5C6E"/>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2443854">
      <w:bodyDiv w:val="1"/>
      <w:marLeft w:val="0"/>
      <w:marRight w:val="0"/>
      <w:marTop w:val="0"/>
      <w:marBottom w:val="0"/>
      <w:divBdr>
        <w:top w:val="none" w:sz="0" w:space="0" w:color="auto"/>
        <w:left w:val="none" w:sz="0" w:space="0" w:color="auto"/>
        <w:bottom w:val="none" w:sz="0" w:space="0" w:color="auto"/>
        <w:right w:val="none" w:sz="0" w:space="0" w:color="auto"/>
      </w:divBdr>
      <w:divsChild>
        <w:div w:id="1527519073">
          <w:marLeft w:val="0"/>
          <w:marRight w:val="0"/>
          <w:marTop w:val="0"/>
          <w:marBottom w:val="0"/>
          <w:divBdr>
            <w:top w:val="none" w:sz="0" w:space="0" w:color="auto"/>
            <w:left w:val="none" w:sz="0" w:space="0" w:color="auto"/>
            <w:bottom w:val="none" w:sz="0" w:space="0" w:color="auto"/>
            <w:right w:val="none" w:sz="0" w:space="0" w:color="auto"/>
          </w:divBdr>
          <w:divsChild>
            <w:div w:id="1884172847">
              <w:marLeft w:val="0"/>
              <w:marRight w:val="0"/>
              <w:marTop w:val="0"/>
              <w:marBottom w:val="0"/>
              <w:divBdr>
                <w:top w:val="none" w:sz="0" w:space="0" w:color="auto"/>
                <w:left w:val="none" w:sz="0" w:space="0" w:color="auto"/>
                <w:bottom w:val="none" w:sz="0" w:space="0" w:color="auto"/>
                <w:right w:val="none" w:sz="0" w:space="0" w:color="auto"/>
              </w:divBdr>
              <w:divsChild>
                <w:div w:id="1227954811">
                  <w:marLeft w:val="0"/>
                  <w:marRight w:val="0"/>
                  <w:marTop w:val="0"/>
                  <w:marBottom w:val="0"/>
                  <w:divBdr>
                    <w:top w:val="none" w:sz="0" w:space="0" w:color="auto"/>
                    <w:left w:val="none" w:sz="0" w:space="0" w:color="auto"/>
                    <w:bottom w:val="none" w:sz="0" w:space="0" w:color="auto"/>
                    <w:right w:val="none" w:sz="0" w:space="0" w:color="auto"/>
                  </w:divBdr>
                  <w:divsChild>
                    <w:div w:id="1870754682">
                      <w:marLeft w:val="0"/>
                      <w:marRight w:val="0"/>
                      <w:marTop w:val="0"/>
                      <w:marBottom w:val="0"/>
                      <w:divBdr>
                        <w:top w:val="none" w:sz="0" w:space="0" w:color="auto"/>
                        <w:left w:val="none" w:sz="0" w:space="0" w:color="auto"/>
                        <w:bottom w:val="none" w:sz="0" w:space="0" w:color="auto"/>
                        <w:right w:val="none" w:sz="0" w:space="0" w:color="auto"/>
                      </w:divBdr>
                      <w:divsChild>
                        <w:div w:id="851720135">
                          <w:marLeft w:val="0"/>
                          <w:marRight w:val="0"/>
                          <w:marTop w:val="0"/>
                          <w:marBottom w:val="2"/>
                          <w:divBdr>
                            <w:top w:val="none" w:sz="0" w:space="0" w:color="auto"/>
                            <w:left w:val="none" w:sz="0" w:space="0" w:color="auto"/>
                            <w:bottom w:val="none" w:sz="0" w:space="0" w:color="auto"/>
                            <w:right w:val="none" w:sz="0" w:space="0" w:color="auto"/>
                          </w:divBdr>
                          <w:divsChild>
                            <w:div w:id="891577666">
                              <w:marLeft w:val="0"/>
                              <w:marRight w:val="0"/>
                              <w:marTop w:val="0"/>
                              <w:marBottom w:val="0"/>
                              <w:divBdr>
                                <w:top w:val="none" w:sz="0" w:space="0" w:color="auto"/>
                                <w:left w:val="none" w:sz="0" w:space="0" w:color="auto"/>
                                <w:bottom w:val="none" w:sz="0" w:space="0" w:color="auto"/>
                                <w:right w:val="none" w:sz="0" w:space="0" w:color="auto"/>
                              </w:divBdr>
                              <w:divsChild>
                                <w:div w:id="1546482921">
                                  <w:marLeft w:val="0"/>
                                  <w:marRight w:val="0"/>
                                  <w:marTop w:val="0"/>
                                  <w:marBottom w:val="0"/>
                                  <w:divBdr>
                                    <w:top w:val="none" w:sz="0" w:space="0" w:color="auto"/>
                                    <w:left w:val="none" w:sz="0" w:space="0" w:color="auto"/>
                                    <w:bottom w:val="none" w:sz="0" w:space="0" w:color="auto"/>
                                    <w:right w:val="none" w:sz="0" w:space="0" w:color="auto"/>
                                  </w:divBdr>
                                  <w:divsChild>
                                    <w:div w:id="1996949453">
                                      <w:marLeft w:val="0"/>
                                      <w:marRight w:val="0"/>
                                      <w:marTop w:val="0"/>
                                      <w:marBottom w:val="0"/>
                                      <w:divBdr>
                                        <w:top w:val="none" w:sz="0" w:space="0" w:color="auto"/>
                                        <w:left w:val="none" w:sz="0" w:space="0" w:color="auto"/>
                                        <w:bottom w:val="none" w:sz="0" w:space="0" w:color="auto"/>
                                        <w:right w:val="none" w:sz="0" w:space="0" w:color="auto"/>
                                      </w:divBdr>
                                      <w:divsChild>
                                        <w:div w:id="1856385357">
                                          <w:marLeft w:val="0"/>
                                          <w:marRight w:val="0"/>
                                          <w:marTop w:val="0"/>
                                          <w:marBottom w:val="0"/>
                                          <w:divBdr>
                                            <w:top w:val="none" w:sz="0" w:space="0" w:color="auto"/>
                                            <w:left w:val="none" w:sz="0" w:space="0" w:color="auto"/>
                                            <w:bottom w:val="none" w:sz="0" w:space="0" w:color="auto"/>
                                            <w:right w:val="none" w:sz="0" w:space="0" w:color="auto"/>
                                          </w:divBdr>
                                          <w:divsChild>
                                            <w:div w:id="850221849">
                                              <w:marLeft w:val="0"/>
                                              <w:marRight w:val="0"/>
                                              <w:marTop w:val="0"/>
                                              <w:marBottom w:val="0"/>
                                              <w:divBdr>
                                                <w:top w:val="none" w:sz="0" w:space="0" w:color="auto"/>
                                                <w:left w:val="none" w:sz="0" w:space="0" w:color="auto"/>
                                                <w:bottom w:val="none" w:sz="0" w:space="0" w:color="auto"/>
                                                <w:right w:val="none" w:sz="0" w:space="0" w:color="auto"/>
                                              </w:divBdr>
                                              <w:divsChild>
                                                <w:div w:id="1844125754">
                                                  <w:marLeft w:val="0"/>
                                                  <w:marRight w:val="0"/>
                                                  <w:marTop w:val="0"/>
                                                  <w:marBottom w:val="0"/>
                                                  <w:divBdr>
                                                    <w:top w:val="none" w:sz="0" w:space="0" w:color="auto"/>
                                                    <w:left w:val="none" w:sz="0" w:space="0" w:color="auto"/>
                                                    <w:bottom w:val="none" w:sz="0" w:space="0" w:color="auto"/>
                                                    <w:right w:val="none" w:sz="0" w:space="0" w:color="auto"/>
                                                  </w:divBdr>
                                                </w:div>
                                                <w:div w:id="152910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princes-regeneration.org/sites/default/files/files/publication/How%20to%20Write%20Conservation%20Reports.pdf" TargetMode="External"/><Relationship Id="rId5" Type="http://schemas.openxmlformats.org/officeDocument/2006/relationships/hyperlink" Target="http://www.princes-regeneration.org/sites/default/files/files/publication/How%20to%20Write%20Conservation%20Report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2113</Words>
  <Characters>12046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14131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Coles</dc:creator>
  <cp:keywords/>
  <dc:description/>
  <cp:lastModifiedBy>Geraint Coles</cp:lastModifiedBy>
  <cp:revision>3</cp:revision>
  <cp:lastPrinted>2017-03-03T15:24:00Z</cp:lastPrinted>
  <dcterms:created xsi:type="dcterms:W3CDTF">2017-03-03T15:18:00Z</dcterms:created>
  <dcterms:modified xsi:type="dcterms:W3CDTF">2017-03-03T15:25:00Z</dcterms:modified>
</cp:coreProperties>
</file>