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C4FDB0" w14:textId="77777777" w:rsidR="009462EC" w:rsidRDefault="009462EC" w:rsidP="009462EC">
      <w:pPr>
        <w:ind w:left="1651"/>
        <w:rPr>
          <w:rFonts w:eastAsia="Arial" w:cs="Arial"/>
          <w:b/>
          <w:bCs/>
          <w:szCs w:val="24"/>
        </w:rPr>
      </w:pPr>
      <w:bookmarkStart w:id="0" w:name="_ttnw31nwdyy0" w:colFirst="0" w:colLast="0"/>
      <w:bookmarkEnd w:id="0"/>
      <w:r>
        <w:rPr>
          <w:rFonts w:eastAsia="Arial" w:cs="Arial"/>
          <w:b/>
          <w:bCs/>
          <w:noProof/>
          <w:szCs w:val="24"/>
        </w:rPr>
        <w:drawing>
          <wp:inline distT="0" distB="0" distL="0" distR="0" wp14:anchorId="532099A2" wp14:editId="02C443B0">
            <wp:extent cx="3379851" cy="1352550"/>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3379851" cy="1352550"/>
                    </a:xfrm>
                    <a:prstGeom prst="rect">
                      <a:avLst/>
                    </a:prstGeom>
                    <a:ln/>
                  </pic:spPr>
                </pic:pic>
              </a:graphicData>
            </a:graphic>
          </wp:inline>
        </w:drawing>
      </w:r>
    </w:p>
    <w:p w14:paraId="274529E6" w14:textId="77777777" w:rsidR="009462EC" w:rsidRDefault="009462EC" w:rsidP="009462EC">
      <w:pPr>
        <w:spacing w:before="333"/>
        <w:rPr>
          <w:rFonts w:eastAsia="Arial" w:cs="Arial"/>
          <w:b/>
          <w:bCs/>
          <w:sz w:val="32"/>
          <w:szCs w:val="32"/>
        </w:rPr>
      </w:pPr>
    </w:p>
    <w:p w14:paraId="791D4DE1" w14:textId="7CC08B98" w:rsidR="009462EC" w:rsidRPr="009462EC" w:rsidRDefault="009462EC" w:rsidP="009462EC">
      <w:pPr>
        <w:spacing w:before="1"/>
        <w:ind w:left="893" w:right="901"/>
        <w:jc w:val="center"/>
        <w:rPr>
          <w:rFonts w:eastAsia="Arial" w:cs="Arial"/>
          <w:b/>
          <w:bCs/>
          <w:sz w:val="32"/>
          <w:szCs w:val="32"/>
        </w:rPr>
      </w:pPr>
      <w:r>
        <w:rPr>
          <w:rFonts w:eastAsia="Arial" w:cs="Arial"/>
          <w:b/>
          <w:bCs/>
          <w:sz w:val="32"/>
          <w:szCs w:val="32"/>
        </w:rPr>
        <w:t xml:space="preserve">Student Name: Kevin Thakarshibhai Maniya </w:t>
      </w:r>
    </w:p>
    <w:p w14:paraId="7441A2F7" w14:textId="77777777" w:rsidR="009462EC" w:rsidRDefault="009462EC" w:rsidP="009462EC">
      <w:pPr>
        <w:spacing w:before="1"/>
        <w:ind w:left="893" w:right="901"/>
        <w:jc w:val="center"/>
        <w:rPr>
          <w:rFonts w:eastAsia="Arial" w:cs="Arial"/>
          <w:b/>
          <w:bCs/>
          <w:sz w:val="32"/>
          <w:szCs w:val="32"/>
        </w:rPr>
      </w:pPr>
      <w:r>
        <w:rPr>
          <w:rFonts w:eastAsia="Arial" w:cs="Arial"/>
          <w:b/>
          <w:bCs/>
          <w:sz w:val="32"/>
          <w:szCs w:val="32"/>
        </w:rPr>
        <w:t>Student ID: 2437416</w:t>
      </w:r>
    </w:p>
    <w:p w14:paraId="11876048" w14:textId="77777777" w:rsidR="009462EC" w:rsidRDefault="009462EC" w:rsidP="009462EC">
      <w:pPr>
        <w:spacing w:before="1"/>
        <w:ind w:left="893" w:right="901"/>
        <w:jc w:val="center"/>
        <w:rPr>
          <w:rFonts w:eastAsia="Arial" w:cs="Arial"/>
          <w:b/>
          <w:bCs/>
          <w:sz w:val="32"/>
          <w:szCs w:val="32"/>
        </w:rPr>
      </w:pPr>
    </w:p>
    <w:p w14:paraId="1515C775" w14:textId="5E0F7FDE" w:rsidR="009462EC" w:rsidRDefault="009462EC" w:rsidP="009462EC">
      <w:pPr>
        <w:spacing w:before="1"/>
        <w:ind w:left="893" w:right="901"/>
        <w:jc w:val="center"/>
        <w:rPr>
          <w:rFonts w:eastAsia="Arial" w:cs="Arial"/>
          <w:b/>
          <w:bCs/>
          <w:sz w:val="32"/>
          <w:szCs w:val="32"/>
        </w:rPr>
      </w:pPr>
      <w:r>
        <w:rPr>
          <w:rFonts w:eastAsia="Arial" w:cs="Arial"/>
          <w:b/>
          <w:bCs/>
          <w:sz w:val="32"/>
          <w:szCs w:val="32"/>
        </w:rPr>
        <w:t xml:space="preserve">Module Name: </w:t>
      </w:r>
      <w:r>
        <w:rPr>
          <w:rFonts w:eastAsia="Arial" w:cs="Arial"/>
          <w:b/>
          <w:bCs/>
          <w:sz w:val="32"/>
          <w:szCs w:val="32"/>
        </w:rPr>
        <w:t>Strategic</w:t>
      </w:r>
      <w:r>
        <w:rPr>
          <w:rFonts w:eastAsia="Arial" w:cs="Arial"/>
          <w:b/>
          <w:bCs/>
          <w:sz w:val="32"/>
          <w:szCs w:val="32"/>
        </w:rPr>
        <w:t xml:space="preserve"> Management </w:t>
      </w:r>
    </w:p>
    <w:p w14:paraId="7F91925D" w14:textId="3C56EE1E" w:rsidR="009462EC" w:rsidRDefault="009462EC" w:rsidP="009462EC">
      <w:pPr>
        <w:ind w:left="896" w:right="901"/>
        <w:jc w:val="center"/>
        <w:rPr>
          <w:rFonts w:eastAsia="Arial" w:cs="Arial"/>
          <w:b/>
          <w:bCs/>
          <w:sz w:val="32"/>
          <w:szCs w:val="32"/>
        </w:rPr>
      </w:pPr>
      <w:r>
        <w:rPr>
          <w:rFonts w:eastAsia="Arial" w:cs="Arial"/>
          <w:b/>
          <w:bCs/>
          <w:sz w:val="32"/>
          <w:szCs w:val="32"/>
        </w:rPr>
        <w:t>Module Code</w:t>
      </w:r>
      <w:r>
        <w:rPr>
          <w:rFonts w:eastAsia="Arial" w:cs="Arial"/>
          <w:b/>
          <w:bCs/>
          <w:sz w:val="32"/>
          <w:szCs w:val="32"/>
        </w:rPr>
        <w:t xml:space="preserve"> </w:t>
      </w:r>
      <w:r>
        <w:rPr>
          <w:rFonts w:eastAsia="Arial" w:cs="Arial"/>
          <w:b/>
          <w:bCs/>
          <w:sz w:val="32"/>
          <w:szCs w:val="32"/>
        </w:rPr>
        <w:t>: LCMB70</w:t>
      </w:r>
      <w:r>
        <w:rPr>
          <w:rFonts w:eastAsia="Arial" w:cs="Arial"/>
          <w:b/>
          <w:bCs/>
          <w:sz w:val="32"/>
          <w:szCs w:val="32"/>
        </w:rPr>
        <w:t>03</w:t>
      </w:r>
    </w:p>
    <w:p w14:paraId="0EA90934" w14:textId="77777777" w:rsidR="009462EC" w:rsidRDefault="009462EC" w:rsidP="009462EC">
      <w:pPr>
        <w:spacing w:before="184"/>
        <w:rPr>
          <w:rFonts w:eastAsia="Arial" w:cs="Arial"/>
          <w:b/>
          <w:bCs/>
          <w:sz w:val="32"/>
          <w:szCs w:val="32"/>
        </w:rPr>
      </w:pPr>
    </w:p>
    <w:p w14:paraId="05D2B67C" w14:textId="6EF2BB93" w:rsidR="009462EC" w:rsidRDefault="009462EC" w:rsidP="009462EC">
      <w:pPr>
        <w:ind w:left="755" w:right="762"/>
        <w:jc w:val="center"/>
        <w:rPr>
          <w:rFonts w:eastAsia="Arial" w:cs="Arial"/>
          <w:b/>
          <w:bCs/>
          <w:sz w:val="32"/>
          <w:szCs w:val="32"/>
        </w:rPr>
      </w:pPr>
      <w:r>
        <w:rPr>
          <w:rFonts w:eastAsia="Arial" w:cs="Arial"/>
          <w:b/>
          <w:bCs/>
          <w:sz w:val="32"/>
          <w:szCs w:val="32"/>
        </w:rPr>
        <w:t xml:space="preserve">Lecturer's Name: </w:t>
      </w:r>
      <w:proofErr w:type="spellStart"/>
      <w:r>
        <w:rPr>
          <w:rFonts w:eastAsia="Arial" w:cs="Arial"/>
          <w:b/>
          <w:bCs/>
          <w:sz w:val="32"/>
          <w:szCs w:val="32"/>
        </w:rPr>
        <w:t>Balendran</w:t>
      </w:r>
      <w:proofErr w:type="spellEnd"/>
      <w:r>
        <w:rPr>
          <w:rFonts w:eastAsia="Arial" w:cs="Arial"/>
          <w:b/>
          <w:bCs/>
          <w:sz w:val="32"/>
          <w:szCs w:val="32"/>
        </w:rPr>
        <w:t xml:space="preserve"> Kandasamy</w:t>
      </w:r>
    </w:p>
    <w:p w14:paraId="7FAF5510" w14:textId="77777777" w:rsidR="009462EC" w:rsidRDefault="009462EC" w:rsidP="009462EC">
      <w:pPr>
        <w:ind w:right="762"/>
        <w:rPr>
          <w:rFonts w:eastAsia="Arial" w:cs="Arial"/>
          <w:b/>
          <w:bCs/>
          <w:sz w:val="32"/>
          <w:szCs w:val="32"/>
        </w:rPr>
      </w:pPr>
    </w:p>
    <w:p w14:paraId="5D0F24C2" w14:textId="02D552CC" w:rsidR="009462EC" w:rsidRDefault="009462EC" w:rsidP="009462EC">
      <w:pPr>
        <w:ind w:left="900" w:right="901"/>
        <w:jc w:val="center"/>
        <w:rPr>
          <w:rFonts w:eastAsia="Arial" w:cs="Arial"/>
          <w:b/>
          <w:bCs/>
          <w:sz w:val="32"/>
          <w:szCs w:val="32"/>
        </w:rPr>
      </w:pPr>
      <w:r>
        <w:rPr>
          <w:rFonts w:eastAsia="Arial" w:cs="Arial"/>
          <w:b/>
          <w:bCs/>
          <w:sz w:val="32"/>
          <w:szCs w:val="32"/>
        </w:rPr>
        <w:t>Words Count :</w:t>
      </w:r>
      <w:r>
        <w:rPr>
          <w:rFonts w:eastAsia="Arial" w:cs="Arial"/>
          <w:b/>
          <w:bCs/>
          <w:sz w:val="32"/>
          <w:szCs w:val="32"/>
        </w:rPr>
        <w:t xml:space="preserve"> 5000</w:t>
      </w:r>
    </w:p>
    <w:p w14:paraId="5949D13C" w14:textId="77777777" w:rsidR="009462EC" w:rsidRPr="009462EC" w:rsidRDefault="009462EC" w:rsidP="009462EC">
      <w:pPr>
        <w:ind w:left="900" w:right="901"/>
        <w:jc w:val="center"/>
        <w:rPr>
          <w:rFonts w:eastAsia="Arial" w:cs="Arial"/>
          <w:b/>
          <w:bCs/>
          <w:sz w:val="32"/>
          <w:szCs w:val="32"/>
        </w:rPr>
      </w:pPr>
    </w:p>
    <w:p w14:paraId="6EBB8E0A" w14:textId="77777777" w:rsidR="009462EC" w:rsidRDefault="009462EC" w:rsidP="00014170">
      <w:pPr>
        <w:pStyle w:val="TOCHeading"/>
        <w:spacing w:after="240" w:line="360" w:lineRule="auto"/>
        <w:jc w:val="both"/>
        <w:rPr>
          <w:rFonts w:ascii="Arial" w:eastAsiaTheme="minorEastAsia" w:hAnsi="Arial" w:cs="Arial"/>
          <w:color w:val="auto"/>
          <w:kern w:val="2"/>
          <w:sz w:val="24"/>
          <w:szCs w:val="24"/>
          <w:lang w:val="en-GB" w:eastAsia="zh-CN"/>
          <w14:ligatures w14:val="standardContextual"/>
        </w:rPr>
      </w:pPr>
    </w:p>
    <w:sdt>
      <w:sdtPr>
        <w:rPr>
          <w:rFonts w:ascii="Arial" w:eastAsiaTheme="minorEastAsia" w:hAnsi="Arial" w:cs="Arial"/>
          <w:color w:val="auto"/>
          <w:kern w:val="2"/>
          <w:sz w:val="24"/>
          <w:szCs w:val="24"/>
          <w:lang w:val="en-GB" w:eastAsia="zh-CN"/>
          <w14:ligatures w14:val="standardContextual"/>
        </w:rPr>
        <w:id w:val="1397785234"/>
        <w:docPartObj>
          <w:docPartGallery w:val="Table of Contents"/>
          <w:docPartUnique/>
        </w:docPartObj>
      </w:sdtPr>
      <w:sdtEndPr>
        <w:rPr>
          <w:b/>
          <w:bCs/>
          <w:noProof/>
        </w:rPr>
      </w:sdtEndPr>
      <w:sdtContent>
        <w:p w14:paraId="22F7DCBD" w14:textId="3EDE3C49" w:rsidR="00B8281C" w:rsidRPr="000E7F6D" w:rsidRDefault="00B8281C" w:rsidP="00014170">
          <w:pPr>
            <w:pStyle w:val="TOCHeading"/>
            <w:spacing w:after="240" w:line="360" w:lineRule="auto"/>
            <w:jc w:val="both"/>
            <w:rPr>
              <w:rFonts w:ascii="Arial" w:hAnsi="Arial" w:cs="Arial"/>
              <w:b/>
              <w:bCs/>
              <w:i/>
              <w:iCs/>
              <w:color w:val="auto"/>
              <w:sz w:val="24"/>
              <w:szCs w:val="24"/>
            </w:rPr>
          </w:pPr>
          <w:r w:rsidRPr="000E7F6D">
            <w:rPr>
              <w:rFonts w:ascii="Arial" w:hAnsi="Arial" w:cs="Arial"/>
              <w:b/>
              <w:bCs/>
              <w:i/>
              <w:iCs/>
              <w:color w:val="auto"/>
              <w:sz w:val="24"/>
              <w:szCs w:val="24"/>
            </w:rPr>
            <w:t>Table of Contents</w:t>
          </w:r>
        </w:p>
        <w:p w14:paraId="0477F3EC" w14:textId="39B01CB7" w:rsidR="004A30D4" w:rsidRDefault="00B8281C">
          <w:pPr>
            <w:pStyle w:val="TOC1"/>
            <w:tabs>
              <w:tab w:val="right" w:leader="dot" w:pos="9350"/>
            </w:tabs>
            <w:rPr>
              <w:rFonts w:asciiTheme="minorHAnsi" w:hAnsiTheme="minorHAnsi"/>
              <w:noProof/>
              <w:szCs w:val="24"/>
              <w:lang w:val="en-IN" w:eastAsia="en-IN"/>
            </w:rPr>
          </w:pPr>
          <w:r w:rsidRPr="000E7F6D">
            <w:rPr>
              <w:rFonts w:cs="Arial"/>
              <w:szCs w:val="24"/>
            </w:rPr>
            <w:fldChar w:fldCharType="begin"/>
          </w:r>
          <w:r w:rsidRPr="000E7F6D">
            <w:rPr>
              <w:rFonts w:cs="Arial"/>
              <w:szCs w:val="24"/>
            </w:rPr>
            <w:instrText xml:space="preserve"> TOC \o "1-3" \h \z \u </w:instrText>
          </w:r>
          <w:r w:rsidRPr="000E7F6D">
            <w:rPr>
              <w:rFonts w:cs="Arial"/>
              <w:szCs w:val="24"/>
            </w:rPr>
            <w:fldChar w:fldCharType="separate"/>
          </w:r>
          <w:hyperlink w:anchor="_Toc224746318" w:history="1">
            <w:r w:rsidR="004A30D4" w:rsidRPr="00520D73">
              <w:rPr>
                <w:rStyle w:val="Hyperlink"/>
                <w:rFonts w:cs="Arial"/>
                <w:noProof/>
              </w:rPr>
              <w:t>Section 1: Performance Review Report</w:t>
            </w:r>
            <w:r w:rsidR="004A30D4">
              <w:rPr>
                <w:noProof/>
                <w:webHidden/>
              </w:rPr>
              <w:tab/>
            </w:r>
            <w:r w:rsidR="004A30D4">
              <w:rPr>
                <w:noProof/>
                <w:webHidden/>
              </w:rPr>
              <w:fldChar w:fldCharType="begin"/>
            </w:r>
            <w:r w:rsidR="004A30D4">
              <w:rPr>
                <w:noProof/>
                <w:webHidden/>
              </w:rPr>
              <w:instrText xml:space="preserve"> PAGEREF _Toc224746318 \h </w:instrText>
            </w:r>
            <w:r w:rsidR="004A30D4">
              <w:rPr>
                <w:noProof/>
                <w:webHidden/>
              </w:rPr>
            </w:r>
            <w:r w:rsidR="004A30D4">
              <w:rPr>
                <w:noProof/>
                <w:webHidden/>
              </w:rPr>
              <w:fldChar w:fldCharType="separate"/>
            </w:r>
            <w:r w:rsidR="009462EC">
              <w:rPr>
                <w:noProof/>
                <w:webHidden/>
              </w:rPr>
              <w:t>2</w:t>
            </w:r>
            <w:r w:rsidR="004A30D4">
              <w:rPr>
                <w:noProof/>
                <w:webHidden/>
              </w:rPr>
              <w:fldChar w:fldCharType="end"/>
            </w:r>
          </w:hyperlink>
        </w:p>
        <w:p w14:paraId="08D5561E" w14:textId="241C9E7B" w:rsidR="004A30D4" w:rsidRDefault="004A30D4">
          <w:pPr>
            <w:pStyle w:val="TOC2"/>
            <w:tabs>
              <w:tab w:val="right" w:leader="dot" w:pos="9350"/>
            </w:tabs>
            <w:rPr>
              <w:rFonts w:asciiTheme="minorHAnsi" w:hAnsiTheme="minorHAnsi"/>
              <w:noProof/>
              <w:szCs w:val="24"/>
              <w:lang w:val="en-IN" w:eastAsia="en-IN"/>
            </w:rPr>
          </w:pPr>
          <w:hyperlink w:anchor="_Toc224746319" w:history="1">
            <w:r w:rsidRPr="00520D73">
              <w:rPr>
                <w:rStyle w:val="Hyperlink"/>
                <w:rFonts w:cs="Arial"/>
                <w:noProof/>
              </w:rPr>
              <w:t>1.1 Introduction</w:t>
            </w:r>
            <w:r>
              <w:rPr>
                <w:noProof/>
                <w:webHidden/>
              </w:rPr>
              <w:tab/>
            </w:r>
            <w:r>
              <w:rPr>
                <w:noProof/>
                <w:webHidden/>
              </w:rPr>
              <w:fldChar w:fldCharType="begin"/>
            </w:r>
            <w:r>
              <w:rPr>
                <w:noProof/>
                <w:webHidden/>
              </w:rPr>
              <w:instrText xml:space="preserve"> PAGEREF _Toc224746319 \h </w:instrText>
            </w:r>
            <w:r>
              <w:rPr>
                <w:noProof/>
                <w:webHidden/>
              </w:rPr>
            </w:r>
            <w:r>
              <w:rPr>
                <w:noProof/>
                <w:webHidden/>
              </w:rPr>
              <w:fldChar w:fldCharType="separate"/>
            </w:r>
            <w:r w:rsidR="009462EC">
              <w:rPr>
                <w:noProof/>
                <w:webHidden/>
              </w:rPr>
              <w:t>2</w:t>
            </w:r>
            <w:r>
              <w:rPr>
                <w:noProof/>
                <w:webHidden/>
              </w:rPr>
              <w:fldChar w:fldCharType="end"/>
            </w:r>
          </w:hyperlink>
        </w:p>
        <w:p w14:paraId="7B5564E8" w14:textId="71921E4E" w:rsidR="004A30D4" w:rsidRDefault="004A30D4">
          <w:pPr>
            <w:pStyle w:val="TOC2"/>
            <w:tabs>
              <w:tab w:val="right" w:leader="dot" w:pos="9350"/>
            </w:tabs>
            <w:rPr>
              <w:rFonts w:asciiTheme="minorHAnsi" w:hAnsiTheme="minorHAnsi"/>
              <w:noProof/>
              <w:szCs w:val="24"/>
              <w:lang w:val="en-IN" w:eastAsia="en-IN"/>
            </w:rPr>
          </w:pPr>
          <w:hyperlink w:anchor="_Toc224746320" w:history="1">
            <w:r w:rsidRPr="00520D73">
              <w:rPr>
                <w:rStyle w:val="Hyperlink"/>
                <w:rFonts w:cs="Arial"/>
                <w:noProof/>
              </w:rPr>
              <w:t>1.2 Organisational Context and Overview</w:t>
            </w:r>
            <w:r>
              <w:rPr>
                <w:noProof/>
                <w:webHidden/>
              </w:rPr>
              <w:tab/>
            </w:r>
            <w:r>
              <w:rPr>
                <w:noProof/>
                <w:webHidden/>
              </w:rPr>
              <w:fldChar w:fldCharType="begin"/>
            </w:r>
            <w:r>
              <w:rPr>
                <w:noProof/>
                <w:webHidden/>
              </w:rPr>
              <w:instrText xml:space="preserve"> PAGEREF _Toc224746320 \h </w:instrText>
            </w:r>
            <w:r>
              <w:rPr>
                <w:noProof/>
                <w:webHidden/>
              </w:rPr>
            </w:r>
            <w:r>
              <w:rPr>
                <w:noProof/>
                <w:webHidden/>
              </w:rPr>
              <w:fldChar w:fldCharType="separate"/>
            </w:r>
            <w:r w:rsidR="009462EC">
              <w:rPr>
                <w:noProof/>
                <w:webHidden/>
              </w:rPr>
              <w:t>2</w:t>
            </w:r>
            <w:r>
              <w:rPr>
                <w:noProof/>
                <w:webHidden/>
              </w:rPr>
              <w:fldChar w:fldCharType="end"/>
            </w:r>
          </w:hyperlink>
        </w:p>
        <w:p w14:paraId="160D1856" w14:textId="09CB8CE3" w:rsidR="004A30D4" w:rsidRDefault="004A30D4">
          <w:pPr>
            <w:pStyle w:val="TOC2"/>
            <w:tabs>
              <w:tab w:val="right" w:leader="dot" w:pos="9350"/>
            </w:tabs>
            <w:rPr>
              <w:rFonts w:asciiTheme="minorHAnsi" w:hAnsiTheme="minorHAnsi"/>
              <w:noProof/>
              <w:szCs w:val="24"/>
              <w:lang w:val="en-IN" w:eastAsia="en-IN"/>
            </w:rPr>
          </w:pPr>
          <w:hyperlink w:anchor="_Toc224746321" w:history="1">
            <w:r w:rsidRPr="00520D73">
              <w:rPr>
                <w:rStyle w:val="Hyperlink"/>
                <w:rFonts w:cs="Arial"/>
                <w:noProof/>
              </w:rPr>
              <w:t>1.3 External and Internal Environment Analysis</w:t>
            </w:r>
            <w:r>
              <w:rPr>
                <w:noProof/>
                <w:webHidden/>
              </w:rPr>
              <w:tab/>
            </w:r>
            <w:r>
              <w:rPr>
                <w:noProof/>
                <w:webHidden/>
              </w:rPr>
              <w:fldChar w:fldCharType="begin"/>
            </w:r>
            <w:r>
              <w:rPr>
                <w:noProof/>
                <w:webHidden/>
              </w:rPr>
              <w:instrText xml:space="preserve"> PAGEREF _Toc224746321 \h </w:instrText>
            </w:r>
            <w:r>
              <w:rPr>
                <w:noProof/>
                <w:webHidden/>
              </w:rPr>
            </w:r>
            <w:r>
              <w:rPr>
                <w:noProof/>
                <w:webHidden/>
              </w:rPr>
              <w:fldChar w:fldCharType="separate"/>
            </w:r>
            <w:r w:rsidR="009462EC">
              <w:rPr>
                <w:noProof/>
                <w:webHidden/>
              </w:rPr>
              <w:t>4</w:t>
            </w:r>
            <w:r>
              <w:rPr>
                <w:noProof/>
                <w:webHidden/>
              </w:rPr>
              <w:fldChar w:fldCharType="end"/>
            </w:r>
          </w:hyperlink>
        </w:p>
        <w:p w14:paraId="0F6B5F0E" w14:textId="53610EAA" w:rsidR="004A30D4" w:rsidRDefault="004A30D4">
          <w:pPr>
            <w:pStyle w:val="TOC2"/>
            <w:tabs>
              <w:tab w:val="right" w:leader="dot" w:pos="9350"/>
            </w:tabs>
            <w:rPr>
              <w:rFonts w:asciiTheme="minorHAnsi" w:hAnsiTheme="minorHAnsi"/>
              <w:noProof/>
              <w:szCs w:val="24"/>
              <w:lang w:val="en-IN" w:eastAsia="en-IN"/>
            </w:rPr>
          </w:pPr>
          <w:hyperlink w:anchor="_Toc224746322" w:history="1">
            <w:r w:rsidRPr="00520D73">
              <w:rPr>
                <w:rStyle w:val="Hyperlink"/>
                <w:rFonts w:cs="Arial"/>
                <w:noProof/>
                <w:lang w:val="en-IN"/>
              </w:rPr>
              <w:t>1.4 CSR and Sustainability Objectives</w:t>
            </w:r>
            <w:r>
              <w:rPr>
                <w:noProof/>
                <w:webHidden/>
              </w:rPr>
              <w:tab/>
            </w:r>
            <w:r>
              <w:rPr>
                <w:noProof/>
                <w:webHidden/>
              </w:rPr>
              <w:fldChar w:fldCharType="begin"/>
            </w:r>
            <w:r>
              <w:rPr>
                <w:noProof/>
                <w:webHidden/>
              </w:rPr>
              <w:instrText xml:space="preserve"> PAGEREF _Toc224746322 \h </w:instrText>
            </w:r>
            <w:r>
              <w:rPr>
                <w:noProof/>
                <w:webHidden/>
              </w:rPr>
            </w:r>
            <w:r>
              <w:rPr>
                <w:noProof/>
                <w:webHidden/>
              </w:rPr>
              <w:fldChar w:fldCharType="separate"/>
            </w:r>
            <w:r w:rsidR="009462EC">
              <w:rPr>
                <w:noProof/>
                <w:webHidden/>
              </w:rPr>
              <w:t>13</w:t>
            </w:r>
            <w:r>
              <w:rPr>
                <w:noProof/>
                <w:webHidden/>
              </w:rPr>
              <w:fldChar w:fldCharType="end"/>
            </w:r>
          </w:hyperlink>
        </w:p>
        <w:p w14:paraId="252A5E53" w14:textId="3A9830FC" w:rsidR="004A30D4" w:rsidRDefault="004A30D4">
          <w:pPr>
            <w:pStyle w:val="TOC2"/>
            <w:tabs>
              <w:tab w:val="right" w:leader="dot" w:pos="9350"/>
            </w:tabs>
            <w:rPr>
              <w:rFonts w:asciiTheme="minorHAnsi" w:hAnsiTheme="minorHAnsi"/>
              <w:noProof/>
              <w:szCs w:val="24"/>
              <w:lang w:val="en-IN" w:eastAsia="en-IN"/>
            </w:rPr>
          </w:pPr>
          <w:hyperlink w:anchor="_Toc224746323" w:history="1">
            <w:r w:rsidRPr="00520D73">
              <w:rPr>
                <w:rStyle w:val="Hyperlink"/>
                <w:noProof/>
              </w:rPr>
              <w:t>1.5 Comprehensive and Holistic View of the Organisation</w:t>
            </w:r>
            <w:r>
              <w:rPr>
                <w:noProof/>
                <w:webHidden/>
              </w:rPr>
              <w:tab/>
            </w:r>
            <w:r>
              <w:rPr>
                <w:noProof/>
                <w:webHidden/>
              </w:rPr>
              <w:fldChar w:fldCharType="begin"/>
            </w:r>
            <w:r>
              <w:rPr>
                <w:noProof/>
                <w:webHidden/>
              </w:rPr>
              <w:instrText xml:space="preserve"> PAGEREF _Toc224746323 \h </w:instrText>
            </w:r>
            <w:r>
              <w:rPr>
                <w:noProof/>
                <w:webHidden/>
              </w:rPr>
            </w:r>
            <w:r>
              <w:rPr>
                <w:noProof/>
                <w:webHidden/>
              </w:rPr>
              <w:fldChar w:fldCharType="separate"/>
            </w:r>
            <w:r w:rsidR="009462EC">
              <w:rPr>
                <w:noProof/>
                <w:webHidden/>
              </w:rPr>
              <w:t>14</w:t>
            </w:r>
            <w:r>
              <w:rPr>
                <w:noProof/>
                <w:webHidden/>
              </w:rPr>
              <w:fldChar w:fldCharType="end"/>
            </w:r>
          </w:hyperlink>
        </w:p>
        <w:p w14:paraId="65715F81" w14:textId="2CA081CD" w:rsidR="004A30D4" w:rsidRDefault="004A30D4">
          <w:pPr>
            <w:pStyle w:val="TOC2"/>
            <w:tabs>
              <w:tab w:val="right" w:leader="dot" w:pos="9350"/>
            </w:tabs>
            <w:rPr>
              <w:rFonts w:asciiTheme="minorHAnsi" w:hAnsiTheme="minorHAnsi"/>
              <w:noProof/>
              <w:szCs w:val="24"/>
              <w:lang w:val="en-IN" w:eastAsia="en-IN"/>
            </w:rPr>
          </w:pPr>
          <w:hyperlink w:anchor="_Toc224746324" w:history="1">
            <w:r w:rsidRPr="00520D73">
              <w:rPr>
                <w:rStyle w:val="Hyperlink"/>
                <w:noProof/>
              </w:rPr>
              <w:t>1.6 Strategic Choices and Implementation</w:t>
            </w:r>
            <w:r>
              <w:rPr>
                <w:noProof/>
                <w:webHidden/>
              </w:rPr>
              <w:tab/>
            </w:r>
            <w:r>
              <w:rPr>
                <w:noProof/>
                <w:webHidden/>
              </w:rPr>
              <w:fldChar w:fldCharType="begin"/>
            </w:r>
            <w:r>
              <w:rPr>
                <w:noProof/>
                <w:webHidden/>
              </w:rPr>
              <w:instrText xml:space="preserve"> PAGEREF _Toc224746324 \h </w:instrText>
            </w:r>
            <w:r>
              <w:rPr>
                <w:noProof/>
                <w:webHidden/>
              </w:rPr>
            </w:r>
            <w:r>
              <w:rPr>
                <w:noProof/>
                <w:webHidden/>
              </w:rPr>
              <w:fldChar w:fldCharType="separate"/>
            </w:r>
            <w:r w:rsidR="009462EC">
              <w:rPr>
                <w:noProof/>
                <w:webHidden/>
              </w:rPr>
              <w:t>17</w:t>
            </w:r>
            <w:r>
              <w:rPr>
                <w:noProof/>
                <w:webHidden/>
              </w:rPr>
              <w:fldChar w:fldCharType="end"/>
            </w:r>
          </w:hyperlink>
        </w:p>
        <w:p w14:paraId="4969D166" w14:textId="399BE495" w:rsidR="004A30D4" w:rsidRDefault="004A30D4">
          <w:pPr>
            <w:pStyle w:val="TOC2"/>
            <w:tabs>
              <w:tab w:val="right" w:leader="dot" w:pos="9350"/>
            </w:tabs>
            <w:rPr>
              <w:rFonts w:asciiTheme="minorHAnsi" w:hAnsiTheme="minorHAnsi"/>
              <w:noProof/>
              <w:szCs w:val="24"/>
              <w:lang w:val="en-IN" w:eastAsia="en-IN"/>
            </w:rPr>
          </w:pPr>
          <w:hyperlink w:anchor="_Toc224746325" w:history="1">
            <w:r w:rsidRPr="00520D73">
              <w:rPr>
                <w:rStyle w:val="Hyperlink"/>
                <w:noProof/>
              </w:rPr>
              <w:t>1.7 Strategic Evaluation and Recommendations</w:t>
            </w:r>
            <w:r>
              <w:rPr>
                <w:noProof/>
                <w:webHidden/>
              </w:rPr>
              <w:tab/>
            </w:r>
            <w:r>
              <w:rPr>
                <w:noProof/>
                <w:webHidden/>
              </w:rPr>
              <w:fldChar w:fldCharType="begin"/>
            </w:r>
            <w:r>
              <w:rPr>
                <w:noProof/>
                <w:webHidden/>
              </w:rPr>
              <w:instrText xml:space="preserve"> PAGEREF _Toc224746325 \h </w:instrText>
            </w:r>
            <w:r>
              <w:rPr>
                <w:noProof/>
                <w:webHidden/>
              </w:rPr>
            </w:r>
            <w:r>
              <w:rPr>
                <w:noProof/>
                <w:webHidden/>
              </w:rPr>
              <w:fldChar w:fldCharType="separate"/>
            </w:r>
            <w:r w:rsidR="009462EC">
              <w:rPr>
                <w:noProof/>
                <w:webHidden/>
              </w:rPr>
              <w:t>19</w:t>
            </w:r>
            <w:r>
              <w:rPr>
                <w:noProof/>
                <w:webHidden/>
              </w:rPr>
              <w:fldChar w:fldCharType="end"/>
            </w:r>
          </w:hyperlink>
        </w:p>
        <w:p w14:paraId="7B93015B" w14:textId="1AA703B4" w:rsidR="004A30D4" w:rsidRDefault="004A30D4">
          <w:pPr>
            <w:pStyle w:val="TOC2"/>
            <w:tabs>
              <w:tab w:val="right" w:leader="dot" w:pos="9350"/>
            </w:tabs>
            <w:rPr>
              <w:rFonts w:asciiTheme="minorHAnsi" w:hAnsiTheme="minorHAnsi"/>
              <w:noProof/>
              <w:szCs w:val="24"/>
              <w:lang w:val="en-IN" w:eastAsia="en-IN"/>
            </w:rPr>
          </w:pPr>
          <w:hyperlink w:anchor="_Toc224746326" w:history="1">
            <w:r w:rsidRPr="00520D73">
              <w:rPr>
                <w:rStyle w:val="Hyperlink"/>
                <w:noProof/>
              </w:rPr>
              <w:t>1.8 Conclusion</w:t>
            </w:r>
            <w:r>
              <w:rPr>
                <w:noProof/>
                <w:webHidden/>
              </w:rPr>
              <w:tab/>
            </w:r>
            <w:r>
              <w:rPr>
                <w:noProof/>
                <w:webHidden/>
              </w:rPr>
              <w:fldChar w:fldCharType="begin"/>
            </w:r>
            <w:r>
              <w:rPr>
                <w:noProof/>
                <w:webHidden/>
              </w:rPr>
              <w:instrText xml:space="preserve"> PAGEREF _Toc224746326 \h </w:instrText>
            </w:r>
            <w:r>
              <w:rPr>
                <w:noProof/>
                <w:webHidden/>
              </w:rPr>
            </w:r>
            <w:r>
              <w:rPr>
                <w:noProof/>
                <w:webHidden/>
              </w:rPr>
              <w:fldChar w:fldCharType="separate"/>
            </w:r>
            <w:r w:rsidR="009462EC">
              <w:rPr>
                <w:noProof/>
                <w:webHidden/>
              </w:rPr>
              <w:t>21</w:t>
            </w:r>
            <w:r>
              <w:rPr>
                <w:noProof/>
                <w:webHidden/>
              </w:rPr>
              <w:fldChar w:fldCharType="end"/>
            </w:r>
          </w:hyperlink>
        </w:p>
        <w:p w14:paraId="51A7EEF4" w14:textId="57380220" w:rsidR="004A30D4" w:rsidRDefault="004A30D4">
          <w:pPr>
            <w:pStyle w:val="TOC1"/>
            <w:tabs>
              <w:tab w:val="right" w:leader="dot" w:pos="9350"/>
            </w:tabs>
            <w:rPr>
              <w:rFonts w:asciiTheme="minorHAnsi" w:hAnsiTheme="minorHAnsi"/>
              <w:noProof/>
              <w:szCs w:val="24"/>
              <w:lang w:val="en-IN" w:eastAsia="en-IN"/>
            </w:rPr>
          </w:pPr>
          <w:hyperlink w:anchor="_Toc224746327" w:history="1">
            <w:r w:rsidRPr="00520D73">
              <w:rPr>
                <w:rStyle w:val="Hyperlink"/>
                <w:noProof/>
                <w:lang w:val="en-IN"/>
              </w:rPr>
              <w:t>Section 2 – Reflective Account</w:t>
            </w:r>
            <w:r>
              <w:rPr>
                <w:noProof/>
                <w:webHidden/>
              </w:rPr>
              <w:tab/>
            </w:r>
            <w:r>
              <w:rPr>
                <w:noProof/>
                <w:webHidden/>
              </w:rPr>
              <w:fldChar w:fldCharType="begin"/>
            </w:r>
            <w:r>
              <w:rPr>
                <w:noProof/>
                <w:webHidden/>
              </w:rPr>
              <w:instrText xml:space="preserve"> PAGEREF _Toc224746327 \h </w:instrText>
            </w:r>
            <w:r>
              <w:rPr>
                <w:noProof/>
                <w:webHidden/>
              </w:rPr>
            </w:r>
            <w:r>
              <w:rPr>
                <w:noProof/>
                <w:webHidden/>
              </w:rPr>
              <w:fldChar w:fldCharType="separate"/>
            </w:r>
            <w:r w:rsidR="009462EC">
              <w:rPr>
                <w:noProof/>
                <w:webHidden/>
              </w:rPr>
              <w:t>22</w:t>
            </w:r>
            <w:r>
              <w:rPr>
                <w:noProof/>
                <w:webHidden/>
              </w:rPr>
              <w:fldChar w:fldCharType="end"/>
            </w:r>
          </w:hyperlink>
        </w:p>
        <w:p w14:paraId="3286D9E3" w14:textId="621A22A9" w:rsidR="004A30D4" w:rsidRDefault="004A30D4">
          <w:pPr>
            <w:pStyle w:val="TOC2"/>
            <w:tabs>
              <w:tab w:val="right" w:leader="dot" w:pos="9350"/>
            </w:tabs>
            <w:rPr>
              <w:rFonts w:asciiTheme="minorHAnsi" w:hAnsiTheme="minorHAnsi"/>
              <w:noProof/>
              <w:szCs w:val="24"/>
              <w:lang w:val="en-IN" w:eastAsia="en-IN"/>
            </w:rPr>
          </w:pPr>
          <w:hyperlink w:anchor="_Toc224746328" w:history="1">
            <w:r w:rsidRPr="00520D73">
              <w:rPr>
                <w:rStyle w:val="Hyperlink"/>
                <w:noProof/>
                <w:lang w:val="en-IN"/>
              </w:rPr>
              <w:t>2.1 Gibbs Reflective Cycle</w:t>
            </w:r>
            <w:r>
              <w:rPr>
                <w:noProof/>
                <w:webHidden/>
              </w:rPr>
              <w:tab/>
            </w:r>
            <w:r>
              <w:rPr>
                <w:noProof/>
                <w:webHidden/>
              </w:rPr>
              <w:fldChar w:fldCharType="begin"/>
            </w:r>
            <w:r>
              <w:rPr>
                <w:noProof/>
                <w:webHidden/>
              </w:rPr>
              <w:instrText xml:space="preserve"> PAGEREF _Toc224746328 \h </w:instrText>
            </w:r>
            <w:r>
              <w:rPr>
                <w:noProof/>
                <w:webHidden/>
              </w:rPr>
            </w:r>
            <w:r>
              <w:rPr>
                <w:noProof/>
                <w:webHidden/>
              </w:rPr>
              <w:fldChar w:fldCharType="separate"/>
            </w:r>
            <w:r w:rsidR="009462EC">
              <w:rPr>
                <w:noProof/>
                <w:webHidden/>
              </w:rPr>
              <w:t>22</w:t>
            </w:r>
            <w:r>
              <w:rPr>
                <w:noProof/>
                <w:webHidden/>
              </w:rPr>
              <w:fldChar w:fldCharType="end"/>
            </w:r>
          </w:hyperlink>
        </w:p>
        <w:p w14:paraId="7A61ABBC" w14:textId="52189C47" w:rsidR="004A30D4" w:rsidRDefault="004A30D4">
          <w:pPr>
            <w:pStyle w:val="TOC1"/>
            <w:tabs>
              <w:tab w:val="right" w:leader="dot" w:pos="9350"/>
            </w:tabs>
            <w:rPr>
              <w:rFonts w:asciiTheme="minorHAnsi" w:hAnsiTheme="minorHAnsi"/>
              <w:noProof/>
              <w:szCs w:val="24"/>
              <w:lang w:val="en-IN" w:eastAsia="en-IN"/>
            </w:rPr>
          </w:pPr>
          <w:hyperlink w:anchor="_Toc224746329" w:history="1">
            <w:r w:rsidRPr="00520D73">
              <w:rPr>
                <w:rStyle w:val="Hyperlink"/>
                <w:rFonts w:cs="Arial"/>
                <w:noProof/>
              </w:rPr>
              <w:t>References</w:t>
            </w:r>
            <w:r>
              <w:rPr>
                <w:noProof/>
                <w:webHidden/>
              </w:rPr>
              <w:tab/>
            </w:r>
            <w:r>
              <w:rPr>
                <w:noProof/>
                <w:webHidden/>
              </w:rPr>
              <w:fldChar w:fldCharType="begin"/>
            </w:r>
            <w:r>
              <w:rPr>
                <w:noProof/>
                <w:webHidden/>
              </w:rPr>
              <w:instrText xml:space="preserve"> PAGEREF _Toc224746329 \h </w:instrText>
            </w:r>
            <w:r>
              <w:rPr>
                <w:noProof/>
                <w:webHidden/>
              </w:rPr>
            </w:r>
            <w:r>
              <w:rPr>
                <w:noProof/>
                <w:webHidden/>
              </w:rPr>
              <w:fldChar w:fldCharType="separate"/>
            </w:r>
            <w:r w:rsidR="009462EC">
              <w:rPr>
                <w:noProof/>
                <w:webHidden/>
              </w:rPr>
              <w:t>26</w:t>
            </w:r>
            <w:r>
              <w:rPr>
                <w:noProof/>
                <w:webHidden/>
              </w:rPr>
              <w:fldChar w:fldCharType="end"/>
            </w:r>
          </w:hyperlink>
        </w:p>
        <w:p w14:paraId="19DC13B5" w14:textId="10063613" w:rsidR="00B8281C" w:rsidRPr="000E7F6D" w:rsidRDefault="00B8281C" w:rsidP="00014170">
          <w:pPr>
            <w:rPr>
              <w:rFonts w:cs="Arial"/>
              <w:szCs w:val="24"/>
            </w:rPr>
          </w:pPr>
          <w:r w:rsidRPr="000E7F6D">
            <w:rPr>
              <w:rFonts w:cs="Arial"/>
              <w:b/>
              <w:bCs/>
              <w:noProof/>
              <w:szCs w:val="24"/>
            </w:rPr>
            <w:fldChar w:fldCharType="end"/>
          </w:r>
        </w:p>
      </w:sdtContent>
    </w:sdt>
    <w:p w14:paraId="3F7E11A5" w14:textId="5F158ADF" w:rsidR="001D3C24" w:rsidRPr="000E7F6D" w:rsidRDefault="00275A6A" w:rsidP="00014170">
      <w:pPr>
        <w:rPr>
          <w:rFonts w:cs="Arial"/>
          <w:szCs w:val="24"/>
        </w:rPr>
      </w:pPr>
      <w:r w:rsidRPr="000E7F6D">
        <w:rPr>
          <w:rFonts w:cs="Arial"/>
          <w:szCs w:val="24"/>
        </w:rPr>
        <w:br w:type="page"/>
      </w:r>
    </w:p>
    <w:p w14:paraId="6277B6AA" w14:textId="70EBBAE5" w:rsidR="001D3C24" w:rsidRPr="000E7F6D" w:rsidRDefault="001D3C24" w:rsidP="00014170">
      <w:pPr>
        <w:pStyle w:val="Heading1"/>
        <w:spacing w:after="240"/>
        <w:rPr>
          <w:rFonts w:cs="Arial"/>
          <w:szCs w:val="24"/>
        </w:rPr>
      </w:pPr>
      <w:bookmarkStart w:id="1" w:name="_Toc224746318"/>
      <w:r w:rsidRPr="000E7F6D">
        <w:rPr>
          <w:rFonts w:cs="Arial"/>
          <w:szCs w:val="24"/>
        </w:rPr>
        <w:lastRenderedPageBreak/>
        <w:t>Section 1:</w:t>
      </w:r>
      <w:r w:rsidR="00953CC0" w:rsidRPr="000E7F6D">
        <w:rPr>
          <w:rFonts w:cs="Arial"/>
          <w:szCs w:val="24"/>
        </w:rPr>
        <w:t xml:space="preserve"> Performance Review Report</w:t>
      </w:r>
      <w:bookmarkEnd w:id="1"/>
    </w:p>
    <w:p w14:paraId="0B26BFC1" w14:textId="21008D07" w:rsidR="00900F8C" w:rsidRPr="000E7F6D" w:rsidRDefault="001D3C24" w:rsidP="00014170">
      <w:pPr>
        <w:pStyle w:val="Heading2"/>
        <w:spacing w:before="240" w:after="240"/>
        <w:rPr>
          <w:rFonts w:cs="Arial"/>
          <w:szCs w:val="24"/>
        </w:rPr>
      </w:pPr>
      <w:bookmarkStart w:id="2" w:name="_Toc224746319"/>
      <w:r w:rsidRPr="000E7F6D">
        <w:rPr>
          <w:rFonts w:cs="Arial"/>
          <w:szCs w:val="24"/>
        </w:rPr>
        <w:t>1.1 Introduction</w:t>
      </w:r>
      <w:bookmarkEnd w:id="2"/>
      <w:r w:rsidR="00960D8A" w:rsidRPr="000E7F6D">
        <w:rPr>
          <w:rFonts w:cs="Arial"/>
          <w:szCs w:val="24"/>
        </w:rPr>
        <w:t xml:space="preserve"> </w:t>
      </w:r>
    </w:p>
    <w:p w14:paraId="6501E17B" w14:textId="63823C06" w:rsidR="00900F8C" w:rsidRPr="000E7F6D" w:rsidRDefault="00245637" w:rsidP="00014170">
      <w:pPr>
        <w:rPr>
          <w:rFonts w:cs="Arial"/>
          <w:szCs w:val="24"/>
        </w:rPr>
      </w:pPr>
      <w:r w:rsidRPr="000E7F6D">
        <w:rPr>
          <w:rFonts w:cs="Arial"/>
          <w:szCs w:val="24"/>
        </w:rPr>
        <w:t xml:space="preserve">The purpose of this report is to critically examine the strategic position of Sainsbury in the UK retail market. This is aimed at testing the </w:t>
      </w:r>
      <w:r w:rsidR="00463ABB" w:rsidRPr="000E7F6D">
        <w:rPr>
          <w:rFonts w:cs="Arial"/>
          <w:szCs w:val="24"/>
        </w:rPr>
        <w:t>company's</w:t>
      </w:r>
      <w:r w:rsidRPr="000E7F6D">
        <w:rPr>
          <w:rFonts w:cs="Arial"/>
          <w:szCs w:val="24"/>
        </w:rPr>
        <w:t xml:space="preserve"> strategy to react to its internal strengths and external environmental forces to maintain a competitive advantage. Sainsbury is a company that deals in the production of food in the retail industry</w:t>
      </w:r>
      <w:r w:rsidR="003E3A15" w:rsidRPr="000E7F6D">
        <w:rPr>
          <w:rFonts w:cs="Arial"/>
          <w:szCs w:val="24"/>
        </w:rPr>
        <w:t>,</w:t>
      </w:r>
      <w:r w:rsidRPr="000E7F6D">
        <w:rPr>
          <w:rFonts w:cs="Arial"/>
          <w:szCs w:val="24"/>
        </w:rPr>
        <w:t xml:space="preserve"> which was established as long back as 1869</w:t>
      </w:r>
      <w:r w:rsidR="00463ABB" w:rsidRPr="000E7F6D">
        <w:rPr>
          <w:rFonts w:cs="Arial"/>
          <w:szCs w:val="24"/>
        </w:rPr>
        <w:t>,</w:t>
      </w:r>
      <w:r w:rsidRPr="000E7F6D">
        <w:rPr>
          <w:rFonts w:cs="Arial"/>
          <w:szCs w:val="24"/>
        </w:rPr>
        <w:t xml:space="preserve"> and it is based in London, England, United Kingdom (Sainsbury, 2026). </w:t>
      </w:r>
      <w:r w:rsidR="00F317E8" w:rsidRPr="000E7F6D">
        <w:rPr>
          <w:rFonts w:cs="Arial"/>
          <w:szCs w:val="24"/>
        </w:rPr>
        <w:t xml:space="preserve">The report continues approaching </w:t>
      </w:r>
      <w:r w:rsidRPr="000E7F6D">
        <w:rPr>
          <w:rFonts w:cs="Arial"/>
          <w:szCs w:val="24"/>
        </w:rPr>
        <w:t xml:space="preserve">major strategic frameworks that include environmental analysis and organisational capabilities to determine the present performance and future direction. Through the application of applicable strategic management theories, the report offers an insight into the strategic performance of Sainsbury and </w:t>
      </w:r>
      <w:r w:rsidR="00463ABB" w:rsidRPr="000E7F6D">
        <w:rPr>
          <w:rFonts w:cs="Arial"/>
          <w:szCs w:val="24"/>
        </w:rPr>
        <w:t>pinpoints</w:t>
      </w:r>
      <w:r w:rsidRPr="000E7F6D">
        <w:rPr>
          <w:rFonts w:cs="Arial"/>
          <w:szCs w:val="24"/>
        </w:rPr>
        <w:t xml:space="preserve"> areas of further enhancement in a competitive and dynamic market environment</w:t>
      </w:r>
      <w:r w:rsidR="00900F8C" w:rsidRPr="000E7F6D">
        <w:rPr>
          <w:rFonts w:cs="Arial"/>
          <w:szCs w:val="24"/>
        </w:rPr>
        <w:t>.</w:t>
      </w:r>
    </w:p>
    <w:p w14:paraId="4C3328F2" w14:textId="1124E67A" w:rsidR="0050254B" w:rsidRPr="000E7F6D" w:rsidRDefault="0050254B" w:rsidP="00555CDC">
      <w:pPr>
        <w:jc w:val="center"/>
        <w:rPr>
          <w:rFonts w:cs="Arial"/>
          <w:szCs w:val="24"/>
        </w:rPr>
      </w:pPr>
      <w:r w:rsidRPr="000E7F6D">
        <w:rPr>
          <w:rFonts w:cs="Arial"/>
          <w:noProof/>
          <w:szCs w:val="24"/>
        </w:rPr>
        <w:drawing>
          <wp:inline distT="0" distB="0" distL="0" distR="0" wp14:anchorId="4FAA8680" wp14:editId="1A18B65B">
            <wp:extent cx="3459480" cy="1757100"/>
            <wp:effectExtent l="0" t="0" r="7620" b="0"/>
            <wp:docPr id="1519305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305921" name=""/>
                    <pic:cNvPicPr/>
                  </pic:nvPicPr>
                  <pic:blipFill>
                    <a:blip r:embed="rId9"/>
                    <a:stretch>
                      <a:fillRect/>
                    </a:stretch>
                  </pic:blipFill>
                  <pic:spPr>
                    <a:xfrm>
                      <a:off x="0" y="0"/>
                      <a:ext cx="3464310" cy="1759553"/>
                    </a:xfrm>
                    <a:prstGeom prst="rect">
                      <a:avLst/>
                    </a:prstGeom>
                  </pic:spPr>
                </pic:pic>
              </a:graphicData>
            </a:graphic>
          </wp:inline>
        </w:drawing>
      </w:r>
    </w:p>
    <w:p w14:paraId="69D49DB8" w14:textId="3F9CDE1B" w:rsidR="00396001" w:rsidRPr="000E7F6D" w:rsidRDefault="00396001" w:rsidP="00555CDC">
      <w:pPr>
        <w:pStyle w:val="Caption"/>
        <w:spacing w:before="240" w:after="240"/>
        <w:jc w:val="center"/>
        <w:rPr>
          <w:rFonts w:cs="Arial"/>
          <w:szCs w:val="24"/>
        </w:rPr>
      </w:pPr>
      <w:r w:rsidRPr="000E7F6D">
        <w:rPr>
          <w:rFonts w:cs="Arial"/>
          <w:szCs w:val="24"/>
        </w:rPr>
        <w:t xml:space="preserve">Figure </w:t>
      </w:r>
      <w:r w:rsidRPr="000E7F6D">
        <w:rPr>
          <w:rFonts w:cs="Arial"/>
          <w:szCs w:val="24"/>
        </w:rPr>
        <w:fldChar w:fldCharType="begin"/>
      </w:r>
      <w:r w:rsidRPr="000E7F6D">
        <w:rPr>
          <w:rFonts w:cs="Arial"/>
          <w:szCs w:val="24"/>
        </w:rPr>
        <w:instrText xml:space="preserve"> SEQ Figure \* ARABIC </w:instrText>
      </w:r>
      <w:r w:rsidRPr="000E7F6D">
        <w:rPr>
          <w:rFonts w:cs="Arial"/>
          <w:szCs w:val="24"/>
        </w:rPr>
        <w:fldChar w:fldCharType="separate"/>
      </w:r>
      <w:r w:rsidR="0072393C">
        <w:rPr>
          <w:rFonts w:cs="Arial"/>
          <w:noProof/>
          <w:szCs w:val="24"/>
        </w:rPr>
        <w:t>1</w:t>
      </w:r>
      <w:r w:rsidRPr="000E7F6D">
        <w:rPr>
          <w:rFonts w:cs="Arial"/>
          <w:szCs w:val="24"/>
        </w:rPr>
        <w:fldChar w:fldCharType="end"/>
      </w:r>
      <w:r w:rsidRPr="000E7F6D">
        <w:rPr>
          <w:rFonts w:cs="Arial"/>
          <w:szCs w:val="24"/>
        </w:rPr>
        <w:t>: Company Logo</w:t>
      </w:r>
    </w:p>
    <w:p w14:paraId="7501FAEA" w14:textId="22178788" w:rsidR="00396001" w:rsidRPr="000E7F6D" w:rsidRDefault="00396001" w:rsidP="00555CDC">
      <w:pPr>
        <w:jc w:val="center"/>
        <w:rPr>
          <w:rFonts w:cs="Arial"/>
          <w:b/>
          <w:i/>
          <w:iCs/>
          <w:szCs w:val="24"/>
        </w:rPr>
      </w:pPr>
      <w:r w:rsidRPr="000E7F6D">
        <w:rPr>
          <w:rFonts w:cs="Arial"/>
          <w:b/>
          <w:i/>
          <w:iCs/>
          <w:szCs w:val="24"/>
        </w:rPr>
        <w:t>(Source: Sainsbury, 2026)</w:t>
      </w:r>
    </w:p>
    <w:p w14:paraId="361E0700" w14:textId="6AD7FDE1" w:rsidR="001D3C24" w:rsidRPr="000E7F6D" w:rsidRDefault="001D3C24" w:rsidP="00014170">
      <w:pPr>
        <w:pStyle w:val="Heading2"/>
        <w:spacing w:before="240" w:after="240"/>
        <w:rPr>
          <w:rFonts w:cs="Arial"/>
          <w:szCs w:val="24"/>
        </w:rPr>
      </w:pPr>
      <w:bookmarkStart w:id="3" w:name="_Toc224746320"/>
      <w:r w:rsidRPr="000E7F6D">
        <w:rPr>
          <w:rFonts w:cs="Arial"/>
          <w:szCs w:val="24"/>
        </w:rPr>
        <w:t>1.2 Organisational Context and Overview</w:t>
      </w:r>
      <w:bookmarkEnd w:id="3"/>
      <w:r w:rsidR="00C95C9E" w:rsidRPr="000E7F6D">
        <w:rPr>
          <w:rFonts w:cs="Arial"/>
          <w:szCs w:val="24"/>
        </w:rPr>
        <w:t xml:space="preserve"> </w:t>
      </w:r>
    </w:p>
    <w:p w14:paraId="037B0BAA" w14:textId="38CDA481" w:rsidR="00F90F85" w:rsidRPr="000E7F6D" w:rsidRDefault="00D22DED" w:rsidP="00014170">
      <w:pPr>
        <w:rPr>
          <w:rFonts w:cs="Arial"/>
          <w:szCs w:val="24"/>
        </w:rPr>
      </w:pPr>
      <w:r w:rsidRPr="000E7F6D">
        <w:rPr>
          <w:rFonts w:cs="Arial"/>
          <w:szCs w:val="24"/>
        </w:rPr>
        <w:t>Sainsbury is one of the most successful retail organisations in the United Kingdom</w:t>
      </w:r>
      <w:r w:rsidR="00463ABB" w:rsidRPr="000E7F6D">
        <w:rPr>
          <w:rFonts w:cs="Arial"/>
          <w:szCs w:val="24"/>
        </w:rPr>
        <w:t>,</w:t>
      </w:r>
      <w:r w:rsidRPr="000E7F6D">
        <w:rPr>
          <w:rFonts w:cs="Arial"/>
          <w:szCs w:val="24"/>
        </w:rPr>
        <w:t xml:space="preserve"> with its vision of </w:t>
      </w:r>
      <w:r w:rsidR="00463ABB" w:rsidRPr="000E7F6D">
        <w:rPr>
          <w:rFonts w:cs="Arial"/>
          <w:szCs w:val="24"/>
        </w:rPr>
        <w:t>providing good</w:t>
      </w:r>
      <w:r w:rsidRPr="000E7F6D">
        <w:rPr>
          <w:rFonts w:cs="Arial"/>
          <w:szCs w:val="24"/>
        </w:rPr>
        <w:t xml:space="preserve"> food to all of us and has become a </w:t>
      </w:r>
      <w:r w:rsidR="00463ABB" w:rsidRPr="000E7F6D">
        <w:rPr>
          <w:rFonts w:cs="Arial"/>
          <w:szCs w:val="24"/>
        </w:rPr>
        <w:t>well-established</w:t>
      </w:r>
      <w:r w:rsidRPr="000E7F6D">
        <w:rPr>
          <w:rFonts w:cs="Arial"/>
          <w:szCs w:val="24"/>
        </w:rPr>
        <w:t xml:space="preserve"> brand that provides good products at competitive prices. The company has a strength of being </w:t>
      </w:r>
      <w:r w:rsidR="00463ABB" w:rsidRPr="000E7F6D">
        <w:rPr>
          <w:rFonts w:cs="Arial"/>
          <w:szCs w:val="24"/>
        </w:rPr>
        <w:t xml:space="preserve">the </w:t>
      </w:r>
      <w:r w:rsidRPr="000E7F6D">
        <w:rPr>
          <w:rFonts w:cs="Arial"/>
          <w:szCs w:val="24"/>
        </w:rPr>
        <w:t xml:space="preserve">number 3 most visited online retail store, managing to </w:t>
      </w:r>
      <w:r w:rsidR="00463ABB" w:rsidRPr="000E7F6D">
        <w:rPr>
          <w:rFonts w:cs="Arial"/>
          <w:szCs w:val="24"/>
        </w:rPr>
        <w:t>strengthen</w:t>
      </w:r>
      <w:r w:rsidRPr="000E7F6D">
        <w:rPr>
          <w:rFonts w:cs="Arial"/>
          <w:szCs w:val="24"/>
        </w:rPr>
        <w:t xml:space="preserve"> its position with over </w:t>
      </w:r>
      <w:r w:rsidRPr="000E7F6D">
        <w:rPr>
          <w:rFonts w:cs="Arial"/>
          <w:szCs w:val="24"/>
        </w:rPr>
        <w:lastRenderedPageBreak/>
        <w:t xml:space="preserve">140000+ manpower, investment of 850+ convenience stores of about 1 billion to provide lower prices with effective products (Sainsbury, 2026). Its strategic vision focuses its attention on customer satisfaction, </w:t>
      </w:r>
      <w:r w:rsidR="00463ABB" w:rsidRPr="000E7F6D">
        <w:rPr>
          <w:rFonts w:cs="Arial"/>
          <w:szCs w:val="24"/>
        </w:rPr>
        <w:t>operational</w:t>
      </w:r>
      <w:r w:rsidRPr="000E7F6D">
        <w:rPr>
          <w:rFonts w:cs="Arial"/>
          <w:szCs w:val="24"/>
        </w:rPr>
        <w:t xml:space="preserve"> efficiency, and sustainability over the long run. These values can be seen through its move to enhance service quality, add online delivery, and invest in technological innovation</w:t>
      </w:r>
      <w:r w:rsidR="00F90F85" w:rsidRPr="000E7F6D">
        <w:rPr>
          <w:rFonts w:cs="Arial"/>
          <w:szCs w:val="24"/>
        </w:rPr>
        <w:t>.</w:t>
      </w:r>
    </w:p>
    <w:p w14:paraId="62498789" w14:textId="16362A3E" w:rsidR="008C1268" w:rsidRPr="000E7F6D" w:rsidRDefault="00C37736" w:rsidP="00555CDC">
      <w:pPr>
        <w:jc w:val="center"/>
        <w:rPr>
          <w:rFonts w:cs="Arial"/>
          <w:szCs w:val="24"/>
        </w:rPr>
      </w:pPr>
      <w:r w:rsidRPr="000E7F6D">
        <w:rPr>
          <w:rFonts w:cs="Arial"/>
          <w:noProof/>
          <w:szCs w:val="24"/>
        </w:rPr>
        <w:drawing>
          <wp:inline distT="0" distB="0" distL="0" distR="0" wp14:anchorId="36FF391B" wp14:editId="618EB784">
            <wp:extent cx="5052820" cy="3147060"/>
            <wp:effectExtent l="0" t="0" r="0" b="0"/>
            <wp:docPr id="694927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927835" name=""/>
                    <pic:cNvPicPr/>
                  </pic:nvPicPr>
                  <pic:blipFill>
                    <a:blip r:embed="rId10"/>
                    <a:stretch>
                      <a:fillRect/>
                    </a:stretch>
                  </pic:blipFill>
                  <pic:spPr>
                    <a:xfrm>
                      <a:off x="0" y="0"/>
                      <a:ext cx="5054932" cy="3148375"/>
                    </a:xfrm>
                    <a:prstGeom prst="rect">
                      <a:avLst/>
                    </a:prstGeom>
                  </pic:spPr>
                </pic:pic>
              </a:graphicData>
            </a:graphic>
          </wp:inline>
        </w:drawing>
      </w:r>
    </w:p>
    <w:p w14:paraId="4F3D9AF4" w14:textId="41003141" w:rsidR="00C37736" w:rsidRPr="000E7F6D" w:rsidRDefault="00C37736" w:rsidP="00555CDC">
      <w:pPr>
        <w:pStyle w:val="Caption"/>
        <w:spacing w:before="240" w:after="240"/>
        <w:jc w:val="center"/>
        <w:rPr>
          <w:rFonts w:cs="Arial"/>
          <w:szCs w:val="24"/>
        </w:rPr>
      </w:pPr>
      <w:r w:rsidRPr="000E7F6D">
        <w:rPr>
          <w:rFonts w:cs="Arial"/>
          <w:szCs w:val="24"/>
        </w:rPr>
        <w:t xml:space="preserve">Figure </w:t>
      </w:r>
      <w:r w:rsidRPr="000E7F6D">
        <w:rPr>
          <w:rFonts w:cs="Arial"/>
          <w:szCs w:val="24"/>
        </w:rPr>
        <w:fldChar w:fldCharType="begin"/>
      </w:r>
      <w:r w:rsidRPr="000E7F6D">
        <w:rPr>
          <w:rFonts w:cs="Arial"/>
          <w:szCs w:val="24"/>
        </w:rPr>
        <w:instrText xml:space="preserve"> SEQ Figure \* ARABIC </w:instrText>
      </w:r>
      <w:r w:rsidRPr="000E7F6D">
        <w:rPr>
          <w:rFonts w:cs="Arial"/>
          <w:szCs w:val="24"/>
        </w:rPr>
        <w:fldChar w:fldCharType="separate"/>
      </w:r>
      <w:r w:rsidR="0072393C">
        <w:rPr>
          <w:rFonts w:cs="Arial"/>
          <w:noProof/>
          <w:szCs w:val="24"/>
        </w:rPr>
        <w:t>2</w:t>
      </w:r>
      <w:r w:rsidRPr="000E7F6D">
        <w:rPr>
          <w:rFonts w:cs="Arial"/>
          <w:szCs w:val="24"/>
        </w:rPr>
        <w:fldChar w:fldCharType="end"/>
      </w:r>
      <w:r w:rsidRPr="000E7F6D">
        <w:rPr>
          <w:rFonts w:cs="Arial"/>
          <w:szCs w:val="24"/>
        </w:rPr>
        <w:t xml:space="preserve">: Sainsbury's </w:t>
      </w:r>
      <w:proofErr w:type="gramStart"/>
      <w:r w:rsidRPr="000E7F6D">
        <w:rPr>
          <w:rFonts w:cs="Arial"/>
          <w:szCs w:val="24"/>
        </w:rPr>
        <w:t>at a glance</w:t>
      </w:r>
      <w:proofErr w:type="gramEnd"/>
    </w:p>
    <w:p w14:paraId="09F36405" w14:textId="171DBF93" w:rsidR="002D453B" w:rsidRPr="000E7F6D" w:rsidRDefault="00C37736" w:rsidP="00555CDC">
      <w:pPr>
        <w:jc w:val="center"/>
        <w:rPr>
          <w:rFonts w:cs="Arial"/>
          <w:b/>
          <w:i/>
          <w:iCs/>
          <w:szCs w:val="24"/>
        </w:rPr>
      </w:pPr>
      <w:r w:rsidRPr="000E7F6D">
        <w:rPr>
          <w:rFonts w:cs="Arial"/>
          <w:b/>
          <w:i/>
          <w:iCs/>
          <w:szCs w:val="24"/>
        </w:rPr>
        <w:t>(Source: Sainsbury, 2026)</w:t>
      </w:r>
    </w:p>
    <w:p w14:paraId="689F3F83" w14:textId="216F980B" w:rsidR="00F90F85" w:rsidRPr="000E7F6D" w:rsidRDefault="002D453B" w:rsidP="00014170">
      <w:pPr>
        <w:rPr>
          <w:rFonts w:cs="Arial"/>
          <w:szCs w:val="24"/>
        </w:rPr>
      </w:pPr>
      <w:r w:rsidRPr="000E7F6D">
        <w:rPr>
          <w:rFonts w:cs="Arial"/>
          <w:szCs w:val="24"/>
        </w:rPr>
        <w:t xml:space="preserve">The business strategy of Sainsbury focuses on the multi-channel retailing business model, whereby the company has physical outlets and is increasingly </w:t>
      </w:r>
      <w:r w:rsidR="00463ABB" w:rsidRPr="000E7F6D">
        <w:rPr>
          <w:rFonts w:cs="Arial"/>
          <w:szCs w:val="24"/>
        </w:rPr>
        <w:t>utilising</w:t>
      </w:r>
      <w:r w:rsidRPr="000E7F6D">
        <w:rPr>
          <w:rFonts w:cs="Arial"/>
          <w:szCs w:val="24"/>
        </w:rPr>
        <w:t xml:space="preserve"> the online platform. This enables the organisation to satisfy the evolving preferences of the consumers</w:t>
      </w:r>
      <w:r w:rsidR="00463ABB" w:rsidRPr="000E7F6D">
        <w:rPr>
          <w:rFonts w:cs="Arial"/>
          <w:szCs w:val="24"/>
        </w:rPr>
        <w:t>,</w:t>
      </w:r>
      <w:r w:rsidRPr="000E7F6D">
        <w:rPr>
          <w:rFonts w:cs="Arial"/>
          <w:szCs w:val="24"/>
        </w:rPr>
        <w:t xml:space="preserve"> especially the growing demand </w:t>
      </w:r>
      <w:r w:rsidR="00463ABB" w:rsidRPr="000E7F6D">
        <w:rPr>
          <w:rFonts w:cs="Arial"/>
          <w:szCs w:val="24"/>
        </w:rPr>
        <w:t>for</w:t>
      </w:r>
      <w:r w:rsidRPr="000E7F6D">
        <w:rPr>
          <w:rFonts w:cs="Arial"/>
          <w:szCs w:val="24"/>
        </w:rPr>
        <w:t xml:space="preserve"> convenience and home delivery services. </w:t>
      </w:r>
      <w:proofErr w:type="spellStart"/>
      <w:r w:rsidR="00463ABB" w:rsidRPr="000E7F6D">
        <w:rPr>
          <w:rFonts w:cs="Arial"/>
          <w:szCs w:val="24"/>
        </w:rPr>
        <w:t>Competitionally</w:t>
      </w:r>
      <w:proofErr w:type="spellEnd"/>
      <w:r w:rsidRPr="000E7F6D">
        <w:rPr>
          <w:rFonts w:cs="Arial"/>
          <w:szCs w:val="24"/>
        </w:rPr>
        <w:t xml:space="preserve">, Sainsbury has been in the market </w:t>
      </w:r>
      <w:r w:rsidR="00463ABB" w:rsidRPr="000E7F6D">
        <w:rPr>
          <w:rFonts w:cs="Arial"/>
          <w:szCs w:val="24"/>
        </w:rPr>
        <w:t>in</w:t>
      </w:r>
      <w:r w:rsidRPr="000E7F6D">
        <w:rPr>
          <w:rFonts w:cs="Arial"/>
          <w:szCs w:val="24"/>
        </w:rPr>
        <w:t xml:space="preserve"> a very competitive position alongside its other key competitors of Tesco, Aldi and Lidl (Sainsbury, 2025). The adoption of Argos in the Sainsbury stores has also increased the opportunities </w:t>
      </w:r>
      <w:r w:rsidR="00463ABB" w:rsidRPr="000E7F6D">
        <w:rPr>
          <w:rFonts w:cs="Arial"/>
          <w:szCs w:val="24"/>
        </w:rPr>
        <w:t>for</w:t>
      </w:r>
      <w:r w:rsidRPr="000E7F6D">
        <w:rPr>
          <w:rFonts w:cs="Arial"/>
          <w:szCs w:val="24"/>
        </w:rPr>
        <w:t xml:space="preserve"> cross-selling and the overall customer experience. The </w:t>
      </w:r>
      <w:r w:rsidR="00463ABB" w:rsidRPr="000E7F6D">
        <w:rPr>
          <w:rFonts w:cs="Arial"/>
          <w:szCs w:val="24"/>
        </w:rPr>
        <w:t>company's</w:t>
      </w:r>
      <w:r w:rsidRPr="000E7F6D">
        <w:rPr>
          <w:rFonts w:cs="Arial"/>
          <w:szCs w:val="24"/>
        </w:rPr>
        <w:t xml:space="preserve"> business model is based on discount retailers with the focus on low prices that will enable this company to position </w:t>
      </w:r>
      <w:r w:rsidR="00463ABB" w:rsidRPr="000E7F6D">
        <w:rPr>
          <w:rFonts w:cs="Arial"/>
          <w:szCs w:val="24"/>
        </w:rPr>
        <w:t xml:space="preserve">itself </w:t>
      </w:r>
      <w:r w:rsidRPr="000E7F6D">
        <w:rPr>
          <w:rFonts w:cs="Arial"/>
          <w:szCs w:val="24"/>
        </w:rPr>
        <w:t xml:space="preserve">in </w:t>
      </w:r>
      <w:r w:rsidR="00463ABB" w:rsidRPr="000E7F6D">
        <w:rPr>
          <w:rFonts w:cs="Arial"/>
          <w:szCs w:val="24"/>
        </w:rPr>
        <w:t xml:space="preserve">the </w:t>
      </w:r>
      <w:r w:rsidRPr="000E7F6D">
        <w:rPr>
          <w:rFonts w:cs="Arial"/>
          <w:szCs w:val="24"/>
        </w:rPr>
        <w:t>mid-range segment</w:t>
      </w:r>
      <w:r w:rsidR="003E3A15" w:rsidRPr="000E7F6D">
        <w:rPr>
          <w:rFonts w:cs="Arial"/>
          <w:szCs w:val="24"/>
        </w:rPr>
        <w:t>,</w:t>
      </w:r>
      <w:r w:rsidRPr="000E7F6D">
        <w:rPr>
          <w:rFonts w:cs="Arial"/>
          <w:szCs w:val="24"/>
        </w:rPr>
        <w:t xml:space="preserve"> balancing quality and prices (Sainsbury, 2026). Thus, the report discusses </w:t>
      </w:r>
      <w:r w:rsidR="003E3A15" w:rsidRPr="000E7F6D">
        <w:rPr>
          <w:rFonts w:cs="Arial"/>
          <w:szCs w:val="24"/>
        </w:rPr>
        <w:t xml:space="preserve">the </w:t>
      </w:r>
      <w:r w:rsidRPr="000E7F6D">
        <w:rPr>
          <w:rFonts w:cs="Arial"/>
          <w:szCs w:val="24"/>
        </w:rPr>
        <w:lastRenderedPageBreak/>
        <w:t xml:space="preserve">strategic positioning of the company that contributes to </w:t>
      </w:r>
      <w:r w:rsidR="003E3A15" w:rsidRPr="000E7F6D">
        <w:rPr>
          <w:rFonts w:cs="Arial"/>
          <w:szCs w:val="24"/>
        </w:rPr>
        <w:t xml:space="preserve">the </w:t>
      </w:r>
      <w:r w:rsidRPr="000E7F6D">
        <w:rPr>
          <w:rFonts w:cs="Arial"/>
          <w:szCs w:val="24"/>
        </w:rPr>
        <w:t xml:space="preserve">attraction of a wide range of customers and </w:t>
      </w:r>
      <w:r w:rsidR="003E3A15" w:rsidRPr="000E7F6D">
        <w:rPr>
          <w:rFonts w:cs="Arial"/>
          <w:szCs w:val="24"/>
        </w:rPr>
        <w:t xml:space="preserve">the </w:t>
      </w:r>
      <w:r w:rsidRPr="000E7F6D">
        <w:rPr>
          <w:rFonts w:cs="Arial"/>
          <w:szCs w:val="24"/>
        </w:rPr>
        <w:t>preservation of brand distinction in the price-elastic market</w:t>
      </w:r>
      <w:r w:rsidR="00B27AD6" w:rsidRPr="000E7F6D">
        <w:rPr>
          <w:rFonts w:cs="Arial"/>
          <w:szCs w:val="24"/>
        </w:rPr>
        <w:t>.</w:t>
      </w:r>
    </w:p>
    <w:p w14:paraId="405476EE" w14:textId="66F90A4D" w:rsidR="00F90F85" w:rsidRPr="000E7F6D" w:rsidRDefault="00B27AD6" w:rsidP="00555CDC">
      <w:pPr>
        <w:jc w:val="center"/>
        <w:rPr>
          <w:rFonts w:cs="Arial"/>
          <w:szCs w:val="24"/>
        </w:rPr>
      </w:pPr>
      <w:r w:rsidRPr="000E7F6D">
        <w:rPr>
          <w:rFonts w:cs="Arial"/>
          <w:noProof/>
          <w:szCs w:val="24"/>
        </w:rPr>
        <w:drawing>
          <wp:inline distT="0" distB="0" distL="0" distR="0" wp14:anchorId="7B0D0C41" wp14:editId="5BC727B3">
            <wp:extent cx="3962402" cy="3383280"/>
            <wp:effectExtent l="0" t="0" r="0" b="7620"/>
            <wp:docPr id="41910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10049" name=""/>
                    <pic:cNvPicPr/>
                  </pic:nvPicPr>
                  <pic:blipFill>
                    <a:blip r:embed="rId11"/>
                    <a:stretch>
                      <a:fillRect/>
                    </a:stretch>
                  </pic:blipFill>
                  <pic:spPr>
                    <a:xfrm>
                      <a:off x="0" y="0"/>
                      <a:ext cx="3994548" cy="3410728"/>
                    </a:xfrm>
                    <a:prstGeom prst="rect">
                      <a:avLst/>
                    </a:prstGeom>
                  </pic:spPr>
                </pic:pic>
              </a:graphicData>
            </a:graphic>
          </wp:inline>
        </w:drawing>
      </w:r>
    </w:p>
    <w:p w14:paraId="37129392" w14:textId="58D20749" w:rsidR="00B1614B" w:rsidRPr="000E7F6D" w:rsidRDefault="00B1614B" w:rsidP="00555CDC">
      <w:pPr>
        <w:pStyle w:val="Caption"/>
        <w:spacing w:before="240" w:after="240"/>
        <w:jc w:val="center"/>
        <w:rPr>
          <w:rFonts w:cs="Arial"/>
          <w:szCs w:val="24"/>
        </w:rPr>
      </w:pPr>
      <w:r w:rsidRPr="000E7F6D">
        <w:rPr>
          <w:rFonts w:cs="Arial"/>
          <w:szCs w:val="24"/>
        </w:rPr>
        <w:t xml:space="preserve">Figure </w:t>
      </w:r>
      <w:r w:rsidRPr="000E7F6D">
        <w:rPr>
          <w:rFonts w:cs="Arial"/>
          <w:szCs w:val="24"/>
        </w:rPr>
        <w:fldChar w:fldCharType="begin"/>
      </w:r>
      <w:r w:rsidRPr="000E7F6D">
        <w:rPr>
          <w:rFonts w:cs="Arial"/>
          <w:szCs w:val="24"/>
        </w:rPr>
        <w:instrText xml:space="preserve"> SEQ Figure \* ARABIC </w:instrText>
      </w:r>
      <w:r w:rsidRPr="000E7F6D">
        <w:rPr>
          <w:rFonts w:cs="Arial"/>
          <w:szCs w:val="24"/>
        </w:rPr>
        <w:fldChar w:fldCharType="separate"/>
      </w:r>
      <w:r w:rsidR="0072393C">
        <w:rPr>
          <w:rFonts w:cs="Arial"/>
          <w:noProof/>
          <w:szCs w:val="24"/>
        </w:rPr>
        <w:t>3</w:t>
      </w:r>
      <w:r w:rsidRPr="000E7F6D">
        <w:rPr>
          <w:rFonts w:cs="Arial"/>
          <w:szCs w:val="24"/>
        </w:rPr>
        <w:fldChar w:fldCharType="end"/>
      </w:r>
      <w:r w:rsidRPr="000E7F6D">
        <w:rPr>
          <w:rFonts w:cs="Arial"/>
          <w:szCs w:val="24"/>
        </w:rPr>
        <w:t>: Sainsbury’s business model</w:t>
      </w:r>
    </w:p>
    <w:p w14:paraId="46215792" w14:textId="0819C14F" w:rsidR="00B1614B" w:rsidRPr="000E7F6D" w:rsidRDefault="003C231C" w:rsidP="00555CDC">
      <w:pPr>
        <w:jc w:val="center"/>
        <w:rPr>
          <w:rFonts w:cs="Arial"/>
          <w:b/>
          <w:i/>
          <w:iCs/>
          <w:szCs w:val="24"/>
        </w:rPr>
      </w:pPr>
      <w:r w:rsidRPr="000E7F6D">
        <w:rPr>
          <w:rFonts w:cs="Arial"/>
          <w:b/>
          <w:i/>
          <w:iCs/>
          <w:szCs w:val="24"/>
        </w:rPr>
        <w:t>(</w:t>
      </w:r>
      <w:r w:rsidR="00B1614B" w:rsidRPr="000E7F6D">
        <w:rPr>
          <w:rFonts w:cs="Arial"/>
          <w:b/>
          <w:i/>
          <w:iCs/>
          <w:szCs w:val="24"/>
        </w:rPr>
        <w:t>Source:</w:t>
      </w:r>
      <w:r w:rsidRPr="000E7F6D">
        <w:rPr>
          <w:rFonts w:cs="Arial"/>
          <w:b/>
          <w:i/>
          <w:iCs/>
          <w:szCs w:val="24"/>
        </w:rPr>
        <w:t xml:space="preserve"> Sainsbury, 2026)</w:t>
      </w:r>
    </w:p>
    <w:p w14:paraId="38D4FD64" w14:textId="15C5F4F5" w:rsidR="001D3C24" w:rsidRPr="000E7F6D" w:rsidRDefault="001D3C24" w:rsidP="00014170">
      <w:pPr>
        <w:pStyle w:val="Heading2"/>
        <w:spacing w:before="240" w:after="240"/>
        <w:rPr>
          <w:rFonts w:cs="Arial"/>
          <w:szCs w:val="24"/>
        </w:rPr>
      </w:pPr>
      <w:bookmarkStart w:id="4" w:name="_Toc224746321"/>
      <w:r w:rsidRPr="000E7F6D">
        <w:rPr>
          <w:rFonts w:cs="Arial"/>
          <w:szCs w:val="24"/>
        </w:rPr>
        <w:t>1.3 External and Internal Environment Analysis</w:t>
      </w:r>
      <w:bookmarkEnd w:id="4"/>
      <w:r w:rsidR="002C1C6C" w:rsidRPr="000E7F6D">
        <w:rPr>
          <w:rFonts w:cs="Arial"/>
          <w:szCs w:val="24"/>
        </w:rPr>
        <w:t xml:space="preserve"> </w:t>
      </w:r>
    </w:p>
    <w:p w14:paraId="395B95DE" w14:textId="62F06288" w:rsidR="002D453B" w:rsidRPr="00C57C8C" w:rsidRDefault="001D3C24" w:rsidP="00014170">
      <w:pPr>
        <w:rPr>
          <w:b/>
          <w:bCs/>
          <w:i/>
          <w:iCs/>
        </w:rPr>
      </w:pPr>
      <w:r w:rsidRPr="00C57C8C">
        <w:rPr>
          <w:b/>
          <w:bCs/>
          <w:i/>
          <w:iCs/>
        </w:rPr>
        <w:t>1.3.1 External Environment Evaluation</w:t>
      </w:r>
      <w:r w:rsidR="00C7444C" w:rsidRPr="00C57C8C">
        <w:rPr>
          <w:b/>
          <w:bCs/>
          <w:i/>
          <w:iCs/>
        </w:rPr>
        <w:t xml:space="preserve">: </w:t>
      </w:r>
      <w:r w:rsidR="00C90733" w:rsidRPr="00C57C8C">
        <w:rPr>
          <w:b/>
          <w:bCs/>
          <w:i/>
          <w:iCs/>
        </w:rPr>
        <w:t>PEST</w:t>
      </w:r>
      <w:r w:rsidR="00C7444C" w:rsidRPr="00C57C8C">
        <w:rPr>
          <w:b/>
          <w:bCs/>
          <w:i/>
          <w:iCs/>
        </w:rPr>
        <w:t>EL</w:t>
      </w:r>
    </w:p>
    <w:p w14:paraId="3EFFDD89" w14:textId="6E0F8852" w:rsidR="00C90733" w:rsidRPr="000E7F6D" w:rsidRDefault="002D453B" w:rsidP="00014170">
      <w:pPr>
        <w:rPr>
          <w:rFonts w:cs="Arial"/>
          <w:szCs w:val="24"/>
          <w:lang w:val="en-IN"/>
        </w:rPr>
      </w:pPr>
      <w:r w:rsidRPr="000E7F6D">
        <w:rPr>
          <w:rFonts w:cs="Arial"/>
          <w:szCs w:val="24"/>
          <w:lang w:val="en-IN"/>
        </w:rPr>
        <w:t>PESTEL analysis assesses the macro-environmental variables influencing organisations</w:t>
      </w:r>
      <w:r w:rsidR="003E3A15" w:rsidRPr="000E7F6D">
        <w:rPr>
          <w:rFonts w:cs="Arial"/>
          <w:szCs w:val="24"/>
          <w:lang w:val="en-IN"/>
        </w:rPr>
        <w:t>,</w:t>
      </w:r>
      <w:r w:rsidRPr="000E7F6D">
        <w:rPr>
          <w:rFonts w:cs="Arial"/>
          <w:szCs w:val="24"/>
          <w:lang w:val="en-IN"/>
        </w:rPr>
        <w:t xml:space="preserve"> such as political, economic, social, technological, environmental and legal forces (Segura, 2023). This framework is applicable since it assists Sainsbury </w:t>
      </w:r>
      <w:r w:rsidR="003E3A15" w:rsidRPr="000E7F6D">
        <w:rPr>
          <w:rFonts w:cs="Arial"/>
          <w:szCs w:val="24"/>
          <w:lang w:val="en-IN"/>
        </w:rPr>
        <w:t>in evaluating</w:t>
      </w:r>
      <w:r w:rsidRPr="000E7F6D">
        <w:rPr>
          <w:rFonts w:cs="Arial"/>
          <w:szCs w:val="24"/>
          <w:lang w:val="en-IN"/>
        </w:rPr>
        <w:t xml:space="preserve"> the external pressure and </w:t>
      </w:r>
      <w:r w:rsidR="003E3A15" w:rsidRPr="000E7F6D">
        <w:rPr>
          <w:rFonts w:cs="Arial"/>
          <w:szCs w:val="24"/>
          <w:lang w:val="en-IN"/>
        </w:rPr>
        <w:t>changing</w:t>
      </w:r>
      <w:r w:rsidRPr="000E7F6D">
        <w:rPr>
          <w:rFonts w:cs="Arial"/>
          <w:szCs w:val="24"/>
          <w:lang w:val="en-IN"/>
        </w:rPr>
        <w:t xml:space="preserve"> the strategies accordingly</w:t>
      </w:r>
      <w:r w:rsidR="00C90733" w:rsidRPr="000E7F6D">
        <w:rPr>
          <w:rFonts w:cs="Arial"/>
          <w:szCs w:val="24"/>
          <w:lang w:val="en-IN"/>
        </w:rPr>
        <w:t>.</w:t>
      </w:r>
    </w:p>
    <w:p w14:paraId="3483B6DA" w14:textId="7A89AC22" w:rsidR="000F2E8C" w:rsidRPr="000E7F6D" w:rsidRDefault="000F2E8C" w:rsidP="00555CDC">
      <w:pPr>
        <w:jc w:val="center"/>
        <w:rPr>
          <w:rFonts w:cs="Arial"/>
          <w:szCs w:val="24"/>
          <w:lang w:val="en-IN"/>
        </w:rPr>
      </w:pPr>
      <w:r w:rsidRPr="000E7F6D">
        <w:rPr>
          <w:rFonts w:cs="Arial"/>
          <w:noProof/>
          <w:szCs w:val="24"/>
          <w:lang w:val="en-IN"/>
        </w:rPr>
        <w:lastRenderedPageBreak/>
        <w:drawing>
          <wp:inline distT="0" distB="0" distL="0" distR="0" wp14:anchorId="0E9D7B4E" wp14:editId="7FEFBE50">
            <wp:extent cx="2598449" cy="2583180"/>
            <wp:effectExtent l="0" t="0" r="0" b="7620"/>
            <wp:docPr id="2047202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202949" name=""/>
                    <pic:cNvPicPr/>
                  </pic:nvPicPr>
                  <pic:blipFill>
                    <a:blip r:embed="rId12"/>
                    <a:stretch>
                      <a:fillRect/>
                    </a:stretch>
                  </pic:blipFill>
                  <pic:spPr>
                    <a:xfrm>
                      <a:off x="0" y="0"/>
                      <a:ext cx="2614332" cy="2598970"/>
                    </a:xfrm>
                    <a:prstGeom prst="rect">
                      <a:avLst/>
                    </a:prstGeom>
                  </pic:spPr>
                </pic:pic>
              </a:graphicData>
            </a:graphic>
          </wp:inline>
        </w:drawing>
      </w:r>
    </w:p>
    <w:p w14:paraId="0D84EA9C" w14:textId="5A225D25" w:rsidR="000F2E8C" w:rsidRPr="000E7F6D" w:rsidRDefault="000F2E8C" w:rsidP="00555CDC">
      <w:pPr>
        <w:pStyle w:val="Caption"/>
        <w:spacing w:before="240" w:after="240"/>
        <w:jc w:val="center"/>
        <w:rPr>
          <w:rFonts w:cs="Arial"/>
          <w:szCs w:val="24"/>
        </w:rPr>
      </w:pPr>
      <w:r w:rsidRPr="000E7F6D">
        <w:rPr>
          <w:rFonts w:cs="Arial"/>
          <w:szCs w:val="24"/>
        </w:rPr>
        <w:t xml:space="preserve">Figure </w:t>
      </w:r>
      <w:r w:rsidRPr="000E7F6D">
        <w:rPr>
          <w:rFonts w:cs="Arial"/>
          <w:szCs w:val="24"/>
        </w:rPr>
        <w:fldChar w:fldCharType="begin"/>
      </w:r>
      <w:r w:rsidRPr="000E7F6D">
        <w:rPr>
          <w:rFonts w:cs="Arial"/>
          <w:szCs w:val="24"/>
        </w:rPr>
        <w:instrText xml:space="preserve"> SEQ Figure \* ARABIC </w:instrText>
      </w:r>
      <w:r w:rsidRPr="000E7F6D">
        <w:rPr>
          <w:rFonts w:cs="Arial"/>
          <w:szCs w:val="24"/>
        </w:rPr>
        <w:fldChar w:fldCharType="separate"/>
      </w:r>
      <w:r w:rsidR="0072393C">
        <w:rPr>
          <w:rFonts w:cs="Arial"/>
          <w:noProof/>
          <w:szCs w:val="24"/>
        </w:rPr>
        <w:t>4</w:t>
      </w:r>
      <w:r w:rsidRPr="000E7F6D">
        <w:rPr>
          <w:rFonts w:cs="Arial"/>
          <w:szCs w:val="24"/>
        </w:rPr>
        <w:fldChar w:fldCharType="end"/>
      </w:r>
      <w:r w:rsidRPr="000E7F6D">
        <w:rPr>
          <w:rFonts w:cs="Arial"/>
          <w:szCs w:val="24"/>
        </w:rPr>
        <w:t>: Key factors of PESTEL</w:t>
      </w:r>
    </w:p>
    <w:p w14:paraId="7AAD3BBE" w14:textId="5A4773D9" w:rsidR="000F2E8C" w:rsidRPr="000E7F6D" w:rsidRDefault="00ED480B" w:rsidP="00555CDC">
      <w:pPr>
        <w:jc w:val="center"/>
        <w:rPr>
          <w:rFonts w:cs="Arial"/>
          <w:b/>
          <w:i/>
          <w:iCs/>
          <w:szCs w:val="24"/>
          <w:lang w:val="en-IN"/>
        </w:rPr>
      </w:pPr>
      <w:r w:rsidRPr="000E7F6D">
        <w:rPr>
          <w:rFonts w:cs="Arial"/>
          <w:b/>
          <w:i/>
          <w:iCs/>
          <w:szCs w:val="24"/>
          <w:lang w:val="en-IN"/>
        </w:rPr>
        <w:t>(</w:t>
      </w:r>
      <w:r w:rsidR="000F2E8C" w:rsidRPr="000E7F6D">
        <w:rPr>
          <w:rFonts w:cs="Arial"/>
          <w:b/>
          <w:i/>
          <w:iCs/>
          <w:szCs w:val="24"/>
          <w:lang w:val="en-IN"/>
        </w:rPr>
        <w:t xml:space="preserve">Source: </w:t>
      </w:r>
      <w:r w:rsidRPr="000E7F6D">
        <w:rPr>
          <w:rFonts w:cs="Arial"/>
          <w:b/>
          <w:i/>
          <w:iCs/>
          <w:szCs w:val="24"/>
        </w:rPr>
        <w:t>Segura, et al., 2023)</w:t>
      </w:r>
    </w:p>
    <w:p w14:paraId="52BFD8B9" w14:textId="144079E4" w:rsidR="00C90733" w:rsidRPr="000E7F6D" w:rsidRDefault="006268C8" w:rsidP="00014170">
      <w:pPr>
        <w:rPr>
          <w:rFonts w:cs="Arial"/>
          <w:b/>
          <w:bCs/>
          <w:i/>
          <w:iCs/>
          <w:szCs w:val="24"/>
          <w:u w:val="single"/>
        </w:rPr>
      </w:pPr>
      <w:r w:rsidRPr="000E7F6D">
        <w:rPr>
          <w:rFonts w:cs="Arial"/>
          <w:b/>
          <w:bCs/>
          <w:i/>
          <w:iCs/>
          <w:szCs w:val="24"/>
          <w:u w:val="single"/>
        </w:rPr>
        <w:t>PESTLE Table</w:t>
      </w:r>
    </w:p>
    <w:tbl>
      <w:tblPr>
        <w:tblStyle w:val="GridTable5Dark-Accent5"/>
        <w:tblW w:w="0" w:type="auto"/>
        <w:tblLayout w:type="fixed"/>
        <w:tblLook w:val="04A0" w:firstRow="1" w:lastRow="0" w:firstColumn="1" w:lastColumn="0" w:noHBand="0" w:noVBand="1"/>
      </w:tblPr>
      <w:tblGrid>
        <w:gridCol w:w="1101"/>
        <w:gridCol w:w="2693"/>
        <w:gridCol w:w="5782"/>
      </w:tblGrid>
      <w:tr w:rsidR="002C1C6C" w:rsidRPr="000E7F6D" w14:paraId="78065768" w14:textId="77777777" w:rsidTr="003642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1" w:type="dxa"/>
            <w:hideMark/>
          </w:tcPr>
          <w:p w14:paraId="4C2C8829" w14:textId="77777777" w:rsidR="006268C8" w:rsidRPr="000E7F6D" w:rsidRDefault="006268C8" w:rsidP="00014170">
            <w:pPr>
              <w:rPr>
                <w:rFonts w:cs="Arial"/>
                <w:szCs w:val="24"/>
                <w:lang w:val="en-IN"/>
              </w:rPr>
            </w:pPr>
            <w:r w:rsidRPr="000E7F6D">
              <w:rPr>
                <w:rFonts w:cs="Arial"/>
                <w:szCs w:val="24"/>
                <w:lang w:val="en-IN"/>
              </w:rPr>
              <w:t>Factor</w:t>
            </w:r>
          </w:p>
        </w:tc>
        <w:tc>
          <w:tcPr>
            <w:tcW w:w="2693" w:type="dxa"/>
            <w:hideMark/>
          </w:tcPr>
          <w:p w14:paraId="63706CF3" w14:textId="77777777" w:rsidR="006268C8" w:rsidRPr="000E7F6D" w:rsidRDefault="006268C8" w:rsidP="00014170">
            <w:pPr>
              <w:cnfStyle w:val="100000000000" w:firstRow="1" w:lastRow="0" w:firstColumn="0" w:lastColumn="0" w:oddVBand="0" w:evenVBand="0" w:oddHBand="0" w:evenHBand="0" w:firstRowFirstColumn="0" w:firstRowLastColumn="0" w:lastRowFirstColumn="0" w:lastRowLastColumn="0"/>
              <w:rPr>
                <w:rFonts w:cs="Arial"/>
                <w:szCs w:val="24"/>
                <w:lang w:val="en-IN"/>
              </w:rPr>
            </w:pPr>
            <w:r w:rsidRPr="000E7F6D">
              <w:rPr>
                <w:rFonts w:cs="Arial"/>
                <w:szCs w:val="24"/>
                <w:lang w:val="en-IN"/>
              </w:rPr>
              <w:t>Key Attributes</w:t>
            </w:r>
          </w:p>
        </w:tc>
        <w:tc>
          <w:tcPr>
            <w:tcW w:w="5782" w:type="dxa"/>
            <w:hideMark/>
          </w:tcPr>
          <w:p w14:paraId="6B10A13B" w14:textId="2C229658" w:rsidR="006268C8" w:rsidRPr="000E7F6D" w:rsidRDefault="006268C8" w:rsidP="00014170">
            <w:pPr>
              <w:cnfStyle w:val="100000000000" w:firstRow="1" w:lastRow="0" w:firstColumn="0" w:lastColumn="0" w:oddVBand="0" w:evenVBand="0" w:oddHBand="0" w:evenHBand="0" w:firstRowFirstColumn="0" w:firstRowLastColumn="0" w:lastRowFirstColumn="0" w:lastRowLastColumn="0"/>
              <w:rPr>
                <w:rFonts w:cs="Arial"/>
                <w:szCs w:val="24"/>
                <w:lang w:val="en-IN"/>
              </w:rPr>
            </w:pPr>
            <w:r w:rsidRPr="000E7F6D">
              <w:rPr>
                <w:rFonts w:cs="Arial"/>
                <w:szCs w:val="24"/>
                <w:lang w:val="en-IN"/>
              </w:rPr>
              <w:t>Influence on Sainsbury’s</w:t>
            </w:r>
          </w:p>
        </w:tc>
      </w:tr>
      <w:tr w:rsidR="002C1C6C" w:rsidRPr="000E7F6D" w14:paraId="3AF28751" w14:textId="77777777" w:rsidTr="003642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1" w:type="dxa"/>
            <w:hideMark/>
          </w:tcPr>
          <w:p w14:paraId="26541E1B" w14:textId="77777777" w:rsidR="006268C8" w:rsidRPr="000E7F6D" w:rsidRDefault="006268C8" w:rsidP="00014170">
            <w:pPr>
              <w:rPr>
                <w:rFonts w:cs="Arial"/>
                <w:szCs w:val="24"/>
                <w:lang w:val="en-IN"/>
              </w:rPr>
            </w:pPr>
            <w:r w:rsidRPr="000E7F6D">
              <w:rPr>
                <w:rFonts w:cs="Arial"/>
                <w:szCs w:val="24"/>
                <w:lang w:val="en-IN"/>
              </w:rPr>
              <w:t>Political</w:t>
            </w:r>
          </w:p>
        </w:tc>
        <w:tc>
          <w:tcPr>
            <w:tcW w:w="2693" w:type="dxa"/>
            <w:hideMark/>
          </w:tcPr>
          <w:p w14:paraId="74E69793" w14:textId="77777777" w:rsidR="00700D21" w:rsidRPr="000E7F6D" w:rsidRDefault="006268C8" w:rsidP="00014170">
            <w:pPr>
              <w:pStyle w:val="ListParagraph"/>
              <w:numPr>
                <w:ilvl w:val="0"/>
                <w:numId w:val="17"/>
              </w:numPr>
              <w:contextualSpacing w:val="0"/>
              <w:cnfStyle w:val="000000100000" w:firstRow="0" w:lastRow="0" w:firstColumn="0" w:lastColumn="0" w:oddVBand="0" w:evenVBand="0" w:oddHBand="1" w:evenHBand="0" w:firstRowFirstColumn="0" w:firstRowLastColumn="0" w:lastRowFirstColumn="0" w:lastRowLastColumn="0"/>
              <w:rPr>
                <w:rFonts w:cs="Arial"/>
                <w:szCs w:val="24"/>
                <w:lang w:val="en-IN"/>
              </w:rPr>
            </w:pPr>
            <w:r w:rsidRPr="000E7F6D">
              <w:rPr>
                <w:rFonts w:cs="Arial"/>
                <w:szCs w:val="24"/>
                <w:lang w:val="en-IN"/>
              </w:rPr>
              <w:t>Government policies</w:t>
            </w:r>
            <w:r w:rsidR="00700D21" w:rsidRPr="000E7F6D">
              <w:rPr>
                <w:rFonts w:cs="Arial"/>
                <w:szCs w:val="24"/>
                <w:lang w:val="en-IN"/>
              </w:rPr>
              <w:t>.</w:t>
            </w:r>
          </w:p>
          <w:p w14:paraId="6AF62B5F" w14:textId="77777777" w:rsidR="00700D21" w:rsidRPr="000E7F6D" w:rsidRDefault="006268C8" w:rsidP="00014170">
            <w:pPr>
              <w:pStyle w:val="ListParagraph"/>
              <w:numPr>
                <w:ilvl w:val="0"/>
                <w:numId w:val="17"/>
              </w:numPr>
              <w:contextualSpacing w:val="0"/>
              <w:cnfStyle w:val="000000100000" w:firstRow="0" w:lastRow="0" w:firstColumn="0" w:lastColumn="0" w:oddVBand="0" w:evenVBand="0" w:oddHBand="1" w:evenHBand="0" w:firstRowFirstColumn="0" w:firstRowLastColumn="0" w:lastRowFirstColumn="0" w:lastRowLastColumn="0"/>
              <w:rPr>
                <w:rFonts w:cs="Arial"/>
                <w:szCs w:val="24"/>
                <w:lang w:val="en-IN"/>
              </w:rPr>
            </w:pPr>
            <w:r w:rsidRPr="000E7F6D">
              <w:rPr>
                <w:rFonts w:cs="Arial"/>
                <w:szCs w:val="24"/>
                <w:lang w:val="en-IN"/>
              </w:rPr>
              <w:t>Brexit impact</w:t>
            </w:r>
            <w:r w:rsidR="00700D21" w:rsidRPr="000E7F6D">
              <w:rPr>
                <w:rFonts w:cs="Arial"/>
                <w:szCs w:val="24"/>
                <w:lang w:val="en-IN"/>
              </w:rPr>
              <w:t>.</w:t>
            </w:r>
          </w:p>
          <w:p w14:paraId="0413A5E3" w14:textId="3B168B98" w:rsidR="006268C8" w:rsidRPr="000E7F6D" w:rsidRDefault="006268C8" w:rsidP="00014170">
            <w:pPr>
              <w:pStyle w:val="ListParagraph"/>
              <w:numPr>
                <w:ilvl w:val="0"/>
                <w:numId w:val="17"/>
              </w:numPr>
              <w:contextualSpacing w:val="0"/>
              <w:cnfStyle w:val="000000100000" w:firstRow="0" w:lastRow="0" w:firstColumn="0" w:lastColumn="0" w:oddVBand="0" w:evenVBand="0" w:oddHBand="1" w:evenHBand="0" w:firstRowFirstColumn="0" w:firstRowLastColumn="0" w:lastRowFirstColumn="0" w:lastRowLastColumn="0"/>
              <w:rPr>
                <w:rFonts w:cs="Arial"/>
                <w:szCs w:val="24"/>
                <w:lang w:val="en-IN"/>
              </w:rPr>
            </w:pPr>
            <w:r w:rsidRPr="000E7F6D">
              <w:rPr>
                <w:rFonts w:cs="Arial"/>
                <w:szCs w:val="24"/>
                <w:lang w:val="en-IN"/>
              </w:rPr>
              <w:t>trade regulations</w:t>
            </w:r>
          </w:p>
        </w:tc>
        <w:tc>
          <w:tcPr>
            <w:tcW w:w="5782" w:type="dxa"/>
            <w:hideMark/>
          </w:tcPr>
          <w:p w14:paraId="00CFB229" w14:textId="112141B5" w:rsidR="006268C8" w:rsidRPr="000E7F6D" w:rsidRDefault="00214330" w:rsidP="00014170">
            <w:pPr>
              <w:cnfStyle w:val="000000100000" w:firstRow="0" w:lastRow="0" w:firstColumn="0" w:lastColumn="0" w:oddVBand="0" w:evenVBand="0" w:oddHBand="1" w:evenHBand="0" w:firstRowFirstColumn="0" w:firstRowLastColumn="0" w:lastRowFirstColumn="0" w:lastRowLastColumn="0"/>
              <w:rPr>
                <w:rFonts w:cs="Arial"/>
                <w:szCs w:val="24"/>
                <w:lang w:val="en-IN"/>
              </w:rPr>
            </w:pPr>
            <w:r w:rsidRPr="000E7F6D">
              <w:rPr>
                <w:rFonts w:cs="Arial"/>
                <w:szCs w:val="24"/>
                <w:lang w:val="en-IN"/>
              </w:rPr>
              <w:t xml:space="preserve">The decision to leave the European Union has presented new trade barriers and high costs of imports, which </w:t>
            </w:r>
            <w:r w:rsidR="003E3A15" w:rsidRPr="000E7F6D">
              <w:rPr>
                <w:rFonts w:cs="Arial"/>
                <w:szCs w:val="24"/>
                <w:lang w:val="en-IN"/>
              </w:rPr>
              <w:t>have</w:t>
            </w:r>
            <w:r w:rsidRPr="000E7F6D">
              <w:rPr>
                <w:rFonts w:cs="Arial"/>
                <w:szCs w:val="24"/>
                <w:lang w:val="en-IN"/>
              </w:rPr>
              <w:t xml:space="preserve"> impacted efficiency in the supply chain in the UK (Imtiaz and Muzaffar, 2025). Sainsbury </w:t>
            </w:r>
            <w:r w:rsidR="00DB7FE9" w:rsidRPr="000E7F6D">
              <w:rPr>
                <w:rFonts w:cs="Arial"/>
                <w:szCs w:val="24"/>
                <w:lang w:val="en-IN"/>
              </w:rPr>
              <w:t xml:space="preserve">experienced the issue </w:t>
            </w:r>
            <w:r w:rsidRPr="000E7F6D">
              <w:rPr>
                <w:rFonts w:cs="Arial"/>
                <w:szCs w:val="24"/>
                <w:lang w:val="en-IN"/>
              </w:rPr>
              <w:t>of product sourcing and pricing strategies</w:t>
            </w:r>
            <w:r w:rsidR="006268C8" w:rsidRPr="000E7F6D">
              <w:rPr>
                <w:rFonts w:cs="Arial"/>
                <w:szCs w:val="24"/>
                <w:lang w:val="en-IN"/>
              </w:rPr>
              <w:t>.</w:t>
            </w:r>
          </w:p>
        </w:tc>
      </w:tr>
      <w:tr w:rsidR="002C1C6C" w:rsidRPr="000E7F6D" w14:paraId="53B1C6E1" w14:textId="77777777" w:rsidTr="00364295">
        <w:tc>
          <w:tcPr>
            <w:cnfStyle w:val="001000000000" w:firstRow="0" w:lastRow="0" w:firstColumn="1" w:lastColumn="0" w:oddVBand="0" w:evenVBand="0" w:oddHBand="0" w:evenHBand="0" w:firstRowFirstColumn="0" w:firstRowLastColumn="0" w:lastRowFirstColumn="0" w:lastRowLastColumn="0"/>
            <w:tcW w:w="1101" w:type="dxa"/>
            <w:hideMark/>
          </w:tcPr>
          <w:p w14:paraId="053DFFA7" w14:textId="77777777" w:rsidR="006268C8" w:rsidRPr="000E7F6D" w:rsidRDefault="006268C8" w:rsidP="00014170">
            <w:pPr>
              <w:rPr>
                <w:rFonts w:cs="Arial"/>
                <w:szCs w:val="24"/>
                <w:lang w:val="en-IN"/>
              </w:rPr>
            </w:pPr>
            <w:r w:rsidRPr="000E7F6D">
              <w:rPr>
                <w:rFonts w:cs="Arial"/>
                <w:szCs w:val="24"/>
                <w:lang w:val="en-IN"/>
              </w:rPr>
              <w:t>Economic</w:t>
            </w:r>
          </w:p>
        </w:tc>
        <w:tc>
          <w:tcPr>
            <w:tcW w:w="2693" w:type="dxa"/>
            <w:hideMark/>
          </w:tcPr>
          <w:p w14:paraId="754A3A2D" w14:textId="77777777" w:rsidR="00700D21" w:rsidRPr="000E7F6D" w:rsidRDefault="006268C8" w:rsidP="00014170">
            <w:pPr>
              <w:pStyle w:val="ListParagraph"/>
              <w:numPr>
                <w:ilvl w:val="0"/>
                <w:numId w:val="17"/>
              </w:numPr>
              <w:contextualSpacing w:val="0"/>
              <w:cnfStyle w:val="000000000000" w:firstRow="0" w:lastRow="0" w:firstColumn="0" w:lastColumn="0" w:oddVBand="0" w:evenVBand="0" w:oddHBand="0" w:evenHBand="0" w:firstRowFirstColumn="0" w:firstRowLastColumn="0" w:lastRowFirstColumn="0" w:lastRowLastColumn="0"/>
              <w:rPr>
                <w:rFonts w:cs="Arial"/>
                <w:szCs w:val="24"/>
                <w:lang w:val="en-IN"/>
              </w:rPr>
            </w:pPr>
            <w:r w:rsidRPr="000E7F6D">
              <w:rPr>
                <w:rFonts w:cs="Arial"/>
                <w:szCs w:val="24"/>
                <w:lang w:val="en-IN"/>
              </w:rPr>
              <w:t>Inflation, consumer spending</w:t>
            </w:r>
            <w:r w:rsidR="00700D21" w:rsidRPr="000E7F6D">
              <w:rPr>
                <w:rFonts w:cs="Arial"/>
                <w:szCs w:val="24"/>
                <w:lang w:val="en-IN"/>
              </w:rPr>
              <w:t>.</w:t>
            </w:r>
          </w:p>
          <w:p w14:paraId="368564B6" w14:textId="42B00204" w:rsidR="006268C8" w:rsidRPr="000E7F6D" w:rsidRDefault="006268C8" w:rsidP="00014170">
            <w:pPr>
              <w:pStyle w:val="ListParagraph"/>
              <w:numPr>
                <w:ilvl w:val="0"/>
                <w:numId w:val="17"/>
              </w:numPr>
              <w:contextualSpacing w:val="0"/>
              <w:cnfStyle w:val="000000000000" w:firstRow="0" w:lastRow="0" w:firstColumn="0" w:lastColumn="0" w:oddVBand="0" w:evenVBand="0" w:oddHBand="0" w:evenHBand="0" w:firstRowFirstColumn="0" w:firstRowLastColumn="0" w:lastRowFirstColumn="0" w:lastRowLastColumn="0"/>
              <w:rPr>
                <w:rFonts w:cs="Arial"/>
                <w:szCs w:val="24"/>
                <w:lang w:val="en-IN"/>
              </w:rPr>
            </w:pPr>
            <w:r w:rsidRPr="000E7F6D">
              <w:rPr>
                <w:rFonts w:cs="Arial"/>
                <w:szCs w:val="24"/>
                <w:lang w:val="en-IN"/>
              </w:rPr>
              <w:t xml:space="preserve">cost-of-living </w:t>
            </w:r>
            <w:r w:rsidRPr="000E7F6D">
              <w:rPr>
                <w:rFonts w:cs="Arial"/>
                <w:szCs w:val="24"/>
                <w:lang w:val="en-IN"/>
              </w:rPr>
              <w:lastRenderedPageBreak/>
              <w:t>crisis</w:t>
            </w:r>
          </w:p>
        </w:tc>
        <w:tc>
          <w:tcPr>
            <w:tcW w:w="5782" w:type="dxa"/>
            <w:hideMark/>
          </w:tcPr>
          <w:p w14:paraId="340A651E" w14:textId="6054615D" w:rsidR="006268C8" w:rsidRPr="000E7F6D" w:rsidRDefault="00214330" w:rsidP="00014170">
            <w:pPr>
              <w:cnfStyle w:val="000000000000" w:firstRow="0" w:lastRow="0" w:firstColumn="0" w:lastColumn="0" w:oddVBand="0" w:evenVBand="0" w:oddHBand="0" w:evenHBand="0" w:firstRowFirstColumn="0" w:firstRowLastColumn="0" w:lastRowFirstColumn="0" w:lastRowLastColumn="0"/>
              <w:rPr>
                <w:rFonts w:cs="Arial"/>
                <w:szCs w:val="24"/>
                <w:lang w:val="en-IN"/>
              </w:rPr>
            </w:pPr>
            <w:r w:rsidRPr="000E7F6D">
              <w:rPr>
                <w:rFonts w:cs="Arial"/>
                <w:szCs w:val="24"/>
                <w:lang w:val="en-IN"/>
              </w:rPr>
              <w:lastRenderedPageBreak/>
              <w:t xml:space="preserve">Inflation and declining consumer purchasing power </w:t>
            </w:r>
            <w:r w:rsidR="003E3A15" w:rsidRPr="000E7F6D">
              <w:rPr>
                <w:rFonts w:cs="Arial"/>
                <w:szCs w:val="24"/>
                <w:lang w:val="en-IN"/>
              </w:rPr>
              <w:t>have</w:t>
            </w:r>
            <w:r w:rsidRPr="000E7F6D">
              <w:rPr>
                <w:rFonts w:cs="Arial"/>
                <w:szCs w:val="24"/>
                <w:lang w:val="en-IN"/>
              </w:rPr>
              <w:t xml:space="preserve"> changed customer preferences as the economy experienced 1.4% economic </w:t>
            </w:r>
            <w:r w:rsidR="00741659">
              <w:rPr>
                <w:rFonts w:cs="Arial"/>
                <w:szCs w:val="24"/>
                <w:lang w:val="en-IN"/>
              </w:rPr>
              <w:t>growth, with</w:t>
            </w:r>
            <w:r w:rsidRPr="000E7F6D">
              <w:rPr>
                <w:rFonts w:cs="Arial"/>
                <w:szCs w:val="24"/>
                <w:lang w:val="en-IN"/>
              </w:rPr>
              <w:t xml:space="preserve"> inflation r</w:t>
            </w:r>
            <w:r w:rsidR="00741659">
              <w:rPr>
                <w:rFonts w:cs="Arial"/>
                <w:szCs w:val="24"/>
                <w:lang w:val="en-IN"/>
              </w:rPr>
              <w:t>ising</w:t>
            </w:r>
            <w:r w:rsidRPr="000E7F6D">
              <w:rPr>
                <w:rFonts w:cs="Arial"/>
                <w:szCs w:val="24"/>
                <w:lang w:val="en-IN"/>
              </w:rPr>
              <w:t xml:space="preserve"> to 6.6% by 2023 in the UK (Retail Economics, 2023). This puts a strain on Sainsbury to keep the prices competitive</w:t>
            </w:r>
            <w:r w:rsidR="003E3A15" w:rsidRPr="000E7F6D">
              <w:rPr>
                <w:rFonts w:cs="Arial"/>
                <w:szCs w:val="24"/>
                <w:lang w:val="en-IN"/>
              </w:rPr>
              <w:t>,</w:t>
            </w:r>
            <w:r w:rsidRPr="000E7F6D">
              <w:rPr>
                <w:rFonts w:cs="Arial"/>
                <w:szCs w:val="24"/>
                <w:lang w:val="en-IN"/>
              </w:rPr>
              <w:t xml:space="preserve"> as well as </w:t>
            </w:r>
            <w:r w:rsidR="003E3A15" w:rsidRPr="000E7F6D">
              <w:rPr>
                <w:rFonts w:cs="Arial"/>
                <w:szCs w:val="24"/>
                <w:lang w:val="en-IN"/>
              </w:rPr>
              <w:t>manage</w:t>
            </w:r>
            <w:r w:rsidRPr="000E7F6D">
              <w:rPr>
                <w:rFonts w:cs="Arial"/>
                <w:szCs w:val="24"/>
                <w:lang w:val="en-IN"/>
              </w:rPr>
              <w:t xml:space="preserve"> the costs. The </w:t>
            </w:r>
            <w:r w:rsidRPr="000E7F6D">
              <w:rPr>
                <w:rFonts w:cs="Arial"/>
                <w:szCs w:val="24"/>
                <w:lang w:val="en-IN"/>
              </w:rPr>
              <w:lastRenderedPageBreak/>
              <w:t xml:space="preserve">economic uncertainty impacts the profit margins as well, compelling the company to enhance efficiency and engage in offering </w:t>
            </w:r>
            <w:r w:rsidR="003E3A15" w:rsidRPr="000E7F6D">
              <w:rPr>
                <w:rFonts w:cs="Arial"/>
                <w:szCs w:val="24"/>
                <w:lang w:val="en-IN"/>
              </w:rPr>
              <w:t>value-based</w:t>
            </w:r>
            <w:r w:rsidRPr="000E7F6D">
              <w:rPr>
                <w:rFonts w:cs="Arial"/>
                <w:szCs w:val="24"/>
                <w:lang w:val="en-IN"/>
              </w:rPr>
              <w:t xml:space="preserve"> products</w:t>
            </w:r>
            <w:r w:rsidR="006268C8" w:rsidRPr="000E7F6D">
              <w:rPr>
                <w:rFonts w:cs="Arial"/>
                <w:szCs w:val="24"/>
                <w:lang w:val="en-IN"/>
              </w:rPr>
              <w:t>.</w:t>
            </w:r>
          </w:p>
          <w:p w14:paraId="1B716B54" w14:textId="77777777" w:rsidR="00BF65C2" w:rsidRPr="000E7F6D" w:rsidRDefault="00BF65C2" w:rsidP="00014170">
            <w:pPr>
              <w:cnfStyle w:val="000000000000" w:firstRow="0" w:lastRow="0" w:firstColumn="0" w:lastColumn="0" w:oddVBand="0" w:evenVBand="0" w:oddHBand="0" w:evenHBand="0" w:firstRowFirstColumn="0" w:firstRowLastColumn="0" w:lastRowFirstColumn="0" w:lastRowLastColumn="0"/>
              <w:rPr>
                <w:rFonts w:cs="Arial"/>
                <w:szCs w:val="24"/>
                <w:lang w:val="en-IN"/>
              </w:rPr>
            </w:pPr>
            <w:r w:rsidRPr="000E7F6D">
              <w:rPr>
                <w:rFonts w:cs="Arial"/>
                <w:noProof/>
                <w:szCs w:val="24"/>
                <w:lang w:val="en-IN"/>
              </w:rPr>
              <w:drawing>
                <wp:inline distT="0" distB="0" distL="0" distR="0" wp14:anchorId="71BEAE5D" wp14:editId="3EBACFED">
                  <wp:extent cx="3435985" cy="1943100"/>
                  <wp:effectExtent l="0" t="0" r="0" b="0"/>
                  <wp:docPr id="528896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896686" name=""/>
                          <pic:cNvPicPr/>
                        </pic:nvPicPr>
                        <pic:blipFill>
                          <a:blip r:embed="rId13"/>
                          <a:stretch>
                            <a:fillRect/>
                          </a:stretch>
                        </pic:blipFill>
                        <pic:spPr>
                          <a:xfrm>
                            <a:off x="0" y="0"/>
                            <a:ext cx="3459878" cy="1956612"/>
                          </a:xfrm>
                          <a:prstGeom prst="rect">
                            <a:avLst/>
                          </a:prstGeom>
                        </pic:spPr>
                      </pic:pic>
                    </a:graphicData>
                  </a:graphic>
                </wp:inline>
              </w:drawing>
            </w:r>
          </w:p>
          <w:p w14:paraId="6007A581" w14:textId="5F2736BA" w:rsidR="00BF65C2" w:rsidRPr="000E7F6D" w:rsidRDefault="00BF65C2" w:rsidP="00014170">
            <w:pPr>
              <w:pStyle w:val="Caption"/>
              <w:spacing w:before="240" w:after="240"/>
              <w:cnfStyle w:val="000000000000" w:firstRow="0" w:lastRow="0" w:firstColumn="0" w:lastColumn="0" w:oddVBand="0" w:evenVBand="0" w:oddHBand="0" w:evenHBand="0" w:firstRowFirstColumn="0" w:firstRowLastColumn="0" w:lastRowFirstColumn="0" w:lastRowLastColumn="0"/>
              <w:rPr>
                <w:rFonts w:cs="Arial"/>
                <w:szCs w:val="24"/>
              </w:rPr>
            </w:pPr>
            <w:r w:rsidRPr="000E7F6D">
              <w:rPr>
                <w:rFonts w:cs="Arial"/>
                <w:szCs w:val="24"/>
              </w:rPr>
              <w:t xml:space="preserve">Figure </w:t>
            </w:r>
            <w:r w:rsidRPr="000E7F6D">
              <w:rPr>
                <w:rFonts w:cs="Arial"/>
                <w:szCs w:val="24"/>
              </w:rPr>
              <w:fldChar w:fldCharType="begin"/>
            </w:r>
            <w:r w:rsidRPr="000E7F6D">
              <w:rPr>
                <w:rFonts w:cs="Arial"/>
                <w:szCs w:val="24"/>
              </w:rPr>
              <w:instrText xml:space="preserve"> SEQ Figure \* ARABIC </w:instrText>
            </w:r>
            <w:r w:rsidRPr="000E7F6D">
              <w:rPr>
                <w:rFonts w:cs="Arial"/>
                <w:szCs w:val="24"/>
              </w:rPr>
              <w:fldChar w:fldCharType="separate"/>
            </w:r>
            <w:r w:rsidR="0072393C">
              <w:rPr>
                <w:rFonts w:cs="Arial"/>
                <w:noProof/>
                <w:szCs w:val="24"/>
              </w:rPr>
              <w:t>5</w:t>
            </w:r>
            <w:r w:rsidRPr="000E7F6D">
              <w:rPr>
                <w:rFonts w:cs="Arial"/>
                <w:szCs w:val="24"/>
              </w:rPr>
              <w:fldChar w:fldCharType="end"/>
            </w:r>
            <w:r w:rsidRPr="000E7F6D">
              <w:rPr>
                <w:rFonts w:cs="Arial"/>
                <w:szCs w:val="24"/>
              </w:rPr>
              <w:t>: Economic inflation data of the UK</w:t>
            </w:r>
          </w:p>
          <w:p w14:paraId="53966CCE" w14:textId="61AC97CD" w:rsidR="00BF65C2" w:rsidRPr="000E7F6D" w:rsidRDefault="008B004C" w:rsidP="00014170">
            <w:pPr>
              <w:cnfStyle w:val="000000000000" w:firstRow="0" w:lastRow="0" w:firstColumn="0" w:lastColumn="0" w:oddVBand="0" w:evenVBand="0" w:oddHBand="0" w:evenHBand="0" w:firstRowFirstColumn="0" w:firstRowLastColumn="0" w:lastRowFirstColumn="0" w:lastRowLastColumn="0"/>
              <w:rPr>
                <w:rFonts w:cs="Arial"/>
                <w:b/>
                <w:i/>
                <w:iCs/>
                <w:szCs w:val="24"/>
                <w:lang w:val="en-IN"/>
              </w:rPr>
            </w:pPr>
            <w:r w:rsidRPr="000E7F6D">
              <w:rPr>
                <w:rFonts w:cs="Arial"/>
                <w:b/>
                <w:i/>
                <w:iCs/>
                <w:szCs w:val="24"/>
                <w:lang w:val="en-IN"/>
              </w:rPr>
              <w:t>(</w:t>
            </w:r>
            <w:r w:rsidR="00BF65C2" w:rsidRPr="000E7F6D">
              <w:rPr>
                <w:rFonts w:cs="Arial"/>
                <w:b/>
                <w:i/>
                <w:iCs/>
                <w:szCs w:val="24"/>
                <w:lang w:val="en-IN"/>
              </w:rPr>
              <w:t xml:space="preserve">Source: </w:t>
            </w:r>
            <w:r w:rsidRPr="000E7F6D">
              <w:rPr>
                <w:rFonts w:cs="Arial"/>
                <w:b/>
                <w:i/>
                <w:iCs/>
                <w:szCs w:val="24"/>
                <w:lang w:val="en-IN"/>
              </w:rPr>
              <w:t>Retail Economics, 2023)</w:t>
            </w:r>
          </w:p>
          <w:p w14:paraId="3675790D" w14:textId="055A3C0F" w:rsidR="00BF65C2" w:rsidRPr="000E7F6D" w:rsidRDefault="00BF65C2" w:rsidP="00014170">
            <w:pPr>
              <w:cnfStyle w:val="000000000000" w:firstRow="0" w:lastRow="0" w:firstColumn="0" w:lastColumn="0" w:oddVBand="0" w:evenVBand="0" w:oddHBand="0" w:evenHBand="0" w:firstRowFirstColumn="0" w:firstRowLastColumn="0" w:lastRowFirstColumn="0" w:lastRowLastColumn="0"/>
              <w:rPr>
                <w:rFonts w:cs="Arial"/>
                <w:szCs w:val="24"/>
                <w:lang w:val="en-IN"/>
              </w:rPr>
            </w:pPr>
          </w:p>
        </w:tc>
      </w:tr>
      <w:tr w:rsidR="002C1C6C" w:rsidRPr="000E7F6D" w14:paraId="49F00075" w14:textId="77777777" w:rsidTr="003642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1" w:type="dxa"/>
            <w:hideMark/>
          </w:tcPr>
          <w:p w14:paraId="662799CD" w14:textId="77777777" w:rsidR="006268C8" w:rsidRPr="000E7F6D" w:rsidRDefault="006268C8" w:rsidP="00014170">
            <w:pPr>
              <w:rPr>
                <w:rFonts w:cs="Arial"/>
                <w:szCs w:val="24"/>
                <w:lang w:val="en-IN"/>
              </w:rPr>
            </w:pPr>
            <w:r w:rsidRPr="000E7F6D">
              <w:rPr>
                <w:rFonts w:cs="Arial"/>
                <w:szCs w:val="24"/>
                <w:lang w:val="en-IN"/>
              </w:rPr>
              <w:lastRenderedPageBreak/>
              <w:t>Social</w:t>
            </w:r>
          </w:p>
        </w:tc>
        <w:tc>
          <w:tcPr>
            <w:tcW w:w="2693" w:type="dxa"/>
            <w:hideMark/>
          </w:tcPr>
          <w:p w14:paraId="6B928BC0" w14:textId="77777777" w:rsidR="00700D21" w:rsidRPr="000E7F6D" w:rsidRDefault="006268C8" w:rsidP="00014170">
            <w:pPr>
              <w:pStyle w:val="ListParagraph"/>
              <w:numPr>
                <w:ilvl w:val="0"/>
                <w:numId w:val="17"/>
              </w:numPr>
              <w:contextualSpacing w:val="0"/>
              <w:cnfStyle w:val="000000100000" w:firstRow="0" w:lastRow="0" w:firstColumn="0" w:lastColumn="0" w:oddVBand="0" w:evenVBand="0" w:oddHBand="1" w:evenHBand="0" w:firstRowFirstColumn="0" w:firstRowLastColumn="0" w:lastRowFirstColumn="0" w:lastRowLastColumn="0"/>
              <w:rPr>
                <w:rFonts w:cs="Arial"/>
                <w:szCs w:val="24"/>
                <w:lang w:val="en-IN"/>
              </w:rPr>
            </w:pPr>
            <w:r w:rsidRPr="000E7F6D">
              <w:rPr>
                <w:rFonts w:cs="Arial"/>
                <w:szCs w:val="24"/>
                <w:lang w:val="en-IN"/>
              </w:rPr>
              <w:t>Changing consumer behaviour</w:t>
            </w:r>
            <w:r w:rsidR="00700D21" w:rsidRPr="000E7F6D">
              <w:rPr>
                <w:rFonts w:cs="Arial"/>
                <w:szCs w:val="24"/>
                <w:lang w:val="en-IN"/>
              </w:rPr>
              <w:t>.</w:t>
            </w:r>
          </w:p>
          <w:p w14:paraId="2E08C28F" w14:textId="77777777" w:rsidR="00700D21" w:rsidRPr="000E7F6D" w:rsidRDefault="00700D21" w:rsidP="00014170">
            <w:pPr>
              <w:pStyle w:val="ListParagraph"/>
              <w:numPr>
                <w:ilvl w:val="0"/>
                <w:numId w:val="17"/>
              </w:numPr>
              <w:contextualSpacing w:val="0"/>
              <w:cnfStyle w:val="000000100000" w:firstRow="0" w:lastRow="0" w:firstColumn="0" w:lastColumn="0" w:oddVBand="0" w:evenVBand="0" w:oddHBand="1" w:evenHBand="0" w:firstRowFirstColumn="0" w:firstRowLastColumn="0" w:lastRowFirstColumn="0" w:lastRowLastColumn="0"/>
              <w:rPr>
                <w:rFonts w:cs="Arial"/>
                <w:szCs w:val="24"/>
                <w:lang w:val="en-IN"/>
              </w:rPr>
            </w:pPr>
            <w:r w:rsidRPr="000E7F6D">
              <w:rPr>
                <w:rFonts w:cs="Arial"/>
                <w:szCs w:val="24"/>
                <w:lang w:val="en-IN"/>
              </w:rPr>
              <w:t>H</w:t>
            </w:r>
            <w:r w:rsidR="006268C8" w:rsidRPr="000E7F6D">
              <w:rPr>
                <w:rFonts w:cs="Arial"/>
                <w:szCs w:val="24"/>
                <w:lang w:val="en-IN"/>
              </w:rPr>
              <w:t>ealth awareness</w:t>
            </w:r>
            <w:r w:rsidRPr="000E7F6D">
              <w:rPr>
                <w:rFonts w:cs="Arial"/>
                <w:szCs w:val="24"/>
                <w:lang w:val="en-IN"/>
              </w:rPr>
              <w:t>.</w:t>
            </w:r>
          </w:p>
          <w:p w14:paraId="1844352D" w14:textId="1C5BF5ED" w:rsidR="006268C8" w:rsidRPr="000E7F6D" w:rsidRDefault="00700D21" w:rsidP="00014170">
            <w:pPr>
              <w:pStyle w:val="ListParagraph"/>
              <w:numPr>
                <w:ilvl w:val="0"/>
                <w:numId w:val="17"/>
              </w:numPr>
              <w:contextualSpacing w:val="0"/>
              <w:cnfStyle w:val="000000100000" w:firstRow="0" w:lastRow="0" w:firstColumn="0" w:lastColumn="0" w:oddVBand="0" w:evenVBand="0" w:oddHBand="1" w:evenHBand="0" w:firstRowFirstColumn="0" w:firstRowLastColumn="0" w:lastRowFirstColumn="0" w:lastRowLastColumn="0"/>
              <w:rPr>
                <w:rFonts w:cs="Arial"/>
                <w:szCs w:val="24"/>
                <w:lang w:val="en-IN"/>
              </w:rPr>
            </w:pPr>
            <w:r w:rsidRPr="000E7F6D">
              <w:rPr>
                <w:rFonts w:cs="Arial"/>
                <w:szCs w:val="24"/>
                <w:lang w:val="en-IN"/>
              </w:rPr>
              <w:t>C</w:t>
            </w:r>
            <w:r w:rsidR="006268C8" w:rsidRPr="000E7F6D">
              <w:rPr>
                <w:rFonts w:cs="Arial"/>
                <w:szCs w:val="24"/>
                <w:lang w:val="en-IN"/>
              </w:rPr>
              <w:t>onvenience trends</w:t>
            </w:r>
            <w:r w:rsidRPr="000E7F6D">
              <w:rPr>
                <w:rFonts w:cs="Arial"/>
                <w:szCs w:val="24"/>
                <w:lang w:val="en-IN"/>
              </w:rPr>
              <w:t>.</w:t>
            </w:r>
          </w:p>
        </w:tc>
        <w:tc>
          <w:tcPr>
            <w:tcW w:w="5782" w:type="dxa"/>
            <w:hideMark/>
          </w:tcPr>
          <w:p w14:paraId="0BB8C1D0" w14:textId="08C2CC00" w:rsidR="006268C8" w:rsidRPr="000E7F6D" w:rsidRDefault="004F6F09" w:rsidP="00014170">
            <w:pPr>
              <w:cnfStyle w:val="000000100000" w:firstRow="0" w:lastRow="0" w:firstColumn="0" w:lastColumn="0" w:oddVBand="0" w:evenVBand="0" w:oddHBand="1" w:evenHBand="0" w:firstRowFirstColumn="0" w:firstRowLastColumn="0" w:lastRowFirstColumn="0" w:lastRowLastColumn="0"/>
              <w:rPr>
                <w:rFonts w:cs="Arial"/>
                <w:szCs w:val="24"/>
                <w:lang w:val="en-IN"/>
              </w:rPr>
            </w:pPr>
            <w:r w:rsidRPr="000E7F6D">
              <w:rPr>
                <w:rFonts w:cs="Arial"/>
                <w:szCs w:val="24"/>
                <w:lang w:val="en-IN"/>
              </w:rPr>
              <w:t xml:space="preserve">Consumers are also becoming more </w:t>
            </w:r>
            <w:r w:rsidR="003E3A15" w:rsidRPr="000E7F6D">
              <w:rPr>
                <w:rFonts w:cs="Arial"/>
                <w:szCs w:val="24"/>
                <w:lang w:val="en-IN"/>
              </w:rPr>
              <w:t>health-conscious</w:t>
            </w:r>
            <w:r w:rsidRPr="000E7F6D">
              <w:rPr>
                <w:rFonts w:cs="Arial"/>
                <w:szCs w:val="24"/>
                <w:lang w:val="en-IN"/>
              </w:rPr>
              <w:t xml:space="preserve">, sustainable and convenient due to the rising need </w:t>
            </w:r>
            <w:r w:rsidR="003E3A15" w:rsidRPr="000E7F6D">
              <w:rPr>
                <w:rFonts w:cs="Arial"/>
                <w:szCs w:val="24"/>
                <w:lang w:val="en-IN"/>
              </w:rPr>
              <w:t>for</w:t>
            </w:r>
            <w:r w:rsidRPr="000E7F6D">
              <w:rPr>
                <w:rFonts w:cs="Arial"/>
                <w:szCs w:val="24"/>
                <w:lang w:val="en-IN"/>
              </w:rPr>
              <w:t xml:space="preserve"> organic products, prepared </w:t>
            </w:r>
            <w:r w:rsidR="003E3A15" w:rsidRPr="000E7F6D">
              <w:rPr>
                <w:rFonts w:cs="Arial"/>
                <w:szCs w:val="24"/>
                <w:lang w:val="en-IN"/>
              </w:rPr>
              <w:t>meals,</w:t>
            </w:r>
            <w:r w:rsidRPr="000E7F6D">
              <w:rPr>
                <w:rFonts w:cs="Arial"/>
                <w:szCs w:val="24"/>
                <w:lang w:val="en-IN"/>
              </w:rPr>
              <w:t xml:space="preserve"> and online purchases (Masih, et al., 2025). Sainsbury reacts by diversifying products and increasing digital offerings</w:t>
            </w:r>
            <w:r w:rsidR="003E3A15" w:rsidRPr="000E7F6D">
              <w:rPr>
                <w:rFonts w:cs="Arial"/>
                <w:szCs w:val="24"/>
                <w:lang w:val="en-IN"/>
              </w:rPr>
              <w:t>,</w:t>
            </w:r>
            <w:r w:rsidRPr="000E7F6D">
              <w:rPr>
                <w:rFonts w:cs="Arial"/>
                <w:szCs w:val="24"/>
                <w:lang w:val="en-IN"/>
              </w:rPr>
              <w:t xml:space="preserve"> but it </w:t>
            </w:r>
            <w:proofErr w:type="gramStart"/>
            <w:r w:rsidRPr="000E7F6D">
              <w:rPr>
                <w:rFonts w:cs="Arial"/>
                <w:szCs w:val="24"/>
                <w:lang w:val="en-IN"/>
              </w:rPr>
              <w:t>has to</w:t>
            </w:r>
            <w:proofErr w:type="gramEnd"/>
            <w:r w:rsidRPr="000E7F6D">
              <w:rPr>
                <w:rFonts w:cs="Arial"/>
                <w:szCs w:val="24"/>
                <w:lang w:val="en-IN"/>
              </w:rPr>
              <w:t xml:space="preserve"> constantly evolve with the changing demands of customers </w:t>
            </w:r>
            <w:proofErr w:type="gramStart"/>
            <w:r w:rsidRPr="000E7F6D">
              <w:rPr>
                <w:rFonts w:cs="Arial"/>
                <w:szCs w:val="24"/>
                <w:lang w:val="en-IN"/>
              </w:rPr>
              <w:t>in order to</w:t>
            </w:r>
            <w:proofErr w:type="gramEnd"/>
            <w:r w:rsidRPr="000E7F6D">
              <w:rPr>
                <w:rFonts w:cs="Arial"/>
                <w:szCs w:val="24"/>
                <w:lang w:val="en-IN"/>
              </w:rPr>
              <w:t xml:space="preserve"> stay competitive</w:t>
            </w:r>
            <w:r w:rsidR="006268C8" w:rsidRPr="000E7F6D">
              <w:rPr>
                <w:rFonts w:cs="Arial"/>
                <w:szCs w:val="24"/>
                <w:lang w:val="en-IN"/>
              </w:rPr>
              <w:t>.</w:t>
            </w:r>
          </w:p>
        </w:tc>
      </w:tr>
      <w:tr w:rsidR="002C1C6C" w:rsidRPr="000E7F6D" w14:paraId="08FABBA3" w14:textId="77777777" w:rsidTr="00364295">
        <w:tc>
          <w:tcPr>
            <w:cnfStyle w:val="001000000000" w:firstRow="0" w:lastRow="0" w:firstColumn="1" w:lastColumn="0" w:oddVBand="0" w:evenVBand="0" w:oddHBand="0" w:evenHBand="0" w:firstRowFirstColumn="0" w:firstRowLastColumn="0" w:lastRowFirstColumn="0" w:lastRowLastColumn="0"/>
            <w:tcW w:w="1101" w:type="dxa"/>
            <w:hideMark/>
          </w:tcPr>
          <w:p w14:paraId="174E75AD" w14:textId="77777777" w:rsidR="006268C8" w:rsidRPr="000E7F6D" w:rsidRDefault="006268C8" w:rsidP="00014170">
            <w:pPr>
              <w:rPr>
                <w:rFonts w:cs="Arial"/>
                <w:szCs w:val="24"/>
                <w:lang w:val="en-IN"/>
              </w:rPr>
            </w:pPr>
            <w:r w:rsidRPr="000E7F6D">
              <w:rPr>
                <w:rFonts w:cs="Arial"/>
                <w:szCs w:val="24"/>
                <w:lang w:val="en-IN"/>
              </w:rPr>
              <w:t>Technological</w:t>
            </w:r>
          </w:p>
        </w:tc>
        <w:tc>
          <w:tcPr>
            <w:tcW w:w="2693" w:type="dxa"/>
            <w:hideMark/>
          </w:tcPr>
          <w:p w14:paraId="1F915370" w14:textId="77777777" w:rsidR="00700D21" w:rsidRPr="000E7F6D" w:rsidRDefault="006268C8" w:rsidP="00014170">
            <w:pPr>
              <w:pStyle w:val="ListParagraph"/>
              <w:numPr>
                <w:ilvl w:val="0"/>
                <w:numId w:val="17"/>
              </w:numPr>
              <w:contextualSpacing w:val="0"/>
              <w:cnfStyle w:val="000000000000" w:firstRow="0" w:lastRow="0" w:firstColumn="0" w:lastColumn="0" w:oddVBand="0" w:evenVBand="0" w:oddHBand="0" w:evenHBand="0" w:firstRowFirstColumn="0" w:firstRowLastColumn="0" w:lastRowFirstColumn="0" w:lastRowLastColumn="0"/>
              <w:rPr>
                <w:rFonts w:cs="Arial"/>
                <w:szCs w:val="24"/>
                <w:lang w:val="en-IN"/>
              </w:rPr>
            </w:pPr>
            <w:r w:rsidRPr="000E7F6D">
              <w:rPr>
                <w:rFonts w:cs="Arial"/>
                <w:szCs w:val="24"/>
                <w:lang w:val="en-IN"/>
              </w:rPr>
              <w:t>E-commerce growth</w:t>
            </w:r>
            <w:r w:rsidR="00700D21" w:rsidRPr="000E7F6D">
              <w:rPr>
                <w:rFonts w:cs="Arial"/>
                <w:szCs w:val="24"/>
                <w:lang w:val="en-IN"/>
              </w:rPr>
              <w:t>.</w:t>
            </w:r>
          </w:p>
          <w:p w14:paraId="348D82D6" w14:textId="77777777" w:rsidR="00700D21" w:rsidRPr="000E7F6D" w:rsidRDefault="00700D21" w:rsidP="00014170">
            <w:pPr>
              <w:pStyle w:val="ListParagraph"/>
              <w:numPr>
                <w:ilvl w:val="0"/>
                <w:numId w:val="17"/>
              </w:numPr>
              <w:contextualSpacing w:val="0"/>
              <w:cnfStyle w:val="000000000000" w:firstRow="0" w:lastRow="0" w:firstColumn="0" w:lastColumn="0" w:oddVBand="0" w:evenVBand="0" w:oddHBand="0" w:evenHBand="0" w:firstRowFirstColumn="0" w:firstRowLastColumn="0" w:lastRowFirstColumn="0" w:lastRowLastColumn="0"/>
              <w:rPr>
                <w:rFonts w:cs="Arial"/>
                <w:szCs w:val="24"/>
                <w:lang w:val="en-IN"/>
              </w:rPr>
            </w:pPr>
            <w:r w:rsidRPr="000E7F6D">
              <w:rPr>
                <w:rFonts w:cs="Arial"/>
                <w:szCs w:val="24"/>
                <w:lang w:val="en-IN"/>
              </w:rPr>
              <w:t>Store automation.</w:t>
            </w:r>
          </w:p>
          <w:p w14:paraId="38053A46" w14:textId="5BC840B3" w:rsidR="006268C8" w:rsidRPr="000E7F6D" w:rsidRDefault="00700D21" w:rsidP="00014170">
            <w:pPr>
              <w:pStyle w:val="ListParagraph"/>
              <w:numPr>
                <w:ilvl w:val="0"/>
                <w:numId w:val="17"/>
              </w:numPr>
              <w:contextualSpacing w:val="0"/>
              <w:cnfStyle w:val="000000000000" w:firstRow="0" w:lastRow="0" w:firstColumn="0" w:lastColumn="0" w:oddVBand="0" w:evenVBand="0" w:oddHBand="0" w:evenHBand="0" w:firstRowFirstColumn="0" w:firstRowLastColumn="0" w:lastRowFirstColumn="0" w:lastRowLastColumn="0"/>
              <w:rPr>
                <w:rFonts w:cs="Arial"/>
                <w:szCs w:val="24"/>
                <w:lang w:val="en-IN"/>
              </w:rPr>
            </w:pPr>
            <w:r w:rsidRPr="000E7F6D">
              <w:rPr>
                <w:rFonts w:cs="Arial"/>
                <w:szCs w:val="24"/>
                <w:lang w:val="en-IN"/>
              </w:rPr>
              <w:lastRenderedPageBreak/>
              <w:t>D</w:t>
            </w:r>
            <w:r w:rsidR="006268C8" w:rsidRPr="000E7F6D">
              <w:rPr>
                <w:rFonts w:cs="Arial"/>
                <w:szCs w:val="24"/>
                <w:lang w:val="en-IN"/>
              </w:rPr>
              <w:t>igital innovation</w:t>
            </w:r>
          </w:p>
        </w:tc>
        <w:tc>
          <w:tcPr>
            <w:tcW w:w="5782" w:type="dxa"/>
            <w:hideMark/>
          </w:tcPr>
          <w:p w14:paraId="51F2FCFB" w14:textId="6FE1E217" w:rsidR="006268C8" w:rsidRPr="000E7F6D" w:rsidRDefault="004F6F09" w:rsidP="00014170">
            <w:pPr>
              <w:cnfStyle w:val="000000000000" w:firstRow="0" w:lastRow="0" w:firstColumn="0" w:lastColumn="0" w:oddVBand="0" w:evenVBand="0" w:oddHBand="0" w:evenHBand="0" w:firstRowFirstColumn="0" w:firstRowLastColumn="0" w:lastRowFirstColumn="0" w:lastRowLastColumn="0"/>
              <w:rPr>
                <w:rFonts w:cs="Arial"/>
                <w:szCs w:val="24"/>
                <w:lang w:val="en-IN"/>
              </w:rPr>
            </w:pPr>
            <w:r w:rsidRPr="000E7F6D">
              <w:rPr>
                <w:rFonts w:cs="Arial"/>
                <w:szCs w:val="24"/>
                <w:lang w:val="en-IN"/>
              </w:rPr>
              <w:lastRenderedPageBreak/>
              <w:t xml:space="preserve">The technology preferred the grocery shopping experience of the country, with 27% of store loyalists, 22% of store </w:t>
            </w:r>
            <w:proofErr w:type="spellStart"/>
            <w:r w:rsidRPr="000E7F6D">
              <w:rPr>
                <w:rFonts w:cs="Arial"/>
                <w:szCs w:val="24"/>
                <w:lang w:val="en-IN"/>
              </w:rPr>
              <w:t>reverters</w:t>
            </w:r>
            <w:proofErr w:type="spellEnd"/>
            <w:r w:rsidRPr="000E7F6D">
              <w:rPr>
                <w:rFonts w:cs="Arial"/>
                <w:szCs w:val="24"/>
                <w:lang w:val="en-IN"/>
              </w:rPr>
              <w:t xml:space="preserve">, 25% of multichannel mixers, 7 percent of digital newbies, and 18 percent of digital natives (Retail Economics, 2025). This was a major chance </w:t>
            </w:r>
            <w:r w:rsidR="003E3A15" w:rsidRPr="000E7F6D">
              <w:rPr>
                <w:rFonts w:cs="Arial"/>
                <w:szCs w:val="24"/>
                <w:lang w:val="en-IN"/>
              </w:rPr>
              <w:t>for</w:t>
            </w:r>
            <w:r w:rsidRPr="000E7F6D">
              <w:rPr>
                <w:rFonts w:cs="Arial"/>
                <w:szCs w:val="24"/>
                <w:lang w:val="en-IN"/>
              </w:rPr>
              <w:t xml:space="preserve"> </w:t>
            </w:r>
            <w:r w:rsidR="003E3A15" w:rsidRPr="000E7F6D">
              <w:rPr>
                <w:rFonts w:cs="Arial"/>
                <w:szCs w:val="24"/>
                <w:lang w:val="en-IN"/>
              </w:rPr>
              <w:t>Sainsbury's to invest</w:t>
            </w:r>
            <w:r w:rsidRPr="000E7F6D">
              <w:rPr>
                <w:rFonts w:cs="Arial"/>
                <w:szCs w:val="24"/>
                <w:lang w:val="en-IN"/>
              </w:rPr>
              <w:t xml:space="preserve"> in digital </w:t>
            </w:r>
            <w:r w:rsidRPr="000E7F6D">
              <w:rPr>
                <w:rFonts w:cs="Arial"/>
                <w:szCs w:val="24"/>
                <w:lang w:val="en-IN"/>
              </w:rPr>
              <w:lastRenderedPageBreak/>
              <w:t>infrastructure and data analytics to enhance customer experience and operational efficiency</w:t>
            </w:r>
            <w:r w:rsidR="006268C8" w:rsidRPr="000E7F6D">
              <w:rPr>
                <w:rFonts w:cs="Arial"/>
                <w:szCs w:val="24"/>
                <w:lang w:val="en-IN"/>
              </w:rPr>
              <w:t>.</w:t>
            </w:r>
          </w:p>
          <w:p w14:paraId="62FC54CD" w14:textId="77777777" w:rsidR="005E7D32" w:rsidRPr="000E7F6D" w:rsidRDefault="005E7D32" w:rsidP="00014170">
            <w:pPr>
              <w:cnfStyle w:val="000000000000" w:firstRow="0" w:lastRow="0" w:firstColumn="0" w:lastColumn="0" w:oddVBand="0" w:evenVBand="0" w:oddHBand="0" w:evenHBand="0" w:firstRowFirstColumn="0" w:firstRowLastColumn="0" w:lastRowFirstColumn="0" w:lastRowLastColumn="0"/>
              <w:rPr>
                <w:rFonts w:cs="Arial"/>
                <w:szCs w:val="24"/>
                <w:lang w:val="en-IN"/>
              </w:rPr>
            </w:pPr>
            <w:r w:rsidRPr="000E7F6D">
              <w:rPr>
                <w:rFonts w:cs="Arial"/>
                <w:noProof/>
                <w:szCs w:val="24"/>
                <w:lang w:val="en-IN"/>
              </w:rPr>
              <w:drawing>
                <wp:inline distT="0" distB="0" distL="0" distR="0" wp14:anchorId="14AF1C79" wp14:editId="6F52EF9D">
                  <wp:extent cx="3307080" cy="1668780"/>
                  <wp:effectExtent l="0" t="0" r="7620" b="7620"/>
                  <wp:docPr id="799669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669409" name=""/>
                          <pic:cNvPicPr/>
                        </pic:nvPicPr>
                        <pic:blipFill>
                          <a:blip r:embed="rId14"/>
                          <a:stretch>
                            <a:fillRect/>
                          </a:stretch>
                        </pic:blipFill>
                        <pic:spPr>
                          <a:xfrm>
                            <a:off x="0" y="0"/>
                            <a:ext cx="3307080" cy="1668780"/>
                          </a:xfrm>
                          <a:prstGeom prst="rect">
                            <a:avLst/>
                          </a:prstGeom>
                        </pic:spPr>
                      </pic:pic>
                    </a:graphicData>
                  </a:graphic>
                </wp:inline>
              </w:drawing>
            </w:r>
          </w:p>
          <w:p w14:paraId="5E36CF54" w14:textId="495E0993" w:rsidR="00DC2863" w:rsidRPr="000E7F6D" w:rsidRDefault="00173FFB" w:rsidP="00014170">
            <w:pPr>
              <w:pStyle w:val="Caption"/>
              <w:spacing w:before="240" w:after="240"/>
              <w:cnfStyle w:val="000000000000" w:firstRow="0" w:lastRow="0" w:firstColumn="0" w:lastColumn="0" w:oddVBand="0" w:evenVBand="0" w:oddHBand="0" w:evenHBand="0" w:firstRowFirstColumn="0" w:firstRowLastColumn="0" w:lastRowFirstColumn="0" w:lastRowLastColumn="0"/>
              <w:rPr>
                <w:rFonts w:cs="Arial"/>
                <w:szCs w:val="24"/>
              </w:rPr>
            </w:pPr>
            <w:r w:rsidRPr="000E7F6D">
              <w:rPr>
                <w:rFonts w:cs="Arial"/>
                <w:szCs w:val="24"/>
              </w:rPr>
              <w:t xml:space="preserve">Figure </w:t>
            </w:r>
            <w:r w:rsidRPr="000E7F6D">
              <w:rPr>
                <w:rFonts w:cs="Arial"/>
                <w:szCs w:val="24"/>
              </w:rPr>
              <w:fldChar w:fldCharType="begin"/>
            </w:r>
            <w:r w:rsidRPr="000E7F6D">
              <w:rPr>
                <w:rFonts w:cs="Arial"/>
                <w:szCs w:val="24"/>
              </w:rPr>
              <w:instrText xml:space="preserve"> SEQ Figure \* ARABIC </w:instrText>
            </w:r>
            <w:r w:rsidRPr="000E7F6D">
              <w:rPr>
                <w:rFonts w:cs="Arial"/>
                <w:szCs w:val="24"/>
              </w:rPr>
              <w:fldChar w:fldCharType="separate"/>
            </w:r>
            <w:r w:rsidR="0072393C">
              <w:rPr>
                <w:rFonts w:cs="Arial"/>
                <w:noProof/>
                <w:szCs w:val="24"/>
              </w:rPr>
              <w:t>6</w:t>
            </w:r>
            <w:r w:rsidRPr="000E7F6D">
              <w:rPr>
                <w:rFonts w:cs="Arial"/>
                <w:szCs w:val="24"/>
              </w:rPr>
              <w:fldChar w:fldCharType="end"/>
            </w:r>
            <w:r w:rsidRPr="000E7F6D">
              <w:rPr>
                <w:rFonts w:cs="Arial"/>
                <w:szCs w:val="24"/>
              </w:rPr>
              <w:t>: Growth of grocery shoppers in the UK's grocery retail</w:t>
            </w:r>
          </w:p>
          <w:p w14:paraId="3B9973C2" w14:textId="305C4103" w:rsidR="00DC2863" w:rsidRPr="000E7F6D" w:rsidRDefault="00DC2863" w:rsidP="00014170">
            <w:pPr>
              <w:cnfStyle w:val="000000000000" w:firstRow="0" w:lastRow="0" w:firstColumn="0" w:lastColumn="0" w:oddVBand="0" w:evenVBand="0" w:oddHBand="0" w:evenHBand="0" w:firstRowFirstColumn="0" w:firstRowLastColumn="0" w:lastRowFirstColumn="0" w:lastRowLastColumn="0"/>
              <w:rPr>
                <w:rFonts w:cs="Arial"/>
                <w:b/>
                <w:bCs/>
                <w:i/>
                <w:iCs/>
                <w:szCs w:val="24"/>
                <w:lang w:val="en-IN"/>
              </w:rPr>
            </w:pPr>
            <w:r w:rsidRPr="000E7F6D">
              <w:rPr>
                <w:rFonts w:cs="Arial"/>
                <w:b/>
                <w:bCs/>
                <w:i/>
                <w:iCs/>
                <w:szCs w:val="24"/>
                <w:lang w:val="en-IN"/>
              </w:rPr>
              <w:t xml:space="preserve">(Source: </w:t>
            </w:r>
            <w:r w:rsidRPr="000E7F6D">
              <w:rPr>
                <w:rFonts w:cs="Arial"/>
                <w:b/>
                <w:bCs/>
                <w:i/>
                <w:iCs/>
                <w:szCs w:val="24"/>
              </w:rPr>
              <w:t>Retail Economics, 2025)</w:t>
            </w:r>
          </w:p>
        </w:tc>
      </w:tr>
      <w:tr w:rsidR="002C1C6C" w:rsidRPr="000E7F6D" w14:paraId="5D83ACC9" w14:textId="77777777" w:rsidTr="003642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1" w:type="dxa"/>
            <w:hideMark/>
          </w:tcPr>
          <w:p w14:paraId="15FD0DBF" w14:textId="77777777" w:rsidR="006268C8" w:rsidRPr="000E7F6D" w:rsidRDefault="006268C8" w:rsidP="00014170">
            <w:pPr>
              <w:rPr>
                <w:rFonts w:cs="Arial"/>
                <w:szCs w:val="24"/>
                <w:lang w:val="en-IN"/>
              </w:rPr>
            </w:pPr>
            <w:r w:rsidRPr="000E7F6D">
              <w:rPr>
                <w:rFonts w:cs="Arial"/>
                <w:szCs w:val="24"/>
                <w:lang w:val="en-IN"/>
              </w:rPr>
              <w:lastRenderedPageBreak/>
              <w:t>Environmental</w:t>
            </w:r>
          </w:p>
        </w:tc>
        <w:tc>
          <w:tcPr>
            <w:tcW w:w="2693" w:type="dxa"/>
            <w:hideMark/>
          </w:tcPr>
          <w:p w14:paraId="277E91C1" w14:textId="77777777" w:rsidR="00700D21" w:rsidRPr="000E7F6D" w:rsidRDefault="006268C8" w:rsidP="00014170">
            <w:pPr>
              <w:pStyle w:val="ListParagraph"/>
              <w:numPr>
                <w:ilvl w:val="0"/>
                <w:numId w:val="17"/>
              </w:numPr>
              <w:contextualSpacing w:val="0"/>
              <w:cnfStyle w:val="000000100000" w:firstRow="0" w:lastRow="0" w:firstColumn="0" w:lastColumn="0" w:oddVBand="0" w:evenVBand="0" w:oddHBand="1" w:evenHBand="0" w:firstRowFirstColumn="0" w:firstRowLastColumn="0" w:lastRowFirstColumn="0" w:lastRowLastColumn="0"/>
              <w:rPr>
                <w:rFonts w:cs="Arial"/>
                <w:szCs w:val="24"/>
                <w:lang w:val="en-IN"/>
              </w:rPr>
            </w:pPr>
            <w:r w:rsidRPr="000E7F6D">
              <w:rPr>
                <w:rFonts w:cs="Arial"/>
                <w:szCs w:val="24"/>
                <w:lang w:val="en-IN"/>
              </w:rPr>
              <w:t>Sustainability pressures</w:t>
            </w:r>
            <w:r w:rsidR="00700D21" w:rsidRPr="000E7F6D">
              <w:rPr>
                <w:rFonts w:cs="Arial"/>
                <w:szCs w:val="24"/>
                <w:lang w:val="en-IN"/>
              </w:rPr>
              <w:t>.</w:t>
            </w:r>
          </w:p>
          <w:p w14:paraId="1ACCAC0F" w14:textId="77777777" w:rsidR="00F5319E" w:rsidRPr="000E7F6D" w:rsidRDefault="00700D21" w:rsidP="00014170">
            <w:pPr>
              <w:pStyle w:val="ListParagraph"/>
              <w:numPr>
                <w:ilvl w:val="0"/>
                <w:numId w:val="17"/>
              </w:numPr>
              <w:contextualSpacing w:val="0"/>
              <w:cnfStyle w:val="000000100000" w:firstRow="0" w:lastRow="0" w:firstColumn="0" w:lastColumn="0" w:oddVBand="0" w:evenVBand="0" w:oddHBand="1" w:evenHBand="0" w:firstRowFirstColumn="0" w:firstRowLastColumn="0" w:lastRowFirstColumn="0" w:lastRowLastColumn="0"/>
              <w:rPr>
                <w:rFonts w:cs="Arial"/>
                <w:szCs w:val="24"/>
                <w:lang w:val="en-IN"/>
              </w:rPr>
            </w:pPr>
            <w:r w:rsidRPr="000E7F6D">
              <w:rPr>
                <w:rFonts w:cs="Arial"/>
                <w:szCs w:val="24"/>
                <w:lang w:val="en-IN"/>
              </w:rPr>
              <w:t>C</w:t>
            </w:r>
            <w:r w:rsidR="006268C8" w:rsidRPr="000E7F6D">
              <w:rPr>
                <w:rFonts w:cs="Arial"/>
                <w:szCs w:val="24"/>
                <w:lang w:val="en-IN"/>
              </w:rPr>
              <w:t>arbon reduction targets</w:t>
            </w:r>
            <w:r w:rsidRPr="000E7F6D">
              <w:rPr>
                <w:rFonts w:cs="Arial"/>
                <w:szCs w:val="24"/>
                <w:lang w:val="en-IN"/>
              </w:rPr>
              <w:t>.</w:t>
            </w:r>
          </w:p>
          <w:p w14:paraId="28050E56" w14:textId="73623D0A" w:rsidR="006268C8" w:rsidRPr="000E7F6D" w:rsidRDefault="00700D21" w:rsidP="00014170">
            <w:pPr>
              <w:pStyle w:val="ListParagraph"/>
              <w:numPr>
                <w:ilvl w:val="0"/>
                <w:numId w:val="17"/>
              </w:numPr>
              <w:contextualSpacing w:val="0"/>
              <w:cnfStyle w:val="000000100000" w:firstRow="0" w:lastRow="0" w:firstColumn="0" w:lastColumn="0" w:oddVBand="0" w:evenVBand="0" w:oddHBand="1" w:evenHBand="0" w:firstRowFirstColumn="0" w:firstRowLastColumn="0" w:lastRowFirstColumn="0" w:lastRowLastColumn="0"/>
              <w:rPr>
                <w:rFonts w:cs="Arial"/>
                <w:szCs w:val="24"/>
                <w:lang w:val="en-IN"/>
              </w:rPr>
            </w:pPr>
            <w:r w:rsidRPr="000E7F6D">
              <w:rPr>
                <w:rFonts w:cs="Arial"/>
                <w:szCs w:val="24"/>
                <w:lang w:val="en-IN"/>
              </w:rPr>
              <w:t>W</w:t>
            </w:r>
            <w:r w:rsidR="006268C8" w:rsidRPr="000E7F6D">
              <w:rPr>
                <w:rFonts w:cs="Arial"/>
                <w:szCs w:val="24"/>
                <w:lang w:val="en-IN"/>
              </w:rPr>
              <w:t>aste management</w:t>
            </w:r>
          </w:p>
        </w:tc>
        <w:tc>
          <w:tcPr>
            <w:tcW w:w="5782" w:type="dxa"/>
            <w:hideMark/>
          </w:tcPr>
          <w:p w14:paraId="6503CAB0" w14:textId="5C033901" w:rsidR="006268C8" w:rsidRPr="000E7F6D" w:rsidRDefault="000F09E7" w:rsidP="00014170">
            <w:pPr>
              <w:cnfStyle w:val="000000100000" w:firstRow="0" w:lastRow="0" w:firstColumn="0" w:lastColumn="0" w:oddVBand="0" w:evenVBand="0" w:oddHBand="1" w:evenHBand="0" w:firstRowFirstColumn="0" w:firstRowLastColumn="0" w:lastRowFirstColumn="0" w:lastRowLastColumn="0"/>
              <w:rPr>
                <w:rFonts w:cs="Arial"/>
                <w:szCs w:val="24"/>
                <w:lang w:val="en-IN"/>
              </w:rPr>
            </w:pPr>
            <w:r w:rsidRPr="000E7F6D">
              <w:rPr>
                <w:rFonts w:cs="Arial"/>
                <w:szCs w:val="24"/>
                <w:lang w:val="en-IN"/>
              </w:rPr>
              <w:t xml:space="preserve">The growing environmental issues and pressure on the environment necessitate the implementation of sustainable practices. Sainsbury is concerned with the carbon emission level, the level of plastic usage, and the energy efficiency (Olarewaju, et al., 2024). </w:t>
            </w:r>
            <w:r w:rsidR="004D6645" w:rsidRPr="000E7F6D">
              <w:rPr>
                <w:rFonts w:cs="Arial"/>
                <w:szCs w:val="24"/>
                <w:lang w:val="en-IN"/>
              </w:rPr>
              <w:t xml:space="preserve">The </w:t>
            </w:r>
            <w:r w:rsidRPr="000E7F6D">
              <w:rPr>
                <w:rFonts w:cs="Arial"/>
                <w:szCs w:val="24"/>
                <w:lang w:val="en-IN"/>
              </w:rPr>
              <w:t xml:space="preserve">programs boost brand </w:t>
            </w:r>
            <w:r w:rsidR="003E3A15" w:rsidRPr="000E7F6D">
              <w:rPr>
                <w:rFonts w:cs="Arial"/>
                <w:szCs w:val="24"/>
                <w:lang w:val="en-IN"/>
              </w:rPr>
              <w:t>recognition but</w:t>
            </w:r>
            <w:r w:rsidRPr="000E7F6D">
              <w:rPr>
                <w:rFonts w:cs="Arial"/>
                <w:szCs w:val="24"/>
                <w:lang w:val="en-IN"/>
              </w:rPr>
              <w:t xml:space="preserve"> also raise the cost of operation in the short run</w:t>
            </w:r>
            <w:r w:rsidR="006268C8" w:rsidRPr="000E7F6D">
              <w:rPr>
                <w:rFonts w:cs="Arial"/>
                <w:szCs w:val="24"/>
                <w:lang w:val="en-IN"/>
              </w:rPr>
              <w:t>.</w:t>
            </w:r>
          </w:p>
        </w:tc>
      </w:tr>
      <w:tr w:rsidR="002C1C6C" w:rsidRPr="000E7F6D" w14:paraId="517285ED" w14:textId="77777777" w:rsidTr="00364295">
        <w:tc>
          <w:tcPr>
            <w:cnfStyle w:val="001000000000" w:firstRow="0" w:lastRow="0" w:firstColumn="1" w:lastColumn="0" w:oddVBand="0" w:evenVBand="0" w:oddHBand="0" w:evenHBand="0" w:firstRowFirstColumn="0" w:firstRowLastColumn="0" w:lastRowFirstColumn="0" w:lastRowLastColumn="0"/>
            <w:tcW w:w="1101" w:type="dxa"/>
            <w:hideMark/>
          </w:tcPr>
          <w:p w14:paraId="1F88759C" w14:textId="77777777" w:rsidR="006268C8" w:rsidRPr="000E7F6D" w:rsidRDefault="006268C8" w:rsidP="00014170">
            <w:pPr>
              <w:rPr>
                <w:rFonts w:cs="Arial"/>
                <w:szCs w:val="24"/>
                <w:lang w:val="en-IN"/>
              </w:rPr>
            </w:pPr>
            <w:r w:rsidRPr="000E7F6D">
              <w:rPr>
                <w:rFonts w:cs="Arial"/>
                <w:szCs w:val="24"/>
                <w:lang w:val="en-IN"/>
              </w:rPr>
              <w:t>Legal</w:t>
            </w:r>
          </w:p>
        </w:tc>
        <w:tc>
          <w:tcPr>
            <w:tcW w:w="2693" w:type="dxa"/>
            <w:hideMark/>
          </w:tcPr>
          <w:p w14:paraId="6DF247CF" w14:textId="77777777" w:rsidR="00700D21" w:rsidRPr="000E7F6D" w:rsidRDefault="006268C8" w:rsidP="00014170">
            <w:pPr>
              <w:pStyle w:val="ListParagraph"/>
              <w:numPr>
                <w:ilvl w:val="0"/>
                <w:numId w:val="17"/>
              </w:numPr>
              <w:contextualSpacing w:val="0"/>
              <w:cnfStyle w:val="000000000000" w:firstRow="0" w:lastRow="0" w:firstColumn="0" w:lastColumn="0" w:oddVBand="0" w:evenVBand="0" w:oddHBand="0" w:evenHBand="0" w:firstRowFirstColumn="0" w:firstRowLastColumn="0" w:lastRowFirstColumn="0" w:lastRowLastColumn="0"/>
              <w:rPr>
                <w:rFonts w:cs="Arial"/>
                <w:szCs w:val="24"/>
                <w:lang w:val="en-IN"/>
              </w:rPr>
            </w:pPr>
            <w:r w:rsidRPr="000E7F6D">
              <w:rPr>
                <w:rFonts w:cs="Arial"/>
                <w:szCs w:val="24"/>
                <w:lang w:val="en-IN"/>
              </w:rPr>
              <w:t>Employment laws</w:t>
            </w:r>
            <w:r w:rsidR="00700D21" w:rsidRPr="000E7F6D">
              <w:rPr>
                <w:rFonts w:cs="Arial"/>
                <w:szCs w:val="24"/>
                <w:lang w:val="en-IN"/>
              </w:rPr>
              <w:t>.</w:t>
            </w:r>
          </w:p>
          <w:p w14:paraId="45C28E51" w14:textId="77777777" w:rsidR="00700D21" w:rsidRPr="000E7F6D" w:rsidRDefault="00700D21" w:rsidP="00014170">
            <w:pPr>
              <w:pStyle w:val="ListParagraph"/>
              <w:numPr>
                <w:ilvl w:val="0"/>
                <w:numId w:val="17"/>
              </w:numPr>
              <w:contextualSpacing w:val="0"/>
              <w:cnfStyle w:val="000000000000" w:firstRow="0" w:lastRow="0" w:firstColumn="0" w:lastColumn="0" w:oddVBand="0" w:evenVBand="0" w:oddHBand="0" w:evenHBand="0" w:firstRowFirstColumn="0" w:firstRowLastColumn="0" w:lastRowFirstColumn="0" w:lastRowLastColumn="0"/>
              <w:rPr>
                <w:rFonts w:cs="Arial"/>
                <w:szCs w:val="24"/>
                <w:lang w:val="en-IN"/>
              </w:rPr>
            </w:pPr>
            <w:r w:rsidRPr="000E7F6D">
              <w:rPr>
                <w:rFonts w:cs="Arial"/>
                <w:szCs w:val="24"/>
                <w:lang w:val="en-IN"/>
              </w:rPr>
              <w:t>F</w:t>
            </w:r>
            <w:r w:rsidR="006268C8" w:rsidRPr="000E7F6D">
              <w:rPr>
                <w:rFonts w:cs="Arial"/>
                <w:szCs w:val="24"/>
                <w:lang w:val="en-IN"/>
              </w:rPr>
              <w:t>ood safety regulation</w:t>
            </w:r>
            <w:r w:rsidRPr="000E7F6D">
              <w:rPr>
                <w:rFonts w:cs="Arial"/>
                <w:szCs w:val="24"/>
                <w:lang w:val="en-IN"/>
              </w:rPr>
              <w:t>s.</w:t>
            </w:r>
          </w:p>
          <w:p w14:paraId="5114AC4D" w14:textId="01819E33" w:rsidR="006268C8" w:rsidRPr="000E7F6D" w:rsidRDefault="00700D21" w:rsidP="00014170">
            <w:pPr>
              <w:pStyle w:val="ListParagraph"/>
              <w:numPr>
                <w:ilvl w:val="0"/>
                <w:numId w:val="17"/>
              </w:numPr>
              <w:contextualSpacing w:val="0"/>
              <w:cnfStyle w:val="000000000000" w:firstRow="0" w:lastRow="0" w:firstColumn="0" w:lastColumn="0" w:oddVBand="0" w:evenVBand="0" w:oddHBand="0" w:evenHBand="0" w:firstRowFirstColumn="0" w:firstRowLastColumn="0" w:lastRowFirstColumn="0" w:lastRowLastColumn="0"/>
              <w:rPr>
                <w:rFonts w:cs="Arial"/>
                <w:szCs w:val="24"/>
                <w:lang w:val="en-IN"/>
              </w:rPr>
            </w:pPr>
            <w:r w:rsidRPr="000E7F6D">
              <w:rPr>
                <w:rFonts w:cs="Arial"/>
                <w:szCs w:val="24"/>
                <w:lang w:val="en-IN"/>
              </w:rPr>
              <w:t>C</w:t>
            </w:r>
            <w:r w:rsidR="006268C8" w:rsidRPr="000E7F6D">
              <w:rPr>
                <w:rFonts w:cs="Arial"/>
                <w:szCs w:val="24"/>
                <w:lang w:val="en-IN"/>
              </w:rPr>
              <w:t xml:space="preserve">ompetition </w:t>
            </w:r>
            <w:r w:rsidR="006268C8" w:rsidRPr="000E7F6D">
              <w:rPr>
                <w:rFonts w:cs="Arial"/>
                <w:szCs w:val="24"/>
                <w:lang w:val="en-IN"/>
              </w:rPr>
              <w:lastRenderedPageBreak/>
              <w:t>laws</w:t>
            </w:r>
          </w:p>
        </w:tc>
        <w:tc>
          <w:tcPr>
            <w:tcW w:w="5782" w:type="dxa"/>
            <w:hideMark/>
          </w:tcPr>
          <w:p w14:paraId="2122DC84" w14:textId="3B846EEF" w:rsidR="006268C8" w:rsidRPr="000E7F6D" w:rsidRDefault="000F09E7" w:rsidP="00014170">
            <w:pPr>
              <w:keepNext/>
              <w:cnfStyle w:val="000000000000" w:firstRow="0" w:lastRow="0" w:firstColumn="0" w:lastColumn="0" w:oddVBand="0" w:evenVBand="0" w:oddHBand="0" w:evenHBand="0" w:firstRowFirstColumn="0" w:firstRowLastColumn="0" w:lastRowFirstColumn="0" w:lastRowLastColumn="0"/>
              <w:rPr>
                <w:rFonts w:cs="Arial"/>
                <w:szCs w:val="24"/>
                <w:lang w:val="en-IN"/>
              </w:rPr>
            </w:pPr>
            <w:r w:rsidRPr="000E7F6D">
              <w:rPr>
                <w:rFonts w:cs="Arial"/>
                <w:szCs w:val="24"/>
              </w:rPr>
              <w:lastRenderedPageBreak/>
              <w:t xml:space="preserve">The UK retail sector has strict legal obligations that must be followed in adherence to the labour standards, food safety, and consumer protection laws (Essman, et al., 2025). </w:t>
            </w:r>
            <w:r w:rsidR="00EE6BA1" w:rsidRPr="000E7F6D">
              <w:rPr>
                <w:rFonts w:cs="Arial"/>
                <w:szCs w:val="24"/>
              </w:rPr>
              <w:t xml:space="preserve">Considering this, </w:t>
            </w:r>
            <w:r w:rsidRPr="000E7F6D">
              <w:rPr>
                <w:rFonts w:cs="Arial"/>
                <w:szCs w:val="24"/>
              </w:rPr>
              <w:t xml:space="preserve">Sainsbury’s </w:t>
            </w:r>
            <w:r w:rsidR="00204493" w:rsidRPr="000E7F6D">
              <w:rPr>
                <w:rFonts w:cs="Arial"/>
                <w:szCs w:val="24"/>
              </w:rPr>
              <w:t>is required</w:t>
            </w:r>
            <w:r w:rsidR="00EE6BA1" w:rsidRPr="000E7F6D">
              <w:rPr>
                <w:rFonts w:cs="Arial"/>
                <w:szCs w:val="24"/>
              </w:rPr>
              <w:t xml:space="preserve"> to </w:t>
            </w:r>
            <w:r w:rsidRPr="000E7F6D">
              <w:rPr>
                <w:rFonts w:cs="Arial"/>
                <w:szCs w:val="24"/>
              </w:rPr>
              <w:t xml:space="preserve">make sure that it continues to stick to the regulations </w:t>
            </w:r>
            <w:r w:rsidR="00741659">
              <w:rPr>
                <w:rFonts w:cs="Arial"/>
                <w:szCs w:val="24"/>
              </w:rPr>
              <w:t>that influence</w:t>
            </w:r>
            <w:r w:rsidR="00EE6BA1" w:rsidRPr="000E7F6D">
              <w:rPr>
                <w:rFonts w:cs="Arial"/>
                <w:szCs w:val="24"/>
              </w:rPr>
              <w:t xml:space="preserve"> its </w:t>
            </w:r>
            <w:r w:rsidRPr="000E7F6D">
              <w:rPr>
                <w:rFonts w:cs="Arial"/>
                <w:szCs w:val="24"/>
              </w:rPr>
              <w:t xml:space="preserve">operations and strategic </w:t>
            </w:r>
            <w:r w:rsidRPr="000E7F6D">
              <w:rPr>
                <w:rFonts w:cs="Arial"/>
                <w:szCs w:val="24"/>
              </w:rPr>
              <w:lastRenderedPageBreak/>
              <w:t>planning</w:t>
            </w:r>
            <w:r w:rsidR="006268C8" w:rsidRPr="000E7F6D">
              <w:rPr>
                <w:rFonts w:cs="Arial"/>
                <w:szCs w:val="24"/>
                <w:lang w:val="en-IN"/>
              </w:rPr>
              <w:t>.</w:t>
            </w:r>
          </w:p>
        </w:tc>
      </w:tr>
    </w:tbl>
    <w:p w14:paraId="4589C1C7" w14:textId="1B8C702B" w:rsidR="004B03DF" w:rsidRPr="000E7F6D" w:rsidRDefault="00863FC7" w:rsidP="00014170">
      <w:pPr>
        <w:rPr>
          <w:rFonts w:cs="Arial"/>
          <w:szCs w:val="24"/>
          <w:lang w:val="en-IN"/>
        </w:rPr>
      </w:pPr>
      <w:r w:rsidRPr="000E7F6D">
        <w:rPr>
          <w:rFonts w:cs="Arial"/>
          <w:szCs w:val="24"/>
        </w:rPr>
        <w:lastRenderedPageBreak/>
        <w:t>The external analysis shows that Sainsbury faces a complicated external environment that is conditioned by stressful factors defined by economic pressure, technological change, and rising sustainability expectations (Xiao, et al., 2021). These can be considered as a major factor affecting the strategic decisions of the company and how this is applied</w:t>
      </w:r>
      <w:r w:rsidR="003E3A15" w:rsidRPr="000E7F6D">
        <w:rPr>
          <w:rFonts w:cs="Arial"/>
          <w:szCs w:val="24"/>
        </w:rPr>
        <w:t>,</w:t>
      </w:r>
      <w:r w:rsidRPr="000E7F6D">
        <w:rPr>
          <w:rFonts w:cs="Arial"/>
          <w:szCs w:val="24"/>
        </w:rPr>
        <w:t xml:space="preserve"> especially in pricing, the digital transformation and the supply chain management. However, the company has the chance to </w:t>
      </w:r>
      <w:r w:rsidR="003E3A15" w:rsidRPr="000E7F6D">
        <w:rPr>
          <w:rFonts w:cs="Arial"/>
          <w:szCs w:val="24"/>
        </w:rPr>
        <w:t>realise</w:t>
      </w:r>
      <w:r w:rsidRPr="000E7F6D">
        <w:rPr>
          <w:rFonts w:cs="Arial"/>
          <w:szCs w:val="24"/>
        </w:rPr>
        <w:t xml:space="preserve"> growth prospects by observing exogenous factors such as technological and social alignment </w:t>
      </w:r>
      <w:r w:rsidR="00294F4A" w:rsidRPr="000E7F6D">
        <w:rPr>
          <w:rFonts w:cs="Arial"/>
          <w:szCs w:val="24"/>
        </w:rPr>
        <w:t>to</w:t>
      </w:r>
      <w:r w:rsidRPr="000E7F6D">
        <w:rPr>
          <w:rFonts w:cs="Arial"/>
          <w:szCs w:val="24"/>
        </w:rPr>
        <w:t xml:space="preserve"> manage its growth plans, stay competitive and adequately react to market dynamics</w:t>
      </w:r>
      <w:r w:rsidR="004B03DF" w:rsidRPr="000E7F6D">
        <w:rPr>
          <w:rFonts w:cs="Arial"/>
          <w:szCs w:val="24"/>
          <w:lang w:val="en-IN"/>
        </w:rPr>
        <w:t>.</w:t>
      </w:r>
    </w:p>
    <w:p w14:paraId="42A77334" w14:textId="703CD9C6" w:rsidR="00536EF4" w:rsidRPr="00C57C8C" w:rsidRDefault="001D3C24" w:rsidP="00014170">
      <w:pPr>
        <w:rPr>
          <w:b/>
          <w:bCs/>
          <w:i/>
          <w:iCs/>
        </w:rPr>
      </w:pPr>
      <w:r w:rsidRPr="00C57C8C">
        <w:rPr>
          <w:b/>
          <w:bCs/>
          <w:i/>
          <w:iCs/>
        </w:rPr>
        <w:t>1.3.2 Industry Analysis</w:t>
      </w:r>
      <w:r w:rsidR="00E31E26" w:rsidRPr="00C57C8C">
        <w:rPr>
          <w:b/>
          <w:bCs/>
          <w:i/>
          <w:iCs/>
        </w:rPr>
        <w:t xml:space="preserve">: </w:t>
      </w:r>
      <w:r w:rsidR="006F2084" w:rsidRPr="00C57C8C">
        <w:rPr>
          <w:b/>
          <w:bCs/>
          <w:i/>
          <w:iCs/>
        </w:rPr>
        <w:t>Porter’s Five Forces</w:t>
      </w:r>
    </w:p>
    <w:p w14:paraId="01AE77DC" w14:textId="0DD1D4C7" w:rsidR="004E071D" w:rsidRPr="000E7F6D" w:rsidRDefault="00DD5B60" w:rsidP="00014170">
      <w:pPr>
        <w:rPr>
          <w:rFonts w:cs="Arial"/>
          <w:szCs w:val="24"/>
        </w:rPr>
      </w:pPr>
      <w:r w:rsidRPr="000E7F6D">
        <w:rPr>
          <w:rFonts w:cs="Arial"/>
          <w:szCs w:val="24"/>
        </w:rPr>
        <w:t>Porter's</w:t>
      </w:r>
      <w:r w:rsidR="001E01E9" w:rsidRPr="000E7F6D">
        <w:rPr>
          <w:rFonts w:cs="Arial"/>
          <w:szCs w:val="24"/>
        </w:rPr>
        <w:t xml:space="preserve"> Five Forces is an analysis of market competition based on rivalry, entry barriers, supplier power, buyer power, and substitutes (CFI, 2020). This framework is particularly relevant since Sainsbury is experiencing intense competition, cost pressure and shifting customer demands in retail</w:t>
      </w:r>
      <w:r w:rsidR="001E60F2" w:rsidRPr="000E7F6D">
        <w:rPr>
          <w:rFonts w:cs="Arial"/>
          <w:szCs w:val="24"/>
        </w:rPr>
        <w:t>.</w:t>
      </w:r>
    </w:p>
    <w:p w14:paraId="028E9632" w14:textId="0BF6447F" w:rsidR="001E60F2" w:rsidRPr="000E7F6D" w:rsidRDefault="001E60F2" w:rsidP="00555CDC">
      <w:pPr>
        <w:jc w:val="center"/>
        <w:rPr>
          <w:rFonts w:cs="Arial"/>
          <w:szCs w:val="24"/>
        </w:rPr>
      </w:pPr>
      <w:r w:rsidRPr="000E7F6D">
        <w:rPr>
          <w:rFonts w:cs="Arial"/>
          <w:noProof/>
          <w:szCs w:val="24"/>
        </w:rPr>
        <w:drawing>
          <wp:inline distT="0" distB="0" distL="0" distR="0" wp14:anchorId="19C8BB29" wp14:editId="1BD84C89">
            <wp:extent cx="3748833" cy="2141220"/>
            <wp:effectExtent l="0" t="0" r="4445" b="0"/>
            <wp:docPr id="414487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487038" name=""/>
                    <pic:cNvPicPr/>
                  </pic:nvPicPr>
                  <pic:blipFill>
                    <a:blip r:embed="rId15"/>
                    <a:stretch>
                      <a:fillRect/>
                    </a:stretch>
                  </pic:blipFill>
                  <pic:spPr>
                    <a:xfrm>
                      <a:off x="0" y="0"/>
                      <a:ext cx="3790439" cy="2164984"/>
                    </a:xfrm>
                    <a:prstGeom prst="rect">
                      <a:avLst/>
                    </a:prstGeom>
                  </pic:spPr>
                </pic:pic>
              </a:graphicData>
            </a:graphic>
          </wp:inline>
        </w:drawing>
      </w:r>
    </w:p>
    <w:p w14:paraId="2A6A8DC3" w14:textId="3E234E71" w:rsidR="004E071D" w:rsidRPr="000E7F6D" w:rsidRDefault="004E071D" w:rsidP="00555CDC">
      <w:pPr>
        <w:pStyle w:val="Caption"/>
        <w:spacing w:before="240" w:after="240"/>
        <w:jc w:val="center"/>
        <w:rPr>
          <w:rFonts w:cs="Arial"/>
          <w:szCs w:val="24"/>
        </w:rPr>
      </w:pPr>
      <w:r w:rsidRPr="000E7F6D">
        <w:rPr>
          <w:rFonts w:cs="Arial"/>
          <w:szCs w:val="24"/>
        </w:rPr>
        <w:t xml:space="preserve">Figure </w:t>
      </w:r>
      <w:r w:rsidRPr="000E7F6D">
        <w:rPr>
          <w:rFonts w:cs="Arial"/>
          <w:szCs w:val="24"/>
        </w:rPr>
        <w:fldChar w:fldCharType="begin"/>
      </w:r>
      <w:r w:rsidRPr="000E7F6D">
        <w:rPr>
          <w:rFonts w:cs="Arial"/>
          <w:szCs w:val="24"/>
        </w:rPr>
        <w:instrText xml:space="preserve"> SEQ Figure \* ARABIC </w:instrText>
      </w:r>
      <w:r w:rsidRPr="000E7F6D">
        <w:rPr>
          <w:rFonts w:cs="Arial"/>
          <w:szCs w:val="24"/>
        </w:rPr>
        <w:fldChar w:fldCharType="separate"/>
      </w:r>
      <w:r w:rsidR="0072393C">
        <w:rPr>
          <w:rFonts w:cs="Arial"/>
          <w:noProof/>
          <w:szCs w:val="24"/>
        </w:rPr>
        <w:t>7</w:t>
      </w:r>
      <w:r w:rsidRPr="000E7F6D">
        <w:rPr>
          <w:rFonts w:cs="Arial"/>
          <w:szCs w:val="24"/>
        </w:rPr>
        <w:fldChar w:fldCharType="end"/>
      </w:r>
      <w:r w:rsidRPr="000E7F6D">
        <w:rPr>
          <w:rFonts w:cs="Arial"/>
          <w:szCs w:val="24"/>
        </w:rPr>
        <w:t>: Factors of porter's five forces</w:t>
      </w:r>
    </w:p>
    <w:p w14:paraId="180D3C5E" w14:textId="5CF72D2B" w:rsidR="001E60F2" w:rsidRPr="000E7F6D" w:rsidRDefault="004E071D" w:rsidP="00555CDC">
      <w:pPr>
        <w:jc w:val="center"/>
        <w:rPr>
          <w:rFonts w:cs="Arial"/>
          <w:b/>
          <w:i/>
          <w:iCs/>
          <w:szCs w:val="24"/>
        </w:rPr>
      </w:pPr>
      <w:r w:rsidRPr="000E7F6D">
        <w:rPr>
          <w:rFonts w:cs="Arial"/>
          <w:b/>
          <w:i/>
          <w:iCs/>
          <w:szCs w:val="24"/>
        </w:rPr>
        <w:t>(Source: CFI, 2020)</w:t>
      </w:r>
    </w:p>
    <w:p w14:paraId="7D5A7066" w14:textId="29A39814" w:rsidR="00DB7FE9" w:rsidRPr="000E7F6D" w:rsidRDefault="00364295" w:rsidP="00014170">
      <w:pPr>
        <w:rPr>
          <w:rFonts w:cs="Arial"/>
          <w:b/>
          <w:bCs/>
          <w:szCs w:val="24"/>
          <w:u w:val="single"/>
        </w:rPr>
      </w:pPr>
      <w:r w:rsidRPr="000E7F6D">
        <w:rPr>
          <w:rFonts w:cs="Arial"/>
          <w:b/>
          <w:bCs/>
          <w:szCs w:val="24"/>
          <w:u w:val="single"/>
        </w:rPr>
        <w:t>Porter’s Table</w:t>
      </w:r>
    </w:p>
    <w:tbl>
      <w:tblPr>
        <w:tblStyle w:val="ListTable3-Accent4"/>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10"/>
        <w:gridCol w:w="5106"/>
      </w:tblGrid>
      <w:tr w:rsidR="00DB7FE9" w:rsidRPr="00DB7FE9" w14:paraId="6C909E25" w14:textId="77777777" w:rsidTr="00DB7FE9">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7C08A299" w14:textId="77777777" w:rsidR="00DB7FE9" w:rsidRPr="00DB7FE9" w:rsidRDefault="00DB7FE9" w:rsidP="00014170">
            <w:pPr>
              <w:rPr>
                <w:rFonts w:cs="Arial"/>
                <w:szCs w:val="24"/>
                <w:lang w:val="en-IN"/>
              </w:rPr>
            </w:pPr>
            <w:r w:rsidRPr="00DB7FE9">
              <w:rPr>
                <w:rFonts w:cs="Arial"/>
                <w:szCs w:val="24"/>
                <w:lang w:val="en-IN"/>
              </w:rPr>
              <w:lastRenderedPageBreak/>
              <w:t>Factor</w:t>
            </w:r>
          </w:p>
        </w:tc>
        <w:tc>
          <w:tcPr>
            <w:tcW w:w="5106" w:type="dxa"/>
            <w:hideMark/>
          </w:tcPr>
          <w:p w14:paraId="7252C65C" w14:textId="77777777" w:rsidR="00DB7FE9" w:rsidRPr="00DB7FE9" w:rsidRDefault="00DB7FE9" w:rsidP="00014170">
            <w:pPr>
              <w:cnfStyle w:val="100000000000" w:firstRow="1" w:lastRow="0" w:firstColumn="0" w:lastColumn="0" w:oddVBand="0" w:evenVBand="0" w:oddHBand="0" w:evenHBand="0" w:firstRowFirstColumn="0" w:firstRowLastColumn="0" w:lastRowFirstColumn="0" w:lastRowLastColumn="0"/>
              <w:rPr>
                <w:rFonts w:cs="Arial"/>
                <w:szCs w:val="24"/>
                <w:lang w:val="en-IN"/>
              </w:rPr>
            </w:pPr>
            <w:r w:rsidRPr="00DB7FE9">
              <w:rPr>
                <w:rFonts w:cs="Arial"/>
                <w:szCs w:val="24"/>
                <w:lang w:val="en-IN"/>
              </w:rPr>
              <w:t>Intensity</w:t>
            </w:r>
          </w:p>
        </w:tc>
      </w:tr>
      <w:tr w:rsidR="00DB7FE9" w:rsidRPr="00DB7FE9" w14:paraId="6A44968C" w14:textId="77777777" w:rsidTr="00DB7FE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030FF2D9" w14:textId="77777777" w:rsidR="00DB7FE9" w:rsidRPr="00DB7FE9" w:rsidRDefault="00DB7FE9" w:rsidP="00014170">
            <w:pPr>
              <w:rPr>
                <w:rFonts w:cs="Arial"/>
                <w:szCs w:val="24"/>
                <w:lang w:val="en-IN"/>
              </w:rPr>
            </w:pPr>
            <w:r w:rsidRPr="00DB7FE9">
              <w:rPr>
                <w:rFonts w:cs="Arial"/>
                <w:szCs w:val="24"/>
                <w:lang w:val="en-IN"/>
              </w:rPr>
              <w:t>Competitive Rivalry</w:t>
            </w:r>
          </w:p>
        </w:tc>
        <w:tc>
          <w:tcPr>
            <w:tcW w:w="5106" w:type="dxa"/>
            <w:tcBorders>
              <w:top w:val="none" w:sz="0" w:space="0" w:color="auto"/>
              <w:bottom w:val="none" w:sz="0" w:space="0" w:color="auto"/>
            </w:tcBorders>
            <w:hideMark/>
          </w:tcPr>
          <w:p w14:paraId="15E4169F" w14:textId="77777777" w:rsidR="00DB7FE9" w:rsidRPr="00DB7FE9" w:rsidRDefault="00DB7FE9" w:rsidP="00014170">
            <w:pPr>
              <w:cnfStyle w:val="000000100000" w:firstRow="0" w:lastRow="0" w:firstColumn="0" w:lastColumn="0" w:oddVBand="0" w:evenVBand="0" w:oddHBand="1" w:evenHBand="0" w:firstRowFirstColumn="0" w:firstRowLastColumn="0" w:lastRowFirstColumn="0" w:lastRowLastColumn="0"/>
              <w:rPr>
                <w:rFonts w:cs="Arial"/>
                <w:szCs w:val="24"/>
                <w:lang w:val="en-IN"/>
              </w:rPr>
            </w:pPr>
            <w:r w:rsidRPr="00DB7FE9">
              <w:rPr>
                <w:rFonts w:cs="Arial"/>
                <w:szCs w:val="24"/>
                <w:lang w:val="en-IN"/>
              </w:rPr>
              <w:t>High</w:t>
            </w:r>
          </w:p>
        </w:tc>
      </w:tr>
      <w:tr w:rsidR="00DB7FE9" w:rsidRPr="00DB7FE9" w14:paraId="572FD910" w14:textId="77777777" w:rsidTr="00DB7FE9">
        <w:trPr>
          <w:jc w:val="center"/>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64505FF5" w14:textId="77777777" w:rsidR="00DB7FE9" w:rsidRPr="00DB7FE9" w:rsidRDefault="00DB7FE9" w:rsidP="00014170">
            <w:pPr>
              <w:rPr>
                <w:rFonts w:cs="Arial"/>
                <w:szCs w:val="24"/>
                <w:lang w:val="en-IN"/>
              </w:rPr>
            </w:pPr>
            <w:r w:rsidRPr="00DB7FE9">
              <w:rPr>
                <w:rFonts w:cs="Arial"/>
                <w:szCs w:val="24"/>
                <w:lang w:val="en-IN"/>
              </w:rPr>
              <w:t>Threat of New Entrants</w:t>
            </w:r>
          </w:p>
        </w:tc>
        <w:tc>
          <w:tcPr>
            <w:tcW w:w="5106" w:type="dxa"/>
            <w:hideMark/>
          </w:tcPr>
          <w:p w14:paraId="7A7E37CE" w14:textId="77777777" w:rsidR="00DB7FE9" w:rsidRPr="00DB7FE9" w:rsidRDefault="00DB7FE9" w:rsidP="00014170">
            <w:pPr>
              <w:cnfStyle w:val="000000000000" w:firstRow="0" w:lastRow="0" w:firstColumn="0" w:lastColumn="0" w:oddVBand="0" w:evenVBand="0" w:oddHBand="0" w:evenHBand="0" w:firstRowFirstColumn="0" w:firstRowLastColumn="0" w:lastRowFirstColumn="0" w:lastRowLastColumn="0"/>
              <w:rPr>
                <w:rFonts w:cs="Arial"/>
                <w:szCs w:val="24"/>
                <w:lang w:val="en-IN"/>
              </w:rPr>
            </w:pPr>
            <w:r w:rsidRPr="00DB7FE9">
              <w:rPr>
                <w:rFonts w:cs="Arial"/>
                <w:szCs w:val="24"/>
                <w:lang w:val="en-IN"/>
              </w:rPr>
              <w:t>Low</w:t>
            </w:r>
          </w:p>
        </w:tc>
      </w:tr>
      <w:tr w:rsidR="00DB7FE9" w:rsidRPr="00DB7FE9" w14:paraId="4C5F0EF1" w14:textId="77777777" w:rsidTr="00DB7FE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61A72522" w14:textId="77777777" w:rsidR="00DB7FE9" w:rsidRPr="00DB7FE9" w:rsidRDefault="00DB7FE9" w:rsidP="00014170">
            <w:pPr>
              <w:rPr>
                <w:rFonts w:cs="Arial"/>
                <w:szCs w:val="24"/>
                <w:lang w:val="en-IN"/>
              </w:rPr>
            </w:pPr>
            <w:r w:rsidRPr="00DB7FE9">
              <w:rPr>
                <w:rFonts w:cs="Arial"/>
                <w:szCs w:val="24"/>
                <w:lang w:val="en-IN"/>
              </w:rPr>
              <w:t>Bargaining Power of Buyers</w:t>
            </w:r>
          </w:p>
        </w:tc>
        <w:tc>
          <w:tcPr>
            <w:tcW w:w="5106" w:type="dxa"/>
            <w:tcBorders>
              <w:top w:val="none" w:sz="0" w:space="0" w:color="auto"/>
              <w:bottom w:val="none" w:sz="0" w:space="0" w:color="auto"/>
            </w:tcBorders>
            <w:hideMark/>
          </w:tcPr>
          <w:p w14:paraId="64487FE3" w14:textId="77777777" w:rsidR="00DB7FE9" w:rsidRPr="00DB7FE9" w:rsidRDefault="00DB7FE9" w:rsidP="00014170">
            <w:pPr>
              <w:cnfStyle w:val="000000100000" w:firstRow="0" w:lastRow="0" w:firstColumn="0" w:lastColumn="0" w:oddVBand="0" w:evenVBand="0" w:oddHBand="1" w:evenHBand="0" w:firstRowFirstColumn="0" w:firstRowLastColumn="0" w:lastRowFirstColumn="0" w:lastRowLastColumn="0"/>
              <w:rPr>
                <w:rFonts w:cs="Arial"/>
                <w:szCs w:val="24"/>
                <w:lang w:val="en-IN"/>
              </w:rPr>
            </w:pPr>
            <w:r w:rsidRPr="00DB7FE9">
              <w:rPr>
                <w:rFonts w:cs="Arial"/>
                <w:szCs w:val="24"/>
                <w:lang w:val="en-IN"/>
              </w:rPr>
              <w:t>High</w:t>
            </w:r>
          </w:p>
        </w:tc>
      </w:tr>
      <w:tr w:rsidR="00DB7FE9" w:rsidRPr="00DB7FE9" w14:paraId="2098371B" w14:textId="77777777" w:rsidTr="00DB7FE9">
        <w:trPr>
          <w:jc w:val="center"/>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75CD0778" w14:textId="77777777" w:rsidR="00DB7FE9" w:rsidRPr="00DB7FE9" w:rsidRDefault="00DB7FE9" w:rsidP="00014170">
            <w:pPr>
              <w:rPr>
                <w:rFonts w:cs="Arial"/>
                <w:szCs w:val="24"/>
                <w:lang w:val="en-IN"/>
              </w:rPr>
            </w:pPr>
            <w:r w:rsidRPr="00DB7FE9">
              <w:rPr>
                <w:rFonts w:cs="Arial"/>
                <w:szCs w:val="24"/>
                <w:lang w:val="en-IN"/>
              </w:rPr>
              <w:t>Bargaining Power of Suppliers</w:t>
            </w:r>
          </w:p>
        </w:tc>
        <w:tc>
          <w:tcPr>
            <w:tcW w:w="5106" w:type="dxa"/>
            <w:hideMark/>
          </w:tcPr>
          <w:p w14:paraId="55A47137" w14:textId="77777777" w:rsidR="00DB7FE9" w:rsidRPr="00DB7FE9" w:rsidRDefault="00DB7FE9" w:rsidP="00014170">
            <w:pPr>
              <w:cnfStyle w:val="000000000000" w:firstRow="0" w:lastRow="0" w:firstColumn="0" w:lastColumn="0" w:oddVBand="0" w:evenVBand="0" w:oddHBand="0" w:evenHBand="0" w:firstRowFirstColumn="0" w:firstRowLastColumn="0" w:lastRowFirstColumn="0" w:lastRowLastColumn="0"/>
              <w:rPr>
                <w:rFonts w:cs="Arial"/>
                <w:szCs w:val="24"/>
                <w:lang w:val="en-IN"/>
              </w:rPr>
            </w:pPr>
            <w:r w:rsidRPr="00DB7FE9">
              <w:rPr>
                <w:rFonts w:cs="Arial"/>
                <w:szCs w:val="24"/>
                <w:lang w:val="en-IN"/>
              </w:rPr>
              <w:t>Medium</w:t>
            </w:r>
          </w:p>
        </w:tc>
      </w:tr>
      <w:tr w:rsidR="00DB7FE9" w:rsidRPr="00DB7FE9" w14:paraId="2BBC752E" w14:textId="77777777" w:rsidTr="00DB7FE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0A86BE69" w14:textId="77777777" w:rsidR="00DB7FE9" w:rsidRPr="00DB7FE9" w:rsidRDefault="00DB7FE9" w:rsidP="00014170">
            <w:pPr>
              <w:rPr>
                <w:rFonts w:cs="Arial"/>
                <w:szCs w:val="24"/>
                <w:lang w:val="en-IN"/>
              </w:rPr>
            </w:pPr>
            <w:r w:rsidRPr="00DB7FE9">
              <w:rPr>
                <w:rFonts w:cs="Arial"/>
                <w:szCs w:val="24"/>
                <w:lang w:val="en-IN"/>
              </w:rPr>
              <w:t>Threat of Substitutes</w:t>
            </w:r>
          </w:p>
        </w:tc>
        <w:tc>
          <w:tcPr>
            <w:tcW w:w="5106" w:type="dxa"/>
            <w:tcBorders>
              <w:top w:val="none" w:sz="0" w:space="0" w:color="auto"/>
              <w:bottom w:val="none" w:sz="0" w:space="0" w:color="auto"/>
            </w:tcBorders>
            <w:hideMark/>
          </w:tcPr>
          <w:p w14:paraId="6E436D13" w14:textId="77777777" w:rsidR="00DB7FE9" w:rsidRPr="00DB7FE9" w:rsidRDefault="00DB7FE9" w:rsidP="00014170">
            <w:pPr>
              <w:cnfStyle w:val="000000100000" w:firstRow="0" w:lastRow="0" w:firstColumn="0" w:lastColumn="0" w:oddVBand="0" w:evenVBand="0" w:oddHBand="1" w:evenHBand="0" w:firstRowFirstColumn="0" w:firstRowLastColumn="0" w:lastRowFirstColumn="0" w:lastRowLastColumn="0"/>
              <w:rPr>
                <w:rFonts w:cs="Arial"/>
                <w:szCs w:val="24"/>
                <w:lang w:val="en-IN"/>
              </w:rPr>
            </w:pPr>
            <w:r w:rsidRPr="00DB7FE9">
              <w:rPr>
                <w:rFonts w:cs="Arial"/>
                <w:szCs w:val="24"/>
                <w:lang w:val="en-IN"/>
              </w:rPr>
              <w:t>High</w:t>
            </w:r>
          </w:p>
        </w:tc>
      </w:tr>
    </w:tbl>
    <w:p w14:paraId="43CA4445" w14:textId="03353457" w:rsidR="00E179E8" w:rsidRPr="000E7F6D" w:rsidRDefault="00E179E8" w:rsidP="00014170">
      <w:pPr>
        <w:rPr>
          <w:rFonts w:cs="Arial"/>
          <w:szCs w:val="24"/>
        </w:rPr>
      </w:pPr>
      <w:r w:rsidRPr="000E7F6D">
        <w:rPr>
          <w:rFonts w:cs="Arial"/>
          <w:b/>
          <w:bCs/>
          <w:i/>
          <w:iCs/>
          <w:szCs w:val="24"/>
        </w:rPr>
        <w:t>Threat of New Entrants (Low):</w:t>
      </w:r>
      <w:r w:rsidRPr="000E7F6D">
        <w:rPr>
          <w:rFonts w:cs="Arial"/>
          <w:szCs w:val="24"/>
        </w:rPr>
        <w:t xml:space="preserve"> </w:t>
      </w:r>
      <w:r w:rsidR="00854578" w:rsidRPr="000E7F6D">
        <w:rPr>
          <w:rFonts w:cs="Arial"/>
          <w:szCs w:val="24"/>
        </w:rPr>
        <w:t xml:space="preserve">The threat of a new entrant to the grocery retail industry </w:t>
      </w:r>
      <w:r w:rsidR="00EB0361" w:rsidRPr="000E7F6D">
        <w:rPr>
          <w:rFonts w:cs="Arial"/>
          <w:szCs w:val="24"/>
        </w:rPr>
        <w:t>is</w:t>
      </w:r>
      <w:r w:rsidR="00854578" w:rsidRPr="000E7F6D">
        <w:rPr>
          <w:rFonts w:cs="Arial"/>
          <w:szCs w:val="24"/>
        </w:rPr>
        <w:t xml:space="preserve"> low because of the barriers to entry, such as the high capital requirement, well-established supply chains, and a loyal customer base of the current companies (Wood, et al., 2021). The large retailers like </w:t>
      </w:r>
      <w:r w:rsidR="00DD5B60" w:rsidRPr="000E7F6D">
        <w:rPr>
          <w:rFonts w:cs="Arial"/>
          <w:szCs w:val="24"/>
        </w:rPr>
        <w:t>Sainsbury's</w:t>
      </w:r>
      <w:r w:rsidR="00854578" w:rsidRPr="000E7F6D">
        <w:rPr>
          <w:rFonts w:cs="Arial"/>
          <w:szCs w:val="24"/>
        </w:rPr>
        <w:t xml:space="preserve"> enjoy economies of scale and distribution networks that are well established</w:t>
      </w:r>
      <w:r w:rsidR="00DD5B60" w:rsidRPr="000E7F6D">
        <w:rPr>
          <w:rFonts w:cs="Arial"/>
          <w:szCs w:val="24"/>
        </w:rPr>
        <w:t>,</w:t>
      </w:r>
      <w:r w:rsidR="00854578" w:rsidRPr="000E7F6D">
        <w:rPr>
          <w:rFonts w:cs="Arial"/>
          <w:szCs w:val="24"/>
        </w:rPr>
        <w:t xml:space="preserve"> and it is not easy to enter the industry and compete with them. On the other hand, the threat of online </w:t>
      </w:r>
      <w:r w:rsidR="00EB0361" w:rsidRPr="000E7F6D">
        <w:rPr>
          <w:rFonts w:cs="Arial"/>
          <w:szCs w:val="24"/>
        </w:rPr>
        <w:t>retailers’</w:t>
      </w:r>
      <w:r w:rsidR="00854578" w:rsidRPr="000E7F6D">
        <w:rPr>
          <w:rFonts w:cs="Arial"/>
          <w:szCs w:val="24"/>
        </w:rPr>
        <w:t xml:space="preserve"> niche might still be a minor threat.</w:t>
      </w:r>
    </w:p>
    <w:p w14:paraId="313C5D03" w14:textId="4F344699" w:rsidR="00E179E8" w:rsidRPr="000E7F6D" w:rsidRDefault="00E179E8" w:rsidP="00014170">
      <w:pPr>
        <w:rPr>
          <w:rFonts w:cs="Arial"/>
          <w:szCs w:val="24"/>
        </w:rPr>
      </w:pPr>
      <w:r w:rsidRPr="000E7F6D">
        <w:rPr>
          <w:rFonts w:cs="Arial"/>
          <w:b/>
          <w:bCs/>
          <w:i/>
          <w:iCs/>
          <w:szCs w:val="24"/>
        </w:rPr>
        <w:t>Bargaining Power of Buyers (High):</w:t>
      </w:r>
      <w:r w:rsidRPr="000E7F6D">
        <w:rPr>
          <w:rFonts w:cs="Arial"/>
          <w:szCs w:val="24"/>
        </w:rPr>
        <w:t xml:space="preserve"> </w:t>
      </w:r>
      <w:r w:rsidR="00EB0361" w:rsidRPr="000E7F6D">
        <w:rPr>
          <w:rFonts w:cs="Arial"/>
          <w:szCs w:val="24"/>
        </w:rPr>
        <w:t xml:space="preserve">Buyers have high bargaining power in the UK retail market since they have numerous options and the switching costs are low due to price sensitivity at the time of economic uncertainty (Li, et al., 2023). This suggests </w:t>
      </w:r>
      <w:r w:rsidR="00DD5B60" w:rsidRPr="000E7F6D">
        <w:rPr>
          <w:rFonts w:cs="Arial"/>
          <w:szCs w:val="24"/>
        </w:rPr>
        <w:t>Sainsbury's</w:t>
      </w:r>
      <w:r w:rsidR="00EB0361" w:rsidRPr="000E7F6D">
        <w:rPr>
          <w:rFonts w:cs="Arial"/>
          <w:szCs w:val="24"/>
        </w:rPr>
        <w:t xml:space="preserve"> to deliver competitive rates and loyalty programs</w:t>
      </w:r>
      <w:r w:rsidR="00DD5B60" w:rsidRPr="000E7F6D">
        <w:rPr>
          <w:rFonts w:cs="Arial"/>
          <w:szCs w:val="24"/>
        </w:rPr>
        <w:t>,</w:t>
      </w:r>
      <w:r w:rsidR="00EB0361" w:rsidRPr="000E7F6D">
        <w:rPr>
          <w:rFonts w:cs="Arial"/>
          <w:szCs w:val="24"/>
        </w:rPr>
        <w:t xml:space="preserve"> and better customer experiences. The emergence of </w:t>
      </w:r>
      <w:r w:rsidR="00DD5B60" w:rsidRPr="000E7F6D">
        <w:rPr>
          <w:rFonts w:cs="Arial"/>
          <w:szCs w:val="24"/>
        </w:rPr>
        <w:t>low-end</w:t>
      </w:r>
      <w:r w:rsidR="00EB0361" w:rsidRPr="000E7F6D">
        <w:rPr>
          <w:rFonts w:cs="Arial"/>
          <w:szCs w:val="24"/>
        </w:rPr>
        <w:t xml:space="preserve"> retailers also </w:t>
      </w:r>
      <w:r w:rsidR="00591901" w:rsidRPr="000E7F6D">
        <w:rPr>
          <w:rFonts w:cs="Arial"/>
          <w:szCs w:val="24"/>
        </w:rPr>
        <w:t>increases</w:t>
      </w:r>
      <w:r w:rsidR="00EB0361" w:rsidRPr="000E7F6D">
        <w:rPr>
          <w:rFonts w:cs="Arial"/>
          <w:szCs w:val="24"/>
        </w:rPr>
        <w:t xml:space="preserve"> buyer power since consumers can readily move to less expensive alternatives</w:t>
      </w:r>
      <w:r w:rsidRPr="000E7F6D">
        <w:rPr>
          <w:rFonts w:cs="Arial"/>
          <w:szCs w:val="24"/>
        </w:rPr>
        <w:t>.</w:t>
      </w:r>
    </w:p>
    <w:p w14:paraId="44462BC4" w14:textId="253F1DB2" w:rsidR="00E179E8" w:rsidRPr="000E7F6D" w:rsidRDefault="00E179E8" w:rsidP="00014170">
      <w:pPr>
        <w:rPr>
          <w:rFonts w:cs="Arial"/>
          <w:szCs w:val="24"/>
        </w:rPr>
      </w:pPr>
      <w:r w:rsidRPr="000E7F6D">
        <w:rPr>
          <w:rFonts w:cs="Arial"/>
          <w:b/>
          <w:bCs/>
          <w:i/>
          <w:iCs/>
          <w:szCs w:val="24"/>
        </w:rPr>
        <w:t>Bargaining Power of Suppliers (Medium):</w:t>
      </w:r>
      <w:r w:rsidRPr="000E7F6D">
        <w:rPr>
          <w:rFonts w:cs="Arial"/>
          <w:szCs w:val="24"/>
        </w:rPr>
        <w:t xml:space="preserve"> </w:t>
      </w:r>
      <w:r w:rsidR="00591901" w:rsidRPr="000E7F6D">
        <w:rPr>
          <w:rFonts w:cs="Arial"/>
          <w:szCs w:val="24"/>
        </w:rPr>
        <w:t>The suppliers have moderate power in the retail sector, whereas massive retailers such as Sainsbury have some bargaining power since they can buy in bulk</w:t>
      </w:r>
      <w:r w:rsidR="00DD5B60" w:rsidRPr="000E7F6D">
        <w:rPr>
          <w:rFonts w:cs="Arial"/>
          <w:szCs w:val="24"/>
        </w:rPr>
        <w:t>,</w:t>
      </w:r>
      <w:r w:rsidR="00591901" w:rsidRPr="000E7F6D">
        <w:rPr>
          <w:rFonts w:cs="Arial"/>
          <w:szCs w:val="24"/>
        </w:rPr>
        <w:t xml:space="preserve"> and some branded suppliers have some power due to product differentiation and customer preference (</w:t>
      </w:r>
      <w:proofErr w:type="spellStart"/>
      <w:r w:rsidR="00591901" w:rsidRPr="000E7F6D">
        <w:rPr>
          <w:rFonts w:cs="Arial"/>
          <w:szCs w:val="24"/>
        </w:rPr>
        <w:t>Dekimpe</w:t>
      </w:r>
      <w:proofErr w:type="spellEnd"/>
      <w:r w:rsidR="00591901" w:rsidRPr="000E7F6D">
        <w:rPr>
          <w:rFonts w:cs="Arial"/>
          <w:szCs w:val="24"/>
        </w:rPr>
        <w:t xml:space="preserve"> and van </w:t>
      </w:r>
      <w:proofErr w:type="spellStart"/>
      <w:r w:rsidR="00591901" w:rsidRPr="000E7F6D">
        <w:rPr>
          <w:rFonts w:cs="Arial"/>
          <w:szCs w:val="24"/>
        </w:rPr>
        <w:t>Heerde</w:t>
      </w:r>
      <w:proofErr w:type="spellEnd"/>
      <w:r w:rsidR="00591901" w:rsidRPr="000E7F6D">
        <w:rPr>
          <w:rFonts w:cs="Arial"/>
          <w:szCs w:val="24"/>
        </w:rPr>
        <w:t xml:space="preserve">, 2023). Moreover, the </w:t>
      </w:r>
      <w:r w:rsidR="00591901" w:rsidRPr="000E7F6D">
        <w:rPr>
          <w:rFonts w:cs="Arial"/>
          <w:szCs w:val="24"/>
        </w:rPr>
        <w:lastRenderedPageBreak/>
        <w:t>power of suppliers is also heightened by supply chain disruptions and the global sourcing issues, which influence the availability of products and price strategies</w:t>
      </w:r>
      <w:r w:rsidRPr="000E7F6D">
        <w:rPr>
          <w:rFonts w:cs="Arial"/>
          <w:szCs w:val="24"/>
        </w:rPr>
        <w:t>.</w:t>
      </w:r>
    </w:p>
    <w:p w14:paraId="0DF377C8" w14:textId="4ABC9CFD" w:rsidR="00364295" w:rsidRPr="000E7F6D" w:rsidRDefault="00E179E8" w:rsidP="00014170">
      <w:pPr>
        <w:rPr>
          <w:rFonts w:cs="Arial"/>
          <w:szCs w:val="24"/>
        </w:rPr>
      </w:pPr>
      <w:r w:rsidRPr="000E7F6D">
        <w:rPr>
          <w:rFonts w:cs="Arial"/>
          <w:b/>
          <w:bCs/>
          <w:i/>
          <w:iCs/>
          <w:szCs w:val="24"/>
        </w:rPr>
        <w:t>Threat of Substitutes (High):</w:t>
      </w:r>
      <w:r w:rsidRPr="000E7F6D">
        <w:rPr>
          <w:rFonts w:cs="Arial"/>
          <w:szCs w:val="24"/>
        </w:rPr>
        <w:t xml:space="preserve"> </w:t>
      </w:r>
      <w:r w:rsidR="00591901" w:rsidRPr="000E7F6D">
        <w:rPr>
          <w:rFonts w:cs="Arial"/>
          <w:szCs w:val="24"/>
        </w:rPr>
        <w:t xml:space="preserve">There is a threat of substitution, as the customers can substitute the retailer with alternative retailers, local shops, or other food consumption methods, like dining out or meal delivery services, in the UK retail context (Law, et al., 2022). This adds competitive pressure on Sainsbury to be able to sustain product quality, price, and convenience. </w:t>
      </w:r>
      <w:r w:rsidR="00FB5E21" w:rsidRPr="000E7F6D">
        <w:rPr>
          <w:rFonts w:cs="Arial"/>
          <w:szCs w:val="24"/>
        </w:rPr>
        <w:t>The threat</w:t>
      </w:r>
      <w:r w:rsidR="00591901" w:rsidRPr="000E7F6D">
        <w:rPr>
          <w:rFonts w:cs="Arial"/>
          <w:szCs w:val="24"/>
        </w:rPr>
        <w:t xml:space="preserve"> of substitutions is also a result of the increasing popularity of web-based food delivery services</w:t>
      </w:r>
      <w:r w:rsidRPr="000E7F6D">
        <w:rPr>
          <w:rFonts w:cs="Arial"/>
          <w:szCs w:val="24"/>
        </w:rPr>
        <w:t>.</w:t>
      </w:r>
    </w:p>
    <w:p w14:paraId="2F6D0349" w14:textId="77777777" w:rsidR="004321F7" w:rsidRPr="000E7F6D" w:rsidRDefault="004321F7" w:rsidP="00014170">
      <w:pPr>
        <w:rPr>
          <w:rFonts w:cs="Arial"/>
          <w:szCs w:val="24"/>
        </w:rPr>
      </w:pPr>
      <w:r w:rsidRPr="000E7F6D">
        <w:rPr>
          <w:rFonts w:cs="Arial"/>
          <w:b/>
          <w:bCs/>
          <w:i/>
          <w:iCs/>
          <w:szCs w:val="24"/>
        </w:rPr>
        <w:t>Competitive Rivalry (High):</w:t>
      </w:r>
      <w:r w:rsidRPr="000E7F6D">
        <w:rPr>
          <w:rFonts w:cs="Arial"/>
          <w:szCs w:val="24"/>
        </w:rPr>
        <w:t xml:space="preserve"> The intensity of rivalry within the UK retail industry is very high in that there are huge players, and the direct competitors in the UK retail sector include Tesco, Aldi, Lidl and Morrisons (Sainsbury, 2025). These rivals approached aggressive pricing, promotional deals and product differentiation to gain consumer attraction. Pricing pressure has increased with discount retailers such as Aldi and Lidl, and Tesco has a solid market position. Therefore, Sainsbury needs to maintain a balance between quality and price to maintain its market share because of higher competition that lowers the profit margins and necessitates continuous innovation.</w:t>
      </w:r>
    </w:p>
    <w:p w14:paraId="0423E3C3" w14:textId="77777777" w:rsidR="004321F7" w:rsidRPr="000E7F6D" w:rsidRDefault="004321F7" w:rsidP="00555CDC">
      <w:pPr>
        <w:jc w:val="center"/>
        <w:rPr>
          <w:rFonts w:cs="Arial"/>
          <w:szCs w:val="24"/>
        </w:rPr>
      </w:pPr>
      <w:r w:rsidRPr="000E7F6D">
        <w:rPr>
          <w:rFonts w:cs="Arial"/>
          <w:noProof/>
          <w:szCs w:val="24"/>
        </w:rPr>
        <w:drawing>
          <wp:inline distT="0" distB="0" distL="0" distR="0" wp14:anchorId="6B4E88F5" wp14:editId="67C48F63">
            <wp:extent cx="4770120" cy="1988820"/>
            <wp:effectExtent l="0" t="0" r="7620" b="2540"/>
            <wp:docPr id="1748133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133001" name=""/>
                    <pic:cNvPicPr/>
                  </pic:nvPicPr>
                  <pic:blipFill>
                    <a:blip r:embed="rId16"/>
                    <a:stretch>
                      <a:fillRect/>
                    </a:stretch>
                  </pic:blipFill>
                  <pic:spPr>
                    <a:xfrm>
                      <a:off x="0" y="0"/>
                      <a:ext cx="4770120" cy="1988820"/>
                    </a:xfrm>
                    <a:prstGeom prst="rect">
                      <a:avLst/>
                    </a:prstGeom>
                  </pic:spPr>
                </pic:pic>
              </a:graphicData>
            </a:graphic>
          </wp:inline>
        </w:drawing>
      </w:r>
    </w:p>
    <w:p w14:paraId="6FE553F4" w14:textId="1E511E21" w:rsidR="004321F7" w:rsidRPr="000E7F6D" w:rsidRDefault="004321F7" w:rsidP="00555CDC">
      <w:pPr>
        <w:pStyle w:val="Caption"/>
        <w:spacing w:before="240" w:after="240"/>
        <w:jc w:val="center"/>
        <w:rPr>
          <w:rFonts w:cs="Arial"/>
          <w:szCs w:val="24"/>
        </w:rPr>
      </w:pPr>
      <w:r w:rsidRPr="000E7F6D">
        <w:rPr>
          <w:rFonts w:cs="Arial"/>
          <w:szCs w:val="24"/>
        </w:rPr>
        <w:t xml:space="preserve">Figure </w:t>
      </w:r>
      <w:r w:rsidRPr="000E7F6D">
        <w:rPr>
          <w:rFonts w:cs="Arial"/>
          <w:szCs w:val="24"/>
        </w:rPr>
        <w:fldChar w:fldCharType="begin"/>
      </w:r>
      <w:r w:rsidRPr="000E7F6D">
        <w:rPr>
          <w:rFonts w:cs="Arial"/>
          <w:szCs w:val="24"/>
        </w:rPr>
        <w:instrText xml:space="preserve"> SEQ Figure \* ARABIC </w:instrText>
      </w:r>
      <w:r w:rsidRPr="000E7F6D">
        <w:rPr>
          <w:rFonts w:cs="Arial"/>
          <w:szCs w:val="24"/>
        </w:rPr>
        <w:fldChar w:fldCharType="separate"/>
      </w:r>
      <w:r w:rsidR="0072393C">
        <w:rPr>
          <w:rFonts w:cs="Arial"/>
          <w:noProof/>
          <w:szCs w:val="24"/>
        </w:rPr>
        <w:t>8</w:t>
      </w:r>
      <w:r w:rsidRPr="000E7F6D">
        <w:rPr>
          <w:rFonts w:cs="Arial"/>
          <w:szCs w:val="24"/>
        </w:rPr>
        <w:fldChar w:fldCharType="end"/>
      </w:r>
      <w:r w:rsidRPr="000E7F6D">
        <w:rPr>
          <w:rFonts w:cs="Arial"/>
          <w:szCs w:val="24"/>
        </w:rPr>
        <w:t>: Key competitors of Sainsbury</w:t>
      </w:r>
    </w:p>
    <w:p w14:paraId="7EC6E5DB" w14:textId="306562B3" w:rsidR="004321F7" w:rsidRPr="000E7F6D" w:rsidRDefault="004321F7" w:rsidP="00555CDC">
      <w:pPr>
        <w:jc w:val="center"/>
        <w:rPr>
          <w:rFonts w:cs="Arial"/>
          <w:b/>
          <w:i/>
          <w:iCs/>
          <w:szCs w:val="24"/>
        </w:rPr>
      </w:pPr>
      <w:r w:rsidRPr="000E7F6D">
        <w:rPr>
          <w:rFonts w:cs="Arial"/>
          <w:b/>
          <w:i/>
          <w:iCs/>
          <w:szCs w:val="24"/>
        </w:rPr>
        <w:t>(Source: Sainsbury, 2025)</w:t>
      </w:r>
    </w:p>
    <w:p w14:paraId="12B0D2D1" w14:textId="2431533E" w:rsidR="001D3C24" w:rsidRPr="00C57C8C" w:rsidRDefault="001D3C24" w:rsidP="00014170">
      <w:pPr>
        <w:rPr>
          <w:b/>
          <w:bCs/>
          <w:i/>
          <w:iCs/>
        </w:rPr>
      </w:pPr>
      <w:r w:rsidRPr="00C57C8C">
        <w:rPr>
          <w:b/>
          <w:bCs/>
          <w:i/>
          <w:iCs/>
        </w:rPr>
        <w:t>1.3.3 Internal Capability Review</w:t>
      </w:r>
      <w:r w:rsidR="00A76A62" w:rsidRPr="00C57C8C">
        <w:rPr>
          <w:b/>
          <w:bCs/>
          <w:i/>
          <w:iCs/>
        </w:rPr>
        <w:t>: VRIO</w:t>
      </w:r>
    </w:p>
    <w:p w14:paraId="6AE63746" w14:textId="08F53FA9" w:rsidR="00E62F1B" w:rsidRPr="000E7F6D" w:rsidRDefault="00FB5E21" w:rsidP="00014170">
      <w:pPr>
        <w:rPr>
          <w:rFonts w:cs="Arial"/>
          <w:szCs w:val="24"/>
        </w:rPr>
      </w:pPr>
      <w:r w:rsidRPr="000E7F6D">
        <w:rPr>
          <w:rFonts w:cs="Arial"/>
          <w:szCs w:val="24"/>
        </w:rPr>
        <w:lastRenderedPageBreak/>
        <w:t xml:space="preserve">VRIO framework analyses organisational resources in terms of their value, rarity, imitability, and their capacity to generate sustained advantage (The Strategy Institute, 2024). It would also be useful </w:t>
      </w:r>
      <w:r w:rsidR="00DD5B60" w:rsidRPr="000E7F6D">
        <w:rPr>
          <w:rFonts w:cs="Arial"/>
          <w:szCs w:val="24"/>
        </w:rPr>
        <w:t>for</w:t>
      </w:r>
      <w:r w:rsidRPr="000E7F6D">
        <w:rPr>
          <w:rFonts w:cs="Arial"/>
          <w:szCs w:val="24"/>
        </w:rPr>
        <w:t xml:space="preserve"> Sainsbury </w:t>
      </w:r>
      <w:r w:rsidR="00DD5B60" w:rsidRPr="000E7F6D">
        <w:rPr>
          <w:rFonts w:cs="Arial"/>
          <w:szCs w:val="24"/>
        </w:rPr>
        <w:t>to evaluate</w:t>
      </w:r>
      <w:r w:rsidRPr="000E7F6D">
        <w:rPr>
          <w:rFonts w:cs="Arial"/>
          <w:szCs w:val="24"/>
        </w:rPr>
        <w:t xml:space="preserve"> </w:t>
      </w:r>
      <w:r w:rsidR="00A501A6" w:rsidRPr="000E7F6D">
        <w:rPr>
          <w:rFonts w:cs="Arial"/>
          <w:szCs w:val="24"/>
        </w:rPr>
        <w:t xml:space="preserve">its </w:t>
      </w:r>
      <w:r w:rsidRPr="000E7F6D">
        <w:rPr>
          <w:rFonts w:cs="Arial"/>
          <w:szCs w:val="24"/>
        </w:rPr>
        <w:t>internal strengths to remain competitive in a crowded retail environment</w:t>
      </w:r>
      <w:r w:rsidR="00E62F1B" w:rsidRPr="000E7F6D">
        <w:rPr>
          <w:rFonts w:cs="Arial"/>
          <w:szCs w:val="24"/>
        </w:rPr>
        <w:t>.</w:t>
      </w:r>
    </w:p>
    <w:p w14:paraId="60D8602A" w14:textId="66CC5ECA" w:rsidR="00BF2E27" w:rsidRPr="000E7F6D" w:rsidRDefault="00BF2E27" w:rsidP="00555CDC">
      <w:pPr>
        <w:jc w:val="center"/>
        <w:rPr>
          <w:rFonts w:cs="Arial"/>
          <w:szCs w:val="24"/>
        </w:rPr>
      </w:pPr>
      <w:r w:rsidRPr="000E7F6D">
        <w:rPr>
          <w:rFonts w:cs="Arial"/>
          <w:noProof/>
          <w:szCs w:val="24"/>
        </w:rPr>
        <w:drawing>
          <wp:inline distT="0" distB="0" distL="0" distR="0" wp14:anchorId="495D4BD1" wp14:editId="1B40B78B">
            <wp:extent cx="2565997" cy="2560320"/>
            <wp:effectExtent l="0" t="0" r="6350" b="0"/>
            <wp:docPr id="1747547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547397" name=""/>
                    <pic:cNvPicPr/>
                  </pic:nvPicPr>
                  <pic:blipFill>
                    <a:blip r:embed="rId17"/>
                    <a:stretch>
                      <a:fillRect/>
                    </a:stretch>
                  </pic:blipFill>
                  <pic:spPr>
                    <a:xfrm>
                      <a:off x="0" y="0"/>
                      <a:ext cx="2571368" cy="2565679"/>
                    </a:xfrm>
                    <a:prstGeom prst="rect">
                      <a:avLst/>
                    </a:prstGeom>
                  </pic:spPr>
                </pic:pic>
              </a:graphicData>
            </a:graphic>
          </wp:inline>
        </w:drawing>
      </w:r>
    </w:p>
    <w:p w14:paraId="05C71292" w14:textId="69B48E3B" w:rsidR="00BF2E27" w:rsidRPr="000E7F6D" w:rsidRDefault="00BF2E27" w:rsidP="00555CDC">
      <w:pPr>
        <w:pStyle w:val="Caption"/>
        <w:spacing w:before="240" w:after="240"/>
        <w:jc w:val="center"/>
        <w:rPr>
          <w:rFonts w:cs="Arial"/>
          <w:szCs w:val="24"/>
        </w:rPr>
      </w:pPr>
      <w:r w:rsidRPr="000E7F6D">
        <w:rPr>
          <w:rFonts w:cs="Arial"/>
          <w:szCs w:val="24"/>
        </w:rPr>
        <w:t xml:space="preserve">Figure </w:t>
      </w:r>
      <w:r w:rsidRPr="000E7F6D">
        <w:rPr>
          <w:rFonts w:cs="Arial"/>
          <w:szCs w:val="24"/>
        </w:rPr>
        <w:fldChar w:fldCharType="begin"/>
      </w:r>
      <w:r w:rsidRPr="000E7F6D">
        <w:rPr>
          <w:rFonts w:cs="Arial"/>
          <w:szCs w:val="24"/>
        </w:rPr>
        <w:instrText xml:space="preserve"> SEQ Figure \* ARABIC </w:instrText>
      </w:r>
      <w:r w:rsidRPr="000E7F6D">
        <w:rPr>
          <w:rFonts w:cs="Arial"/>
          <w:szCs w:val="24"/>
        </w:rPr>
        <w:fldChar w:fldCharType="separate"/>
      </w:r>
      <w:r w:rsidR="0072393C">
        <w:rPr>
          <w:rFonts w:cs="Arial"/>
          <w:noProof/>
          <w:szCs w:val="24"/>
        </w:rPr>
        <w:t>9</w:t>
      </w:r>
      <w:r w:rsidRPr="000E7F6D">
        <w:rPr>
          <w:rFonts w:cs="Arial"/>
          <w:szCs w:val="24"/>
        </w:rPr>
        <w:fldChar w:fldCharType="end"/>
      </w:r>
      <w:r w:rsidRPr="000E7F6D">
        <w:rPr>
          <w:rFonts w:cs="Arial"/>
          <w:szCs w:val="24"/>
        </w:rPr>
        <w:t>: Factor of VRIO</w:t>
      </w:r>
    </w:p>
    <w:p w14:paraId="22D490AB" w14:textId="5FBB06D6" w:rsidR="00BF2E27" w:rsidRPr="000E7F6D" w:rsidRDefault="00BF2E27" w:rsidP="00555CDC">
      <w:pPr>
        <w:jc w:val="center"/>
        <w:rPr>
          <w:rFonts w:cs="Arial"/>
          <w:b/>
          <w:i/>
          <w:iCs/>
          <w:szCs w:val="24"/>
        </w:rPr>
      </w:pPr>
      <w:r w:rsidRPr="000E7F6D">
        <w:rPr>
          <w:rFonts w:cs="Arial"/>
          <w:b/>
          <w:i/>
          <w:iCs/>
          <w:szCs w:val="24"/>
        </w:rPr>
        <w:t xml:space="preserve">(Source: The Strategy Institute, </w:t>
      </w:r>
      <w:r w:rsidR="006C4791" w:rsidRPr="000E7F6D">
        <w:rPr>
          <w:rFonts w:cs="Arial"/>
          <w:b/>
          <w:i/>
          <w:iCs/>
          <w:szCs w:val="24"/>
        </w:rPr>
        <w:t>2024</w:t>
      </w:r>
      <w:r w:rsidRPr="000E7F6D">
        <w:rPr>
          <w:rFonts w:cs="Arial"/>
          <w:b/>
          <w:i/>
          <w:iCs/>
          <w:szCs w:val="24"/>
        </w:rPr>
        <w:t>)</w:t>
      </w:r>
    </w:p>
    <w:p w14:paraId="2F1E2DB6" w14:textId="6984990C" w:rsidR="00016191" w:rsidRPr="000E7F6D" w:rsidRDefault="00A54FC2" w:rsidP="00014170">
      <w:pPr>
        <w:rPr>
          <w:rFonts w:cs="Arial"/>
          <w:b/>
          <w:bCs/>
          <w:szCs w:val="24"/>
          <w:u w:val="single"/>
        </w:rPr>
      </w:pPr>
      <w:r w:rsidRPr="000E7F6D">
        <w:rPr>
          <w:rFonts w:cs="Arial"/>
          <w:b/>
          <w:bCs/>
          <w:szCs w:val="24"/>
          <w:u w:val="single"/>
        </w:rPr>
        <w:t>VRIO Table:</w:t>
      </w:r>
    </w:p>
    <w:tbl>
      <w:tblPr>
        <w:tblStyle w:val="GridTable5Dark-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4"/>
        <w:gridCol w:w="1200"/>
        <w:gridCol w:w="1054"/>
        <w:gridCol w:w="1337"/>
        <w:gridCol w:w="1403"/>
        <w:gridCol w:w="2542"/>
      </w:tblGrid>
      <w:tr w:rsidR="00B229EC" w:rsidRPr="000E7F6D" w14:paraId="3C38A0B8" w14:textId="77777777" w:rsidTr="00D47F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3" w:type="dxa"/>
            <w:tcBorders>
              <w:top w:val="none" w:sz="0" w:space="0" w:color="auto"/>
              <w:left w:val="none" w:sz="0" w:space="0" w:color="auto"/>
              <w:right w:val="none" w:sz="0" w:space="0" w:color="auto"/>
            </w:tcBorders>
            <w:hideMark/>
          </w:tcPr>
          <w:p w14:paraId="52C25598" w14:textId="77777777" w:rsidR="00B229EC" w:rsidRPr="00B229EC" w:rsidRDefault="00B229EC" w:rsidP="00014170">
            <w:pPr>
              <w:rPr>
                <w:rFonts w:cs="Arial"/>
                <w:szCs w:val="24"/>
                <w:lang w:val="en-IN"/>
              </w:rPr>
            </w:pPr>
            <w:r w:rsidRPr="00B229EC">
              <w:rPr>
                <w:rFonts w:cs="Arial"/>
                <w:szCs w:val="24"/>
                <w:lang w:val="en-IN"/>
              </w:rPr>
              <w:t>Resource / Capability</w:t>
            </w:r>
          </w:p>
        </w:tc>
        <w:tc>
          <w:tcPr>
            <w:tcW w:w="1202" w:type="dxa"/>
            <w:tcBorders>
              <w:top w:val="none" w:sz="0" w:space="0" w:color="auto"/>
              <w:left w:val="none" w:sz="0" w:space="0" w:color="auto"/>
              <w:right w:val="none" w:sz="0" w:space="0" w:color="auto"/>
            </w:tcBorders>
            <w:hideMark/>
          </w:tcPr>
          <w:p w14:paraId="045A8702" w14:textId="77777777" w:rsidR="00B229EC" w:rsidRPr="00B229EC" w:rsidRDefault="00B229EC" w:rsidP="00014170">
            <w:pPr>
              <w:cnfStyle w:val="100000000000" w:firstRow="1" w:lastRow="0" w:firstColumn="0" w:lastColumn="0" w:oddVBand="0" w:evenVBand="0" w:oddHBand="0" w:evenHBand="0" w:firstRowFirstColumn="0" w:firstRowLastColumn="0" w:lastRowFirstColumn="0" w:lastRowLastColumn="0"/>
              <w:rPr>
                <w:rFonts w:cs="Arial"/>
                <w:szCs w:val="24"/>
                <w:lang w:val="en-IN"/>
              </w:rPr>
            </w:pPr>
            <w:r w:rsidRPr="00B229EC">
              <w:rPr>
                <w:rFonts w:cs="Arial"/>
                <w:szCs w:val="24"/>
                <w:lang w:val="en-IN"/>
              </w:rPr>
              <w:t>Valuable</w:t>
            </w:r>
          </w:p>
        </w:tc>
        <w:tc>
          <w:tcPr>
            <w:tcW w:w="1134" w:type="dxa"/>
            <w:tcBorders>
              <w:top w:val="none" w:sz="0" w:space="0" w:color="auto"/>
              <w:left w:val="none" w:sz="0" w:space="0" w:color="auto"/>
              <w:right w:val="none" w:sz="0" w:space="0" w:color="auto"/>
            </w:tcBorders>
            <w:hideMark/>
          </w:tcPr>
          <w:p w14:paraId="1FFA0296" w14:textId="77777777" w:rsidR="00B229EC" w:rsidRPr="00B229EC" w:rsidRDefault="00B229EC" w:rsidP="00014170">
            <w:pPr>
              <w:cnfStyle w:val="100000000000" w:firstRow="1" w:lastRow="0" w:firstColumn="0" w:lastColumn="0" w:oddVBand="0" w:evenVBand="0" w:oddHBand="0" w:evenHBand="0" w:firstRowFirstColumn="0" w:firstRowLastColumn="0" w:lastRowFirstColumn="0" w:lastRowLastColumn="0"/>
              <w:rPr>
                <w:rFonts w:cs="Arial"/>
                <w:szCs w:val="24"/>
                <w:lang w:val="en-IN"/>
              </w:rPr>
            </w:pPr>
            <w:r w:rsidRPr="00B229EC">
              <w:rPr>
                <w:rFonts w:cs="Arial"/>
                <w:szCs w:val="24"/>
                <w:lang w:val="en-IN"/>
              </w:rPr>
              <w:t>Rare</w:t>
            </w:r>
          </w:p>
        </w:tc>
        <w:tc>
          <w:tcPr>
            <w:tcW w:w="1283" w:type="dxa"/>
            <w:tcBorders>
              <w:top w:val="none" w:sz="0" w:space="0" w:color="auto"/>
              <w:left w:val="none" w:sz="0" w:space="0" w:color="auto"/>
              <w:right w:val="none" w:sz="0" w:space="0" w:color="auto"/>
            </w:tcBorders>
            <w:hideMark/>
          </w:tcPr>
          <w:p w14:paraId="55420A6F" w14:textId="77777777" w:rsidR="00B229EC" w:rsidRPr="00B229EC" w:rsidRDefault="00B229EC" w:rsidP="00014170">
            <w:pPr>
              <w:cnfStyle w:val="100000000000" w:firstRow="1" w:lastRow="0" w:firstColumn="0" w:lastColumn="0" w:oddVBand="0" w:evenVBand="0" w:oddHBand="0" w:evenHBand="0" w:firstRowFirstColumn="0" w:firstRowLastColumn="0" w:lastRowFirstColumn="0" w:lastRowLastColumn="0"/>
              <w:rPr>
                <w:rFonts w:cs="Arial"/>
                <w:szCs w:val="24"/>
                <w:lang w:val="en-IN"/>
              </w:rPr>
            </w:pPr>
            <w:r w:rsidRPr="00B229EC">
              <w:rPr>
                <w:rFonts w:cs="Arial"/>
                <w:szCs w:val="24"/>
                <w:lang w:val="en-IN"/>
              </w:rPr>
              <w:t>Inimitable</w:t>
            </w:r>
          </w:p>
        </w:tc>
        <w:tc>
          <w:tcPr>
            <w:tcW w:w="1283" w:type="dxa"/>
            <w:tcBorders>
              <w:top w:val="none" w:sz="0" w:space="0" w:color="auto"/>
              <w:left w:val="none" w:sz="0" w:space="0" w:color="auto"/>
              <w:right w:val="none" w:sz="0" w:space="0" w:color="auto"/>
            </w:tcBorders>
            <w:hideMark/>
          </w:tcPr>
          <w:p w14:paraId="61972B46" w14:textId="77777777" w:rsidR="00B229EC" w:rsidRPr="00B229EC" w:rsidRDefault="00B229EC" w:rsidP="00014170">
            <w:pPr>
              <w:cnfStyle w:val="100000000000" w:firstRow="1" w:lastRow="0" w:firstColumn="0" w:lastColumn="0" w:oddVBand="0" w:evenVBand="0" w:oddHBand="0" w:evenHBand="0" w:firstRowFirstColumn="0" w:firstRowLastColumn="0" w:lastRowFirstColumn="0" w:lastRowLastColumn="0"/>
              <w:rPr>
                <w:rFonts w:cs="Arial"/>
                <w:szCs w:val="24"/>
                <w:lang w:val="en-IN"/>
              </w:rPr>
            </w:pPr>
            <w:r w:rsidRPr="00B229EC">
              <w:rPr>
                <w:rFonts w:cs="Arial"/>
                <w:szCs w:val="24"/>
                <w:lang w:val="en-IN"/>
              </w:rPr>
              <w:t>Organised</w:t>
            </w:r>
          </w:p>
        </w:tc>
        <w:tc>
          <w:tcPr>
            <w:tcW w:w="2791" w:type="dxa"/>
            <w:tcBorders>
              <w:top w:val="none" w:sz="0" w:space="0" w:color="auto"/>
              <w:left w:val="none" w:sz="0" w:space="0" w:color="auto"/>
              <w:right w:val="none" w:sz="0" w:space="0" w:color="auto"/>
            </w:tcBorders>
            <w:hideMark/>
          </w:tcPr>
          <w:p w14:paraId="7F640C4B" w14:textId="77777777" w:rsidR="00B229EC" w:rsidRPr="00B229EC" w:rsidRDefault="00B229EC" w:rsidP="00014170">
            <w:pPr>
              <w:cnfStyle w:val="100000000000" w:firstRow="1" w:lastRow="0" w:firstColumn="0" w:lastColumn="0" w:oddVBand="0" w:evenVBand="0" w:oddHBand="0" w:evenHBand="0" w:firstRowFirstColumn="0" w:firstRowLastColumn="0" w:lastRowFirstColumn="0" w:lastRowLastColumn="0"/>
              <w:rPr>
                <w:rFonts w:cs="Arial"/>
                <w:szCs w:val="24"/>
                <w:lang w:val="en-IN"/>
              </w:rPr>
            </w:pPr>
            <w:r w:rsidRPr="00B229EC">
              <w:rPr>
                <w:rFonts w:cs="Arial"/>
                <w:szCs w:val="24"/>
                <w:lang w:val="en-IN"/>
              </w:rPr>
              <w:t>Overall Competitive Advantage</w:t>
            </w:r>
          </w:p>
        </w:tc>
      </w:tr>
      <w:tr w:rsidR="00B229EC" w:rsidRPr="000E7F6D" w14:paraId="5AAC1695" w14:textId="77777777" w:rsidTr="00D47F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3" w:type="dxa"/>
            <w:tcBorders>
              <w:left w:val="none" w:sz="0" w:space="0" w:color="auto"/>
            </w:tcBorders>
            <w:hideMark/>
          </w:tcPr>
          <w:p w14:paraId="637A75E7" w14:textId="77777777" w:rsidR="00B229EC" w:rsidRPr="00B229EC" w:rsidRDefault="00B229EC" w:rsidP="00014170">
            <w:pPr>
              <w:rPr>
                <w:rFonts w:cs="Arial"/>
                <w:szCs w:val="24"/>
                <w:lang w:val="en-IN"/>
              </w:rPr>
            </w:pPr>
            <w:r w:rsidRPr="00B229EC">
              <w:rPr>
                <w:rFonts w:cs="Arial"/>
                <w:szCs w:val="24"/>
                <w:lang w:val="en-IN"/>
              </w:rPr>
              <w:t>Strong Brand Reputation</w:t>
            </w:r>
          </w:p>
        </w:tc>
        <w:tc>
          <w:tcPr>
            <w:tcW w:w="1202" w:type="dxa"/>
            <w:hideMark/>
          </w:tcPr>
          <w:p w14:paraId="6C0A0E8F" w14:textId="77777777" w:rsidR="00B229EC" w:rsidRPr="00B229EC" w:rsidRDefault="00B229EC" w:rsidP="00014170">
            <w:pPr>
              <w:cnfStyle w:val="000000100000" w:firstRow="0" w:lastRow="0" w:firstColumn="0" w:lastColumn="0" w:oddVBand="0" w:evenVBand="0" w:oddHBand="1" w:evenHBand="0" w:firstRowFirstColumn="0" w:firstRowLastColumn="0" w:lastRowFirstColumn="0" w:lastRowLastColumn="0"/>
              <w:rPr>
                <w:rFonts w:cs="Arial"/>
                <w:szCs w:val="24"/>
                <w:lang w:val="en-IN"/>
              </w:rPr>
            </w:pPr>
            <w:r w:rsidRPr="00B229EC">
              <w:rPr>
                <w:rFonts w:cs="Arial"/>
                <w:szCs w:val="24"/>
                <w:lang w:val="en-IN"/>
              </w:rPr>
              <w:t>Yes</w:t>
            </w:r>
          </w:p>
        </w:tc>
        <w:tc>
          <w:tcPr>
            <w:tcW w:w="1134" w:type="dxa"/>
            <w:hideMark/>
          </w:tcPr>
          <w:p w14:paraId="58DD7683" w14:textId="77777777" w:rsidR="00B229EC" w:rsidRPr="00B229EC" w:rsidRDefault="00B229EC" w:rsidP="00014170">
            <w:pPr>
              <w:cnfStyle w:val="000000100000" w:firstRow="0" w:lastRow="0" w:firstColumn="0" w:lastColumn="0" w:oddVBand="0" w:evenVBand="0" w:oddHBand="1" w:evenHBand="0" w:firstRowFirstColumn="0" w:firstRowLastColumn="0" w:lastRowFirstColumn="0" w:lastRowLastColumn="0"/>
              <w:rPr>
                <w:rFonts w:cs="Arial"/>
                <w:szCs w:val="24"/>
                <w:lang w:val="en-IN"/>
              </w:rPr>
            </w:pPr>
            <w:r w:rsidRPr="00B229EC">
              <w:rPr>
                <w:rFonts w:cs="Arial"/>
                <w:szCs w:val="24"/>
                <w:lang w:val="en-IN"/>
              </w:rPr>
              <w:t>No</w:t>
            </w:r>
          </w:p>
        </w:tc>
        <w:tc>
          <w:tcPr>
            <w:tcW w:w="1283" w:type="dxa"/>
            <w:hideMark/>
          </w:tcPr>
          <w:p w14:paraId="43187574" w14:textId="77777777" w:rsidR="00B229EC" w:rsidRPr="00B229EC" w:rsidRDefault="00B229EC" w:rsidP="00014170">
            <w:pPr>
              <w:cnfStyle w:val="000000100000" w:firstRow="0" w:lastRow="0" w:firstColumn="0" w:lastColumn="0" w:oddVBand="0" w:evenVBand="0" w:oddHBand="1" w:evenHBand="0" w:firstRowFirstColumn="0" w:firstRowLastColumn="0" w:lastRowFirstColumn="0" w:lastRowLastColumn="0"/>
              <w:rPr>
                <w:rFonts w:cs="Arial"/>
                <w:szCs w:val="24"/>
                <w:lang w:val="en-IN"/>
              </w:rPr>
            </w:pPr>
            <w:r w:rsidRPr="00B229EC">
              <w:rPr>
                <w:rFonts w:cs="Arial"/>
                <w:szCs w:val="24"/>
                <w:lang w:val="en-IN"/>
              </w:rPr>
              <w:t>No</w:t>
            </w:r>
          </w:p>
        </w:tc>
        <w:tc>
          <w:tcPr>
            <w:tcW w:w="1283" w:type="dxa"/>
            <w:hideMark/>
          </w:tcPr>
          <w:p w14:paraId="1C5EB244" w14:textId="77777777" w:rsidR="00B229EC" w:rsidRPr="00B229EC" w:rsidRDefault="00B229EC" w:rsidP="00014170">
            <w:pPr>
              <w:cnfStyle w:val="000000100000" w:firstRow="0" w:lastRow="0" w:firstColumn="0" w:lastColumn="0" w:oddVBand="0" w:evenVBand="0" w:oddHBand="1" w:evenHBand="0" w:firstRowFirstColumn="0" w:firstRowLastColumn="0" w:lastRowFirstColumn="0" w:lastRowLastColumn="0"/>
              <w:rPr>
                <w:rFonts w:cs="Arial"/>
                <w:szCs w:val="24"/>
                <w:lang w:val="en-IN"/>
              </w:rPr>
            </w:pPr>
            <w:r w:rsidRPr="00B229EC">
              <w:rPr>
                <w:rFonts w:cs="Arial"/>
                <w:szCs w:val="24"/>
                <w:lang w:val="en-IN"/>
              </w:rPr>
              <w:t>Yes</w:t>
            </w:r>
          </w:p>
        </w:tc>
        <w:tc>
          <w:tcPr>
            <w:tcW w:w="2791" w:type="dxa"/>
            <w:hideMark/>
          </w:tcPr>
          <w:p w14:paraId="77E9AD59" w14:textId="0A77CF3E" w:rsidR="00B229EC" w:rsidRPr="00B229EC" w:rsidRDefault="00B229EC" w:rsidP="00014170">
            <w:pPr>
              <w:cnfStyle w:val="000000100000" w:firstRow="0" w:lastRow="0" w:firstColumn="0" w:lastColumn="0" w:oddVBand="0" w:evenVBand="0" w:oddHBand="1" w:evenHBand="0" w:firstRowFirstColumn="0" w:firstRowLastColumn="0" w:lastRowFirstColumn="0" w:lastRowLastColumn="0"/>
              <w:rPr>
                <w:rFonts w:cs="Arial"/>
                <w:szCs w:val="24"/>
                <w:lang w:val="en-IN"/>
              </w:rPr>
            </w:pPr>
            <w:r w:rsidRPr="00B229EC">
              <w:rPr>
                <w:rFonts w:cs="Arial"/>
                <w:szCs w:val="24"/>
                <w:lang w:val="en-IN"/>
              </w:rPr>
              <w:t>Temporary Competitive</w:t>
            </w:r>
            <w:r w:rsidR="00D47F75" w:rsidRPr="000E7F6D">
              <w:rPr>
                <w:rFonts w:cs="Arial"/>
                <w:szCs w:val="24"/>
                <w:lang w:val="en-IN"/>
              </w:rPr>
              <w:t xml:space="preserve"> </w:t>
            </w:r>
            <w:r w:rsidRPr="00B229EC">
              <w:rPr>
                <w:rFonts w:cs="Arial"/>
                <w:szCs w:val="24"/>
                <w:lang w:val="en-IN"/>
              </w:rPr>
              <w:t>Advantage</w:t>
            </w:r>
          </w:p>
        </w:tc>
      </w:tr>
      <w:tr w:rsidR="00B229EC" w:rsidRPr="000E7F6D" w14:paraId="7500EB8F" w14:textId="77777777" w:rsidTr="00D47F75">
        <w:tc>
          <w:tcPr>
            <w:cnfStyle w:val="001000000000" w:firstRow="0" w:lastRow="0" w:firstColumn="1" w:lastColumn="0" w:oddVBand="0" w:evenVBand="0" w:oddHBand="0" w:evenHBand="0" w:firstRowFirstColumn="0" w:firstRowLastColumn="0" w:lastRowFirstColumn="0" w:lastRowLastColumn="0"/>
            <w:tcW w:w="1883" w:type="dxa"/>
            <w:tcBorders>
              <w:left w:val="none" w:sz="0" w:space="0" w:color="auto"/>
            </w:tcBorders>
            <w:hideMark/>
          </w:tcPr>
          <w:p w14:paraId="16EB37A9" w14:textId="77777777" w:rsidR="00B229EC" w:rsidRPr="00B229EC" w:rsidRDefault="00B229EC" w:rsidP="00014170">
            <w:pPr>
              <w:rPr>
                <w:rFonts w:cs="Arial"/>
                <w:szCs w:val="24"/>
                <w:lang w:val="en-IN"/>
              </w:rPr>
            </w:pPr>
            <w:r w:rsidRPr="00B229EC">
              <w:rPr>
                <w:rFonts w:cs="Arial"/>
                <w:szCs w:val="24"/>
                <w:lang w:val="en-IN"/>
              </w:rPr>
              <w:t>Extensive Supply Chain Network</w:t>
            </w:r>
          </w:p>
        </w:tc>
        <w:tc>
          <w:tcPr>
            <w:tcW w:w="1202" w:type="dxa"/>
            <w:hideMark/>
          </w:tcPr>
          <w:p w14:paraId="58C30697" w14:textId="77777777" w:rsidR="00B229EC" w:rsidRPr="00B229EC" w:rsidRDefault="00B229EC" w:rsidP="00014170">
            <w:pPr>
              <w:cnfStyle w:val="000000000000" w:firstRow="0" w:lastRow="0" w:firstColumn="0" w:lastColumn="0" w:oddVBand="0" w:evenVBand="0" w:oddHBand="0" w:evenHBand="0" w:firstRowFirstColumn="0" w:firstRowLastColumn="0" w:lastRowFirstColumn="0" w:lastRowLastColumn="0"/>
              <w:rPr>
                <w:rFonts w:cs="Arial"/>
                <w:szCs w:val="24"/>
                <w:lang w:val="en-IN"/>
              </w:rPr>
            </w:pPr>
            <w:r w:rsidRPr="00B229EC">
              <w:rPr>
                <w:rFonts w:cs="Arial"/>
                <w:szCs w:val="24"/>
                <w:lang w:val="en-IN"/>
              </w:rPr>
              <w:t>Yes</w:t>
            </w:r>
          </w:p>
        </w:tc>
        <w:tc>
          <w:tcPr>
            <w:tcW w:w="1134" w:type="dxa"/>
            <w:hideMark/>
          </w:tcPr>
          <w:p w14:paraId="4CE0B189" w14:textId="77777777" w:rsidR="00B229EC" w:rsidRPr="00B229EC" w:rsidRDefault="00B229EC" w:rsidP="00014170">
            <w:pPr>
              <w:cnfStyle w:val="000000000000" w:firstRow="0" w:lastRow="0" w:firstColumn="0" w:lastColumn="0" w:oddVBand="0" w:evenVBand="0" w:oddHBand="0" w:evenHBand="0" w:firstRowFirstColumn="0" w:firstRowLastColumn="0" w:lastRowFirstColumn="0" w:lastRowLastColumn="0"/>
              <w:rPr>
                <w:rFonts w:cs="Arial"/>
                <w:szCs w:val="24"/>
                <w:lang w:val="en-IN"/>
              </w:rPr>
            </w:pPr>
            <w:r w:rsidRPr="00B229EC">
              <w:rPr>
                <w:rFonts w:cs="Arial"/>
                <w:szCs w:val="24"/>
                <w:lang w:val="en-IN"/>
              </w:rPr>
              <w:t>Yes</w:t>
            </w:r>
          </w:p>
        </w:tc>
        <w:tc>
          <w:tcPr>
            <w:tcW w:w="1283" w:type="dxa"/>
            <w:hideMark/>
          </w:tcPr>
          <w:p w14:paraId="6307B713" w14:textId="77777777" w:rsidR="00B229EC" w:rsidRPr="00B229EC" w:rsidRDefault="00B229EC" w:rsidP="00014170">
            <w:pPr>
              <w:cnfStyle w:val="000000000000" w:firstRow="0" w:lastRow="0" w:firstColumn="0" w:lastColumn="0" w:oddVBand="0" w:evenVBand="0" w:oddHBand="0" w:evenHBand="0" w:firstRowFirstColumn="0" w:firstRowLastColumn="0" w:lastRowFirstColumn="0" w:lastRowLastColumn="0"/>
              <w:rPr>
                <w:rFonts w:cs="Arial"/>
                <w:szCs w:val="24"/>
                <w:lang w:val="en-IN"/>
              </w:rPr>
            </w:pPr>
            <w:r w:rsidRPr="00B229EC">
              <w:rPr>
                <w:rFonts w:cs="Arial"/>
                <w:szCs w:val="24"/>
                <w:lang w:val="en-IN"/>
              </w:rPr>
              <w:t>Moderate</w:t>
            </w:r>
          </w:p>
        </w:tc>
        <w:tc>
          <w:tcPr>
            <w:tcW w:w="1283" w:type="dxa"/>
            <w:hideMark/>
          </w:tcPr>
          <w:p w14:paraId="3A0739BB" w14:textId="77777777" w:rsidR="00B229EC" w:rsidRPr="00B229EC" w:rsidRDefault="00B229EC" w:rsidP="00014170">
            <w:pPr>
              <w:cnfStyle w:val="000000000000" w:firstRow="0" w:lastRow="0" w:firstColumn="0" w:lastColumn="0" w:oddVBand="0" w:evenVBand="0" w:oddHBand="0" w:evenHBand="0" w:firstRowFirstColumn="0" w:firstRowLastColumn="0" w:lastRowFirstColumn="0" w:lastRowLastColumn="0"/>
              <w:rPr>
                <w:rFonts w:cs="Arial"/>
                <w:szCs w:val="24"/>
                <w:lang w:val="en-IN"/>
              </w:rPr>
            </w:pPr>
            <w:r w:rsidRPr="00B229EC">
              <w:rPr>
                <w:rFonts w:cs="Arial"/>
                <w:szCs w:val="24"/>
                <w:lang w:val="en-IN"/>
              </w:rPr>
              <w:t>Yes</w:t>
            </w:r>
          </w:p>
        </w:tc>
        <w:tc>
          <w:tcPr>
            <w:tcW w:w="2791" w:type="dxa"/>
            <w:hideMark/>
          </w:tcPr>
          <w:p w14:paraId="423E8F01" w14:textId="77777777" w:rsidR="00B229EC" w:rsidRPr="00B229EC" w:rsidRDefault="00B229EC" w:rsidP="00014170">
            <w:pPr>
              <w:cnfStyle w:val="000000000000" w:firstRow="0" w:lastRow="0" w:firstColumn="0" w:lastColumn="0" w:oddVBand="0" w:evenVBand="0" w:oddHBand="0" w:evenHBand="0" w:firstRowFirstColumn="0" w:firstRowLastColumn="0" w:lastRowFirstColumn="0" w:lastRowLastColumn="0"/>
              <w:rPr>
                <w:rFonts w:cs="Arial"/>
                <w:szCs w:val="24"/>
                <w:lang w:val="en-IN"/>
              </w:rPr>
            </w:pPr>
            <w:r w:rsidRPr="00B229EC">
              <w:rPr>
                <w:rFonts w:cs="Arial"/>
                <w:szCs w:val="24"/>
                <w:lang w:val="en-IN"/>
              </w:rPr>
              <w:t>Sustained Competitive Advantage</w:t>
            </w:r>
          </w:p>
        </w:tc>
      </w:tr>
      <w:tr w:rsidR="00B229EC" w:rsidRPr="000E7F6D" w14:paraId="38B150D0" w14:textId="77777777" w:rsidTr="00D47F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3" w:type="dxa"/>
            <w:tcBorders>
              <w:left w:val="none" w:sz="0" w:space="0" w:color="auto"/>
            </w:tcBorders>
            <w:hideMark/>
          </w:tcPr>
          <w:p w14:paraId="3F59B0C1" w14:textId="77777777" w:rsidR="00B229EC" w:rsidRPr="00B229EC" w:rsidRDefault="00B229EC" w:rsidP="00014170">
            <w:pPr>
              <w:rPr>
                <w:rFonts w:cs="Arial"/>
                <w:szCs w:val="24"/>
                <w:lang w:val="en-IN"/>
              </w:rPr>
            </w:pPr>
            <w:r w:rsidRPr="00B229EC">
              <w:rPr>
                <w:rFonts w:cs="Arial"/>
                <w:szCs w:val="24"/>
                <w:lang w:val="en-IN"/>
              </w:rPr>
              <w:lastRenderedPageBreak/>
              <w:t>Digital and Online Platform</w:t>
            </w:r>
          </w:p>
        </w:tc>
        <w:tc>
          <w:tcPr>
            <w:tcW w:w="1202" w:type="dxa"/>
            <w:hideMark/>
          </w:tcPr>
          <w:p w14:paraId="6EDEB3DA" w14:textId="77777777" w:rsidR="00B229EC" w:rsidRPr="00B229EC" w:rsidRDefault="00B229EC" w:rsidP="00014170">
            <w:pPr>
              <w:cnfStyle w:val="000000100000" w:firstRow="0" w:lastRow="0" w:firstColumn="0" w:lastColumn="0" w:oddVBand="0" w:evenVBand="0" w:oddHBand="1" w:evenHBand="0" w:firstRowFirstColumn="0" w:firstRowLastColumn="0" w:lastRowFirstColumn="0" w:lastRowLastColumn="0"/>
              <w:rPr>
                <w:rFonts w:cs="Arial"/>
                <w:szCs w:val="24"/>
                <w:lang w:val="en-IN"/>
              </w:rPr>
            </w:pPr>
            <w:r w:rsidRPr="00B229EC">
              <w:rPr>
                <w:rFonts w:cs="Arial"/>
                <w:szCs w:val="24"/>
                <w:lang w:val="en-IN"/>
              </w:rPr>
              <w:t>Yes</w:t>
            </w:r>
          </w:p>
        </w:tc>
        <w:tc>
          <w:tcPr>
            <w:tcW w:w="1134" w:type="dxa"/>
            <w:hideMark/>
          </w:tcPr>
          <w:p w14:paraId="70A6A6EE" w14:textId="77777777" w:rsidR="00B229EC" w:rsidRPr="00B229EC" w:rsidRDefault="00B229EC" w:rsidP="00014170">
            <w:pPr>
              <w:cnfStyle w:val="000000100000" w:firstRow="0" w:lastRow="0" w:firstColumn="0" w:lastColumn="0" w:oddVBand="0" w:evenVBand="0" w:oddHBand="1" w:evenHBand="0" w:firstRowFirstColumn="0" w:firstRowLastColumn="0" w:lastRowFirstColumn="0" w:lastRowLastColumn="0"/>
              <w:rPr>
                <w:rFonts w:cs="Arial"/>
                <w:szCs w:val="24"/>
                <w:lang w:val="en-IN"/>
              </w:rPr>
            </w:pPr>
            <w:r w:rsidRPr="00B229EC">
              <w:rPr>
                <w:rFonts w:cs="Arial"/>
                <w:szCs w:val="24"/>
                <w:lang w:val="en-IN"/>
              </w:rPr>
              <w:t>No</w:t>
            </w:r>
          </w:p>
        </w:tc>
        <w:tc>
          <w:tcPr>
            <w:tcW w:w="1283" w:type="dxa"/>
            <w:hideMark/>
          </w:tcPr>
          <w:p w14:paraId="445EF8AA" w14:textId="77777777" w:rsidR="00B229EC" w:rsidRPr="00B229EC" w:rsidRDefault="00B229EC" w:rsidP="00014170">
            <w:pPr>
              <w:cnfStyle w:val="000000100000" w:firstRow="0" w:lastRow="0" w:firstColumn="0" w:lastColumn="0" w:oddVBand="0" w:evenVBand="0" w:oddHBand="1" w:evenHBand="0" w:firstRowFirstColumn="0" w:firstRowLastColumn="0" w:lastRowFirstColumn="0" w:lastRowLastColumn="0"/>
              <w:rPr>
                <w:rFonts w:cs="Arial"/>
                <w:szCs w:val="24"/>
                <w:lang w:val="en-IN"/>
              </w:rPr>
            </w:pPr>
            <w:r w:rsidRPr="00B229EC">
              <w:rPr>
                <w:rFonts w:cs="Arial"/>
                <w:szCs w:val="24"/>
                <w:lang w:val="en-IN"/>
              </w:rPr>
              <w:t>Moderate</w:t>
            </w:r>
          </w:p>
        </w:tc>
        <w:tc>
          <w:tcPr>
            <w:tcW w:w="1283" w:type="dxa"/>
            <w:hideMark/>
          </w:tcPr>
          <w:p w14:paraId="0A766382" w14:textId="77777777" w:rsidR="00B229EC" w:rsidRPr="00B229EC" w:rsidRDefault="00B229EC" w:rsidP="00014170">
            <w:pPr>
              <w:cnfStyle w:val="000000100000" w:firstRow="0" w:lastRow="0" w:firstColumn="0" w:lastColumn="0" w:oddVBand="0" w:evenVBand="0" w:oddHBand="1" w:evenHBand="0" w:firstRowFirstColumn="0" w:firstRowLastColumn="0" w:lastRowFirstColumn="0" w:lastRowLastColumn="0"/>
              <w:rPr>
                <w:rFonts w:cs="Arial"/>
                <w:szCs w:val="24"/>
                <w:lang w:val="en-IN"/>
              </w:rPr>
            </w:pPr>
            <w:r w:rsidRPr="00B229EC">
              <w:rPr>
                <w:rFonts w:cs="Arial"/>
                <w:szCs w:val="24"/>
                <w:lang w:val="en-IN"/>
              </w:rPr>
              <w:t>Yes</w:t>
            </w:r>
          </w:p>
        </w:tc>
        <w:tc>
          <w:tcPr>
            <w:tcW w:w="2791" w:type="dxa"/>
            <w:hideMark/>
          </w:tcPr>
          <w:p w14:paraId="7AD42C38" w14:textId="77777777" w:rsidR="00B229EC" w:rsidRPr="00B229EC" w:rsidRDefault="00B229EC" w:rsidP="00014170">
            <w:pPr>
              <w:cnfStyle w:val="000000100000" w:firstRow="0" w:lastRow="0" w:firstColumn="0" w:lastColumn="0" w:oddVBand="0" w:evenVBand="0" w:oddHBand="1" w:evenHBand="0" w:firstRowFirstColumn="0" w:firstRowLastColumn="0" w:lastRowFirstColumn="0" w:lastRowLastColumn="0"/>
              <w:rPr>
                <w:rFonts w:cs="Arial"/>
                <w:szCs w:val="24"/>
                <w:lang w:val="en-IN"/>
              </w:rPr>
            </w:pPr>
            <w:r w:rsidRPr="00B229EC">
              <w:rPr>
                <w:rFonts w:cs="Arial"/>
                <w:szCs w:val="24"/>
                <w:lang w:val="en-IN"/>
              </w:rPr>
              <w:t>Temporary Competitive Advantage</w:t>
            </w:r>
          </w:p>
        </w:tc>
      </w:tr>
      <w:tr w:rsidR="00B229EC" w:rsidRPr="000E7F6D" w14:paraId="57813331" w14:textId="77777777" w:rsidTr="00D47F75">
        <w:tc>
          <w:tcPr>
            <w:cnfStyle w:val="001000000000" w:firstRow="0" w:lastRow="0" w:firstColumn="1" w:lastColumn="0" w:oddVBand="0" w:evenVBand="0" w:oddHBand="0" w:evenHBand="0" w:firstRowFirstColumn="0" w:firstRowLastColumn="0" w:lastRowFirstColumn="0" w:lastRowLastColumn="0"/>
            <w:tcW w:w="1883" w:type="dxa"/>
            <w:tcBorders>
              <w:left w:val="none" w:sz="0" w:space="0" w:color="auto"/>
            </w:tcBorders>
            <w:hideMark/>
          </w:tcPr>
          <w:p w14:paraId="057607C5" w14:textId="3156216A" w:rsidR="00B229EC" w:rsidRPr="00B229EC" w:rsidRDefault="00B229EC" w:rsidP="00014170">
            <w:pPr>
              <w:rPr>
                <w:rFonts w:cs="Arial"/>
                <w:szCs w:val="24"/>
                <w:lang w:val="en-IN"/>
              </w:rPr>
            </w:pPr>
            <w:r w:rsidRPr="00B229EC">
              <w:rPr>
                <w:rFonts w:cs="Arial"/>
                <w:szCs w:val="24"/>
                <w:lang w:val="en-IN"/>
              </w:rPr>
              <w:t xml:space="preserve">Argos Integration </w:t>
            </w:r>
          </w:p>
        </w:tc>
        <w:tc>
          <w:tcPr>
            <w:tcW w:w="1202" w:type="dxa"/>
            <w:hideMark/>
          </w:tcPr>
          <w:p w14:paraId="1C14B9A1" w14:textId="77777777" w:rsidR="00B229EC" w:rsidRPr="00B229EC" w:rsidRDefault="00B229EC" w:rsidP="00014170">
            <w:pPr>
              <w:cnfStyle w:val="000000000000" w:firstRow="0" w:lastRow="0" w:firstColumn="0" w:lastColumn="0" w:oddVBand="0" w:evenVBand="0" w:oddHBand="0" w:evenHBand="0" w:firstRowFirstColumn="0" w:firstRowLastColumn="0" w:lastRowFirstColumn="0" w:lastRowLastColumn="0"/>
              <w:rPr>
                <w:rFonts w:cs="Arial"/>
                <w:szCs w:val="24"/>
                <w:lang w:val="en-IN"/>
              </w:rPr>
            </w:pPr>
            <w:r w:rsidRPr="00B229EC">
              <w:rPr>
                <w:rFonts w:cs="Arial"/>
                <w:szCs w:val="24"/>
                <w:lang w:val="en-IN"/>
              </w:rPr>
              <w:t>Yes</w:t>
            </w:r>
          </w:p>
        </w:tc>
        <w:tc>
          <w:tcPr>
            <w:tcW w:w="1134" w:type="dxa"/>
            <w:hideMark/>
          </w:tcPr>
          <w:p w14:paraId="62221DA4" w14:textId="77777777" w:rsidR="00B229EC" w:rsidRPr="00B229EC" w:rsidRDefault="00B229EC" w:rsidP="00014170">
            <w:pPr>
              <w:cnfStyle w:val="000000000000" w:firstRow="0" w:lastRow="0" w:firstColumn="0" w:lastColumn="0" w:oddVBand="0" w:evenVBand="0" w:oddHBand="0" w:evenHBand="0" w:firstRowFirstColumn="0" w:firstRowLastColumn="0" w:lastRowFirstColumn="0" w:lastRowLastColumn="0"/>
              <w:rPr>
                <w:rFonts w:cs="Arial"/>
                <w:szCs w:val="24"/>
                <w:lang w:val="en-IN"/>
              </w:rPr>
            </w:pPr>
            <w:r w:rsidRPr="00B229EC">
              <w:rPr>
                <w:rFonts w:cs="Arial"/>
                <w:szCs w:val="24"/>
                <w:lang w:val="en-IN"/>
              </w:rPr>
              <w:t>Yes</w:t>
            </w:r>
          </w:p>
        </w:tc>
        <w:tc>
          <w:tcPr>
            <w:tcW w:w="1283" w:type="dxa"/>
            <w:hideMark/>
          </w:tcPr>
          <w:p w14:paraId="51D819B5" w14:textId="77777777" w:rsidR="00B229EC" w:rsidRPr="00B229EC" w:rsidRDefault="00B229EC" w:rsidP="00014170">
            <w:pPr>
              <w:cnfStyle w:val="000000000000" w:firstRow="0" w:lastRow="0" w:firstColumn="0" w:lastColumn="0" w:oddVBand="0" w:evenVBand="0" w:oddHBand="0" w:evenHBand="0" w:firstRowFirstColumn="0" w:firstRowLastColumn="0" w:lastRowFirstColumn="0" w:lastRowLastColumn="0"/>
              <w:rPr>
                <w:rFonts w:cs="Arial"/>
                <w:szCs w:val="24"/>
                <w:lang w:val="en-IN"/>
              </w:rPr>
            </w:pPr>
            <w:r w:rsidRPr="00B229EC">
              <w:rPr>
                <w:rFonts w:cs="Arial"/>
                <w:szCs w:val="24"/>
                <w:lang w:val="en-IN"/>
              </w:rPr>
              <w:t>Yes</w:t>
            </w:r>
          </w:p>
        </w:tc>
        <w:tc>
          <w:tcPr>
            <w:tcW w:w="1283" w:type="dxa"/>
            <w:hideMark/>
          </w:tcPr>
          <w:p w14:paraId="6A5F1BA1" w14:textId="77777777" w:rsidR="00B229EC" w:rsidRPr="00B229EC" w:rsidRDefault="00B229EC" w:rsidP="00014170">
            <w:pPr>
              <w:cnfStyle w:val="000000000000" w:firstRow="0" w:lastRow="0" w:firstColumn="0" w:lastColumn="0" w:oddVBand="0" w:evenVBand="0" w:oddHBand="0" w:evenHBand="0" w:firstRowFirstColumn="0" w:firstRowLastColumn="0" w:lastRowFirstColumn="0" w:lastRowLastColumn="0"/>
              <w:rPr>
                <w:rFonts w:cs="Arial"/>
                <w:szCs w:val="24"/>
                <w:lang w:val="en-IN"/>
              </w:rPr>
            </w:pPr>
            <w:r w:rsidRPr="00B229EC">
              <w:rPr>
                <w:rFonts w:cs="Arial"/>
                <w:szCs w:val="24"/>
                <w:lang w:val="en-IN"/>
              </w:rPr>
              <w:t>Yes</w:t>
            </w:r>
          </w:p>
        </w:tc>
        <w:tc>
          <w:tcPr>
            <w:tcW w:w="2791" w:type="dxa"/>
            <w:hideMark/>
          </w:tcPr>
          <w:p w14:paraId="5DB3D863" w14:textId="77777777" w:rsidR="00B229EC" w:rsidRPr="00B229EC" w:rsidRDefault="00B229EC" w:rsidP="00014170">
            <w:pPr>
              <w:cnfStyle w:val="000000000000" w:firstRow="0" w:lastRow="0" w:firstColumn="0" w:lastColumn="0" w:oddVBand="0" w:evenVBand="0" w:oddHBand="0" w:evenHBand="0" w:firstRowFirstColumn="0" w:firstRowLastColumn="0" w:lastRowFirstColumn="0" w:lastRowLastColumn="0"/>
              <w:rPr>
                <w:rFonts w:cs="Arial"/>
                <w:szCs w:val="24"/>
                <w:lang w:val="en-IN"/>
              </w:rPr>
            </w:pPr>
            <w:r w:rsidRPr="00B229EC">
              <w:rPr>
                <w:rFonts w:cs="Arial"/>
                <w:szCs w:val="24"/>
                <w:lang w:val="en-IN"/>
              </w:rPr>
              <w:t>Sustained Competitive Advantage</w:t>
            </w:r>
          </w:p>
        </w:tc>
      </w:tr>
      <w:tr w:rsidR="00B229EC" w:rsidRPr="000E7F6D" w14:paraId="591FAF9D" w14:textId="77777777" w:rsidTr="00D47F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3" w:type="dxa"/>
            <w:tcBorders>
              <w:left w:val="none" w:sz="0" w:space="0" w:color="auto"/>
              <w:bottom w:val="none" w:sz="0" w:space="0" w:color="auto"/>
            </w:tcBorders>
            <w:hideMark/>
          </w:tcPr>
          <w:p w14:paraId="1295C7DA" w14:textId="504CB992" w:rsidR="00B229EC" w:rsidRPr="00B229EC" w:rsidRDefault="00B229EC" w:rsidP="00014170">
            <w:pPr>
              <w:rPr>
                <w:rFonts w:cs="Arial"/>
                <w:szCs w:val="24"/>
                <w:lang w:val="en-IN"/>
              </w:rPr>
            </w:pPr>
            <w:r w:rsidRPr="00B229EC">
              <w:rPr>
                <w:rFonts w:cs="Arial"/>
                <w:szCs w:val="24"/>
                <w:lang w:val="en-IN"/>
              </w:rPr>
              <w:t xml:space="preserve">Customer Loyalty Programme </w:t>
            </w:r>
          </w:p>
        </w:tc>
        <w:tc>
          <w:tcPr>
            <w:tcW w:w="1202" w:type="dxa"/>
            <w:hideMark/>
          </w:tcPr>
          <w:p w14:paraId="1720C300" w14:textId="77777777" w:rsidR="00B229EC" w:rsidRPr="00B229EC" w:rsidRDefault="00B229EC" w:rsidP="00014170">
            <w:pPr>
              <w:cnfStyle w:val="000000100000" w:firstRow="0" w:lastRow="0" w:firstColumn="0" w:lastColumn="0" w:oddVBand="0" w:evenVBand="0" w:oddHBand="1" w:evenHBand="0" w:firstRowFirstColumn="0" w:firstRowLastColumn="0" w:lastRowFirstColumn="0" w:lastRowLastColumn="0"/>
              <w:rPr>
                <w:rFonts w:cs="Arial"/>
                <w:szCs w:val="24"/>
                <w:lang w:val="en-IN"/>
              </w:rPr>
            </w:pPr>
            <w:r w:rsidRPr="00B229EC">
              <w:rPr>
                <w:rFonts w:cs="Arial"/>
                <w:szCs w:val="24"/>
                <w:lang w:val="en-IN"/>
              </w:rPr>
              <w:t>Yes</w:t>
            </w:r>
          </w:p>
        </w:tc>
        <w:tc>
          <w:tcPr>
            <w:tcW w:w="1134" w:type="dxa"/>
            <w:hideMark/>
          </w:tcPr>
          <w:p w14:paraId="5EE59171" w14:textId="77777777" w:rsidR="00B229EC" w:rsidRPr="00B229EC" w:rsidRDefault="00B229EC" w:rsidP="00014170">
            <w:pPr>
              <w:cnfStyle w:val="000000100000" w:firstRow="0" w:lastRow="0" w:firstColumn="0" w:lastColumn="0" w:oddVBand="0" w:evenVBand="0" w:oddHBand="1" w:evenHBand="0" w:firstRowFirstColumn="0" w:firstRowLastColumn="0" w:lastRowFirstColumn="0" w:lastRowLastColumn="0"/>
              <w:rPr>
                <w:rFonts w:cs="Arial"/>
                <w:szCs w:val="24"/>
                <w:lang w:val="en-IN"/>
              </w:rPr>
            </w:pPr>
            <w:r w:rsidRPr="00B229EC">
              <w:rPr>
                <w:rFonts w:cs="Arial"/>
                <w:szCs w:val="24"/>
                <w:lang w:val="en-IN"/>
              </w:rPr>
              <w:t>No</w:t>
            </w:r>
          </w:p>
        </w:tc>
        <w:tc>
          <w:tcPr>
            <w:tcW w:w="1283" w:type="dxa"/>
            <w:hideMark/>
          </w:tcPr>
          <w:p w14:paraId="28098FF7" w14:textId="77777777" w:rsidR="00B229EC" w:rsidRPr="00B229EC" w:rsidRDefault="00B229EC" w:rsidP="00014170">
            <w:pPr>
              <w:cnfStyle w:val="000000100000" w:firstRow="0" w:lastRow="0" w:firstColumn="0" w:lastColumn="0" w:oddVBand="0" w:evenVBand="0" w:oddHBand="1" w:evenHBand="0" w:firstRowFirstColumn="0" w:firstRowLastColumn="0" w:lastRowFirstColumn="0" w:lastRowLastColumn="0"/>
              <w:rPr>
                <w:rFonts w:cs="Arial"/>
                <w:szCs w:val="24"/>
                <w:lang w:val="en-IN"/>
              </w:rPr>
            </w:pPr>
            <w:r w:rsidRPr="00B229EC">
              <w:rPr>
                <w:rFonts w:cs="Arial"/>
                <w:szCs w:val="24"/>
                <w:lang w:val="en-IN"/>
              </w:rPr>
              <w:t>No</w:t>
            </w:r>
          </w:p>
        </w:tc>
        <w:tc>
          <w:tcPr>
            <w:tcW w:w="1283" w:type="dxa"/>
            <w:hideMark/>
          </w:tcPr>
          <w:p w14:paraId="11E4D07F" w14:textId="77777777" w:rsidR="00B229EC" w:rsidRPr="00B229EC" w:rsidRDefault="00B229EC" w:rsidP="00014170">
            <w:pPr>
              <w:cnfStyle w:val="000000100000" w:firstRow="0" w:lastRow="0" w:firstColumn="0" w:lastColumn="0" w:oddVBand="0" w:evenVBand="0" w:oddHBand="1" w:evenHBand="0" w:firstRowFirstColumn="0" w:firstRowLastColumn="0" w:lastRowFirstColumn="0" w:lastRowLastColumn="0"/>
              <w:rPr>
                <w:rFonts w:cs="Arial"/>
                <w:szCs w:val="24"/>
                <w:lang w:val="en-IN"/>
              </w:rPr>
            </w:pPr>
            <w:r w:rsidRPr="00B229EC">
              <w:rPr>
                <w:rFonts w:cs="Arial"/>
                <w:szCs w:val="24"/>
                <w:lang w:val="en-IN"/>
              </w:rPr>
              <w:t>Yes</w:t>
            </w:r>
          </w:p>
        </w:tc>
        <w:tc>
          <w:tcPr>
            <w:tcW w:w="2791" w:type="dxa"/>
            <w:hideMark/>
          </w:tcPr>
          <w:p w14:paraId="121F62D8" w14:textId="77777777" w:rsidR="00B229EC" w:rsidRPr="00B229EC" w:rsidRDefault="00B229EC" w:rsidP="00014170">
            <w:pPr>
              <w:cnfStyle w:val="000000100000" w:firstRow="0" w:lastRow="0" w:firstColumn="0" w:lastColumn="0" w:oddVBand="0" w:evenVBand="0" w:oddHBand="1" w:evenHBand="0" w:firstRowFirstColumn="0" w:firstRowLastColumn="0" w:lastRowFirstColumn="0" w:lastRowLastColumn="0"/>
              <w:rPr>
                <w:rFonts w:cs="Arial"/>
                <w:szCs w:val="24"/>
                <w:lang w:val="en-IN"/>
              </w:rPr>
            </w:pPr>
            <w:r w:rsidRPr="00B229EC">
              <w:rPr>
                <w:rFonts w:cs="Arial"/>
                <w:szCs w:val="24"/>
                <w:lang w:val="en-IN"/>
              </w:rPr>
              <w:t>Competitive Parity</w:t>
            </w:r>
          </w:p>
        </w:tc>
      </w:tr>
    </w:tbl>
    <w:p w14:paraId="0E8FE32D" w14:textId="304DE4A5" w:rsidR="00776219" w:rsidRPr="00776219" w:rsidRDefault="00227FBC" w:rsidP="00014170">
      <w:pPr>
        <w:rPr>
          <w:rFonts w:cs="Arial"/>
          <w:szCs w:val="24"/>
          <w:lang w:val="en-IN"/>
        </w:rPr>
      </w:pPr>
      <w:r w:rsidRPr="000E7F6D">
        <w:rPr>
          <w:rFonts w:cs="Arial"/>
          <w:szCs w:val="24"/>
          <w:lang w:val="en-IN"/>
        </w:rPr>
        <w:t xml:space="preserve">As demonstrated in the table above, the company has a combination of resources that gives it both a </w:t>
      </w:r>
      <w:r w:rsidR="00DD5B60" w:rsidRPr="000E7F6D">
        <w:rPr>
          <w:rFonts w:cs="Arial"/>
          <w:szCs w:val="24"/>
          <w:lang w:val="en-IN"/>
        </w:rPr>
        <w:t>short-run</w:t>
      </w:r>
      <w:r w:rsidRPr="000E7F6D">
        <w:rPr>
          <w:rFonts w:cs="Arial"/>
          <w:szCs w:val="24"/>
          <w:lang w:val="en-IN"/>
        </w:rPr>
        <w:t xml:space="preserve"> competitive advantage and </w:t>
      </w:r>
      <w:r w:rsidR="00DD5B60" w:rsidRPr="000E7F6D">
        <w:rPr>
          <w:rFonts w:cs="Arial"/>
          <w:szCs w:val="24"/>
          <w:lang w:val="en-IN"/>
        </w:rPr>
        <w:t>a long-run</w:t>
      </w:r>
      <w:r w:rsidRPr="000E7F6D">
        <w:rPr>
          <w:rFonts w:cs="Arial"/>
          <w:szCs w:val="24"/>
          <w:lang w:val="en-IN"/>
        </w:rPr>
        <w:t xml:space="preserve"> competitive advantage. The good brand image of Sainsbury is an asset that provides trust and loyalty</w:t>
      </w:r>
      <w:r w:rsidR="00DD5B60" w:rsidRPr="000E7F6D">
        <w:rPr>
          <w:rFonts w:cs="Arial"/>
          <w:szCs w:val="24"/>
          <w:lang w:val="en-IN"/>
        </w:rPr>
        <w:t>,</w:t>
      </w:r>
      <w:r w:rsidRPr="000E7F6D">
        <w:rPr>
          <w:rFonts w:cs="Arial"/>
          <w:szCs w:val="24"/>
          <w:lang w:val="en-IN"/>
        </w:rPr>
        <w:t xml:space="preserve"> but not unique</w:t>
      </w:r>
      <w:r w:rsidR="00DD5B60" w:rsidRPr="000E7F6D">
        <w:rPr>
          <w:rFonts w:cs="Arial"/>
          <w:szCs w:val="24"/>
          <w:lang w:val="en-IN"/>
        </w:rPr>
        <w:t>,</w:t>
      </w:r>
      <w:r w:rsidRPr="000E7F6D">
        <w:rPr>
          <w:rFonts w:cs="Arial"/>
          <w:szCs w:val="24"/>
          <w:lang w:val="en-IN"/>
        </w:rPr>
        <w:t xml:space="preserve"> as the competitors have successfully established themselves as a </w:t>
      </w:r>
      <w:r w:rsidR="00A8471B" w:rsidRPr="000E7F6D">
        <w:rPr>
          <w:rFonts w:cs="Arial"/>
          <w:szCs w:val="24"/>
          <w:lang w:val="en-IN"/>
        </w:rPr>
        <w:t>well-established</w:t>
      </w:r>
      <w:r w:rsidRPr="000E7F6D">
        <w:rPr>
          <w:rFonts w:cs="Arial"/>
          <w:szCs w:val="24"/>
          <w:lang w:val="en-IN"/>
        </w:rPr>
        <w:t xml:space="preserve"> </w:t>
      </w:r>
      <w:r w:rsidR="00DD5B60" w:rsidRPr="000E7F6D">
        <w:rPr>
          <w:rFonts w:cs="Arial"/>
          <w:szCs w:val="24"/>
          <w:lang w:val="en-IN"/>
        </w:rPr>
        <w:t>organisation</w:t>
      </w:r>
      <w:r w:rsidRPr="000E7F6D">
        <w:rPr>
          <w:rFonts w:cs="Arial"/>
          <w:szCs w:val="24"/>
          <w:lang w:val="en-IN"/>
        </w:rPr>
        <w:t xml:space="preserve"> within the market and thus failing to differentiate the firm in the long run (Sainsbury, 2021). </w:t>
      </w:r>
      <w:r w:rsidR="00DD5B60" w:rsidRPr="000E7F6D">
        <w:rPr>
          <w:rFonts w:cs="Arial"/>
          <w:szCs w:val="24"/>
          <w:lang w:val="en-IN"/>
        </w:rPr>
        <w:t>The supply</w:t>
      </w:r>
      <w:r w:rsidRPr="000E7F6D">
        <w:rPr>
          <w:rFonts w:cs="Arial"/>
          <w:szCs w:val="24"/>
          <w:lang w:val="en-IN"/>
        </w:rPr>
        <w:t xml:space="preserve"> chain network is one of the strengths of </w:t>
      </w:r>
      <w:r w:rsidR="00DD5B60" w:rsidRPr="000E7F6D">
        <w:rPr>
          <w:rFonts w:cs="Arial"/>
          <w:szCs w:val="24"/>
          <w:lang w:val="en-IN"/>
        </w:rPr>
        <w:t xml:space="preserve">Sainsbury's because it </w:t>
      </w:r>
      <w:r w:rsidRPr="000E7F6D">
        <w:rPr>
          <w:rFonts w:cs="Arial"/>
          <w:szCs w:val="24"/>
          <w:lang w:val="en-IN"/>
        </w:rPr>
        <w:t>is affordable and comparably limited since it is efficient and large in scale. Effective logistics control can guarantee product availability and cost control, which leads to long-term competitive advantage. Competitors might seek to emulate such systems, but the complexity of such systems renders the emulation challenging</w:t>
      </w:r>
      <w:r w:rsidR="00776219" w:rsidRPr="00776219">
        <w:rPr>
          <w:rFonts w:cs="Arial"/>
          <w:szCs w:val="24"/>
          <w:lang w:val="en-IN"/>
        </w:rPr>
        <w:t>.</w:t>
      </w:r>
    </w:p>
    <w:p w14:paraId="6A7173BA" w14:textId="47ECA521" w:rsidR="00F56888" w:rsidRPr="000E7F6D" w:rsidRDefault="00227FBC" w:rsidP="00014170">
      <w:pPr>
        <w:rPr>
          <w:rFonts w:cs="Arial"/>
          <w:szCs w:val="24"/>
          <w:lang w:val="en-IN"/>
        </w:rPr>
      </w:pPr>
      <w:r w:rsidRPr="000E7F6D">
        <w:rPr>
          <w:rFonts w:cs="Arial"/>
          <w:szCs w:val="24"/>
          <w:lang w:val="en-IN"/>
        </w:rPr>
        <w:t xml:space="preserve">The online shopping and delivery services are some of the digital capabilities that are becoming essential in the retail industry (Urquhart, et al., 2022). Although they are good, they are not unique </w:t>
      </w:r>
      <w:r w:rsidR="007F3EB7" w:rsidRPr="000E7F6D">
        <w:rPr>
          <w:rFonts w:cs="Arial"/>
          <w:szCs w:val="24"/>
          <w:lang w:val="en-IN"/>
        </w:rPr>
        <w:t xml:space="preserve">because </w:t>
      </w:r>
      <w:r w:rsidRPr="000E7F6D">
        <w:rPr>
          <w:rFonts w:cs="Arial"/>
          <w:szCs w:val="24"/>
          <w:lang w:val="en-IN"/>
        </w:rPr>
        <w:t>most of the competitors are providing the same services, since they are just a momentary gain</w:t>
      </w:r>
      <w:r w:rsidR="00DD5B60" w:rsidRPr="000E7F6D">
        <w:rPr>
          <w:rFonts w:cs="Arial"/>
          <w:szCs w:val="24"/>
          <w:lang w:val="en-IN"/>
        </w:rPr>
        <w:t>,</w:t>
      </w:r>
      <w:r w:rsidRPr="000E7F6D">
        <w:rPr>
          <w:rFonts w:cs="Arial"/>
          <w:szCs w:val="24"/>
          <w:lang w:val="en-IN"/>
        </w:rPr>
        <w:t xml:space="preserve"> and Sainsbury </w:t>
      </w:r>
      <w:r w:rsidR="00904EC9" w:rsidRPr="000E7F6D">
        <w:rPr>
          <w:rFonts w:cs="Arial"/>
          <w:szCs w:val="24"/>
          <w:lang w:val="en-IN"/>
        </w:rPr>
        <w:t xml:space="preserve">needs </w:t>
      </w:r>
      <w:r w:rsidRPr="000E7F6D">
        <w:rPr>
          <w:rFonts w:cs="Arial"/>
          <w:szCs w:val="24"/>
          <w:lang w:val="en-IN"/>
        </w:rPr>
        <w:t xml:space="preserve">to keep spending and innovating. A strong strategic asset that can help the company to diversify its services, as well as enhance customer convenience, is the integration of </w:t>
      </w:r>
      <w:r w:rsidR="00DD5B60" w:rsidRPr="000E7F6D">
        <w:rPr>
          <w:rFonts w:cs="Arial"/>
          <w:szCs w:val="24"/>
          <w:lang w:val="en-IN"/>
        </w:rPr>
        <w:t>Argos</w:t>
      </w:r>
      <w:r w:rsidRPr="000E7F6D">
        <w:rPr>
          <w:rFonts w:cs="Arial"/>
          <w:szCs w:val="24"/>
          <w:lang w:val="en-IN"/>
        </w:rPr>
        <w:t xml:space="preserve"> into </w:t>
      </w:r>
      <w:r w:rsidR="00DD5B60" w:rsidRPr="000E7F6D">
        <w:rPr>
          <w:rFonts w:cs="Arial"/>
          <w:szCs w:val="24"/>
          <w:lang w:val="en-IN"/>
        </w:rPr>
        <w:t>Sainsbury's</w:t>
      </w:r>
      <w:r w:rsidRPr="000E7F6D">
        <w:rPr>
          <w:rFonts w:cs="Arial"/>
          <w:szCs w:val="24"/>
          <w:lang w:val="en-IN"/>
        </w:rPr>
        <w:t xml:space="preserve"> operations (Sainsbury, 2024). Lastly, the loyalty programme </w:t>
      </w:r>
      <w:r w:rsidR="00DD5B60" w:rsidRPr="000E7F6D">
        <w:rPr>
          <w:rFonts w:cs="Arial"/>
          <w:szCs w:val="24"/>
          <w:lang w:val="en-IN"/>
        </w:rPr>
        <w:t>increases</w:t>
      </w:r>
      <w:r w:rsidRPr="000E7F6D">
        <w:rPr>
          <w:rFonts w:cs="Arial"/>
          <w:szCs w:val="24"/>
          <w:lang w:val="en-IN"/>
        </w:rPr>
        <w:t xml:space="preserve"> retention of customers but </w:t>
      </w:r>
      <w:r w:rsidR="00DD5B60" w:rsidRPr="000E7F6D">
        <w:rPr>
          <w:rFonts w:cs="Arial"/>
          <w:szCs w:val="24"/>
          <w:lang w:val="en-IN"/>
        </w:rPr>
        <w:t>does</w:t>
      </w:r>
      <w:r w:rsidRPr="000E7F6D">
        <w:rPr>
          <w:rFonts w:cs="Arial"/>
          <w:szCs w:val="24"/>
          <w:lang w:val="en-IN"/>
        </w:rPr>
        <w:t xml:space="preserve"> not give the company </w:t>
      </w:r>
      <w:r w:rsidR="00DD5B60" w:rsidRPr="000E7F6D">
        <w:rPr>
          <w:rFonts w:cs="Arial"/>
          <w:szCs w:val="24"/>
          <w:lang w:val="en-IN"/>
        </w:rPr>
        <w:t xml:space="preserve">a </w:t>
      </w:r>
      <w:r w:rsidRPr="000E7F6D">
        <w:rPr>
          <w:rFonts w:cs="Arial"/>
          <w:szCs w:val="24"/>
          <w:lang w:val="en-IN"/>
        </w:rPr>
        <w:t xml:space="preserve">good competitive advantage since similar programmes are available </w:t>
      </w:r>
      <w:r w:rsidRPr="000E7F6D">
        <w:rPr>
          <w:rFonts w:cs="Arial"/>
          <w:szCs w:val="24"/>
          <w:lang w:val="en-IN"/>
        </w:rPr>
        <w:lastRenderedPageBreak/>
        <w:t>in the market</w:t>
      </w:r>
      <w:r w:rsidR="00DD5B60" w:rsidRPr="000E7F6D">
        <w:rPr>
          <w:rFonts w:cs="Arial"/>
          <w:szCs w:val="24"/>
          <w:lang w:val="en-IN"/>
        </w:rPr>
        <w:t>, which</w:t>
      </w:r>
      <w:r w:rsidRPr="000E7F6D">
        <w:rPr>
          <w:rFonts w:cs="Arial"/>
          <w:szCs w:val="24"/>
          <w:lang w:val="en-IN"/>
        </w:rPr>
        <w:t xml:space="preserve"> portrays the view that the company must keep strengthening its individual competencies to stay competitive in the long-term</w:t>
      </w:r>
      <w:r w:rsidR="00776219" w:rsidRPr="00776219">
        <w:rPr>
          <w:rFonts w:cs="Arial"/>
          <w:szCs w:val="24"/>
          <w:lang w:val="en-IN"/>
        </w:rPr>
        <w:t>.</w:t>
      </w:r>
    </w:p>
    <w:p w14:paraId="1BDACB6C" w14:textId="69B58505" w:rsidR="00E97CE3" w:rsidRPr="000E7F6D" w:rsidRDefault="00F56888" w:rsidP="00014170">
      <w:pPr>
        <w:pStyle w:val="Heading2"/>
        <w:spacing w:before="240" w:after="240"/>
        <w:rPr>
          <w:rFonts w:cs="Arial"/>
          <w:szCs w:val="24"/>
        </w:rPr>
      </w:pPr>
      <w:bookmarkStart w:id="5" w:name="_Toc224746322"/>
      <w:r w:rsidRPr="000E7F6D">
        <w:rPr>
          <w:rFonts w:cs="Arial"/>
          <w:szCs w:val="24"/>
          <w:lang w:val="en-IN"/>
        </w:rPr>
        <w:t>1.4 CSR and Sustainability</w:t>
      </w:r>
      <w:r w:rsidR="00632A54">
        <w:rPr>
          <w:rFonts w:cs="Arial"/>
          <w:szCs w:val="24"/>
          <w:lang w:val="en-IN"/>
        </w:rPr>
        <w:t xml:space="preserve"> Objectives</w:t>
      </w:r>
      <w:bookmarkEnd w:id="5"/>
    </w:p>
    <w:p w14:paraId="26E3449F" w14:textId="46A3DDF6" w:rsidR="00716C62" w:rsidRPr="000E7F6D" w:rsidRDefault="005A1D7B" w:rsidP="00014170">
      <w:pPr>
        <w:rPr>
          <w:rFonts w:cs="Arial"/>
          <w:szCs w:val="24"/>
          <w:lang w:val="en-IN"/>
        </w:rPr>
      </w:pPr>
      <w:r w:rsidRPr="000E7F6D">
        <w:rPr>
          <w:rFonts w:cs="Arial"/>
          <w:szCs w:val="24"/>
          <w:lang w:val="en-IN"/>
        </w:rPr>
        <w:t>Corporate Social Responsibility (CSR) contributes to overall business development because it helps improve reputation, community trust, and sustainability in the long term (</w:t>
      </w:r>
      <w:proofErr w:type="spellStart"/>
      <w:r w:rsidRPr="000E7F6D">
        <w:rPr>
          <w:rFonts w:cs="Arial"/>
          <w:szCs w:val="24"/>
          <w:lang w:val="en-IN"/>
        </w:rPr>
        <w:t>Fatmawati</w:t>
      </w:r>
      <w:proofErr w:type="spellEnd"/>
      <w:r w:rsidRPr="000E7F6D">
        <w:rPr>
          <w:rFonts w:cs="Arial"/>
          <w:szCs w:val="24"/>
          <w:lang w:val="en-IN"/>
        </w:rPr>
        <w:t>, I. and Fauzan, 2021). Companies that are willing to incorporate the CSR concept in their approach will be in a better position to react to the environmental and social threats</w:t>
      </w:r>
      <w:r w:rsidR="00A501A6" w:rsidRPr="000E7F6D">
        <w:rPr>
          <w:rFonts w:cs="Arial"/>
          <w:szCs w:val="24"/>
          <w:lang w:val="en-IN"/>
        </w:rPr>
        <w:t>,</w:t>
      </w:r>
      <w:r w:rsidRPr="000E7F6D">
        <w:rPr>
          <w:rFonts w:cs="Arial"/>
          <w:szCs w:val="24"/>
          <w:lang w:val="en-IN"/>
        </w:rPr>
        <w:t xml:space="preserve"> whilst ensuring that they have a competitive edge. In the case of Sainsbury, CSR is an essential part of its strategy, which affects the decisions of the operation and positioning of the brand. The plan </w:t>
      </w:r>
      <w:r w:rsidR="00A501A6" w:rsidRPr="000E7F6D">
        <w:rPr>
          <w:rFonts w:cs="Arial"/>
          <w:szCs w:val="24"/>
          <w:lang w:val="en-IN"/>
        </w:rPr>
        <w:t>for a</w:t>
      </w:r>
      <w:r w:rsidRPr="000E7F6D">
        <w:rPr>
          <w:rFonts w:cs="Arial"/>
          <w:szCs w:val="24"/>
          <w:lang w:val="en-IN"/>
        </w:rPr>
        <w:t xml:space="preserve"> better framework is </w:t>
      </w:r>
      <w:r w:rsidR="00E3795D" w:rsidRPr="000E7F6D">
        <w:rPr>
          <w:rFonts w:cs="Arial"/>
          <w:szCs w:val="24"/>
          <w:lang w:val="en-IN"/>
        </w:rPr>
        <w:t>Sainsbury's</w:t>
      </w:r>
      <w:r w:rsidRPr="000E7F6D">
        <w:rPr>
          <w:rFonts w:cs="Arial"/>
          <w:szCs w:val="24"/>
          <w:lang w:val="en-IN"/>
        </w:rPr>
        <w:t xml:space="preserve"> strategy of CSR</w:t>
      </w:r>
      <w:r w:rsidR="00E3795D" w:rsidRPr="000E7F6D">
        <w:rPr>
          <w:rFonts w:cs="Arial"/>
          <w:szCs w:val="24"/>
          <w:lang w:val="en-IN"/>
        </w:rPr>
        <w:t>, which</w:t>
      </w:r>
      <w:r w:rsidRPr="000E7F6D">
        <w:rPr>
          <w:rFonts w:cs="Arial"/>
          <w:szCs w:val="24"/>
          <w:lang w:val="en-IN"/>
        </w:rPr>
        <w:t xml:space="preserve"> is divided into two key aspects such as Better for </w:t>
      </w:r>
      <w:r w:rsidR="00E3795D" w:rsidRPr="000E7F6D">
        <w:rPr>
          <w:rFonts w:cs="Arial"/>
          <w:szCs w:val="24"/>
          <w:lang w:val="en-IN"/>
        </w:rPr>
        <w:t>You</w:t>
      </w:r>
      <w:r w:rsidRPr="000E7F6D">
        <w:rPr>
          <w:rFonts w:cs="Arial"/>
          <w:szCs w:val="24"/>
          <w:lang w:val="en-IN"/>
        </w:rPr>
        <w:t xml:space="preserve"> and Better for the </w:t>
      </w:r>
      <w:r w:rsidR="00E3795D" w:rsidRPr="000E7F6D">
        <w:rPr>
          <w:rFonts w:cs="Arial"/>
          <w:szCs w:val="24"/>
          <w:lang w:val="en-IN"/>
        </w:rPr>
        <w:t>Planet</w:t>
      </w:r>
      <w:r w:rsidRPr="000E7F6D">
        <w:rPr>
          <w:rFonts w:cs="Arial"/>
          <w:szCs w:val="24"/>
          <w:lang w:val="en-IN"/>
        </w:rPr>
        <w:t xml:space="preserve"> (Sainsbury, 2025). These priorities will encompass major initiatives like the promotion of healthier diets, fair treatment of employees, the creation of an inclusive culture, the reduction of carbon emissions, circular living, and the </w:t>
      </w:r>
      <w:r w:rsidR="00A501A6" w:rsidRPr="000E7F6D">
        <w:rPr>
          <w:rFonts w:cs="Arial"/>
          <w:szCs w:val="24"/>
          <w:lang w:val="en-IN"/>
        </w:rPr>
        <w:t>protection of natural ecosystems</w:t>
      </w:r>
      <w:r w:rsidRPr="000E7F6D">
        <w:rPr>
          <w:rFonts w:cs="Arial"/>
          <w:szCs w:val="24"/>
          <w:lang w:val="en-IN"/>
        </w:rPr>
        <w:t xml:space="preserve">. This systematic methodology indicates that the company is keen on the balance between economic performance and social </w:t>
      </w:r>
      <w:r w:rsidR="00A501A6" w:rsidRPr="000E7F6D">
        <w:rPr>
          <w:rFonts w:cs="Arial"/>
          <w:szCs w:val="24"/>
          <w:lang w:val="en-IN"/>
        </w:rPr>
        <w:t>and</w:t>
      </w:r>
      <w:r w:rsidRPr="000E7F6D">
        <w:rPr>
          <w:rFonts w:cs="Arial"/>
          <w:szCs w:val="24"/>
          <w:lang w:val="en-IN"/>
        </w:rPr>
        <w:t xml:space="preserve"> environmental responsibilities</w:t>
      </w:r>
      <w:r w:rsidR="00716C62" w:rsidRPr="00716C62">
        <w:rPr>
          <w:rFonts w:cs="Arial"/>
          <w:szCs w:val="24"/>
          <w:lang w:val="en-IN"/>
        </w:rPr>
        <w:t>.</w:t>
      </w:r>
    </w:p>
    <w:p w14:paraId="1DCB39CC" w14:textId="1199AD93" w:rsidR="00E46B82" w:rsidRPr="000E7F6D" w:rsidRDefault="00E46B82" w:rsidP="00555CDC">
      <w:pPr>
        <w:jc w:val="center"/>
        <w:rPr>
          <w:rFonts w:cs="Arial"/>
          <w:szCs w:val="24"/>
          <w:lang w:val="en-IN"/>
        </w:rPr>
      </w:pPr>
      <w:r w:rsidRPr="000E7F6D">
        <w:rPr>
          <w:rFonts w:cs="Arial"/>
          <w:noProof/>
          <w:szCs w:val="24"/>
          <w:lang w:val="en-IN"/>
        </w:rPr>
        <w:drawing>
          <wp:inline distT="0" distB="0" distL="0" distR="0" wp14:anchorId="4FA493A7" wp14:editId="4EFA16C3">
            <wp:extent cx="5128260" cy="2051304"/>
            <wp:effectExtent l="0" t="0" r="0" b="0"/>
            <wp:docPr id="173081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81270" name=""/>
                    <pic:cNvPicPr/>
                  </pic:nvPicPr>
                  <pic:blipFill>
                    <a:blip r:embed="rId18"/>
                    <a:stretch>
                      <a:fillRect/>
                    </a:stretch>
                  </pic:blipFill>
                  <pic:spPr>
                    <a:xfrm>
                      <a:off x="0" y="0"/>
                      <a:ext cx="5128260" cy="2051304"/>
                    </a:xfrm>
                    <a:prstGeom prst="rect">
                      <a:avLst/>
                    </a:prstGeom>
                  </pic:spPr>
                </pic:pic>
              </a:graphicData>
            </a:graphic>
          </wp:inline>
        </w:drawing>
      </w:r>
    </w:p>
    <w:p w14:paraId="29755961" w14:textId="52D4357B" w:rsidR="00E46B82" w:rsidRPr="000E7F6D" w:rsidRDefault="00E46B82" w:rsidP="00555CDC">
      <w:pPr>
        <w:pStyle w:val="Caption"/>
        <w:spacing w:before="240" w:after="240"/>
        <w:jc w:val="center"/>
        <w:rPr>
          <w:rFonts w:cs="Arial"/>
          <w:szCs w:val="24"/>
        </w:rPr>
      </w:pPr>
      <w:r w:rsidRPr="000E7F6D">
        <w:rPr>
          <w:rFonts w:cs="Arial"/>
          <w:szCs w:val="24"/>
        </w:rPr>
        <w:t xml:space="preserve">Figure </w:t>
      </w:r>
      <w:r w:rsidRPr="000E7F6D">
        <w:rPr>
          <w:rFonts w:cs="Arial"/>
          <w:szCs w:val="24"/>
        </w:rPr>
        <w:fldChar w:fldCharType="begin"/>
      </w:r>
      <w:r w:rsidRPr="000E7F6D">
        <w:rPr>
          <w:rFonts w:cs="Arial"/>
          <w:szCs w:val="24"/>
        </w:rPr>
        <w:instrText xml:space="preserve"> SEQ Figure \* ARABIC </w:instrText>
      </w:r>
      <w:r w:rsidRPr="000E7F6D">
        <w:rPr>
          <w:rFonts w:cs="Arial"/>
          <w:szCs w:val="24"/>
        </w:rPr>
        <w:fldChar w:fldCharType="separate"/>
      </w:r>
      <w:r w:rsidR="0072393C">
        <w:rPr>
          <w:rFonts w:cs="Arial"/>
          <w:noProof/>
          <w:szCs w:val="24"/>
        </w:rPr>
        <w:t>10</w:t>
      </w:r>
      <w:r w:rsidRPr="000E7F6D">
        <w:rPr>
          <w:rFonts w:cs="Arial"/>
          <w:szCs w:val="24"/>
        </w:rPr>
        <w:fldChar w:fldCharType="end"/>
      </w:r>
      <w:r w:rsidRPr="000E7F6D">
        <w:rPr>
          <w:rFonts w:cs="Arial"/>
          <w:szCs w:val="24"/>
        </w:rPr>
        <w:t>: Sainsbury's CSR and environmental steps</w:t>
      </w:r>
    </w:p>
    <w:p w14:paraId="428FDC77" w14:textId="66782704" w:rsidR="00E46B82" w:rsidRPr="00716C62" w:rsidRDefault="007603A0" w:rsidP="00555CDC">
      <w:pPr>
        <w:jc w:val="center"/>
        <w:rPr>
          <w:rFonts w:cs="Arial"/>
          <w:b/>
          <w:i/>
          <w:iCs/>
          <w:szCs w:val="24"/>
          <w:lang w:val="en-IN"/>
        </w:rPr>
      </w:pPr>
      <w:r w:rsidRPr="000E7F6D">
        <w:rPr>
          <w:rFonts w:cs="Arial"/>
          <w:b/>
          <w:i/>
          <w:iCs/>
          <w:szCs w:val="24"/>
          <w:lang w:val="en-IN"/>
        </w:rPr>
        <w:t>(</w:t>
      </w:r>
      <w:r w:rsidR="00E46B82" w:rsidRPr="000E7F6D">
        <w:rPr>
          <w:rFonts w:cs="Arial"/>
          <w:b/>
          <w:i/>
          <w:iCs/>
          <w:szCs w:val="24"/>
          <w:lang w:val="en-IN"/>
        </w:rPr>
        <w:t xml:space="preserve">Source: Sainsbury, </w:t>
      </w:r>
      <w:r w:rsidRPr="000E7F6D">
        <w:rPr>
          <w:rFonts w:cs="Arial"/>
          <w:b/>
          <w:i/>
          <w:iCs/>
          <w:szCs w:val="24"/>
          <w:lang w:val="en-IN"/>
        </w:rPr>
        <w:t>2025)</w:t>
      </w:r>
    </w:p>
    <w:p w14:paraId="664D5780" w14:textId="5A72B9D9" w:rsidR="00716C62" w:rsidRPr="00716C62" w:rsidRDefault="0055292B" w:rsidP="00014170">
      <w:pPr>
        <w:rPr>
          <w:rFonts w:cs="Arial"/>
          <w:szCs w:val="24"/>
          <w:lang w:val="en-IN"/>
        </w:rPr>
      </w:pPr>
      <w:r w:rsidRPr="000E7F6D">
        <w:rPr>
          <w:rFonts w:cs="Arial"/>
          <w:szCs w:val="24"/>
          <w:lang w:val="en-IN"/>
        </w:rPr>
        <w:t xml:space="preserve">Regarding environmental sustainability, Sainsbury has recorded quantifiable improvements and reduced greenhouse gas emissions of its own operations by 52.8% since 2018/19, </w:t>
      </w:r>
      <w:r w:rsidRPr="000E7F6D">
        <w:rPr>
          <w:rFonts w:cs="Arial"/>
          <w:szCs w:val="24"/>
          <w:lang w:val="en-IN"/>
        </w:rPr>
        <w:lastRenderedPageBreak/>
        <w:t>which is a positive achievement in terms of carbon reduction (</w:t>
      </w:r>
      <w:r w:rsidR="00A501A6" w:rsidRPr="000E7F6D">
        <w:rPr>
          <w:rFonts w:cs="Arial"/>
          <w:szCs w:val="24"/>
          <w:lang w:val="en-IN"/>
        </w:rPr>
        <w:t>Sainsbury</w:t>
      </w:r>
      <w:r w:rsidRPr="000E7F6D">
        <w:rPr>
          <w:rFonts w:cs="Arial"/>
          <w:szCs w:val="24"/>
          <w:lang w:val="en-IN"/>
        </w:rPr>
        <w:t>, 2025). This concern about responsible sourcing is also reflected</w:t>
      </w:r>
      <w:r w:rsidR="00A501A6" w:rsidRPr="000E7F6D">
        <w:rPr>
          <w:rFonts w:cs="Arial"/>
          <w:szCs w:val="24"/>
          <w:lang w:val="en-IN"/>
        </w:rPr>
        <w:t>,</w:t>
      </w:r>
      <w:r w:rsidRPr="000E7F6D">
        <w:rPr>
          <w:rFonts w:cs="Arial"/>
          <w:szCs w:val="24"/>
          <w:lang w:val="en-IN"/>
        </w:rPr>
        <w:t xml:space="preserve"> as it won the ASC and MSC Supermarket of the Year in 2024 in the category of sustainable fish sourcing. Also, the organisation has a record of eleven </w:t>
      </w:r>
      <w:r w:rsidR="00E3795D" w:rsidRPr="000E7F6D">
        <w:rPr>
          <w:rFonts w:cs="Arial"/>
          <w:szCs w:val="24"/>
          <w:lang w:val="en-IN"/>
        </w:rPr>
        <w:t>consecutive</w:t>
      </w:r>
      <w:r w:rsidRPr="000E7F6D">
        <w:rPr>
          <w:rFonts w:cs="Arial"/>
          <w:szCs w:val="24"/>
          <w:lang w:val="en-IN"/>
        </w:rPr>
        <w:t xml:space="preserve"> years in the CDP A rating on climate change reporting, which means that the environmental performance and transparency are consistent. Considering the social measures, Sainsbury is a company with high levels of community and ethical activity. Moreover, campaigns like price-matching also guaranteed the promotion of healthier products and the willingness to contribute to the </w:t>
      </w:r>
      <w:r w:rsidR="00E3795D" w:rsidRPr="000E7F6D">
        <w:rPr>
          <w:rFonts w:cs="Arial"/>
          <w:szCs w:val="24"/>
          <w:lang w:val="en-IN"/>
        </w:rPr>
        <w:t>well-being</w:t>
      </w:r>
      <w:r w:rsidRPr="000E7F6D">
        <w:rPr>
          <w:rFonts w:cs="Arial"/>
          <w:szCs w:val="24"/>
          <w:lang w:val="en-IN"/>
        </w:rPr>
        <w:t xml:space="preserve"> of consumers (Valentine, 2021). </w:t>
      </w:r>
      <w:r w:rsidR="00A501A6" w:rsidRPr="000E7F6D">
        <w:rPr>
          <w:rFonts w:cs="Arial"/>
          <w:szCs w:val="24"/>
          <w:lang w:val="en-IN"/>
        </w:rPr>
        <w:t xml:space="preserve">It depicts that the </w:t>
      </w:r>
      <w:r w:rsidRPr="000E7F6D">
        <w:rPr>
          <w:rFonts w:cs="Arial"/>
          <w:szCs w:val="24"/>
          <w:lang w:val="en-IN"/>
        </w:rPr>
        <w:t xml:space="preserve">CSR strategy of the company has a positive effect on its brand image and the relations of the company with its stakeholders. </w:t>
      </w:r>
      <w:r w:rsidR="006F4F74" w:rsidRPr="000E7F6D">
        <w:rPr>
          <w:rFonts w:cs="Arial"/>
          <w:szCs w:val="24"/>
          <w:lang w:val="en-IN"/>
        </w:rPr>
        <w:t>Therefore</w:t>
      </w:r>
      <w:r w:rsidR="00A501A6" w:rsidRPr="000E7F6D">
        <w:rPr>
          <w:rFonts w:cs="Arial"/>
          <w:szCs w:val="24"/>
          <w:lang w:val="en-IN"/>
        </w:rPr>
        <w:t xml:space="preserve">, the signified efforts </w:t>
      </w:r>
      <w:r w:rsidRPr="000E7F6D">
        <w:rPr>
          <w:rFonts w:cs="Arial"/>
          <w:szCs w:val="24"/>
          <w:lang w:val="en-IN"/>
        </w:rPr>
        <w:t>cannot be sustained without constant investment and tracking to ensure sustainability and strategic focus.</w:t>
      </w:r>
    </w:p>
    <w:p w14:paraId="65DFAB13" w14:textId="77777777" w:rsidR="00955367" w:rsidRPr="00924ECB" w:rsidRDefault="00955367" w:rsidP="00014170">
      <w:pPr>
        <w:pStyle w:val="Heading2"/>
        <w:spacing w:before="240" w:after="240"/>
      </w:pPr>
      <w:bookmarkStart w:id="6" w:name="_Toc224746323"/>
      <w:r>
        <w:t xml:space="preserve">1.5 </w:t>
      </w:r>
      <w:r w:rsidRPr="00924ECB">
        <w:t>Comprehensive and Holistic View of the Organisation</w:t>
      </w:r>
      <w:bookmarkEnd w:id="6"/>
    </w:p>
    <w:p w14:paraId="478CEEF8" w14:textId="77777777" w:rsidR="00001982" w:rsidRPr="008818A5" w:rsidRDefault="00955367" w:rsidP="00AE28A4">
      <w:pPr>
        <w:jc w:val="center"/>
        <w:rPr>
          <w:b/>
          <w:bCs/>
          <w:i/>
          <w:iCs/>
        </w:rPr>
      </w:pPr>
      <w:r w:rsidRPr="008818A5">
        <w:rPr>
          <w:b/>
          <w:bCs/>
          <w:i/>
          <w:iCs/>
          <w:noProof/>
        </w:rPr>
        <w:drawing>
          <wp:inline distT="0" distB="0" distL="0" distR="0" wp14:anchorId="205AF310" wp14:editId="71257312">
            <wp:extent cx="5486400" cy="3200400"/>
            <wp:effectExtent l="0" t="0" r="0" b="57150"/>
            <wp:docPr id="148082128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0B2E273" w14:textId="4BD2AF83" w:rsidR="00955367" w:rsidRPr="008818A5" w:rsidRDefault="00001982" w:rsidP="00AE28A4">
      <w:pPr>
        <w:jc w:val="center"/>
        <w:rPr>
          <w:b/>
          <w:bCs/>
          <w:i/>
          <w:iCs/>
        </w:rPr>
      </w:pPr>
      <w:r w:rsidRPr="008818A5">
        <w:rPr>
          <w:b/>
          <w:bCs/>
          <w:i/>
          <w:iCs/>
        </w:rPr>
        <w:t xml:space="preserve">Figure </w:t>
      </w:r>
      <w:r w:rsidRPr="008818A5">
        <w:rPr>
          <w:b/>
          <w:bCs/>
          <w:i/>
          <w:iCs/>
        </w:rPr>
        <w:fldChar w:fldCharType="begin"/>
      </w:r>
      <w:r w:rsidRPr="008818A5">
        <w:rPr>
          <w:b/>
          <w:bCs/>
          <w:i/>
          <w:iCs/>
        </w:rPr>
        <w:instrText xml:space="preserve"> SEQ Figure \* ARABIC </w:instrText>
      </w:r>
      <w:r w:rsidRPr="008818A5">
        <w:rPr>
          <w:b/>
          <w:bCs/>
          <w:i/>
          <w:iCs/>
        </w:rPr>
        <w:fldChar w:fldCharType="separate"/>
      </w:r>
      <w:r w:rsidR="0072393C">
        <w:rPr>
          <w:b/>
          <w:bCs/>
          <w:i/>
          <w:iCs/>
          <w:noProof/>
        </w:rPr>
        <w:t>11</w:t>
      </w:r>
      <w:r w:rsidRPr="008818A5">
        <w:rPr>
          <w:b/>
          <w:bCs/>
          <w:i/>
          <w:iCs/>
        </w:rPr>
        <w:fldChar w:fldCharType="end"/>
      </w:r>
      <w:r w:rsidRPr="008818A5">
        <w:rPr>
          <w:b/>
          <w:bCs/>
          <w:i/>
          <w:iCs/>
          <w:lang w:val="en-US"/>
        </w:rPr>
        <w:t>: Balanced Scorecard</w:t>
      </w:r>
    </w:p>
    <w:p w14:paraId="792CBEAB" w14:textId="77777777" w:rsidR="00955367" w:rsidRPr="008818A5" w:rsidRDefault="00955367" w:rsidP="00AE28A4">
      <w:pPr>
        <w:jc w:val="center"/>
        <w:rPr>
          <w:b/>
          <w:bCs/>
          <w:i/>
          <w:iCs/>
        </w:rPr>
      </w:pPr>
      <w:r w:rsidRPr="008818A5">
        <w:rPr>
          <w:b/>
          <w:bCs/>
          <w:i/>
          <w:iCs/>
        </w:rPr>
        <w:t>(Source: By Author)</w:t>
      </w:r>
    </w:p>
    <w:p w14:paraId="449BA187" w14:textId="77777777" w:rsidR="00955367" w:rsidRPr="00924ECB" w:rsidRDefault="00955367" w:rsidP="00014170">
      <w:pPr>
        <w:rPr>
          <w:b/>
          <w:bCs/>
        </w:rPr>
      </w:pPr>
      <w:r>
        <w:rPr>
          <w:b/>
          <w:bCs/>
        </w:rPr>
        <w:t xml:space="preserve">1.5.1 </w:t>
      </w:r>
      <w:r w:rsidRPr="00924ECB">
        <w:rPr>
          <w:b/>
          <w:bCs/>
        </w:rPr>
        <w:t>Financial Perspective</w:t>
      </w:r>
    </w:p>
    <w:p w14:paraId="2190982E" w14:textId="229DF489" w:rsidR="00955367" w:rsidRPr="00924ECB" w:rsidRDefault="00955367" w:rsidP="00014170">
      <w:r w:rsidRPr="00924ECB">
        <w:lastRenderedPageBreak/>
        <w:t xml:space="preserve">The financial vision of Sainsbury is to remain profitable despite operating </w:t>
      </w:r>
      <w:r w:rsidR="007F4DA9">
        <w:t>in</w:t>
      </w:r>
      <w:r w:rsidRPr="00924ECB">
        <w:t xml:space="preserve"> a </w:t>
      </w:r>
      <w:r w:rsidR="007F4DA9">
        <w:t>highly</w:t>
      </w:r>
      <w:r w:rsidRPr="00924ECB">
        <w:t xml:space="preserve"> competitive and price-sensitive retail world. The growing inflation and competitive price pressures by the discount retailers have made Sainsbury adopt </w:t>
      </w:r>
      <w:r w:rsidR="007F4DA9">
        <w:t xml:space="preserve">a </w:t>
      </w:r>
      <w:r w:rsidRPr="00924ECB">
        <w:t xml:space="preserve">hybrid strategy that integrates cost leadership and value differentiation. On the financial side, the organisation focuses on the enhancement of the operating margins, enhancing the return on the capital invested in the organisation and advancing the sales by using both physical stores and online platforms. For example, Sainsbury recorded its 3.1% retail sales and </w:t>
      </w:r>
      <w:r w:rsidR="007F4DA9">
        <w:t xml:space="preserve">a </w:t>
      </w:r>
      <w:r w:rsidRPr="00924ECB">
        <w:t xml:space="preserve">robust rise in operating profit with operating profit of £1,036m and 9.0% return on capital employed, which is a result of its focus on financial performance (Sainsbury, 2025). Further, it has </w:t>
      </w:r>
      <w:r w:rsidR="007F4DA9">
        <w:t xml:space="preserve">a </w:t>
      </w:r>
      <w:r w:rsidRPr="00924ECB">
        <w:t>strategic investment of approximately £780 million in price cuts that further contribute to its cost leadership stance (Retail Insight, 2024).</w:t>
      </w:r>
    </w:p>
    <w:p w14:paraId="432AD1E9" w14:textId="77777777" w:rsidR="00955367" w:rsidRPr="00924ECB" w:rsidRDefault="00955367" w:rsidP="00014170">
      <w:pPr>
        <w:rPr>
          <w:b/>
          <w:bCs/>
        </w:rPr>
      </w:pPr>
      <w:r>
        <w:rPr>
          <w:b/>
          <w:bCs/>
        </w:rPr>
        <w:t xml:space="preserve">1.5.2 </w:t>
      </w:r>
      <w:r w:rsidRPr="00924ECB">
        <w:rPr>
          <w:b/>
          <w:bCs/>
        </w:rPr>
        <w:t>Customer Perspective</w:t>
      </w:r>
    </w:p>
    <w:p w14:paraId="5CC3B022" w14:textId="77777777" w:rsidR="00955367" w:rsidRPr="00924ECB" w:rsidRDefault="00955367" w:rsidP="00014170">
      <w:r w:rsidRPr="00924ECB">
        <w:t xml:space="preserve">According to the customer perspective, Sainsbury is focusing on providing value, convenience, and quality </w:t>
      </w:r>
      <w:proofErr w:type="gramStart"/>
      <w:r w:rsidRPr="00924ECB">
        <w:t>in order to</w:t>
      </w:r>
      <w:proofErr w:type="gramEnd"/>
      <w:r w:rsidRPr="00924ECB">
        <w:t xml:space="preserve"> ensure good customer loyalty. The Nectar loyalty programme allows the company to personalise services and increase its customer interactions, where it produces more than 260 million personalised offers each week (Sainsbury, 2024).</w:t>
      </w:r>
    </w:p>
    <w:p w14:paraId="5A48F60C" w14:textId="77777777" w:rsidR="00955367" w:rsidRPr="00924ECB" w:rsidRDefault="00955367" w:rsidP="00AE28A4">
      <w:pPr>
        <w:jc w:val="center"/>
        <w:rPr>
          <w:b/>
          <w:bCs/>
          <w:i/>
          <w:iCs/>
        </w:rPr>
      </w:pPr>
      <w:r w:rsidRPr="00924ECB">
        <w:rPr>
          <w:b/>
          <w:bCs/>
          <w:i/>
          <w:iCs/>
          <w:noProof/>
        </w:rPr>
        <w:drawing>
          <wp:inline distT="0" distB="0" distL="0" distR="0" wp14:anchorId="06FA29FB" wp14:editId="7013B5BD">
            <wp:extent cx="2869506" cy="1618402"/>
            <wp:effectExtent l="0" t="0" r="7620" b="1270"/>
            <wp:docPr id="12978512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882316" cy="1625627"/>
                    </a:xfrm>
                    <a:prstGeom prst="rect">
                      <a:avLst/>
                    </a:prstGeom>
                    <a:noFill/>
                    <a:ln>
                      <a:noFill/>
                    </a:ln>
                  </pic:spPr>
                </pic:pic>
              </a:graphicData>
            </a:graphic>
          </wp:inline>
        </w:drawing>
      </w:r>
    </w:p>
    <w:p w14:paraId="3C140134" w14:textId="01089895" w:rsidR="00955367" w:rsidRPr="00924ECB" w:rsidRDefault="00955367" w:rsidP="00AE28A4">
      <w:pPr>
        <w:jc w:val="center"/>
        <w:rPr>
          <w:b/>
          <w:bCs/>
          <w:i/>
          <w:iCs/>
        </w:rPr>
      </w:pPr>
      <w:r w:rsidRPr="00924ECB">
        <w:rPr>
          <w:b/>
          <w:bCs/>
          <w:i/>
          <w:iCs/>
        </w:rPr>
        <w:t xml:space="preserve">Figure </w:t>
      </w:r>
      <w:r w:rsidRPr="00924ECB">
        <w:rPr>
          <w:b/>
          <w:bCs/>
          <w:i/>
          <w:iCs/>
        </w:rPr>
        <w:fldChar w:fldCharType="begin"/>
      </w:r>
      <w:r w:rsidRPr="00924ECB">
        <w:rPr>
          <w:b/>
          <w:bCs/>
          <w:i/>
          <w:iCs/>
        </w:rPr>
        <w:instrText xml:space="preserve"> SEQ Figure \* ARABIC </w:instrText>
      </w:r>
      <w:r w:rsidRPr="00924ECB">
        <w:rPr>
          <w:b/>
          <w:bCs/>
          <w:i/>
          <w:iCs/>
        </w:rPr>
        <w:fldChar w:fldCharType="separate"/>
      </w:r>
      <w:r w:rsidR="0072393C">
        <w:rPr>
          <w:b/>
          <w:bCs/>
          <w:i/>
          <w:iCs/>
          <w:noProof/>
        </w:rPr>
        <w:t>12</w:t>
      </w:r>
      <w:r w:rsidRPr="00924ECB">
        <w:rPr>
          <w:b/>
          <w:bCs/>
          <w:i/>
          <w:iCs/>
        </w:rPr>
        <w:fldChar w:fldCharType="end"/>
      </w:r>
      <w:r w:rsidRPr="00924ECB">
        <w:rPr>
          <w:b/>
          <w:bCs/>
          <w:i/>
          <w:iCs/>
        </w:rPr>
        <w:t>: Sainsbury Nectar Loyalty</w:t>
      </w:r>
    </w:p>
    <w:p w14:paraId="667EEF5F" w14:textId="77777777" w:rsidR="00955367" w:rsidRPr="00924ECB" w:rsidRDefault="00955367" w:rsidP="00AE28A4">
      <w:pPr>
        <w:jc w:val="center"/>
        <w:rPr>
          <w:b/>
          <w:bCs/>
          <w:i/>
          <w:iCs/>
        </w:rPr>
      </w:pPr>
      <w:r w:rsidRPr="00924ECB">
        <w:rPr>
          <w:b/>
          <w:bCs/>
          <w:i/>
          <w:iCs/>
        </w:rPr>
        <w:t>(Source: Sainsbury Energy, 2026)</w:t>
      </w:r>
    </w:p>
    <w:p w14:paraId="2EB1F44B" w14:textId="054E101D" w:rsidR="00955367" w:rsidRPr="00924ECB" w:rsidRDefault="00955367" w:rsidP="00014170">
      <w:r w:rsidRPr="00924ECB">
        <w:t xml:space="preserve">The development of online shopping </w:t>
      </w:r>
      <w:r w:rsidR="007F4DA9">
        <w:t>for</w:t>
      </w:r>
      <w:r w:rsidRPr="00924ECB">
        <w:t xml:space="preserve"> groceries has increased</w:t>
      </w:r>
      <w:r w:rsidR="007F4DA9">
        <w:t>,</w:t>
      </w:r>
      <w:r w:rsidRPr="00924ECB">
        <w:t xml:space="preserve"> with sales increas</w:t>
      </w:r>
      <w:r w:rsidR="007F4DA9">
        <w:t>ing</w:t>
      </w:r>
      <w:r w:rsidRPr="00924ECB">
        <w:t xml:space="preserve"> by 5% because Sainsbury</w:t>
      </w:r>
      <w:r w:rsidR="0078069A">
        <w:t>'s</w:t>
      </w:r>
      <w:r w:rsidRPr="00924ECB">
        <w:t xml:space="preserve"> investment in online platform</w:t>
      </w:r>
      <w:r w:rsidR="0078069A">
        <w:t>s</w:t>
      </w:r>
      <w:r w:rsidRPr="00924ECB">
        <w:t xml:space="preserve">, home delivery, and click and collect services to adapt to changing customer expectations (Virdi, 2024). Additionally, the </w:t>
      </w:r>
      <w:r w:rsidRPr="00924ECB">
        <w:lastRenderedPageBreak/>
        <w:t>company has put its efforts in</w:t>
      </w:r>
      <w:r w:rsidR="0078069A">
        <w:t>to</w:t>
      </w:r>
      <w:r w:rsidRPr="00924ECB">
        <w:t xml:space="preserve"> enhancing the in-store services and developing its brand image as a reliable seller. Its data-driven customer strategy is effective</w:t>
      </w:r>
      <w:r w:rsidR="0078069A">
        <w:t>,</w:t>
      </w:r>
      <w:r w:rsidRPr="00924ECB">
        <w:t xml:space="preserve"> as evidenced by the number of customers registered digitally of more than 18 million (Roberts, 2024). </w:t>
      </w:r>
    </w:p>
    <w:p w14:paraId="7BF5A07B" w14:textId="77777777" w:rsidR="00955367" w:rsidRPr="00924ECB" w:rsidRDefault="00955367" w:rsidP="00014170">
      <w:pPr>
        <w:rPr>
          <w:b/>
          <w:bCs/>
        </w:rPr>
      </w:pPr>
      <w:r>
        <w:rPr>
          <w:b/>
          <w:bCs/>
        </w:rPr>
        <w:t xml:space="preserve">1.5.3 </w:t>
      </w:r>
      <w:r w:rsidRPr="00924ECB">
        <w:rPr>
          <w:b/>
          <w:bCs/>
        </w:rPr>
        <w:t>Internal Business Processes Perspective</w:t>
      </w:r>
    </w:p>
    <w:p w14:paraId="191A9A94" w14:textId="2CB98B62" w:rsidR="00955367" w:rsidRPr="00924ECB" w:rsidRDefault="00955367" w:rsidP="00014170">
      <w:r w:rsidRPr="00924ECB">
        <w:t xml:space="preserve">The internal processes at Sainsbury are focused on operational efficiency, supply chain effectiveness and innovation. The company is also continually enhancing its logistics network to make sure that the products will always be available at the minimum cost and waste. The merger with Argos has also increased the collaboration of operations, which allows </w:t>
      </w:r>
      <w:r w:rsidR="0078069A">
        <w:t>for</w:t>
      </w:r>
      <w:r w:rsidRPr="00924ECB">
        <w:t xml:space="preserve"> better use </w:t>
      </w:r>
      <w:r w:rsidR="0078069A">
        <w:t xml:space="preserve">of </w:t>
      </w:r>
      <w:r w:rsidRPr="00924ECB">
        <w:t>the stores and distribution networks, also Argos contribute £5.1 billion in annual revenues (S&amp;P Global, 2025).</w:t>
      </w:r>
    </w:p>
    <w:p w14:paraId="2CA8D80A" w14:textId="77777777" w:rsidR="00955367" w:rsidRPr="00924ECB" w:rsidRDefault="00955367" w:rsidP="00AE28A4">
      <w:pPr>
        <w:jc w:val="center"/>
        <w:rPr>
          <w:b/>
          <w:bCs/>
          <w:i/>
          <w:iCs/>
        </w:rPr>
      </w:pPr>
      <w:r w:rsidRPr="00924ECB">
        <w:rPr>
          <w:b/>
          <w:bCs/>
          <w:i/>
          <w:iCs/>
          <w:noProof/>
        </w:rPr>
        <w:drawing>
          <wp:inline distT="0" distB="0" distL="0" distR="0" wp14:anchorId="36F67AD1" wp14:editId="08C01265">
            <wp:extent cx="4791982" cy="2354580"/>
            <wp:effectExtent l="0" t="0" r="8890" b="7620"/>
            <wp:docPr id="927346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346693" name=""/>
                    <pic:cNvPicPr/>
                  </pic:nvPicPr>
                  <pic:blipFill>
                    <a:blip r:embed="rId25"/>
                    <a:stretch>
                      <a:fillRect/>
                    </a:stretch>
                  </pic:blipFill>
                  <pic:spPr>
                    <a:xfrm>
                      <a:off x="0" y="0"/>
                      <a:ext cx="4799000" cy="2358029"/>
                    </a:xfrm>
                    <a:prstGeom prst="rect">
                      <a:avLst/>
                    </a:prstGeom>
                  </pic:spPr>
                </pic:pic>
              </a:graphicData>
            </a:graphic>
          </wp:inline>
        </w:drawing>
      </w:r>
    </w:p>
    <w:p w14:paraId="6474BAEB" w14:textId="3CE6C7FF" w:rsidR="00955367" w:rsidRPr="00924ECB" w:rsidRDefault="00955367" w:rsidP="00AE28A4">
      <w:pPr>
        <w:jc w:val="center"/>
        <w:rPr>
          <w:b/>
          <w:bCs/>
          <w:i/>
          <w:iCs/>
        </w:rPr>
      </w:pPr>
      <w:r w:rsidRPr="00924ECB">
        <w:rPr>
          <w:b/>
          <w:bCs/>
          <w:i/>
          <w:iCs/>
        </w:rPr>
        <w:t xml:space="preserve">Figure </w:t>
      </w:r>
      <w:r w:rsidRPr="00924ECB">
        <w:rPr>
          <w:b/>
          <w:bCs/>
          <w:i/>
          <w:iCs/>
        </w:rPr>
        <w:fldChar w:fldCharType="begin"/>
      </w:r>
      <w:r w:rsidRPr="00924ECB">
        <w:rPr>
          <w:b/>
          <w:bCs/>
          <w:i/>
          <w:iCs/>
        </w:rPr>
        <w:instrText xml:space="preserve"> SEQ Figure \* ARABIC </w:instrText>
      </w:r>
      <w:r w:rsidRPr="00924ECB">
        <w:rPr>
          <w:b/>
          <w:bCs/>
          <w:i/>
          <w:iCs/>
        </w:rPr>
        <w:fldChar w:fldCharType="separate"/>
      </w:r>
      <w:r w:rsidR="0072393C">
        <w:rPr>
          <w:b/>
          <w:bCs/>
          <w:i/>
          <w:iCs/>
          <w:noProof/>
        </w:rPr>
        <w:t>13</w:t>
      </w:r>
      <w:r w:rsidRPr="00924ECB">
        <w:rPr>
          <w:b/>
          <w:bCs/>
          <w:i/>
          <w:iCs/>
        </w:rPr>
        <w:fldChar w:fldCharType="end"/>
      </w:r>
      <w:r w:rsidRPr="00924ECB">
        <w:rPr>
          <w:b/>
          <w:bCs/>
          <w:i/>
          <w:iCs/>
        </w:rPr>
        <w:t>: Sainsbury Partnership with Argos</w:t>
      </w:r>
    </w:p>
    <w:p w14:paraId="6D33A78E" w14:textId="77777777" w:rsidR="00955367" w:rsidRPr="00924ECB" w:rsidRDefault="00955367" w:rsidP="00AE28A4">
      <w:pPr>
        <w:jc w:val="center"/>
        <w:rPr>
          <w:b/>
          <w:bCs/>
          <w:i/>
          <w:iCs/>
        </w:rPr>
      </w:pPr>
      <w:r w:rsidRPr="00924ECB">
        <w:rPr>
          <w:b/>
          <w:bCs/>
          <w:i/>
          <w:iCs/>
        </w:rPr>
        <w:t>(Source: Sainsbury, 2024)</w:t>
      </w:r>
    </w:p>
    <w:p w14:paraId="71AFD8C9" w14:textId="3E0AE518" w:rsidR="00955367" w:rsidRPr="00924ECB" w:rsidRDefault="00955367" w:rsidP="00014170">
      <w:r w:rsidRPr="00924ECB">
        <w:t xml:space="preserve">Moreover, Sainsbury is aiming at minimising food waste, where it saves 7,386 tonnes of surplus food in 2024-2025 and enhancing sustainability activities in all its operations, which aligns </w:t>
      </w:r>
      <w:r w:rsidR="0078069A">
        <w:t>with</w:t>
      </w:r>
      <w:r w:rsidRPr="00924ECB">
        <w:t xml:space="preserve"> the environmental objectives (Sainsbury, 2026). Further, the firm manages stock availability, inventories, fulfilment of orders and others. These internal capabilities play a crucial role in sustaining the cost leadership and service differentiation approaches.</w:t>
      </w:r>
    </w:p>
    <w:p w14:paraId="021C8DEF" w14:textId="77777777" w:rsidR="00955367" w:rsidRPr="00924ECB" w:rsidRDefault="00955367" w:rsidP="00014170">
      <w:pPr>
        <w:rPr>
          <w:b/>
          <w:bCs/>
        </w:rPr>
      </w:pPr>
      <w:r>
        <w:rPr>
          <w:b/>
          <w:bCs/>
        </w:rPr>
        <w:t xml:space="preserve">1.5.4 </w:t>
      </w:r>
      <w:r w:rsidRPr="00924ECB">
        <w:rPr>
          <w:b/>
          <w:bCs/>
        </w:rPr>
        <w:t>Learning and Growth Perspective</w:t>
      </w:r>
    </w:p>
    <w:p w14:paraId="1C7DC77E" w14:textId="710EF231" w:rsidR="00955367" w:rsidRPr="00924ECB" w:rsidRDefault="00955367" w:rsidP="00014170">
      <w:r w:rsidRPr="00924ECB">
        <w:lastRenderedPageBreak/>
        <w:t xml:space="preserve">The learning and growth approach emphasises how Sainsbury has invested in employee development, organisational culture and technology. Sainsbury started </w:t>
      </w:r>
      <w:r w:rsidR="0078069A">
        <w:t xml:space="preserve">the </w:t>
      </w:r>
      <w:r w:rsidRPr="00924ECB">
        <w:t xml:space="preserve">MOVEFWD scheme with </w:t>
      </w:r>
      <w:r w:rsidR="0078069A">
        <w:t xml:space="preserve">the </w:t>
      </w:r>
      <w:proofErr w:type="spellStart"/>
      <w:r w:rsidRPr="00924ECB">
        <w:t>FutureMaker</w:t>
      </w:r>
      <w:proofErr w:type="spellEnd"/>
      <w:r w:rsidRPr="00924ECB">
        <w:t xml:space="preserve"> graduate programme to provide digital skills development initiatives for workforce productivity and training programmes </w:t>
      </w:r>
      <w:r w:rsidR="0078069A">
        <w:t>for</w:t>
      </w:r>
      <w:r w:rsidRPr="00924ECB">
        <w:t xml:space="preserve"> employees to enhance employee engagement (Sainsbury, 2026). In addition, Sainsbury invests in innovation, especially in e-commerce, artificial intelligence, and data analytics, to maintain competitiveness in the dynamically changing retail environment. The growing attention to digital transformation</w:t>
      </w:r>
      <w:r w:rsidR="0078069A">
        <w:t>,</w:t>
      </w:r>
      <w:r w:rsidRPr="00924ECB">
        <w:t xml:space="preserve"> where the company invested around $968.4 million in ICT in 2024</w:t>
      </w:r>
      <w:r w:rsidR="0078069A">
        <w:t>,</w:t>
      </w:r>
      <w:r w:rsidRPr="00924ECB">
        <w:t xml:space="preserve"> with the focus on advanced technologies to maintain </w:t>
      </w:r>
      <w:r w:rsidR="004D4392">
        <w:t xml:space="preserve">the </w:t>
      </w:r>
      <w:r w:rsidRPr="00924ECB">
        <w:t>long-term position of the firm (GlobalData, 2024). The culture of continuous improvement and innovation will help the organisation act upon changes in the market and maintains competitive advantage in the long-term.</w:t>
      </w:r>
    </w:p>
    <w:p w14:paraId="6D3BE0C1" w14:textId="77777777" w:rsidR="007E5FAE" w:rsidRPr="00924ECB" w:rsidRDefault="007E5FAE" w:rsidP="00014170">
      <w:pPr>
        <w:pStyle w:val="Heading2"/>
        <w:spacing w:before="240" w:after="240"/>
      </w:pPr>
      <w:bookmarkStart w:id="7" w:name="_Toc224746324"/>
      <w:r>
        <w:t xml:space="preserve">1.6 </w:t>
      </w:r>
      <w:r w:rsidRPr="00924ECB">
        <w:t>Strategic Choices and Implementation</w:t>
      </w:r>
      <w:bookmarkEnd w:id="7"/>
    </w:p>
    <w:p w14:paraId="2D2A2D99" w14:textId="77777777" w:rsidR="007E5FAE" w:rsidRPr="00924ECB" w:rsidRDefault="007E5FAE" w:rsidP="00014170">
      <w:pPr>
        <w:rPr>
          <w:b/>
          <w:bCs/>
        </w:rPr>
      </w:pPr>
      <w:r>
        <w:rPr>
          <w:b/>
          <w:bCs/>
        </w:rPr>
        <w:t xml:space="preserve">1.6.1 </w:t>
      </w:r>
      <w:r w:rsidRPr="00924ECB">
        <w:rPr>
          <w:b/>
          <w:bCs/>
        </w:rPr>
        <w:t>Business-Level Strategy</w:t>
      </w:r>
    </w:p>
    <w:p w14:paraId="46240632" w14:textId="656E4812" w:rsidR="007E5FAE" w:rsidRPr="00924ECB" w:rsidRDefault="007E5FAE" w:rsidP="00014170">
      <w:r w:rsidRPr="00924ECB">
        <w:t>Sainsbury is a firm that mainly uses a hybrid approach at the business level, which is a combination of cost leadership and differentiation to stay competitive in the UK grocery market. The organisation is concerned with price competition to match prices with discount retailers such as Aldi and providing differentiated value through quality products, premium ranges and reward programmes through Nectar loyalty programmes. This strategy can be observed in the case of Sainsbury investing around £780 million in three years and cutting down prices and the value perception to boost sales in the firm (Retail Insight, 2024). Additionally, in 2026, the fresh food sales of Sainsbury increased by 8%</w:t>
      </w:r>
      <w:r w:rsidR="004D4392">
        <w:t>,</w:t>
      </w:r>
      <w:r w:rsidRPr="00924ECB">
        <w:t xml:space="preserve"> and the Taste the Difference Discovery is its premium own label brand with the sales of 15% during Christmas in 2025 (Sainsbury, 2026). </w:t>
      </w:r>
    </w:p>
    <w:p w14:paraId="6F0E8E2B" w14:textId="77777777" w:rsidR="007E5FAE" w:rsidRPr="00924ECB" w:rsidRDefault="007E5FAE" w:rsidP="00AE28A4">
      <w:pPr>
        <w:jc w:val="center"/>
        <w:rPr>
          <w:b/>
          <w:bCs/>
          <w:i/>
          <w:iCs/>
        </w:rPr>
      </w:pPr>
      <w:r w:rsidRPr="00924ECB">
        <w:rPr>
          <w:b/>
          <w:bCs/>
          <w:i/>
          <w:iCs/>
          <w:noProof/>
        </w:rPr>
        <w:lastRenderedPageBreak/>
        <w:drawing>
          <wp:inline distT="0" distB="0" distL="0" distR="0" wp14:anchorId="133717E9" wp14:editId="439CFFB7">
            <wp:extent cx="3658235" cy="3543116"/>
            <wp:effectExtent l="0" t="0" r="0" b="635"/>
            <wp:docPr id="1948874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874546" name=""/>
                    <pic:cNvPicPr/>
                  </pic:nvPicPr>
                  <pic:blipFill>
                    <a:blip r:embed="rId26"/>
                    <a:stretch>
                      <a:fillRect/>
                    </a:stretch>
                  </pic:blipFill>
                  <pic:spPr>
                    <a:xfrm>
                      <a:off x="0" y="0"/>
                      <a:ext cx="3663003" cy="3547734"/>
                    </a:xfrm>
                    <a:prstGeom prst="rect">
                      <a:avLst/>
                    </a:prstGeom>
                  </pic:spPr>
                </pic:pic>
              </a:graphicData>
            </a:graphic>
          </wp:inline>
        </w:drawing>
      </w:r>
    </w:p>
    <w:p w14:paraId="1C70F7F1" w14:textId="5A5459E3" w:rsidR="007E5FAE" w:rsidRPr="00924ECB" w:rsidRDefault="007E5FAE" w:rsidP="00AE28A4">
      <w:pPr>
        <w:jc w:val="center"/>
        <w:rPr>
          <w:b/>
          <w:bCs/>
          <w:i/>
          <w:iCs/>
        </w:rPr>
      </w:pPr>
      <w:r w:rsidRPr="00924ECB">
        <w:rPr>
          <w:b/>
          <w:bCs/>
          <w:i/>
          <w:iCs/>
        </w:rPr>
        <w:t xml:space="preserve">Figure </w:t>
      </w:r>
      <w:r w:rsidRPr="00924ECB">
        <w:rPr>
          <w:b/>
          <w:bCs/>
          <w:i/>
          <w:iCs/>
        </w:rPr>
        <w:fldChar w:fldCharType="begin"/>
      </w:r>
      <w:r w:rsidRPr="00924ECB">
        <w:rPr>
          <w:b/>
          <w:bCs/>
          <w:i/>
          <w:iCs/>
        </w:rPr>
        <w:instrText xml:space="preserve"> SEQ Figure \* ARABIC </w:instrText>
      </w:r>
      <w:r w:rsidRPr="00924ECB">
        <w:rPr>
          <w:b/>
          <w:bCs/>
          <w:i/>
          <w:iCs/>
        </w:rPr>
        <w:fldChar w:fldCharType="separate"/>
      </w:r>
      <w:r w:rsidR="0072393C">
        <w:rPr>
          <w:b/>
          <w:bCs/>
          <w:i/>
          <w:iCs/>
          <w:noProof/>
        </w:rPr>
        <w:t>14</w:t>
      </w:r>
      <w:r w:rsidRPr="00924ECB">
        <w:rPr>
          <w:b/>
          <w:bCs/>
          <w:i/>
          <w:iCs/>
        </w:rPr>
        <w:fldChar w:fldCharType="end"/>
      </w:r>
      <w:r w:rsidRPr="00924ECB">
        <w:rPr>
          <w:b/>
          <w:bCs/>
          <w:i/>
          <w:iCs/>
        </w:rPr>
        <w:t>: Sainsbury Taste the Difference Discovery</w:t>
      </w:r>
    </w:p>
    <w:p w14:paraId="34E496D1" w14:textId="77777777" w:rsidR="007E5FAE" w:rsidRPr="00924ECB" w:rsidRDefault="007E5FAE" w:rsidP="00AE28A4">
      <w:pPr>
        <w:jc w:val="center"/>
        <w:rPr>
          <w:b/>
          <w:bCs/>
          <w:i/>
          <w:iCs/>
        </w:rPr>
      </w:pPr>
      <w:r w:rsidRPr="00924ECB">
        <w:rPr>
          <w:b/>
          <w:bCs/>
          <w:i/>
          <w:iCs/>
        </w:rPr>
        <w:t>(Source: Sainsbury, 2026)</w:t>
      </w:r>
    </w:p>
    <w:p w14:paraId="407AA798" w14:textId="77777777" w:rsidR="007E5FAE" w:rsidRPr="00924ECB" w:rsidRDefault="007E5FAE" w:rsidP="00014170">
      <w:pPr>
        <w:rPr>
          <w:b/>
          <w:bCs/>
        </w:rPr>
      </w:pPr>
      <w:r>
        <w:rPr>
          <w:b/>
          <w:bCs/>
        </w:rPr>
        <w:t xml:space="preserve">1.6.2 </w:t>
      </w:r>
      <w:r w:rsidRPr="00924ECB">
        <w:rPr>
          <w:b/>
          <w:bCs/>
        </w:rPr>
        <w:t>Corporate-Level Strategy</w:t>
      </w:r>
    </w:p>
    <w:p w14:paraId="3C7C39A0" w14:textId="314E16DB" w:rsidR="007E5FAE" w:rsidRPr="00924ECB" w:rsidRDefault="007E5FAE" w:rsidP="00014170">
      <w:r w:rsidRPr="00924ECB">
        <w:t>The strategic decisions of Sainsbury at the corporate level involve diversification and integration in the multi-channel</w:t>
      </w:r>
      <w:r w:rsidR="004D4392">
        <w:t>,</w:t>
      </w:r>
      <w:r w:rsidRPr="00924ECB">
        <w:t xml:space="preserve"> especially by acquiring and integrating Argos. This diversification helps the company to grow beyond groceries to general merchandise, which would improve its positioning </w:t>
      </w:r>
      <w:r w:rsidR="004D4392">
        <w:t>in the</w:t>
      </w:r>
      <w:r w:rsidRPr="00924ECB">
        <w:t xml:space="preserve"> competition. For example, Argos contributed £5.1 billion in annual revenue in 2024 while increasing sales and offer</w:t>
      </w:r>
      <w:r w:rsidR="004D4392">
        <w:t>ing</w:t>
      </w:r>
      <w:r w:rsidRPr="00924ECB">
        <w:t xml:space="preserve"> the ability of rapid delivery (S&amp;P Global, 2025). Moreover, Sainsbury has enhanced its digital and online retailing, which is indicative of a transition to omnichannel operations. Retail sales of the company amounted to around £31.555 million in 2024/25, increasing by 3.1% yearly, which proves the effectiveness of the corporate strategy (Sainsbury, 2025). </w:t>
      </w:r>
    </w:p>
    <w:p w14:paraId="04BB8CF0" w14:textId="77777777" w:rsidR="007E5FAE" w:rsidRPr="00924ECB" w:rsidRDefault="007E5FAE" w:rsidP="00014170">
      <w:pPr>
        <w:rPr>
          <w:b/>
          <w:bCs/>
        </w:rPr>
      </w:pPr>
      <w:r>
        <w:rPr>
          <w:b/>
          <w:bCs/>
        </w:rPr>
        <w:t xml:space="preserve">1.6.3 </w:t>
      </w:r>
      <w:r w:rsidRPr="00924ECB">
        <w:rPr>
          <w:b/>
          <w:bCs/>
        </w:rPr>
        <w:t>Strategic Choices Recommendations</w:t>
      </w:r>
    </w:p>
    <w:p w14:paraId="2A1A968D" w14:textId="5B1387A8" w:rsidR="007E5FAE" w:rsidRPr="00924ECB" w:rsidRDefault="007E5FAE" w:rsidP="00014170">
      <w:r w:rsidRPr="00924ECB">
        <w:lastRenderedPageBreak/>
        <w:t>The best strategic path that Sainsbury can pursue will be to reinforce its hybrid business-level strategy and strengthen its corporate diversification strategy. On the business level, cost efficiency and value differentiation should continue in the company to retai</w:t>
      </w:r>
      <w:r w:rsidR="004D4392">
        <w:t>n</w:t>
      </w:r>
      <w:r w:rsidRPr="00924ECB">
        <w:t xml:space="preserve"> market share in the highly competitive environment (</w:t>
      </w:r>
      <w:proofErr w:type="spellStart"/>
      <w:r w:rsidRPr="00924ECB">
        <w:t>Tojiri</w:t>
      </w:r>
      <w:proofErr w:type="spellEnd"/>
      <w:r w:rsidRPr="00924ECB">
        <w:t xml:space="preserve">, 2023). This recommendation is supported by the evidence that Sainsbury has achieved gains in market share and steady growth </w:t>
      </w:r>
      <w:r w:rsidR="004D4392">
        <w:t>in</w:t>
      </w:r>
      <w:r w:rsidRPr="00924ECB">
        <w:t xml:space="preserve"> its sales. At the corporate level, the organisation can focus on digital transformation and selective diversification while review</w:t>
      </w:r>
      <w:r w:rsidR="004D4392">
        <w:t>ing</w:t>
      </w:r>
      <w:r w:rsidRPr="00924ECB">
        <w:t xml:space="preserve"> the poor</w:t>
      </w:r>
      <w:r w:rsidR="004D4392">
        <w:t>ly</w:t>
      </w:r>
      <w:r w:rsidRPr="00924ECB">
        <w:t xml:space="preserve"> performing divisions like Argos. This is in line with the current trends as the grocery is the main driver of profits</w:t>
      </w:r>
      <w:r w:rsidR="004D4392">
        <w:t>,</w:t>
      </w:r>
      <w:r w:rsidRPr="00924ECB">
        <w:t xml:space="preserve"> while the non-food </w:t>
      </w:r>
      <w:r w:rsidR="004D4392">
        <w:t xml:space="preserve">sector </w:t>
      </w:r>
      <w:r w:rsidRPr="00924ECB">
        <w:t>is volatile.</w:t>
      </w:r>
    </w:p>
    <w:p w14:paraId="590E5E03" w14:textId="77777777" w:rsidR="007E5FAE" w:rsidRPr="00924ECB" w:rsidRDefault="007E5FAE" w:rsidP="00014170">
      <w:pPr>
        <w:rPr>
          <w:b/>
          <w:bCs/>
        </w:rPr>
      </w:pPr>
      <w:r>
        <w:rPr>
          <w:b/>
          <w:bCs/>
        </w:rPr>
        <w:t xml:space="preserve">1.6.4 </w:t>
      </w:r>
      <w:r w:rsidRPr="00924ECB">
        <w:rPr>
          <w:b/>
          <w:bCs/>
        </w:rPr>
        <w:t xml:space="preserve">Change Management </w:t>
      </w:r>
    </w:p>
    <w:p w14:paraId="17397B2C" w14:textId="5748AC77" w:rsidR="007E5FAE" w:rsidRPr="00924ECB" w:rsidRDefault="007E5FAE" w:rsidP="00014170">
      <w:r w:rsidRPr="00924ECB">
        <w:t xml:space="preserve">Sainsbury has appeared to possess a relatively high capability to handle change, especially in its own strategies such as the Food First and Next Level, which encompasses the strength of </w:t>
      </w:r>
      <w:r w:rsidR="004D4392">
        <w:t xml:space="preserve">its </w:t>
      </w:r>
      <w:r w:rsidRPr="00924ECB">
        <w:t xml:space="preserve">core grocery and </w:t>
      </w:r>
      <w:r w:rsidR="004D4392">
        <w:t xml:space="preserve">the </w:t>
      </w:r>
      <w:r w:rsidRPr="00924ECB">
        <w:t xml:space="preserve">efficiency of its operations (Sainsbury, 2026). Major structural and technological modifications introduced by the company are automation, optimisation of </w:t>
      </w:r>
      <w:r w:rsidR="004D4392">
        <w:t xml:space="preserve">the </w:t>
      </w:r>
      <w:r w:rsidRPr="00924ECB">
        <w:t xml:space="preserve">supply chain and digital expansion. For example, restructuring efforts will see the saving of £1 billion pounds by 2027 and this represents an initiative to take the initiative and save money (Sainsbury, 2025). Additionally, </w:t>
      </w:r>
      <w:r w:rsidR="004D4392">
        <w:t xml:space="preserve">the </w:t>
      </w:r>
      <w:r w:rsidRPr="00924ECB">
        <w:t xml:space="preserve">persistent integration of the store of Argos and investment in e-commerce platforms are indicative of adaptive strategic implementation. However, there are obstacles </w:t>
      </w:r>
      <w:r w:rsidR="004D4392">
        <w:t>to</w:t>
      </w:r>
      <w:r w:rsidRPr="00924ECB">
        <w:t xml:space="preserve"> effective change management in all business units. The fact that the implementation of the system at Argos was not successful due to </w:t>
      </w:r>
      <w:r w:rsidR="004D4392">
        <w:t>the</w:t>
      </w:r>
      <w:r w:rsidRPr="00924ECB">
        <w:t xml:space="preserve"> low performance of the company and the necessity to reduce 300 jobs to restructure its technological teams and delivery network of Argos (Butler, 2026). </w:t>
      </w:r>
    </w:p>
    <w:p w14:paraId="3EF4AC13" w14:textId="77777777" w:rsidR="005F7ECB" w:rsidRPr="00924ECB" w:rsidRDefault="005F7ECB" w:rsidP="00014170">
      <w:pPr>
        <w:pStyle w:val="Heading2"/>
        <w:spacing w:before="240" w:after="240"/>
      </w:pPr>
      <w:bookmarkStart w:id="8" w:name="_Toc224746325"/>
      <w:r>
        <w:t xml:space="preserve">1.7 </w:t>
      </w:r>
      <w:r w:rsidRPr="00924ECB">
        <w:t>Strategic Evaluation and Recommendations</w:t>
      </w:r>
      <w:bookmarkEnd w:id="8"/>
    </w:p>
    <w:p w14:paraId="4B7A1C02" w14:textId="77777777" w:rsidR="005F7ECB" w:rsidRPr="00086ED8" w:rsidRDefault="005F7ECB" w:rsidP="00014170">
      <w:pPr>
        <w:rPr>
          <w:b/>
          <w:bCs/>
        </w:rPr>
      </w:pPr>
      <w:r w:rsidRPr="00086ED8">
        <w:rPr>
          <w:b/>
          <w:bCs/>
        </w:rPr>
        <w:t>1.7.1 Strategic Analysis – SWOT Analysis</w:t>
      </w:r>
    </w:p>
    <w:p w14:paraId="26916107" w14:textId="0F193CF3" w:rsidR="005F7ECB" w:rsidRDefault="005F7ECB" w:rsidP="00014170">
      <w:r w:rsidRPr="00924ECB">
        <w:t xml:space="preserve">It is possible to critically evaluate the current strategy of Sainsbury through the SWOT analysis while focusing on its internal strengths and weaknesses with external opportunities and threats. The major strength of the organisation is its good brand reputation and diversification of its operations, especially after the integration of Argos which gives it an enhanced retail capability in the omnichannel. In terms of its financial performance, </w:t>
      </w:r>
      <w:r w:rsidRPr="00924ECB">
        <w:lastRenderedPageBreak/>
        <w:t>strategic resilience is also evident in retail sales of about £31.555 million have been recorded in 2024/25, which is 3.1% year-on-year (Sainsbury, 2025).  However, there are still weaknesses</w:t>
      </w:r>
      <w:r w:rsidR="004D4392">
        <w:t>,</w:t>
      </w:r>
      <w:r w:rsidRPr="00924ECB">
        <w:t xml:space="preserve"> especially in the ability to sustain profitability from intense competition from discount retailers</w:t>
      </w:r>
      <w:r w:rsidR="004D4392">
        <w:t>,</w:t>
      </w:r>
      <w:r w:rsidRPr="00924ECB">
        <w:t xml:space="preserve"> including Aldi and Lidl. This pressure on profitability is indicated by the need to spend heavily on price cuts such as </w:t>
      </w:r>
      <w:r w:rsidR="004D4392">
        <w:t xml:space="preserve">a </w:t>
      </w:r>
      <w:r w:rsidRPr="00924ECB">
        <w:t>£1bn investment to reduce prices in the market to enhance customer experience (Sainsbury, 2025).</w:t>
      </w:r>
    </w:p>
    <w:p w14:paraId="32441D64" w14:textId="59A58FA5" w:rsidR="005F7ECB" w:rsidRPr="00924ECB" w:rsidRDefault="005F7ECB" w:rsidP="00014170">
      <w:r w:rsidRPr="00924ECB">
        <w:t>Externally, there is a possibility of digital growth and data-based personalisation</w:t>
      </w:r>
      <w:r>
        <w:t xml:space="preserve"> to provide </w:t>
      </w:r>
      <w:r w:rsidR="004D4392">
        <w:t xml:space="preserve">a </w:t>
      </w:r>
      <w:r>
        <w:t xml:space="preserve">personalised experience to customers and maintain their loyalty effectively (Jae and Hwa, 2025). </w:t>
      </w:r>
      <w:r w:rsidRPr="00924ECB">
        <w:t xml:space="preserve">On the other hand, threats </w:t>
      </w:r>
      <w:r>
        <w:t>including</w:t>
      </w:r>
      <w:r w:rsidRPr="00924ECB">
        <w:t xml:space="preserve"> inflation, interruption in the supply chain</w:t>
      </w:r>
      <w:r w:rsidR="004D4392">
        <w:t>,</w:t>
      </w:r>
      <w:r w:rsidRPr="00924ECB">
        <w:t xml:space="preserve"> as well as altering consumer behaviour still threaten strategic stability.</w:t>
      </w:r>
      <w:r>
        <w:t xml:space="preserve"> </w:t>
      </w:r>
      <w:r w:rsidRPr="00924ECB">
        <w:t>The SWOT analysis points out that a consistent competitive advantage brings about constant innovation, enhancement of efficiency and strategy focus in high</w:t>
      </w:r>
      <w:r w:rsidR="004D4392">
        <w:t>-</w:t>
      </w:r>
      <w:r w:rsidRPr="00924ECB">
        <w:t>performing segments</w:t>
      </w:r>
      <w:r>
        <w:t>.</w:t>
      </w:r>
    </w:p>
    <w:p w14:paraId="7A28429E" w14:textId="77777777" w:rsidR="005F7ECB" w:rsidRPr="00924ECB" w:rsidRDefault="005F7ECB" w:rsidP="00014170">
      <w:pPr>
        <w:rPr>
          <w:b/>
          <w:bCs/>
        </w:rPr>
      </w:pPr>
      <w:r>
        <w:rPr>
          <w:b/>
          <w:bCs/>
        </w:rPr>
        <w:t xml:space="preserve">1.7.2 </w:t>
      </w:r>
      <w:r w:rsidRPr="00924ECB">
        <w:rPr>
          <w:b/>
          <w:bCs/>
        </w:rPr>
        <w:t xml:space="preserve">Recommendations </w:t>
      </w:r>
    </w:p>
    <w:p w14:paraId="75909790" w14:textId="54814917" w:rsidR="005F7ECB" w:rsidRPr="00924ECB" w:rsidRDefault="005F7ECB" w:rsidP="00014170">
      <w:r w:rsidRPr="00924ECB">
        <w:t>To improve its competitive edge,</w:t>
      </w:r>
      <w:r>
        <w:t xml:space="preserve"> the company needs to focus on </w:t>
      </w:r>
      <w:r w:rsidRPr="00924ECB">
        <w:t>digital transformation and data-based personalisation</w:t>
      </w:r>
      <w:r>
        <w:t xml:space="preserve"> (</w:t>
      </w:r>
      <w:proofErr w:type="spellStart"/>
      <w:r w:rsidRPr="00666508">
        <w:t>Ziółkowska</w:t>
      </w:r>
      <w:proofErr w:type="spellEnd"/>
      <w:r>
        <w:t>, 2021). This strategy is aligned</w:t>
      </w:r>
      <w:r w:rsidRPr="00924ECB">
        <w:t xml:space="preserve"> with the market penetration approach of Ansoff that will enable it to combine its presence in current markets. This can be done by using its large Nectar data platform </w:t>
      </w:r>
      <w:r>
        <w:t>to enable more accurate</w:t>
      </w:r>
      <w:r w:rsidRPr="00924ECB">
        <w:t xml:space="preserve"> targeting and customer relationship</w:t>
      </w:r>
      <w:r w:rsidR="004D4392">
        <w:t>s</w:t>
      </w:r>
      <w:r>
        <w:t>. This strategy is</w:t>
      </w:r>
      <w:r w:rsidRPr="00924ECB">
        <w:t xml:space="preserve"> </w:t>
      </w:r>
      <w:proofErr w:type="gramStart"/>
      <w:r>
        <w:t>similar to</w:t>
      </w:r>
      <w:proofErr w:type="gramEnd"/>
      <w:r>
        <w:t xml:space="preserve"> </w:t>
      </w:r>
      <w:r w:rsidRPr="00924ECB">
        <w:t xml:space="preserve">Tesco </w:t>
      </w:r>
      <w:r>
        <w:t xml:space="preserve">that </w:t>
      </w:r>
      <w:r w:rsidRPr="00924ECB">
        <w:t>has utili</w:t>
      </w:r>
      <w:r>
        <w:t>s</w:t>
      </w:r>
      <w:r w:rsidRPr="00924ECB">
        <w:t>ed Clubcard data to create loyalty and sales</w:t>
      </w:r>
      <w:r>
        <w:t xml:space="preserve"> (Tesco, 2019)</w:t>
      </w:r>
      <w:r w:rsidRPr="00924ECB">
        <w:t xml:space="preserve">. </w:t>
      </w:r>
      <w:r>
        <w:t xml:space="preserve">This </w:t>
      </w:r>
      <w:r w:rsidRPr="00924ECB">
        <w:t xml:space="preserve">strategy is informed by the fact that Sainsbury already dispatches millions of personalised offers every week which means that the potential </w:t>
      </w:r>
      <w:r w:rsidR="004D4392">
        <w:t>for</w:t>
      </w:r>
      <w:r w:rsidRPr="00924ECB">
        <w:t xml:space="preserve"> further growth is high (Sainsbury, 202</w:t>
      </w:r>
      <w:r>
        <w:t>5</w:t>
      </w:r>
      <w:r w:rsidRPr="00924ECB">
        <w:t>). Understanding the customers better can help the company to gain retention and lifetime value.</w:t>
      </w:r>
    </w:p>
    <w:p w14:paraId="47136C5E" w14:textId="7EDDCC78" w:rsidR="005F7ECB" w:rsidRDefault="005F7ECB" w:rsidP="00014170">
      <w:r w:rsidRPr="00924ECB">
        <w:t xml:space="preserve">Secondly, Sainsbury should </w:t>
      </w:r>
      <w:r>
        <w:t xml:space="preserve">concentrate on </w:t>
      </w:r>
      <w:r w:rsidRPr="00924ECB">
        <w:t>operational efficiency and cost minimisation, which is</w:t>
      </w:r>
      <w:r>
        <w:t xml:space="preserve"> aligned </w:t>
      </w:r>
      <w:r w:rsidRPr="00924ECB">
        <w:t>with the cost leadership strategy by Porter.</w:t>
      </w:r>
      <w:r>
        <w:t xml:space="preserve"> Investment in the supply chain optimisation, automation, and advanced technologies which can minimise operational costs and enhance margins. For example, retail stores such as </w:t>
      </w:r>
      <w:r w:rsidRPr="00924ECB">
        <w:t xml:space="preserve">Walmart have </w:t>
      </w:r>
      <w:r>
        <w:t>introduced</w:t>
      </w:r>
      <w:r w:rsidRPr="00924ECB">
        <w:t xml:space="preserve"> high-end logistics and AI-powered inventory to attain considerable cost effectiveness</w:t>
      </w:r>
      <w:r>
        <w:t xml:space="preserve"> (Walmart, 2024)</w:t>
      </w:r>
      <w:r w:rsidRPr="00924ECB">
        <w:t xml:space="preserve">. </w:t>
      </w:r>
      <w:r w:rsidR="00835F99" w:rsidRPr="00924ECB">
        <w:t>This strategic direction is important based on the initiatives Sainsbury</w:t>
      </w:r>
      <w:r w:rsidR="004D4392">
        <w:t>'s</w:t>
      </w:r>
      <w:r w:rsidR="00835F99" w:rsidRPr="00924ECB">
        <w:t xml:space="preserve"> has been undertaking to achieve its cost savings goal of £1 billion by 2027 (Sainsbury, 2025).</w:t>
      </w:r>
    </w:p>
    <w:p w14:paraId="4F313222" w14:textId="2069A819" w:rsidR="005F7ECB" w:rsidRDefault="005F7ECB" w:rsidP="00014170">
      <w:r w:rsidRPr="00924ECB">
        <w:lastRenderedPageBreak/>
        <w:t xml:space="preserve">Lastly, together with competitive positioning, there is the integration of sustainability and CSR that can be improved. </w:t>
      </w:r>
      <w:r w:rsidR="004D4392">
        <w:t>A g</w:t>
      </w:r>
      <w:r w:rsidRPr="00924ECB">
        <w:t>reen strategy can enhance brand image and customer loyalty as more customers focus on the ethical and environmental aspects</w:t>
      </w:r>
      <w:r>
        <w:t xml:space="preserve"> (</w:t>
      </w:r>
      <w:proofErr w:type="spellStart"/>
      <w:r w:rsidRPr="0063354E">
        <w:t>Kewakuma</w:t>
      </w:r>
      <w:proofErr w:type="spellEnd"/>
      <w:r>
        <w:t>, et al., 2021)</w:t>
      </w:r>
      <w:r w:rsidRPr="00924ECB">
        <w:t xml:space="preserve">. This is </w:t>
      </w:r>
      <w:r>
        <w:t xml:space="preserve">aligned </w:t>
      </w:r>
      <w:r w:rsidRPr="00924ECB">
        <w:t xml:space="preserve">with the stakeholder theory that supports the need to balance the economic and social goals. </w:t>
      </w:r>
      <w:r>
        <w:t xml:space="preserve">Overall, these recommendations are beneficial for Sainsbury to maintain market competitiveness and attractiveness to improve consumer experience and manage financial performance. </w:t>
      </w:r>
    </w:p>
    <w:p w14:paraId="6BCC0317" w14:textId="77777777" w:rsidR="001D0880" w:rsidRDefault="001D0880" w:rsidP="00014170">
      <w:pPr>
        <w:pStyle w:val="Heading2"/>
        <w:spacing w:before="240" w:after="240"/>
      </w:pPr>
      <w:bookmarkStart w:id="9" w:name="_Toc224746326"/>
      <w:r>
        <w:t>1.8 Conclusion</w:t>
      </w:r>
      <w:bookmarkEnd w:id="9"/>
    </w:p>
    <w:p w14:paraId="258EDF57" w14:textId="2E88A02A" w:rsidR="00FB7B91" w:rsidRDefault="004A2308" w:rsidP="00014170">
      <w:pPr>
        <w:rPr>
          <w:rFonts w:cs="Arial"/>
          <w:szCs w:val="24"/>
          <w:lang w:val="en-IN"/>
        </w:rPr>
      </w:pPr>
      <w:r>
        <w:rPr>
          <w:rFonts w:cs="Arial"/>
          <w:szCs w:val="24"/>
          <w:lang w:val="en-IN"/>
        </w:rPr>
        <w:t>In conclusion</w:t>
      </w:r>
      <w:r w:rsidR="00FB7B91" w:rsidRPr="00FB7B91">
        <w:rPr>
          <w:rFonts w:cs="Arial"/>
          <w:szCs w:val="24"/>
          <w:lang w:val="en-IN"/>
        </w:rPr>
        <w:t xml:space="preserve">, Sainsbury has a </w:t>
      </w:r>
      <w:r w:rsidR="006A478A">
        <w:rPr>
          <w:rFonts w:cs="Arial"/>
          <w:szCs w:val="24"/>
          <w:lang w:val="en-IN"/>
        </w:rPr>
        <w:t>strong</w:t>
      </w:r>
      <w:r w:rsidR="00FB7B91" w:rsidRPr="00FB7B91">
        <w:rPr>
          <w:rFonts w:cs="Arial"/>
          <w:szCs w:val="24"/>
          <w:lang w:val="en-IN"/>
        </w:rPr>
        <w:t xml:space="preserve"> strategic </w:t>
      </w:r>
      <w:r w:rsidR="00772124">
        <w:rPr>
          <w:rFonts w:cs="Arial"/>
          <w:szCs w:val="24"/>
          <w:lang w:val="en-IN"/>
        </w:rPr>
        <w:t>position</w:t>
      </w:r>
      <w:r w:rsidR="00FB7B91" w:rsidRPr="00FB7B91">
        <w:rPr>
          <w:rFonts w:cs="Arial"/>
          <w:szCs w:val="24"/>
          <w:lang w:val="en-IN"/>
        </w:rPr>
        <w:t xml:space="preserve"> in the UK retailing industry because of its hybrid business model, diversification, and emphasis on digital transformation and sustainability. The external and internal analysis </w:t>
      </w:r>
      <w:r w:rsidR="000356B8">
        <w:rPr>
          <w:rFonts w:cs="Arial"/>
          <w:szCs w:val="24"/>
          <w:lang w:val="en-IN"/>
        </w:rPr>
        <w:t>highlights</w:t>
      </w:r>
      <w:r w:rsidR="00FB7B91" w:rsidRPr="00FB7B91">
        <w:rPr>
          <w:rFonts w:cs="Arial"/>
          <w:szCs w:val="24"/>
          <w:lang w:val="en-IN"/>
        </w:rPr>
        <w:t xml:space="preserve"> some growth opportunities especially in technology and personalisation of customers, and some of the challenges</w:t>
      </w:r>
      <w:r w:rsidR="004D4392">
        <w:rPr>
          <w:rFonts w:cs="Arial"/>
          <w:szCs w:val="24"/>
          <w:lang w:val="en-IN"/>
        </w:rPr>
        <w:t>,</w:t>
      </w:r>
      <w:r w:rsidR="00FB7B91" w:rsidRPr="00FB7B91">
        <w:rPr>
          <w:rFonts w:cs="Arial"/>
          <w:szCs w:val="24"/>
          <w:lang w:val="en-IN"/>
        </w:rPr>
        <w:t xml:space="preserve"> </w:t>
      </w:r>
      <w:r w:rsidR="00D6050D">
        <w:rPr>
          <w:rFonts w:cs="Arial"/>
          <w:szCs w:val="24"/>
          <w:lang w:val="en-IN"/>
        </w:rPr>
        <w:t>including</w:t>
      </w:r>
      <w:r w:rsidR="00BA61D0">
        <w:rPr>
          <w:rFonts w:cs="Arial"/>
          <w:szCs w:val="24"/>
          <w:lang w:val="en-IN"/>
        </w:rPr>
        <w:t xml:space="preserve"> intense </w:t>
      </w:r>
      <w:r w:rsidR="00FB7B91" w:rsidRPr="00FB7B91">
        <w:rPr>
          <w:rFonts w:cs="Arial"/>
          <w:szCs w:val="24"/>
          <w:lang w:val="en-IN"/>
        </w:rPr>
        <w:t xml:space="preserve">competition and cost. The competitive advantage is </w:t>
      </w:r>
      <w:r w:rsidR="00376264">
        <w:rPr>
          <w:rFonts w:cs="Arial"/>
          <w:szCs w:val="24"/>
          <w:lang w:val="en-IN"/>
        </w:rPr>
        <w:t>supported</w:t>
      </w:r>
      <w:r w:rsidR="00FB7B91" w:rsidRPr="00FB7B91">
        <w:rPr>
          <w:rFonts w:cs="Arial"/>
          <w:szCs w:val="24"/>
          <w:lang w:val="en-IN"/>
        </w:rPr>
        <w:t xml:space="preserve"> by the company</w:t>
      </w:r>
      <w:r w:rsidR="004D4392">
        <w:rPr>
          <w:rFonts w:cs="Arial"/>
          <w:szCs w:val="24"/>
          <w:lang w:val="en-IN"/>
        </w:rPr>
        <w:t>'s</w:t>
      </w:r>
      <w:r w:rsidR="00FB7B91" w:rsidRPr="00FB7B91">
        <w:rPr>
          <w:rFonts w:cs="Arial"/>
          <w:szCs w:val="24"/>
          <w:lang w:val="en-IN"/>
        </w:rPr>
        <w:t xml:space="preserve"> capabilities such as supply chain and integration of Argos, but the company must constantly innovate. </w:t>
      </w:r>
      <w:r w:rsidR="00822B2E">
        <w:rPr>
          <w:rFonts w:cs="Arial"/>
          <w:szCs w:val="24"/>
          <w:lang w:val="en-IN"/>
        </w:rPr>
        <w:t>Further</w:t>
      </w:r>
      <w:r w:rsidR="00FB7B91" w:rsidRPr="00FB7B91">
        <w:rPr>
          <w:rFonts w:cs="Arial"/>
          <w:szCs w:val="24"/>
          <w:lang w:val="en-IN"/>
        </w:rPr>
        <w:t xml:space="preserve">, the Sainsbury strategic direction is still efficient, </w:t>
      </w:r>
      <w:r w:rsidR="00001982">
        <w:rPr>
          <w:rFonts w:cs="Arial"/>
          <w:szCs w:val="24"/>
          <w:lang w:val="en-IN"/>
        </w:rPr>
        <w:t>but</w:t>
      </w:r>
      <w:r w:rsidR="00FB7B91" w:rsidRPr="00FB7B91">
        <w:rPr>
          <w:rFonts w:cs="Arial"/>
          <w:szCs w:val="24"/>
          <w:lang w:val="en-IN"/>
        </w:rPr>
        <w:t xml:space="preserve"> the long-term success will be achieved by the promotion of efficiency, the ability to adapt to the market, and the enhancement of its core value offer.</w:t>
      </w:r>
    </w:p>
    <w:p w14:paraId="51487489" w14:textId="63AB9E55" w:rsidR="002A7A04" w:rsidRDefault="002A7A04" w:rsidP="00014170">
      <w:pPr>
        <w:rPr>
          <w:rFonts w:cs="Arial"/>
          <w:szCs w:val="24"/>
          <w:lang w:val="en-IN"/>
        </w:rPr>
      </w:pPr>
      <w:r>
        <w:rPr>
          <w:rFonts w:cs="Arial"/>
          <w:szCs w:val="24"/>
          <w:lang w:val="en-IN"/>
        </w:rPr>
        <w:br w:type="page"/>
      </w:r>
    </w:p>
    <w:p w14:paraId="49E618AA" w14:textId="3B383568" w:rsidR="002A7A04" w:rsidRDefault="002A7A04" w:rsidP="00014170">
      <w:pPr>
        <w:pStyle w:val="Heading1"/>
        <w:spacing w:after="240"/>
        <w:rPr>
          <w:lang w:val="en-IN"/>
        </w:rPr>
      </w:pPr>
      <w:bookmarkStart w:id="10" w:name="_Toc224746327"/>
      <w:r>
        <w:rPr>
          <w:lang w:val="en-IN"/>
        </w:rPr>
        <w:lastRenderedPageBreak/>
        <w:t>Section 2 – Reflective Account</w:t>
      </w:r>
      <w:bookmarkEnd w:id="10"/>
    </w:p>
    <w:p w14:paraId="4FAD3B72" w14:textId="22B3FB5C" w:rsidR="00F3210C" w:rsidRDefault="002E0001" w:rsidP="00014170">
      <w:pPr>
        <w:pStyle w:val="Heading2"/>
        <w:spacing w:before="240" w:after="240"/>
        <w:rPr>
          <w:lang w:val="en-IN"/>
        </w:rPr>
      </w:pPr>
      <w:bookmarkStart w:id="11" w:name="_Toc224746328"/>
      <w:r>
        <w:rPr>
          <w:lang w:val="en-IN"/>
        </w:rPr>
        <w:t xml:space="preserve">2.1 </w:t>
      </w:r>
      <w:r w:rsidR="00F3210C">
        <w:rPr>
          <w:lang w:val="en-IN"/>
        </w:rPr>
        <w:t>Gibbs Reflective Cycle</w:t>
      </w:r>
      <w:bookmarkEnd w:id="11"/>
    </w:p>
    <w:p w14:paraId="37AD589E" w14:textId="24A7B7C3" w:rsidR="0072393C" w:rsidRDefault="00844950" w:rsidP="00014170">
      <w:pPr>
        <w:rPr>
          <w:lang w:val="en-IN"/>
        </w:rPr>
      </w:pPr>
      <w:r>
        <w:rPr>
          <w:lang w:val="en-IN"/>
        </w:rPr>
        <w:t xml:space="preserve">To reflect on the </w:t>
      </w:r>
      <w:r w:rsidR="00577F84">
        <w:rPr>
          <w:lang w:val="en-IN"/>
        </w:rPr>
        <w:t xml:space="preserve">self-experience and analysis </w:t>
      </w:r>
      <w:r w:rsidR="0017405B">
        <w:rPr>
          <w:lang w:val="en-IN"/>
        </w:rPr>
        <w:t>can be done through Gibb</w:t>
      </w:r>
      <w:r w:rsidR="004D4392">
        <w:rPr>
          <w:lang w:val="en-IN"/>
        </w:rPr>
        <w:t>s’</w:t>
      </w:r>
      <w:r w:rsidR="0017405B">
        <w:rPr>
          <w:lang w:val="en-IN"/>
        </w:rPr>
        <w:t xml:space="preserve"> Reflective Cycle</w:t>
      </w:r>
      <w:r w:rsidR="004D555D">
        <w:rPr>
          <w:lang w:val="en-IN"/>
        </w:rPr>
        <w:t xml:space="preserve"> and its six stages</w:t>
      </w:r>
      <w:r w:rsidR="004D4392">
        <w:rPr>
          <w:lang w:val="en-IN"/>
        </w:rPr>
        <w:t>,</w:t>
      </w:r>
      <w:r w:rsidR="004D555D">
        <w:rPr>
          <w:lang w:val="en-IN"/>
        </w:rPr>
        <w:t xml:space="preserve"> including description, feelings, evaluation, analysis, conclusion, and action plan</w:t>
      </w:r>
      <w:r w:rsidR="0072393C">
        <w:rPr>
          <w:lang w:val="en-IN"/>
        </w:rPr>
        <w:t xml:space="preserve"> (</w:t>
      </w:r>
      <w:r w:rsidR="00635032" w:rsidRPr="00125794">
        <w:rPr>
          <w:rFonts w:cs="Arial"/>
          <w:szCs w:val="24"/>
        </w:rPr>
        <w:t>Praveena</w:t>
      </w:r>
      <w:r w:rsidR="00635032">
        <w:rPr>
          <w:rFonts w:cs="Arial"/>
          <w:szCs w:val="24"/>
        </w:rPr>
        <w:t>, et al., 2025</w:t>
      </w:r>
      <w:r w:rsidR="0072393C">
        <w:rPr>
          <w:lang w:val="en-IN"/>
        </w:rPr>
        <w:t>)</w:t>
      </w:r>
      <w:r w:rsidR="004D555D">
        <w:rPr>
          <w:lang w:val="en-IN"/>
        </w:rPr>
        <w:t>.</w:t>
      </w:r>
    </w:p>
    <w:p w14:paraId="1332B40F" w14:textId="77777777" w:rsidR="0072393C" w:rsidRPr="00390796" w:rsidRDefault="0072393C" w:rsidP="00AE28A4">
      <w:pPr>
        <w:jc w:val="center"/>
        <w:rPr>
          <w:b/>
          <w:bCs/>
          <w:i/>
          <w:iCs/>
        </w:rPr>
      </w:pPr>
      <w:r w:rsidRPr="00390796">
        <w:rPr>
          <w:b/>
          <w:bCs/>
          <w:i/>
          <w:iCs/>
          <w:noProof/>
          <w:lang w:val="en-IN"/>
        </w:rPr>
        <w:drawing>
          <wp:inline distT="0" distB="0" distL="0" distR="0" wp14:anchorId="0EDFBCC9" wp14:editId="4446C3F2">
            <wp:extent cx="5486400" cy="3200400"/>
            <wp:effectExtent l="0" t="19050" r="0" b="57150"/>
            <wp:docPr id="105524269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1B3262EB" w14:textId="3604A491" w:rsidR="0072393C" w:rsidRPr="00390796" w:rsidRDefault="0072393C" w:rsidP="00AE28A4">
      <w:pPr>
        <w:jc w:val="center"/>
        <w:rPr>
          <w:b/>
          <w:bCs/>
          <w:i/>
          <w:iCs/>
          <w:lang w:val="en-US"/>
        </w:rPr>
      </w:pPr>
      <w:r w:rsidRPr="00390796">
        <w:rPr>
          <w:b/>
          <w:bCs/>
          <w:i/>
          <w:iCs/>
        </w:rPr>
        <w:t xml:space="preserve">Figure </w:t>
      </w:r>
      <w:r w:rsidRPr="00390796">
        <w:rPr>
          <w:b/>
          <w:bCs/>
          <w:i/>
          <w:iCs/>
        </w:rPr>
        <w:fldChar w:fldCharType="begin"/>
      </w:r>
      <w:r w:rsidRPr="00390796">
        <w:rPr>
          <w:b/>
          <w:bCs/>
          <w:i/>
          <w:iCs/>
        </w:rPr>
        <w:instrText xml:space="preserve"> SEQ Figure \* ARABIC </w:instrText>
      </w:r>
      <w:r w:rsidRPr="00390796">
        <w:rPr>
          <w:b/>
          <w:bCs/>
          <w:i/>
          <w:iCs/>
        </w:rPr>
        <w:fldChar w:fldCharType="separate"/>
      </w:r>
      <w:r w:rsidRPr="00390796">
        <w:rPr>
          <w:b/>
          <w:bCs/>
          <w:i/>
          <w:iCs/>
          <w:noProof/>
        </w:rPr>
        <w:t>15</w:t>
      </w:r>
      <w:r w:rsidRPr="00390796">
        <w:rPr>
          <w:b/>
          <w:bCs/>
          <w:i/>
          <w:iCs/>
        </w:rPr>
        <w:fldChar w:fldCharType="end"/>
      </w:r>
      <w:r w:rsidRPr="00390796">
        <w:rPr>
          <w:b/>
          <w:bCs/>
          <w:i/>
          <w:iCs/>
          <w:lang w:val="en-US"/>
        </w:rPr>
        <w:t>: Gibbs Reflective Cycle</w:t>
      </w:r>
    </w:p>
    <w:p w14:paraId="2B44D749" w14:textId="43EC06E4" w:rsidR="002E0001" w:rsidRPr="0042383B" w:rsidRDefault="0072393C" w:rsidP="00AE28A4">
      <w:pPr>
        <w:jc w:val="center"/>
        <w:rPr>
          <w:b/>
          <w:bCs/>
          <w:i/>
          <w:iCs/>
          <w:lang w:val="en-US"/>
        </w:rPr>
      </w:pPr>
      <w:r w:rsidRPr="00390796">
        <w:rPr>
          <w:b/>
          <w:bCs/>
          <w:i/>
          <w:iCs/>
          <w:lang w:val="en-US"/>
        </w:rPr>
        <w:t>(Source: By Author)</w:t>
      </w:r>
    </w:p>
    <w:p w14:paraId="1EEE6FCD" w14:textId="454790C4" w:rsidR="00FB7B91" w:rsidRPr="002E0001" w:rsidRDefault="00F3210C" w:rsidP="00014170">
      <w:pPr>
        <w:rPr>
          <w:rFonts w:cs="Arial"/>
          <w:b/>
          <w:bCs/>
          <w:szCs w:val="24"/>
          <w:lang w:val="en-IN"/>
        </w:rPr>
      </w:pPr>
      <w:r w:rsidRPr="002E0001">
        <w:rPr>
          <w:rFonts w:cs="Arial"/>
          <w:b/>
          <w:bCs/>
          <w:szCs w:val="24"/>
          <w:lang w:val="en-IN"/>
        </w:rPr>
        <w:t>2</w:t>
      </w:r>
      <w:r w:rsidR="002E0001" w:rsidRPr="002E0001">
        <w:rPr>
          <w:rFonts w:cs="Arial"/>
          <w:b/>
          <w:bCs/>
          <w:szCs w:val="24"/>
          <w:lang w:val="en-IN"/>
        </w:rPr>
        <w:t>.1.1</w:t>
      </w:r>
      <w:r w:rsidRPr="002E0001">
        <w:rPr>
          <w:rFonts w:cs="Arial"/>
          <w:b/>
          <w:bCs/>
          <w:szCs w:val="24"/>
          <w:lang w:val="en-IN"/>
        </w:rPr>
        <w:t xml:space="preserve"> </w:t>
      </w:r>
      <w:r w:rsidR="00FB7B91" w:rsidRPr="002E0001">
        <w:rPr>
          <w:rFonts w:cs="Arial"/>
          <w:b/>
          <w:bCs/>
          <w:szCs w:val="24"/>
          <w:lang w:val="en-IN"/>
        </w:rPr>
        <w:t>Description</w:t>
      </w:r>
    </w:p>
    <w:p w14:paraId="125C8FC6" w14:textId="3BFED086" w:rsidR="00FB7B91" w:rsidRPr="00FB7B91" w:rsidRDefault="00FB7B91" w:rsidP="00014170">
      <w:pPr>
        <w:rPr>
          <w:rFonts w:cs="Arial"/>
          <w:szCs w:val="24"/>
          <w:lang w:val="en-IN"/>
        </w:rPr>
      </w:pPr>
      <w:r w:rsidRPr="00FB7B91">
        <w:rPr>
          <w:rFonts w:cs="Arial"/>
          <w:szCs w:val="24"/>
          <w:lang w:val="en-IN"/>
        </w:rPr>
        <w:t xml:space="preserve">This analysis </w:t>
      </w:r>
      <w:r w:rsidR="006C1E9A">
        <w:rPr>
          <w:rFonts w:cs="Arial"/>
          <w:szCs w:val="24"/>
          <w:lang w:val="en-IN"/>
        </w:rPr>
        <w:t xml:space="preserve">is </w:t>
      </w:r>
      <w:r w:rsidRPr="00FB7B91">
        <w:rPr>
          <w:rFonts w:cs="Arial"/>
          <w:szCs w:val="24"/>
          <w:lang w:val="en-IN"/>
        </w:rPr>
        <w:t>concerned</w:t>
      </w:r>
      <w:r w:rsidR="006C1E9A">
        <w:rPr>
          <w:rFonts w:cs="Arial"/>
          <w:szCs w:val="24"/>
          <w:lang w:val="en-IN"/>
        </w:rPr>
        <w:t xml:space="preserve"> w</w:t>
      </w:r>
      <w:r w:rsidR="00925EA7">
        <w:rPr>
          <w:rFonts w:cs="Arial"/>
          <w:szCs w:val="24"/>
          <w:lang w:val="en-IN"/>
        </w:rPr>
        <w:t>ith</w:t>
      </w:r>
      <w:r w:rsidRPr="00FB7B91">
        <w:rPr>
          <w:rFonts w:cs="Arial"/>
          <w:szCs w:val="24"/>
          <w:lang w:val="en-IN"/>
        </w:rPr>
        <w:t xml:space="preserve"> the evaluation of the strategic environment of Sainsbury and an evaluation of its long-term competitive advantage, strategic positioning, and internal and external environment. It involved the utili</w:t>
      </w:r>
      <w:r w:rsidR="006B0007">
        <w:rPr>
          <w:rFonts w:cs="Arial"/>
          <w:szCs w:val="24"/>
          <w:lang w:val="en-IN"/>
        </w:rPr>
        <w:t>s</w:t>
      </w:r>
      <w:r w:rsidRPr="00FB7B91">
        <w:rPr>
          <w:rFonts w:cs="Arial"/>
          <w:szCs w:val="24"/>
          <w:lang w:val="en-IN"/>
        </w:rPr>
        <w:t>ation of the most important strategic management theories such as PESTEL, Porter</w:t>
      </w:r>
      <w:r w:rsidR="004D4392">
        <w:rPr>
          <w:rFonts w:cs="Arial"/>
          <w:szCs w:val="24"/>
          <w:lang w:val="en-IN"/>
        </w:rPr>
        <w:t>'</w:t>
      </w:r>
      <w:r w:rsidRPr="00FB7B91">
        <w:rPr>
          <w:rFonts w:cs="Arial"/>
          <w:szCs w:val="24"/>
          <w:lang w:val="en-IN"/>
        </w:rPr>
        <w:t xml:space="preserve">s five forces, VRIO, Balanced scorecard, and SWOT analysis. The research stage </w:t>
      </w:r>
      <w:r w:rsidR="006304CE">
        <w:rPr>
          <w:rFonts w:cs="Arial"/>
          <w:szCs w:val="24"/>
          <w:lang w:val="en-IN"/>
        </w:rPr>
        <w:t>involved</w:t>
      </w:r>
      <w:r w:rsidRPr="00FB7B91">
        <w:rPr>
          <w:rFonts w:cs="Arial"/>
          <w:szCs w:val="24"/>
          <w:lang w:val="en-IN"/>
        </w:rPr>
        <w:t xml:space="preserve"> the collection of data </w:t>
      </w:r>
      <w:r w:rsidR="006304CE">
        <w:rPr>
          <w:rFonts w:cs="Arial"/>
          <w:szCs w:val="24"/>
          <w:lang w:val="en-IN"/>
        </w:rPr>
        <w:t>from</w:t>
      </w:r>
      <w:r w:rsidRPr="00FB7B91">
        <w:rPr>
          <w:rFonts w:cs="Arial"/>
          <w:szCs w:val="24"/>
          <w:lang w:val="en-IN"/>
        </w:rPr>
        <w:t xml:space="preserve"> reliable sources </w:t>
      </w:r>
      <w:r w:rsidR="006304CE">
        <w:rPr>
          <w:rFonts w:cs="Arial"/>
          <w:szCs w:val="24"/>
          <w:lang w:val="en-IN"/>
        </w:rPr>
        <w:t>including</w:t>
      </w:r>
      <w:r w:rsidRPr="00FB7B91">
        <w:rPr>
          <w:rFonts w:cs="Arial"/>
          <w:szCs w:val="24"/>
          <w:lang w:val="en-IN"/>
        </w:rPr>
        <w:t xml:space="preserve"> annual reports, financial statements and industry reports. This allowed a better </w:t>
      </w:r>
      <w:r w:rsidRPr="00FB7B91">
        <w:rPr>
          <w:rFonts w:cs="Arial"/>
          <w:szCs w:val="24"/>
          <w:lang w:val="en-IN"/>
        </w:rPr>
        <w:lastRenderedPageBreak/>
        <w:t xml:space="preserve">insight into the business model, market position, and strategic issues of Sainsbury. The analysis stage involved the ability to </w:t>
      </w:r>
      <w:r w:rsidR="006E1C6C">
        <w:rPr>
          <w:rFonts w:cs="Arial"/>
          <w:szCs w:val="24"/>
          <w:lang w:val="en-IN"/>
        </w:rPr>
        <w:t>combine</w:t>
      </w:r>
      <w:r w:rsidRPr="00FB7B91">
        <w:rPr>
          <w:rFonts w:cs="Arial"/>
          <w:szCs w:val="24"/>
          <w:lang w:val="en-IN"/>
        </w:rPr>
        <w:t xml:space="preserve"> the theoretical concepts and real-life data to critically assess the strategy of the organisation.</w:t>
      </w:r>
      <w:r w:rsidR="008D1399">
        <w:rPr>
          <w:rFonts w:cs="Arial"/>
          <w:szCs w:val="24"/>
          <w:lang w:val="en-IN"/>
        </w:rPr>
        <w:t xml:space="preserve"> Further</w:t>
      </w:r>
      <w:r w:rsidRPr="00FB7B91">
        <w:rPr>
          <w:rFonts w:cs="Arial"/>
          <w:szCs w:val="24"/>
          <w:lang w:val="en-IN"/>
        </w:rPr>
        <w:t xml:space="preserve">, the formulation of recommendations </w:t>
      </w:r>
      <w:r w:rsidR="00C64FB5">
        <w:rPr>
          <w:rFonts w:cs="Arial"/>
          <w:szCs w:val="24"/>
          <w:lang w:val="en-IN"/>
        </w:rPr>
        <w:t>involve</w:t>
      </w:r>
      <w:r w:rsidR="00CE08D8">
        <w:rPr>
          <w:rFonts w:cs="Arial"/>
          <w:szCs w:val="24"/>
          <w:lang w:val="en-IN"/>
        </w:rPr>
        <w:t>d</w:t>
      </w:r>
      <w:r w:rsidRPr="00FB7B91">
        <w:rPr>
          <w:rFonts w:cs="Arial"/>
          <w:szCs w:val="24"/>
          <w:lang w:val="en-IN"/>
        </w:rPr>
        <w:t xml:space="preserve"> the connection between theoretical models and business decisions. </w:t>
      </w:r>
      <w:r w:rsidR="00CE08D8" w:rsidRPr="00FB7B91">
        <w:rPr>
          <w:rFonts w:cs="Arial"/>
          <w:szCs w:val="24"/>
          <w:lang w:val="en-IN"/>
        </w:rPr>
        <w:t>Overall</w:t>
      </w:r>
      <w:r w:rsidRPr="00FB7B91">
        <w:rPr>
          <w:rFonts w:cs="Arial"/>
          <w:szCs w:val="24"/>
          <w:lang w:val="en-IN"/>
        </w:rPr>
        <w:t xml:space="preserve">, it was an analytical and reflective task that necessitated </w:t>
      </w:r>
      <w:r w:rsidR="004D4392">
        <w:rPr>
          <w:rFonts w:cs="Arial"/>
          <w:szCs w:val="24"/>
          <w:lang w:val="en-IN"/>
        </w:rPr>
        <w:t xml:space="preserve">an </w:t>
      </w:r>
      <w:r w:rsidR="00CC1682">
        <w:rPr>
          <w:rFonts w:cs="Arial"/>
          <w:szCs w:val="24"/>
          <w:lang w:val="en-IN"/>
        </w:rPr>
        <w:t>organised manner</w:t>
      </w:r>
      <w:r w:rsidRPr="00FB7B91">
        <w:rPr>
          <w:rFonts w:cs="Arial"/>
          <w:szCs w:val="24"/>
          <w:lang w:val="en-IN"/>
        </w:rPr>
        <w:t xml:space="preserve"> of the research, critical thinking, and academic writing.</w:t>
      </w:r>
    </w:p>
    <w:p w14:paraId="36A05D05" w14:textId="372BF37B" w:rsidR="00FB7B91" w:rsidRPr="002E0001" w:rsidRDefault="002E0001" w:rsidP="00014170">
      <w:pPr>
        <w:rPr>
          <w:rFonts w:cs="Arial"/>
          <w:b/>
          <w:bCs/>
          <w:szCs w:val="24"/>
          <w:lang w:val="en-IN"/>
        </w:rPr>
      </w:pPr>
      <w:r w:rsidRPr="002E0001">
        <w:rPr>
          <w:rFonts w:cs="Arial"/>
          <w:b/>
          <w:bCs/>
          <w:szCs w:val="24"/>
          <w:lang w:val="en-IN"/>
        </w:rPr>
        <w:t xml:space="preserve">2.1.2 </w:t>
      </w:r>
      <w:r w:rsidR="00FB7B91" w:rsidRPr="002E0001">
        <w:rPr>
          <w:rFonts w:cs="Arial"/>
          <w:b/>
          <w:bCs/>
          <w:szCs w:val="24"/>
          <w:lang w:val="en-IN"/>
        </w:rPr>
        <w:t>Feelings</w:t>
      </w:r>
    </w:p>
    <w:p w14:paraId="1F7597AC" w14:textId="2F6BD8DA" w:rsidR="00FB7B91" w:rsidRPr="00FB7B91" w:rsidRDefault="00FB7B91" w:rsidP="00014170">
      <w:pPr>
        <w:rPr>
          <w:rFonts w:cs="Arial"/>
          <w:szCs w:val="24"/>
          <w:lang w:val="en-IN"/>
        </w:rPr>
      </w:pPr>
      <w:r w:rsidRPr="00FB7B91">
        <w:rPr>
          <w:rFonts w:cs="Arial"/>
          <w:szCs w:val="24"/>
          <w:lang w:val="en-IN"/>
        </w:rPr>
        <w:t xml:space="preserve">First, the assignment seemed complicated </w:t>
      </w:r>
      <w:r w:rsidR="00464679">
        <w:rPr>
          <w:rFonts w:cs="Arial"/>
          <w:szCs w:val="24"/>
          <w:lang w:val="en-IN"/>
        </w:rPr>
        <w:t xml:space="preserve">to me </w:t>
      </w:r>
      <w:r w:rsidRPr="00FB7B91">
        <w:rPr>
          <w:rFonts w:cs="Arial"/>
          <w:szCs w:val="24"/>
          <w:lang w:val="en-IN"/>
        </w:rPr>
        <w:t>because of the scope of frameworks that will be needed</w:t>
      </w:r>
      <w:r w:rsidR="004D4392">
        <w:rPr>
          <w:rFonts w:cs="Arial"/>
          <w:szCs w:val="24"/>
          <w:lang w:val="en-IN"/>
        </w:rPr>
        <w:t>,</w:t>
      </w:r>
      <w:r w:rsidRPr="00FB7B91">
        <w:rPr>
          <w:rFonts w:cs="Arial"/>
          <w:szCs w:val="24"/>
          <w:lang w:val="en-IN"/>
        </w:rPr>
        <w:t xml:space="preserve"> as well as the requirement to combine theory and practice. The uncertainty existed concerning the way of critically assessing strategies </w:t>
      </w:r>
      <w:r w:rsidR="006C345F">
        <w:rPr>
          <w:rFonts w:cs="Arial"/>
          <w:szCs w:val="24"/>
          <w:lang w:val="en-IN"/>
        </w:rPr>
        <w:t>rather than</w:t>
      </w:r>
      <w:r w:rsidRPr="00FB7B91">
        <w:rPr>
          <w:rFonts w:cs="Arial"/>
          <w:szCs w:val="24"/>
          <w:lang w:val="en-IN"/>
        </w:rPr>
        <w:t xml:space="preserve"> describing them. </w:t>
      </w:r>
      <w:r w:rsidR="009D6808">
        <w:rPr>
          <w:rFonts w:cs="Arial"/>
          <w:szCs w:val="24"/>
          <w:lang w:val="en-IN"/>
        </w:rPr>
        <w:t>However</w:t>
      </w:r>
      <w:r w:rsidRPr="00FB7B91">
        <w:rPr>
          <w:rFonts w:cs="Arial"/>
          <w:szCs w:val="24"/>
          <w:lang w:val="en-IN"/>
        </w:rPr>
        <w:t xml:space="preserve">, </w:t>
      </w:r>
      <w:r w:rsidR="000E6816">
        <w:rPr>
          <w:rFonts w:cs="Arial"/>
          <w:szCs w:val="24"/>
          <w:lang w:val="en-IN"/>
        </w:rPr>
        <w:t xml:space="preserve">my </w:t>
      </w:r>
      <w:r w:rsidRPr="00FB7B91">
        <w:rPr>
          <w:rFonts w:cs="Arial"/>
          <w:szCs w:val="24"/>
          <w:lang w:val="en-IN"/>
        </w:rPr>
        <w:t>confidence</w:t>
      </w:r>
      <w:r w:rsidR="000E6816">
        <w:rPr>
          <w:rFonts w:cs="Arial"/>
          <w:szCs w:val="24"/>
          <w:lang w:val="en-IN"/>
        </w:rPr>
        <w:t xml:space="preserve"> started to increase </w:t>
      </w:r>
      <w:r w:rsidRPr="00FB7B91">
        <w:rPr>
          <w:rFonts w:cs="Arial"/>
          <w:szCs w:val="24"/>
          <w:lang w:val="en-IN"/>
        </w:rPr>
        <w:t>specifically in determining patterns in the strategic approach of Sainsbury, including its hybrid strategy and emphasis on digital transformation. The presence of corporate reports and financial data w</w:t>
      </w:r>
      <w:r w:rsidR="004D4392">
        <w:rPr>
          <w:rFonts w:cs="Arial"/>
          <w:szCs w:val="24"/>
          <w:lang w:val="en-IN"/>
        </w:rPr>
        <w:t>as</w:t>
      </w:r>
      <w:r w:rsidRPr="00FB7B91">
        <w:rPr>
          <w:rFonts w:cs="Arial"/>
          <w:szCs w:val="24"/>
          <w:lang w:val="en-IN"/>
        </w:rPr>
        <w:t xml:space="preserve"> very clear and direct. </w:t>
      </w:r>
      <w:r w:rsidR="00D95909">
        <w:rPr>
          <w:rFonts w:cs="Arial"/>
          <w:szCs w:val="24"/>
          <w:lang w:val="en-IN"/>
        </w:rPr>
        <w:t>However</w:t>
      </w:r>
      <w:r w:rsidRPr="00FB7B91">
        <w:rPr>
          <w:rFonts w:cs="Arial"/>
          <w:szCs w:val="24"/>
          <w:lang w:val="en-IN"/>
        </w:rPr>
        <w:t>, there were some</w:t>
      </w:r>
      <w:r w:rsidR="00D95909">
        <w:rPr>
          <w:rFonts w:cs="Arial"/>
          <w:szCs w:val="24"/>
          <w:lang w:val="en-IN"/>
        </w:rPr>
        <w:t xml:space="preserve"> difficulties </w:t>
      </w:r>
      <w:r w:rsidR="00B9405B">
        <w:rPr>
          <w:rFonts w:cs="Arial"/>
          <w:szCs w:val="24"/>
          <w:lang w:val="en-IN"/>
        </w:rPr>
        <w:t xml:space="preserve">during the relevant </w:t>
      </w:r>
      <w:proofErr w:type="gramStart"/>
      <w:r w:rsidR="00B9405B">
        <w:rPr>
          <w:rFonts w:cs="Arial"/>
          <w:szCs w:val="24"/>
          <w:lang w:val="en-IN"/>
        </w:rPr>
        <w:t>frameworks</w:t>
      </w:r>
      <w:proofErr w:type="gramEnd"/>
      <w:r w:rsidR="00B9405B">
        <w:rPr>
          <w:rFonts w:cs="Arial"/>
          <w:szCs w:val="24"/>
          <w:lang w:val="en-IN"/>
        </w:rPr>
        <w:t xml:space="preserve"> selection process</w:t>
      </w:r>
      <w:r w:rsidR="00AD24DC">
        <w:rPr>
          <w:rFonts w:cs="Arial"/>
          <w:szCs w:val="24"/>
          <w:lang w:val="en-IN"/>
        </w:rPr>
        <w:t xml:space="preserve">. </w:t>
      </w:r>
      <w:r w:rsidR="00D13916">
        <w:rPr>
          <w:rFonts w:cs="Arial"/>
          <w:szCs w:val="24"/>
          <w:lang w:val="en-IN"/>
        </w:rPr>
        <w:t xml:space="preserve">The reflective analysis also shows the challenges of maintaining </w:t>
      </w:r>
      <w:r w:rsidR="004D4392">
        <w:rPr>
          <w:rFonts w:cs="Arial"/>
          <w:szCs w:val="24"/>
          <w:lang w:val="en-IN"/>
        </w:rPr>
        <w:t xml:space="preserve">a </w:t>
      </w:r>
      <w:r w:rsidR="00D13916">
        <w:rPr>
          <w:rFonts w:cs="Arial"/>
          <w:szCs w:val="24"/>
          <w:lang w:val="en-IN"/>
        </w:rPr>
        <w:t xml:space="preserve">critical tone while </w:t>
      </w:r>
      <w:r w:rsidR="00E53809">
        <w:rPr>
          <w:rFonts w:cs="Arial"/>
          <w:szCs w:val="24"/>
          <w:lang w:val="en-IN"/>
        </w:rPr>
        <w:t>being clear and coherent</w:t>
      </w:r>
      <w:r w:rsidR="0097735C">
        <w:rPr>
          <w:rFonts w:cs="Arial"/>
          <w:szCs w:val="24"/>
          <w:lang w:val="en-IN"/>
        </w:rPr>
        <w:t xml:space="preserve"> at the same time.</w:t>
      </w:r>
      <w:r w:rsidR="00F201C7">
        <w:rPr>
          <w:rFonts w:cs="Arial"/>
          <w:szCs w:val="24"/>
          <w:lang w:val="en-IN"/>
        </w:rPr>
        <w:t xml:space="preserve"> </w:t>
      </w:r>
      <w:r w:rsidRPr="00FB7B91">
        <w:rPr>
          <w:rFonts w:cs="Arial"/>
          <w:szCs w:val="24"/>
          <w:lang w:val="en-IN"/>
        </w:rPr>
        <w:t>The feeling of accomplishment was achieved by the conclusion of the assignment, when the analysis turned out to be more organi</w:t>
      </w:r>
      <w:r w:rsidR="00D00887">
        <w:rPr>
          <w:rFonts w:cs="Arial"/>
          <w:szCs w:val="24"/>
          <w:lang w:val="en-IN"/>
        </w:rPr>
        <w:t>s</w:t>
      </w:r>
      <w:r w:rsidRPr="00FB7B91">
        <w:rPr>
          <w:rFonts w:cs="Arial"/>
          <w:szCs w:val="24"/>
          <w:lang w:val="en-IN"/>
        </w:rPr>
        <w:t>ed and in accordance with academic requirements.</w:t>
      </w:r>
    </w:p>
    <w:p w14:paraId="5BADEA81" w14:textId="7D2A5BF4" w:rsidR="00FB7B91" w:rsidRPr="00710585" w:rsidRDefault="00D00887" w:rsidP="00014170">
      <w:pPr>
        <w:rPr>
          <w:rFonts w:cs="Arial"/>
          <w:b/>
          <w:bCs/>
          <w:szCs w:val="24"/>
          <w:lang w:val="en-IN"/>
        </w:rPr>
      </w:pPr>
      <w:r w:rsidRPr="00710585">
        <w:rPr>
          <w:rFonts w:cs="Arial"/>
          <w:b/>
          <w:bCs/>
          <w:szCs w:val="24"/>
          <w:lang w:val="en-IN"/>
        </w:rPr>
        <w:t xml:space="preserve">2.1.3 </w:t>
      </w:r>
      <w:r w:rsidR="00FB7B91" w:rsidRPr="00710585">
        <w:rPr>
          <w:rFonts w:cs="Arial"/>
          <w:b/>
          <w:bCs/>
          <w:szCs w:val="24"/>
          <w:lang w:val="en-IN"/>
        </w:rPr>
        <w:t>Evaluation</w:t>
      </w:r>
    </w:p>
    <w:p w14:paraId="57488492" w14:textId="134EC47A" w:rsidR="00FB7B91" w:rsidRPr="00FB7B91" w:rsidRDefault="00FB7B91" w:rsidP="00014170">
      <w:pPr>
        <w:rPr>
          <w:rFonts w:cs="Arial"/>
          <w:szCs w:val="24"/>
          <w:lang w:val="en-IN"/>
        </w:rPr>
      </w:pPr>
      <w:r w:rsidRPr="00FB7B91">
        <w:rPr>
          <w:rFonts w:cs="Arial"/>
          <w:szCs w:val="24"/>
          <w:lang w:val="en-IN"/>
        </w:rPr>
        <w:t>The effective utili</w:t>
      </w:r>
      <w:r w:rsidR="00710585">
        <w:rPr>
          <w:rFonts w:cs="Arial"/>
          <w:szCs w:val="24"/>
          <w:lang w:val="en-IN"/>
        </w:rPr>
        <w:t>s</w:t>
      </w:r>
      <w:r w:rsidRPr="00FB7B91">
        <w:rPr>
          <w:rFonts w:cs="Arial"/>
          <w:szCs w:val="24"/>
          <w:lang w:val="en-IN"/>
        </w:rPr>
        <w:t>ation of the credible and up</w:t>
      </w:r>
      <w:r w:rsidR="004D4392">
        <w:rPr>
          <w:rFonts w:cs="Arial"/>
          <w:szCs w:val="24"/>
          <w:lang w:val="en-IN"/>
        </w:rPr>
        <w:t>-to-</w:t>
      </w:r>
      <w:r w:rsidRPr="00FB7B91">
        <w:rPr>
          <w:rFonts w:cs="Arial"/>
          <w:szCs w:val="24"/>
          <w:lang w:val="en-IN"/>
        </w:rPr>
        <w:t>date sources, specifically corporate reports, was one of the main strengths of the process</w:t>
      </w:r>
      <w:r w:rsidR="004D4392">
        <w:rPr>
          <w:rFonts w:cs="Arial"/>
          <w:szCs w:val="24"/>
          <w:lang w:val="en-IN"/>
        </w:rPr>
        <w:t>,</w:t>
      </w:r>
      <w:r w:rsidRPr="00FB7B91">
        <w:rPr>
          <w:rFonts w:cs="Arial"/>
          <w:szCs w:val="24"/>
          <w:lang w:val="en-IN"/>
        </w:rPr>
        <w:t xml:space="preserve"> as it gave reliable data to analy</w:t>
      </w:r>
      <w:r w:rsidR="00710585">
        <w:rPr>
          <w:rFonts w:cs="Arial"/>
          <w:szCs w:val="24"/>
          <w:lang w:val="en-IN"/>
        </w:rPr>
        <w:t>s</w:t>
      </w:r>
      <w:r w:rsidRPr="00FB7B91">
        <w:rPr>
          <w:rFonts w:cs="Arial"/>
          <w:szCs w:val="24"/>
          <w:lang w:val="en-IN"/>
        </w:rPr>
        <w:t xml:space="preserve">e. This made the arguments presented more relevant and quality. </w:t>
      </w:r>
      <w:r w:rsidR="007825EE">
        <w:rPr>
          <w:rFonts w:cs="Arial"/>
          <w:szCs w:val="24"/>
          <w:lang w:val="en-IN"/>
        </w:rPr>
        <w:t>Additionally</w:t>
      </w:r>
      <w:r w:rsidRPr="00FB7B91">
        <w:rPr>
          <w:rFonts w:cs="Arial"/>
          <w:szCs w:val="24"/>
          <w:lang w:val="en-IN"/>
        </w:rPr>
        <w:t xml:space="preserve">, the systematic application of strategic frameworks </w:t>
      </w:r>
      <w:r w:rsidR="009A587E">
        <w:rPr>
          <w:rFonts w:cs="Arial"/>
          <w:szCs w:val="24"/>
          <w:lang w:val="en-IN"/>
        </w:rPr>
        <w:t>supported</w:t>
      </w:r>
      <w:r w:rsidRPr="00FB7B91">
        <w:rPr>
          <w:rFonts w:cs="Arial"/>
          <w:szCs w:val="24"/>
          <w:lang w:val="en-IN"/>
        </w:rPr>
        <w:t xml:space="preserve"> the organisation of analysis and </w:t>
      </w:r>
      <w:r w:rsidR="004D4392">
        <w:rPr>
          <w:rFonts w:cs="Arial"/>
          <w:szCs w:val="24"/>
          <w:lang w:val="en-IN"/>
        </w:rPr>
        <w:t>ensured</w:t>
      </w:r>
      <w:r w:rsidRPr="00FB7B91">
        <w:rPr>
          <w:rFonts w:cs="Arial"/>
          <w:szCs w:val="24"/>
          <w:lang w:val="en-IN"/>
        </w:rPr>
        <w:t xml:space="preserve"> that various components of the organisation </w:t>
      </w:r>
      <w:r w:rsidR="004D4392">
        <w:rPr>
          <w:rFonts w:cs="Arial"/>
          <w:szCs w:val="24"/>
          <w:lang w:val="en-IN"/>
        </w:rPr>
        <w:t>were</w:t>
      </w:r>
      <w:r w:rsidRPr="00FB7B91">
        <w:rPr>
          <w:rFonts w:cs="Arial"/>
          <w:szCs w:val="24"/>
          <w:lang w:val="en-IN"/>
        </w:rPr>
        <w:t xml:space="preserve"> analysed in detail. Another positive factor was the integration of theory and practice</w:t>
      </w:r>
      <w:r w:rsidR="004D4392">
        <w:rPr>
          <w:rFonts w:cs="Arial"/>
          <w:szCs w:val="24"/>
          <w:lang w:val="en-IN"/>
        </w:rPr>
        <w:t>,</w:t>
      </w:r>
      <w:r w:rsidRPr="00FB7B91">
        <w:rPr>
          <w:rFonts w:cs="Arial"/>
          <w:szCs w:val="24"/>
          <w:lang w:val="en-IN"/>
        </w:rPr>
        <w:t xml:space="preserve"> since it showed a greater level of understanding of the concepts of strategic management.</w:t>
      </w:r>
      <w:r w:rsidR="00A25CBD">
        <w:rPr>
          <w:rFonts w:cs="Arial"/>
          <w:szCs w:val="24"/>
          <w:lang w:val="en-IN"/>
        </w:rPr>
        <w:t xml:space="preserve"> However, </w:t>
      </w:r>
      <w:r w:rsidRPr="00FB7B91">
        <w:rPr>
          <w:rFonts w:cs="Arial"/>
          <w:szCs w:val="24"/>
          <w:lang w:val="en-IN"/>
        </w:rPr>
        <w:t xml:space="preserve">the process had </w:t>
      </w:r>
      <w:r w:rsidR="004D4392">
        <w:rPr>
          <w:rFonts w:cs="Arial"/>
          <w:szCs w:val="24"/>
          <w:lang w:val="en-IN"/>
        </w:rPr>
        <w:t xml:space="preserve">a </w:t>
      </w:r>
      <w:r w:rsidRPr="00FB7B91">
        <w:rPr>
          <w:rFonts w:cs="Arial"/>
          <w:szCs w:val="24"/>
          <w:lang w:val="en-IN"/>
        </w:rPr>
        <w:t xml:space="preserve">limit also. In some cases, the use of several frameworks resulted in duplication especially in the case of internal analysis and the strategic assessment. This complicated the process of having a clear division of sections. Another issue was time management because it was necessary to </w:t>
      </w:r>
      <w:r w:rsidRPr="00FB7B91">
        <w:rPr>
          <w:rFonts w:cs="Arial"/>
          <w:szCs w:val="24"/>
          <w:lang w:val="en-IN"/>
        </w:rPr>
        <w:lastRenderedPageBreak/>
        <w:t>pay much attention to finding reliable sources and analy</w:t>
      </w:r>
      <w:r w:rsidR="008B4BA8">
        <w:rPr>
          <w:rFonts w:cs="Arial"/>
          <w:szCs w:val="24"/>
          <w:lang w:val="en-IN"/>
        </w:rPr>
        <w:t>s</w:t>
      </w:r>
      <w:r w:rsidRPr="00FB7B91">
        <w:rPr>
          <w:rFonts w:cs="Arial"/>
          <w:szCs w:val="24"/>
          <w:lang w:val="en-IN"/>
        </w:rPr>
        <w:t xml:space="preserve">ing complicated financial information. </w:t>
      </w:r>
      <w:r w:rsidR="008B4BA8">
        <w:rPr>
          <w:rFonts w:cs="Arial"/>
          <w:szCs w:val="24"/>
          <w:lang w:val="en-IN"/>
        </w:rPr>
        <w:t xml:space="preserve">Time management is necessary to complete the tasks before the deadline while ensuring </w:t>
      </w:r>
      <w:r w:rsidR="004D4392">
        <w:rPr>
          <w:rFonts w:cs="Arial"/>
          <w:szCs w:val="24"/>
          <w:lang w:val="en-IN"/>
        </w:rPr>
        <w:t xml:space="preserve">the </w:t>
      </w:r>
      <w:r w:rsidR="008B4BA8">
        <w:rPr>
          <w:rFonts w:cs="Arial"/>
          <w:szCs w:val="24"/>
          <w:lang w:val="en-IN"/>
        </w:rPr>
        <w:t xml:space="preserve">quality of the tasks </w:t>
      </w:r>
      <w:r w:rsidR="004D4392">
        <w:rPr>
          <w:rFonts w:cs="Arial"/>
          <w:szCs w:val="24"/>
          <w:lang w:val="en-IN"/>
        </w:rPr>
        <w:t xml:space="preserve">is maintained </w:t>
      </w:r>
      <w:r w:rsidR="008B4BA8">
        <w:rPr>
          <w:rFonts w:cs="Arial"/>
          <w:szCs w:val="24"/>
          <w:lang w:val="en-IN"/>
        </w:rPr>
        <w:t>effectively (</w:t>
      </w:r>
      <w:r w:rsidR="00996F7A" w:rsidRPr="009753D7">
        <w:rPr>
          <w:rFonts w:cs="Arial"/>
          <w:szCs w:val="24"/>
        </w:rPr>
        <w:t>Khan</w:t>
      </w:r>
      <w:r w:rsidR="00996F7A">
        <w:rPr>
          <w:rFonts w:cs="Arial"/>
          <w:szCs w:val="24"/>
        </w:rPr>
        <w:t>, 2022</w:t>
      </w:r>
      <w:r w:rsidR="008B4BA8">
        <w:rPr>
          <w:rFonts w:cs="Arial"/>
          <w:szCs w:val="24"/>
          <w:lang w:val="en-IN"/>
        </w:rPr>
        <w:t xml:space="preserve">). </w:t>
      </w:r>
    </w:p>
    <w:p w14:paraId="2E21A483" w14:textId="33D7685E" w:rsidR="00FB7B91" w:rsidRPr="00BD7A22" w:rsidRDefault="00BD7A22" w:rsidP="00014170">
      <w:pPr>
        <w:rPr>
          <w:rFonts w:cs="Arial"/>
          <w:b/>
          <w:bCs/>
          <w:szCs w:val="24"/>
          <w:lang w:val="en-IN"/>
        </w:rPr>
      </w:pPr>
      <w:r w:rsidRPr="00BD7A22">
        <w:rPr>
          <w:rFonts w:cs="Arial"/>
          <w:b/>
          <w:bCs/>
          <w:szCs w:val="24"/>
          <w:lang w:val="en-IN"/>
        </w:rPr>
        <w:t xml:space="preserve">2.1.4 </w:t>
      </w:r>
      <w:r w:rsidR="00FB7B91" w:rsidRPr="00BD7A22">
        <w:rPr>
          <w:rFonts w:cs="Arial"/>
          <w:b/>
          <w:bCs/>
          <w:szCs w:val="24"/>
          <w:lang w:val="en-IN"/>
        </w:rPr>
        <w:t>Analysis</w:t>
      </w:r>
    </w:p>
    <w:p w14:paraId="7C1973D7" w14:textId="44B534B9" w:rsidR="00FB7B91" w:rsidRPr="00FB7B91" w:rsidRDefault="00FB7B91" w:rsidP="00014170">
      <w:pPr>
        <w:rPr>
          <w:rFonts w:cs="Arial"/>
          <w:szCs w:val="24"/>
          <w:lang w:val="en-IN"/>
        </w:rPr>
      </w:pPr>
      <w:r w:rsidRPr="00FB7B91">
        <w:rPr>
          <w:rFonts w:cs="Arial"/>
          <w:szCs w:val="24"/>
          <w:lang w:val="en-IN"/>
        </w:rPr>
        <w:t xml:space="preserve">The experience of going through this assignment has shown how critical thinking and the use of theoretical frameworks in strategic management </w:t>
      </w:r>
      <w:r w:rsidR="004D4392">
        <w:rPr>
          <w:rFonts w:cs="Arial"/>
          <w:szCs w:val="24"/>
          <w:lang w:val="en-IN"/>
        </w:rPr>
        <w:t>are</w:t>
      </w:r>
      <w:r w:rsidRPr="00FB7B91">
        <w:rPr>
          <w:rFonts w:cs="Arial"/>
          <w:szCs w:val="24"/>
          <w:lang w:val="en-IN"/>
        </w:rPr>
        <w:t xml:space="preserve"> important. When comparing the two models</w:t>
      </w:r>
      <w:r w:rsidR="004D4392">
        <w:rPr>
          <w:rFonts w:cs="Arial"/>
          <w:szCs w:val="24"/>
          <w:lang w:val="en-IN"/>
        </w:rPr>
        <w:t>,</w:t>
      </w:r>
      <w:r w:rsidRPr="00FB7B91">
        <w:rPr>
          <w:rFonts w:cs="Arial"/>
          <w:szCs w:val="24"/>
          <w:lang w:val="en-IN"/>
        </w:rPr>
        <w:t xml:space="preserve"> PESTEL and VRIO, the analysis of complex business environments had a systematic approach</w:t>
      </w:r>
      <w:r w:rsidR="004D4392">
        <w:rPr>
          <w:rFonts w:cs="Arial"/>
          <w:szCs w:val="24"/>
          <w:lang w:val="en-IN"/>
        </w:rPr>
        <w:t>,</w:t>
      </w:r>
      <w:r w:rsidRPr="00FB7B91">
        <w:rPr>
          <w:rFonts w:cs="Arial"/>
          <w:szCs w:val="24"/>
          <w:lang w:val="en-IN"/>
        </w:rPr>
        <w:t xml:space="preserve"> and the Balanced Scorecard made it possible to evaluate the performance of an organisation </w:t>
      </w:r>
      <w:r w:rsidR="00BE10CC" w:rsidRPr="00FB7B91">
        <w:rPr>
          <w:rFonts w:cs="Arial"/>
          <w:szCs w:val="24"/>
          <w:lang w:val="en-IN"/>
        </w:rPr>
        <w:t>complete</w:t>
      </w:r>
      <w:r w:rsidR="000C761D">
        <w:rPr>
          <w:rFonts w:cs="Arial"/>
          <w:szCs w:val="24"/>
          <w:lang w:val="en-IN"/>
        </w:rPr>
        <w:t>ly</w:t>
      </w:r>
      <w:r w:rsidRPr="00FB7B91">
        <w:rPr>
          <w:rFonts w:cs="Arial"/>
          <w:szCs w:val="24"/>
          <w:lang w:val="en-IN"/>
        </w:rPr>
        <w:t xml:space="preserve">. This is </w:t>
      </w:r>
      <w:r w:rsidR="000C761D">
        <w:rPr>
          <w:rFonts w:cs="Arial"/>
          <w:szCs w:val="24"/>
          <w:lang w:val="en-IN"/>
        </w:rPr>
        <w:t>aligned</w:t>
      </w:r>
      <w:r w:rsidRPr="00FB7B91">
        <w:rPr>
          <w:rFonts w:cs="Arial"/>
          <w:szCs w:val="24"/>
          <w:lang w:val="en-IN"/>
        </w:rPr>
        <w:t xml:space="preserve"> with the strategic fit concept that focuses on the </w:t>
      </w:r>
      <w:r w:rsidR="006E0988">
        <w:rPr>
          <w:rFonts w:cs="Arial"/>
          <w:szCs w:val="24"/>
          <w:lang w:val="en-IN"/>
        </w:rPr>
        <w:t>connection</w:t>
      </w:r>
      <w:r w:rsidRPr="00FB7B91">
        <w:rPr>
          <w:rFonts w:cs="Arial"/>
          <w:szCs w:val="24"/>
          <w:lang w:val="en-IN"/>
        </w:rPr>
        <w:t xml:space="preserve"> between internal capability and external environment.</w:t>
      </w:r>
      <w:r w:rsidR="00B151B8">
        <w:rPr>
          <w:rFonts w:cs="Arial"/>
          <w:szCs w:val="24"/>
          <w:lang w:val="en-IN"/>
        </w:rPr>
        <w:t xml:space="preserve"> </w:t>
      </w:r>
      <w:r w:rsidRPr="00FB7B91">
        <w:rPr>
          <w:rFonts w:cs="Arial"/>
          <w:szCs w:val="24"/>
          <w:lang w:val="en-IN"/>
        </w:rPr>
        <w:t xml:space="preserve">One of the main lessons that </w:t>
      </w:r>
      <w:r w:rsidR="00A72845">
        <w:rPr>
          <w:rFonts w:cs="Arial"/>
          <w:szCs w:val="24"/>
          <w:lang w:val="en-IN"/>
        </w:rPr>
        <w:t xml:space="preserve">I </w:t>
      </w:r>
      <w:r w:rsidRPr="00FB7B91">
        <w:rPr>
          <w:rFonts w:cs="Arial"/>
          <w:szCs w:val="24"/>
          <w:lang w:val="en-IN"/>
        </w:rPr>
        <w:t xml:space="preserve">obtained during this process is </w:t>
      </w:r>
      <w:r w:rsidR="00326319">
        <w:rPr>
          <w:rFonts w:cs="Arial"/>
          <w:szCs w:val="24"/>
          <w:lang w:val="en-IN"/>
        </w:rPr>
        <w:t xml:space="preserve">the necessity </w:t>
      </w:r>
      <w:r w:rsidRPr="00FB7B91">
        <w:rPr>
          <w:rFonts w:cs="Arial"/>
          <w:szCs w:val="24"/>
          <w:lang w:val="en-IN"/>
        </w:rPr>
        <w:t>to</w:t>
      </w:r>
      <w:r w:rsidR="00D765B8">
        <w:rPr>
          <w:rFonts w:cs="Arial"/>
          <w:szCs w:val="24"/>
          <w:lang w:val="en-IN"/>
        </w:rPr>
        <w:t xml:space="preserve"> </w:t>
      </w:r>
      <w:r w:rsidR="00B1007E">
        <w:rPr>
          <w:rFonts w:cs="Arial"/>
          <w:szCs w:val="24"/>
          <w:lang w:val="en-IN"/>
        </w:rPr>
        <w:t xml:space="preserve">maintain critical analysis rather than descriptive analysis. </w:t>
      </w:r>
      <w:r w:rsidR="008273F6">
        <w:rPr>
          <w:rFonts w:cs="Arial"/>
          <w:szCs w:val="24"/>
          <w:lang w:val="en-IN"/>
        </w:rPr>
        <w:t xml:space="preserve">For example, instead of only identifying </w:t>
      </w:r>
      <w:r w:rsidRPr="00FB7B91">
        <w:rPr>
          <w:rFonts w:cs="Arial"/>
          <w:szCs w:val="24"/>
          <w:lang w:val="en-IN"/>
        </w:rPr>
        <w:t>the strengths of Sainsbury,</w:t>
      </w:r>
      <w:r w:rsidR="004927AF">
        <w:rPr>
          <w:rFonts w:cs="Arial"/>
          <w:szCs w:val="24"/>
          <w:lang w:val="en-IN"/>
        </w:rPr>
        <w:t xml:space="preserve"> it was essential </w:t>
      </w:r>
      <w:r w:rsidR="002205F9">
        <w:rPr>
          <w:rFonts w:cs="Arial"/>
          <w:szCs w:val="24"/>
          <w:lang w:val="en-IN"/>
        </w:rPr>
        <w:t xml:space="preserve">for me </w:t>
      </w:r>
      <w:r w:rsidR="00EE0129">
        <w:rPr>
          <w:rFonts w:cs="Arial"/>
          <w:szCs w:val="24"/>
          <w:lang w:val="en-IN"/>
        </w:rPr>
        <w:t xml:space="preserve">to </w:t>
      </w:r>
      <w:r w:rsidRPr="00FB7B91">
        <w:rPr>
          <w:rFonts w:cs="Arial"/>
          <w:szCs w:val="24"/>
          <w:lang w:val="en-IN"/>
        </w:rPr>
        <w:t xml:space="preserve">determine how these strengths will </w:t>
      </w:r>
      <w:r w:rsidR="001B6BC2">
        <w:rPr>
          <w:rFonts w:cs="Arial"/>
          <w:szCs w:val="24"/>
          <w:lang w:val="en-IN"/>
        </w:rPr>
        <w:t>influence</w:t>
      </w:r>
      <w:r w:rsidRPr="00FB7B91">
        <w:rPr>
          <w:rFonts w:cs="Arial"/>
          <w:szCs w:val="24"/>
          <w:lang w:val="en-IN"/>
        </w:rPr>
        <w:t xml:space="preserve"> competitive advantage and whether</w:t>
      </w:r>
      <w:r w:rsidR="0043607D">
        <w:rPr>
          <w:rFonts w:cs="Arial"/>
          <w:szCs w:val="24"/>
          <w:lang w:val="en-IN"/>
        </w:rPr>
        <w:t xml:space="preserve"> it is long-term beneficial. </w:t>
      </w:r>
      <w:r w:rsidR="0018364A">
        <w:rPr>
          <w:rFonts w:cs="Arial"/>
          <w:szCs w:val="24"/>
          <w:lang w:val="en-IN"/>
        </w:rPr>
        <w:t>Similarly,</w:t>
      </w:r>
      <w:r w:rsidR="00DB2FE0">
        <w:rPr>
          <w:rFonts w:cs="Arial"/>
          <w:szCs w:val="24"/>
          <w:lang w:val="en-IN"/>
        </w:rPr>
        <w:t xml:space="preserve"> </w:t>
      </w:r>
      <w:r w:rsidRPr="00FB7B91">
        <w:rPr>
          <w:rFonts w:cs="Arial"/>
          <w:szCs w:val="24"/>
          <w:lang w:val="en-IN"/>
        </w:rPr>
        <w:t>the development of recommendations demanded not only the identification of the strategic options but also justifying them based on theoretical concepts and practical examples.</w:t>
      </w:r>
    </w:p>
    <w:p w14:paraId="39AC74F2" w14:textId="63FD8593" w:rsidR="00FB7B91" w:rsidRPr="00FB7B91" w:rsidRDefault="00FB7B91" w:rsidP="00014170">
      <w:pPr>
        <w:rPr>
          <w:rFonts w:cs="Arial"/>
          <w:szCs w:val="24"/>
          <w:lang w:val="en-IN"/>
        </w:rPr>
      </w:pPr>
      <w:r w:rsidRPr="00FB7B91">
        <w:rPr>
          <w:rFonts w:cs="Arial"/>
          <w:szCs w:val="24"/>
          <w:lang w:val="en-IN"/>
        </w:rPr>
        <w:t>Another important aspect that was noted during the reflective process was the use of data when it added value to the strategic analysis. The fact that it used financial and operational data</w:t>
      </w:r>
      <w:r w:rsidR="00A51D25">
        <w:rPr>
          <w:rFonts w:cs="Arial"/>
          <w:szCs w:val="24"/>
          <w:lang w:val="en-IN"/>
        </w:rPr>
        <w:t>,</w:t>
      </w:r>
      <w:r w:rsidRPr="00FB7B91">
        <w:rPr>
          <w:rFonts w:cs="Arial"/>
          <w:szCs w:val="24"/>
          <w:lang w:val="en-IN"/>
        </w:rPr>
        <w:t xml:space="preserve"> </w:t>
      </w:r>
      <w:r w:rsidR="004B316F">
        <w:rPr>
          <w:rFonts w:cs="Arial"/>
          <w:szCs w:val="24"/>
          <w:lang w:val="en-IN"/>
        </w:rPr>
        <w:t xml:space="preserve">which </w:t>
      </w:r>
      <w:r w:rsidRPr="00FB7B91">
        <w:rPr>
          <w:rFonts w:cs="Arial"/>
          <w:szCs w:val="24"/>
          <w:lang w:val="en-IN"/>
        </w:rPr>
        <w:t xml:space="preserve">helped to enhance the validity of the arguments and allowed it to use the evidence-based approach. </w:t>
      </w:r>
    </w:p>
    <w:p w14:paraId="695DBD2F" w14:textId="780F0C52" w:rsidR="00FB7B91" w:rsidRPr="004E682D" w:rsidRDefault="00A24822" w:rsidP="00014170">
      <w:pPr>
        <w:rPr>
          <w:rFonts w:cs="Arial"/>
          <w:b/>
          <w:bCs/>
          <w:szCs w:val="24"/>
          <w:lang w:val="en-IN"/>
        </w:rPr>
      </w:pPr>
      <w:r w:rsidRPr="004E682D">
        <w:rPr>
          <w:rFonts w:cs="Arial"/>
          <w:b/>
          <w:bCs/>
          <w:szCs w:val="24"/>
          <w:lang w:val="en-IN"/>
        </w:rPr>
        <w:t xml:space="preserve">2.1.5 </w:t>
      </w:r>
      <w:r w:rsidR="00FB7B91" w:rsidRPr="004E682D">
        <w:rPr>
          <w:rFonts w:cs="Arial"/>
          <w:b/>
          <w:bCs/>
          <w:szCs w:val="24"/>
          <w:lang w:val="en-IN"/>
        </w:rPr>
        <w:t>Conclusion</w:t>
      </w:r>
    </w:p>
    <w:p w14:paraId="5A9FF66F" w14:textId="15D33095" w:rsidR="00FB7B91" w:rsidRPr="00FB7B91" w:rsidRDefault="0001734A" w:rsidP="00014170">
      <w:pPr>
        <w:rPr>
          <w:rFonts w:cs="Arial"/>
          <w:szCs w:val="24"/>
          <w:lang w:val="en-IN"/>
        </w:rPr>
      </w:pPr>
      <w:r>
        <w:rPr>
          <w:rFonts w:cs="Arial"/>
          <w:szCs w:val="24"/>
          <w:lang w:val="en-IN"/>
        </w:rPr>
        <w:t>In conclusion</w:t>
      </w:r>
      <w:r w:rsidR="00FB7B91" w:rsidRPr="00FB7B91">
        <w:rPr>
          <w:rFonts w:cs="Arial"/>
          <w:szCs w:val="24"/>
          <w:lang w:val="en-IN"/>
        </w:rPr>
        <w:t>, the given assignment brought a lot of knowledge to the process of strategic analysis and the use of theoretical frameworks in a real-life situation. The experience revealed the weaknesses and strengths, especially the weaknesses in critical evaluation and time management. A skill to combine theory and practice became one of the primary skills</w:t>
      </w:r>
      <w:r w:rsidR="00A51D25">
        <w:rPr>
          <w:rFonts w:cs="Arial"/>
          <w:szCs w:val="24"/>
          <w:lang w:val="en-IN"/>
        </w:rPr>
        <w:t>,</w:t>
      </w:r>
      <w:r w:rsidR="00FB7B91" w:rsidRPr="00FB7B91">
        <w:rPr>
          <w:rFonts w:cs="Arial"/>
          <w:szCs w:val="24"/>
          <w:lang w:val="en-IN"/>
        </w:rPr>
        <w:t xml:space="preserve"> allowing </w:t>
      </w:r>
      <w:r w:rsidR="002C0F5C">
        <w:rPr>
          <w:rFonts w:cs="Arial"/>
          <w:szCs w:val="24"/>
          <w:lang w:val="en-IN"/>
        </w:rPr>
        <w:t xml:space="preserve">me </w:t>
      </w:r>
      <w:r w:rsidR="00FB7B91" w:rsidRPr="00FB7B91">
        <w:rPr>
          <w:rFonts w:cs="Arial"/>
          <w:szCs w:val="24"/>
          <w:lang w:val="en-IN"/>
        </w:rPr>
        <w:t xml:space="preserve">to </w:t>
      </w:r>
      <w:r w:rsidR="002C0F5C" w:rsidRPr="00FB7B91">
        <w:rPr>
          <w:rFonts w:cs="Arial"/>
          <w:szCs w:val="24"/>
          <w:lang w:val="en-IN"/>
        </w:rPr>
        <w:t>understand</w:t>
      </w:r>
      <w:r w:rsidR="00FB7B91" w:rsidRPr="00FB7B91">
        <w:rPr>
          <w:rFonts w:cs="Arial"/>
          <w:szCs w:val="24"/>
          <w:lang w:val="en-IN"/>
        </w:rPr>
        <w:t xml:space="preserve"> the organisational strategy better. The process was not easy</w:t>
      </w:r>
      <w:r w:rsidR="00A51D25">
        <w:rPr>
          <w:rFonts w:cs="Arial"/>
          <w:szCs w:val="24"/>
          <w:lang w:val="en-IN"/>
        </w:rPr>
        <w:t>,</w:t>
      </w:r>
      <w:r w:rsidR="00FB7B91" w:rsidRPr="00FB7B91">
        <w:rPr>
          <w:rFonts w:cs="Arial"/>
          <w:szCs w:val="24"/>
          <w:lang w:val="en-IN"/>
        </w:rPr>
        <w:t xml:space="preserve"> but it led to </w:t>
      </w:r>
      <w:r w:rsidR="00A51D25">
        <w:rPr>
          <w:rFonts w:cs="Arial"/>
          <w:szCs w:val="24"/>
          <w:lang w:val="en-IN"/>
        </w:rPr>
        <w:t xml:space="preserve">the </w:t>
      </w:r>
      <w:r w:rsidR="00FB7B91" w:rsidRPr="00FB7B91">
        <w:rPr>
          <w:rFonts w:cs="Arial"/>
          <w:szCs w:val="24"/>
          <w:lang w:val="en-IN"/>
        </w:rPr>
        <w:t xml:space="preserve">acquisition of research and analytical skills. The reflective method also focused on the need to engage in </w:t>
      </w:r>
      <w:r w:rsidR="00BF1096" w:rsidRPr="00FB7B91">
        <w:rPr>
          <w:rFonts w:cs="Arial"/>
          <w:szCs w:val="24"/>
          <w:lang w:val="en-IN"/>
        </w:rPr>
        <w:t>continuous</w:t>
      </w:r>
      <w:r w:rsidR="00FB7B91" w:rsidRPr="00FB7B91">
        <w:rPr>
          <w:rFonts w:cs="Arial"/>
          <w:szCs w:val="24"/>
          <w:lang w:val="en-IN"/>
        </w:rPr>
        <w:t xml:space="preserve"> learning and enhancement</w:t>
      </w:r>
      <w:r w:rsidR="00A51D25">
        <w:rPr>
          <w:rFonts w:cs="Arial"/>
          <w:szCs w:val="24"/>
          <w:lang w:val="en-IN"/>
        </w:rPr>
        <w:t>,</w:t>
      </w:r>
      <w:r w:rsidR="00FB7B91" w:rsidRPr="00FB7B91">
        <w:rPr>
          <w:rFonts w:cs="Arial"/>
          <w:szCs w:val="24"/>
          <w:lang w:val="en-IN"/>
        </w:rPr>
        <w:t xml:space="preserve"> both in academics and work life.</w:t>
      </w:r>
    </w:p>
    <w:p w14:paraId="1FB20B92" w14:textId="1EA34F0F" w:rsidR="00FB7B91" w:rsidRPr="00BF1096" w:rsidRDefault="00BF1096" w:rsidP="00014170">
      <w:pPr>
        <w:rPr>
          <w:rFonts w:cs="Arial"/>
          <w:b/>
          <w:bCs/>
          <w:szCs w:val="24"/>
          <w:lang w:val="en-IN"/>
        </w:rPr>
      </w:pPr>
      <w:r w:rsidRPr="00BF1096">
        <w:rPr>
          <w:rFonts w:cs="Arial"/>
          <w:b/>
          <w:bCs/>
          <w:szCs w:val="24"/>
          <w:lang w:val="en-IN"/>
        </w:rPr>
        <w:lastRenderedPageBreak/>
        <w:t xml:space="preserve">2.1.6 </w:t>
      </w:r>
      <w:r w:rsidR="00FB7B91" w:rsidRPr="00BF1096">
        <w:rPr>
          <w:rFonts w:cs="Arial"/>
          <w:b/>
          <w:bCs/>
          <w:szCs w:val="24"/>
          <w:lang w:val="en-IN"/>
        </w:rPr>
        <w:t>Action Plan</w:t>
      </w:r>
    </w:p>
    <w:p w14:paraId="53A33A40" w14:textId="7A38508C" w:rsidR="007B1611" w:rsidRDefault="005F4D01" w:rsidP="00014170">
      <w:pPr>
        <w:rPr>
          <w:rFonts w:cs="Arial"/>
          <w:szCs w:val="24"/>
          <w:lang w:val="en-IN"/>
        </w:rPr>
      </w:pPr>
      <w:r>
        <w:rPr>
          <w:rFonts w:cs="Arial"/>
          <w:szCs w:val="24"/>
          <w:lang w:val="en-IN"/>
        </w:rPr>
        <w:t>Initially, i</w:t>
      </w:r>
      <w:r w:rsidR="006944A8">
        <w:rPr>
          <w:rFonts w:cs="Arial"/>
          <w:szCs w:val="24"/>
          <w:lang w:val="en-IN"/>
        </w:rPr>
        <w:t xml:space="preserve">n future, I will </w:t>
      </w:r>
      <w:r w:rsidR="00747569">
        <w:rPr>
          <w:rFonts w:cs="Arial"/>
          <w:szCs w:val="24"/>
          <w:lang w:val="en-IN"/>
        </w:rPr>
        <w:t xml:space="preserve">enhance </w:t>
      </w:r>
      <w:r w:rsidR="00A07629">
        <w:rPr>
          <w:rFonts w:cs="Arial"/>
          <w:szCs w:val="24"/>
          <w:lang w:val="en-IN"/>
        </w:rPr>
        <w:t>assignment planning and</w:t>
      </w:r>
      <w:r w:rsidR="00CB5D51">
        <w:rPr>
          <w:rFonts w:cs="Arial"/>
          <w:szCs w:val="24"/>
          <w:lang w:val="en-IN"/>
        </w:rPr>
        <w:t xml:space="preserve"> its management which should be done before</w:t>
      </w:r>
      <w:r w:rsidR="006B1568">
        <w:rPr>
          <w:rFonts w:cs="Arial"/>
          <w:szCs w:val="24"/>
          <w:lang w:val="en-IN"/>
        </w:rPr>
        <w:t xml:space="preserve"> the research pr</w:t>
      </w:r>
      <w:r w:rsidR="00E431D4">
        <w:rPr>
          <w:rFonts w:cs="Arial"/>
          <w:szCs w:val="24"/>
          <w:lang w:val="en-IN"/>
        </w:rPr>
        <w:t>ocess.</w:t>
      </w:r>
      <w:r w:rsidR="004D7C2A">
        <w:rPr>
          <w:rFonts w:cs="Arial"/>
          <w:szCs w:val="24"/>
          <w:lang w:val="en-IN"/>
        </w:rPr>
        <w:t xml:space="preserve"> </w:t>
      </w:r>
      <w:r w:rsidR="00FB7B91" w:rsidRPr="00FB7B91">
        <w:rPr>
          <w:rFonts w:cs="Arial"/>
          <w:szCs w:val="24"/>
          <w:lang w:val="en-IN"/>
        </w:rPr>
        <w:t xml:space="preserve">Second, there will be </w:t>
      </w:r>
      <w:r w:rsidR="00A51D25">
        <w:rPr>
          <w:rFonts w:cs="Arial"/>
          <w:szCs w:val="24"/>
          <w:lang w:val="en-IN"/>
        </w:rPr>
        <w:t>an</w:t>
      </w:r>
      <w:r w:rsidR="00FB7B91" w:rsidRPr="00FB7B91">
        <w:rPr>
          <w:rFonts w:cs="Arial"/>
          <w:szCs w:val="24"/>
          <w:lang w:val="en-IN"/>
        </w:rPr>
        <w:t xml:space="preserve"> attempt to improve the skills of critical thinking by continuously questioning and analy</w:t>
      </w:r>
      <w:r w:rsidR="007D7AA5">
        <w:rPr>
          <w:rFonts w:cs="Arial"/>
          <w:szCs w:val="24"/>
          <w:lang w:val="en-IN"/>
        </w:rPr>
        <w:t>s</w:t>
      </w:r>
      <w:r w:rsidR="00FB7B91" w:rsidRPr="00FB7B91">
        <w:rPr>
          <w:rFonts w:cs="Arial"/>
          <w:szCs w:val="24"/>
          <w:lang w:val="en-IN"/>
        </w:rPr>
        <w:t xml:space="preserve">ing information instead of </w:t>
      </w:r>
      <w:r w:rsidR="007D7AA5">
        <w:rPr>
          <w:rFonts w:cs="Arial"/>
          <w:szCs w:val="24"/>
          <w:lang w:val="en-IN"/>
        </w:rPr>
        <w:t>only</w:t>
      </w:r>
      <w:r w:rsidR="00FB7B91" w:rsidRPr="00FB7B91">
        <w:rPr>
          <w:rFonts w:cs="Arial"/>
          <w:szCs w:val="24"/>
          <w:lang w:val="en-IN"/>
        </w:rPr>
        <w:t xml:space="preserve"> describing it.</w:t>
      </w:r>
      <w:r w:rsidR="00D84271">
        <w:rPr>
          <w:rFonts w:cs="Arial"/>
          <w:szCs w:val="24"/>
          <w:lang w:val="en-IN"/>
        </w:rPr>
        <w:t xml:space="preserve"> Critical thinking </w:t>
      </w:r>
      <w:r w:rsidR="0017215E">
        <w:rPr>
          <w:rFonts w:cs="Arial"/>
          <w:szCs w:val="24"/>
          <w:lang w:val="en-IN"/>
        </w:rPr>
        <w:t xml:space="preserve">is beneficial </w:t>
      </w:r>
      <w:r w:rsidR="0011126C">
        <w:rPr>
          <w:rFonts w:cs="Arial"/>
          <w:szCs w:val="24"/>
          <w:lang w:val="en-IN"/>
        </w:rPr>
        <w:t>as it provide</w:t>
      </w:r>
      <w:r w:rsidR="00843900">
        <w:rPr>
          <w:rFonts w:cs="Arial"/>
          <w:szCs w:val="24"/>
          <w:lang w:val="en-IN"/>
        </w:rPr>
        <w:t>s</w:t>
      </w:r>
      <w:r w:rsidR="0011126C">
        <w:rPr>
          <w:rFonts w:cs="Arial"/>
          <w:szCs w:val="24"/>
          <w:lang w:val="en-IN"/>
        </w:rPr>
        <w:t xml:space="preserve"> the ability to</w:t>
      </w:r>
      <w:r w:rsidR="009A2489">
        <w:rPr>
          <w:rFonts w:cs="Arial"/>
          <w:szCs w:val="24"/>
          <w:lang w:val="en-IN"/>
        </w:rPr>
        <w:t xml:space="preserve"> </w:t>
      </w:r>
      <w:r w:rsidR="00830975">
        <w:rPr>
          <w:rFonts w:cs="Arial"/>
          <w:szCs w:val="24"/>
          <w:lang w:val="en-IN"/>
        </w:rPr>
        <w:t>actively analys</w:t>
      </w:r>
      <w:r w:rsidR="00A51D25">
        <w:rPr>
          <w:rFonts w:cs="Arial"/>
          <w:szCs w:val="24"/>
          <w:lang w:val="en-IN"/>
        </w:rPr>
        <w:t>e, evaluate</w:t>
      </w:r>
      <w:r w:rsidR="00830975">
        <w:rPr>
          <w:rFonts w:cs="Arial"/>
          <w:szCs w:val="24"/>
          <w:lang w:val="en-IN"/>
        </w:rPr>
        <w:t>, and conceptualis</w:t>
      </w:r>
      <w:r w:rsidR="00A51D25">
        <w:rPr>
          <w:rFonts w:cs="Arial"/>
          <w:szCs w:val="24"/>
          <w:lang w:val="en-IN"/>
        </w:rPr>
        <w:t>e</w:t>
      </w:r>
      <w:r w:rsidR="00830975">
        <w:rPr>
          <w:rFonts w:cs="Arial"/>
          <w:szCs w:val="24"/>
          <w:lang w:val="en-IN"/>
        </w:rPr>
        <w:t xml:space="preserve"> </w:t>
      </w:r>
      <w:r w:rsidR="004D18E6">
        <w:rPr>
          <w:rFonts w:cs="Arial"/>
          <w:szCs w:val="24"/>
          <w:lang w:val="en-IN"/>
        </w:rPr>
        <w:t xml:space="preserve">arguments to form a conclusion and achieve </w:t>
      </w:r>
      <w:r w:rsidR="0089314A">
        <w:rPr>
          <w:rFonts w:cs="Arial"/>
          <w:szCs w:val="24"/>
          <w:lang w:val="en-IN"/>
        </w:rPr>
        <w:t>goals</w:t>
      </w:r>
      <w:r w:rsidR="00C06E6D">
        <w:rPr>
          <w:rFonts w:cs="Arial"/>
          <w:szCs w:val="24"/>
          <w:lang w:val="en-IN"/>
        </w:rPr>
        <w:t xml:space="preserve"> (</w:t>
      </w:r>
      <w:r w:rsidR="00612A71" w:rsidRPr="00E21F6F">
        <w:rPr>
          <w:rFonts w:cs="Arial"/>
          <w:szCs w:val="24"/>
        </w:rPr>
        <w:t>Golden</w:t>
      </w:r>
      <w:r w:rsidR="00612A71">
        <w:rPr>
          <w:rFonts w:cs="Arial"/>
          <w:szCs w:val="24"/>
        </w:rPr>
        <w:t>, 2023</w:t>
      </w:r>
      <w:r w:rsidR="00C06E6D">
        <w:rPr>
          <w:rFonts w:cs="Arial"/>
          <w:szCs w:val="24"/>
          <w:lang w:val="en-IN"/>
        </w:rPr>
        <w:t>)</w:t>
      </w:r>
      <w:r w:rsidR="0089314A">
        <w:rPr>
          <w:rFonts w:cs="Arial"/>
          <w:szCs w:val="24"/>
          <w:lang w:val="en-IN"/>
        </w:rPr>
        <w:t>.</w:t>
      </w:r>
      <w:r w:rsidR="007C70A0">
        <w:rPr>
          <w:rFonts w:cs="Arial"/>
          <w:szCs w:val="24"/>
          <w:lang w:val="en-IN"/>
        </w:rPr>
        <w:t xml:space="preserve"> </w:t>
      </w:r>
      <w:r w:rsidR="00FB7B91" w:rsidRPr="00FB7B91">
        <w:rPr>
          <w:rFonts w:cs="Arial"/>
          <w:szCs w:val="24"/>
          <w:lang w:val="en-IN"/>
        </w:rPr>
        <w:t>This involves a concentration on the implication</w:t>
      </w:r>
      <w:r w:rsidR="00A51D25">
        <w:rPr>
          <w:rFonts w:cs="Arial"/>
          <w:szCs w:val="24"/>
          <w:lang w:val="en-IN"/>
        </w:rPr>
        <w:t>s</w:t>
      </w:r>
      <w:r w:rsidR="00FB7B91" w:rsidRPr="00FB7B91">
        <w:rPr>
          <w:rFonts w:cs="Arial"/>
          <w:szCs w:val="24"/>
          <w:lang w:val="en-IN"/>
        </w:rPr>
        <w:t xml:space="preserve"> of strategic decisions and </w:t>
      </w:r>
      <w:r w:rsidR="00A51D25">
        <w:rPr>
          <w:rFonts w:cs="Arial"/>
          <w:szCs w:val="24"/>
          <w:lang w:val="en-IN"/>
        </w:rPr>
        <w:t>their</w:t>
      </w:r>
      <w:r w:rsidR="00FB7B91" w:rsidRPr="00FB7B91">
        <w:rPr>
          <w:rFonts w:cs="Arial"/>
          <w:szCs w:val="24"/>
          <w:lang w:val="en-IN"/>
        </w:rPr>
        <w:t xml:space="preserve"> effects on organisational performance.</w:t>
      </w:r>
      <w:r w:rsidR="000A7E92">
        <w:rPr>
          <w:rFonts w:cs="Arial"/>
          <w:szCs w:val="24"/>
          <w:lang w:val="en-IN"/>
        </w:rPr>
        <w:t xml:space="preserve"> </w:t>
      </w:r>
      <w:r w:rsidR="00FF0258">
        <w:rPr>
          <w:rFonts w:cs="Arial"/>
          <w:szCs w:val="24"/>
          <w:lang w:val="en-IN"/>
        </w:rPr>
        <w:t>A</w:t>
      </w:r>
      <w:r w:rsidR="00640296">
        <w:rPr>
          <w:rFonts w:cs="Arial"/>
          <w:szCs w:val="24"/>
          <w:lang w:val="en-IN"/>
        </w:rPr>
        <w:t>d</w:t>
      </w:r>
      <w:r w:rsidR="00FF0258">
        <w:rPr>
          <w:rFonts w:cs="Arial"/>
          <w:szCs w:val="24"/>
          <w:lang w:val="en-IN"/>
        </w:rPr>
        <w:t>ditionally</w:t>
      </w:r>
      <w:r w:rsidR="00FB7B91" w:rsidRPr="00FB7B91">
        <w:rPr>
          <w:rFonts w:cs="Arial"/>
          <w:szCs w:val="24"/>
          <w:lang w:val="en-IN"/>
        </w:rPr>
        <w:t xml:space="preserve">, </w:t>
      </w:r>
      <w:r w:rsidR="00735022">
        <w:rPr>
          <w:rFonts w:cs="Arial"/>
          <w:szCs w:val="24"/>
          <w:lang w:val="en-IN"/>
        </w:rPr>
        <w:t xml:space="preserve">I will enhance </w:t>
      </w:r>
      <w:r w:rsidR="00FB7B91" w:rsidRPr="00FB7B91">
        <w:rPr>
          <w:rFonts w:cs="Arial"/>
          <w:szCs w:val="24"/>
          <w:lang w:val="en-IN"/>
        </w:rPr>
        <w:t xml:space="preserve">time management </w:t>
      </w:r>
      <w:r w:rsidR="00735022">
        <w:rPr>
          <w:rFonts w:cs="Arial"/>
          <w:szCs w:val="24"/>
          <w:lang w:val="en-IN"/>
        </w:rPr>
        <w:t>skill</w:t>
      </w:r>
      <w:r w:rsidR="00A51D25">
        <w:rPr>
          <w:rFonts w:cs="Arial"/>
          <w:szCs w:val="24"/>
          <w:lang w:val="en-IN"/>
        </w:rPr>
        <w:t>s,</w:t>
      </w:r>
      <w:r w:rsidR="00735022">
        <w:rPr>
          <w:rFonts w:cs="Arial"/>
          <w:szCs w:val="24"/>
          <w:lang w:val="en-IN"/>
        </w:rPr>
        <w:t xml:space="preserve"> </w:t>
      </w:r>
      <w:r w:rsidR="00FB7B91" w:rsidRPr="00FB7B91">
        <w:rPr>
          <w:rFonts w:cs="Arial"/>
          <w:szCs w:val="24"/>
          <w:lang w:val="en-IN"/>
        </w:rPr>
        <w:t xml:space="preserve">especially </w:t>
      </w:r>
      <w:r w:rsidR="00674F8C">
        <w:rPr>
          <w:rFonts w:cs="Arial"/>
          <w:szCs w:val="24"/>
          <w:lang w:val="en-IN"/>
        </w:rPr>
        <w:t>regarding</w:t>
      </w:r>
      <w:r w:rsidR="00FB7B91" w:rsidRPr="00FB7B91">
        <w:rPr>
          <w:rFonts w:cs="Arial"/>
          <w:szCs w:val="24"/>
          <w:lang w:val="en-IN"/>
        </w:rPr>
        <w:t xml:space="preserve"> </w:t>
      </w:r>
      <w:r w:rsidR="00A51D25">
        <w:rPr>
          <w:rFonts w:cs="Arial"/>
          <w:szCs w:val="24"/>
          <w:lang w:val="en-IN"/>
        </w:rPr>
        <w:t xml:space="preserve">the </w:t>
      </w:r>
      <w:r w:rsidR="00FB7B91" w:rsidRPr="00FB7B91">
        <w:rPr>
          <w:rFonts w:cs="Arial"/>
          <w:szCs w:val="24"/>
          <w:lang w:val="en-IN"/>
        </w:rPr>
        <w:t xml:space="preserve">time available to </w:t>
      </w:r>
      <w:r w:rsidR="003E19AB">
        <w:rPr>
          <w:rFonts w:cs="Arial"/>
          <w:szCs w:val="24"/>
          <w:lang w:val="en-IN"/>
        </w:rPr>
        <w:t xml:space="preserve">complete </w:t>
      </w:r>
      <w:r w:rsidR="00FB7B91" w:rsidRPr="00FB7B91">
        <w:rPr>
          <w:rFonts w:cs="Arial"/>
          <w:szCs w:val="24"/>
          <w:lang w:val="en-IN"/>
        </w:rPr>
        <w:t>research, analy</w:t>
      </w:r>
      <w:r w:rsidR="00CC433F">
        <w:rPr>
          <w:rFonts w:cs="Arial"/>
          <w:szCs w:val="24"/>
          <w:lang w:val="en-IN"/>
        </w:rPr>
        <w:t>s</w:t>
      </w:r>
      <w:r w:rsidR="00FB7B91" w:rsidRPr="00FB7B91">
        <w:rPr>
          <w:rFonts w:cs="Arial"/>
          <w:szCs w:val="24"/>
          <w:lang w:val="en-IN"/>
        </w:rPr>
        <w:t>e, and revise.</w:t>
      </w:r>
    </w:p>
    <w:p w14:paraId="037AAC8F" w14:textId="37C7BACB" w:rsidR="006A4D97" w:rsidRDefault="00FB7B91" w:rsidP="00014170">
      <w:pPr>
        <w:rPr>
          <w:rFonts w:cs="Arial"/>
          <w:szCs w:val="24"/>
          <w:lang w:val="en-IN"/>
        </w:rPr>
      </w:pPr>
      <w:r w:rsidRPr="00FB7B91">
        <w:rPr>
          <w:rFonts w:cs="Arial"/>
          <w:szCs w:val="24"/>
          <w:lang w:val="en-IN"/>
        </w:rPr>
        <w:t xml:space="preserve">Efficiency can also be enhanced by developing a systematic method of selecting the sources and making notes. Moreover, </w:t>
      </w:r>
      <w:r w:rsidR="00BB121C">
        <w:rPr>
          <w:rFonts w:cs="Arial"/>
          <w:szCs w:val="24"/>
          <w:lang w:val="en-IN"/>
        </w:rPr>
        <w:t xml:space="preserve">I will increasingly </w:t>
      </w:r>
      <w:r w:rsidR="00254AAF">
        <w:rPr>
          <w:rFonts w:cs="Arial"/>
          <w:szCs w:val="24"/>
          <w:lang w:val="en-IN"/>
        </w:rPr>
        <w:t xml:space="preserve">connect </w:t>
      </w:r>
      <w:r w:rsidRPr="00FB7B91">
        <w:rPr>
          <w:rFonts w:cs="Arial"/>
          <w:szCs w:val="24"/>
          <w:lang w:val="en-IN"/>
        </w:rPr>
        <w:t>theoretical frameworks to real-life examples, so that all the arguments will be properly updated and applicable.</w:t>
      </w:r>
      <w:r w:rsidR="00410C7E">
        <w:rPr>
          <w:rFonts w:cs="Arial"/>
          <w:szCs w:val="24"/>
          <w:lang w:val="en-IN"/>
        </w:rPr>
        <w:t xml:space="preserve"> </w:t>
      </w:r>
      <w:r w:rsidRPr="00FB7B91">
        <w:rPr>
          <w:rFonts w:cs="Arial"/>
          <w:szCs w:val="24"/>
          <w:lang w:val="en-IN"/>
        </w:rPr>
        <w:t xml:space="preserve">Lastly, constant </w:t>
      </w:r>
      <w:r w:rsidR="002E051D" w:rsidRPr="00FB7B91">
        <w:rPr>
          <w:rFonts w:cs="Arial"/>
          <w:szCs w:val="24"/>
          <w:lang w:val="en-IN"/>
        </w:rPr>
        <w:t>practice</w:t>
      </w:r>
      <w:r w:rsidRPr="00FB7B91">
        <w:rPr>
          <w:rFonts w:cs="Arial"/>
          <w:szCs w:val="24"/>
          <w:lang w:val="en-IN"/>
        </w:rPr>
        <w:t xml:space="preserve"> of academic writing and citation will ensure better clarity, cohesiveness and general standards of writing</w:t>
      </w:r>
      <w:r w:rsidR="003707A9">
        <w:rPr>
          <w:rFonts w:cs="Arial"/>
          <w:szCs w:val="24"/>
          <w:lang w:val="en-IN"/>
        </w:rPr>
        <w:t>.</w:t>
      </w:r>
      <w:r w:rsidR="00A650C1">
        <w:rPr>
          <w:rFonts w:cs="Arial"/>
          <w:szCs w:val="24"/>
          <w:lang w:val="en-IN"/>
        </w:rPr>
        <w:t xml:space="preserve"> </w:t>
      </w:r>
      <w:r w:rsidR="004C0EBC">
        <w:rPr>
          <w:rFonts w:cs="Arial"/>
          <w:szCs w:val="24"/>
          <w:lang w:val="en-IN"/>
        </w:rPr>
        <w:t>I will enhance my academic knowledge to complete the projects and assignment</w:t>
      </w:r>
      <w:r w:rsidR="00A51D25">
        <w:rPr>
          <w:rFonts w:cs="Arial"/>
          <w:szCs w:val="24"/>
          <w:lang w:val="en-IN"/>
        </w:rPr>
        <w:t>s</w:t>
      </w:r>
      <w:r w:rsidR="004C0EBC">
        <w:rPr>
          <w:rFonts w:cs="Arial"/>
          <w:szCs w:val="24"/>
          <w:lang w:val="en-IN"/>
        </w:rPr>
        <w:t xml:space="preserve"> in </w:t>
      </w:r>
      <w:r w:rsidR="00A51D25">
        <w:rPr>
          <w:rFonts w:cs="Arial"/>
          <w:szCs w:val="24"/>
          <w:lang w:val="en-IN"/>
        </w:rPr>
        <w:t xml:space="preserve">a </w:t>
      </w:r>
      <w:r w:rsidR="004C0EBC">
        <w:rPr>
          <w:rFonts w:cs="Arial"/>
          <w:szCs w:val="24"/>
          <w:lang w:val="en-IN"/>
        </w:rPr>
        <w:t>better manner.</w:t>
      </w:r>
      <w:r w:rsidR="008D5B8D">
        <w:rPr>
          <w:rFonts w:cs="Arial"/>
          <w:szCs w:val="24"/>
          <w:lang w:val="en-IN"/>
        </w:rPr>
        <w:t xml:space="preserve"> I will enhance my a</w:t>
      </w:r>
      <w:r w:rsidR="004C0EBC">
        <w:rPr>
          <w:rFonts w:cs="Arial"/>
          <w:szCs w:val="24"/>
          <w:lang w:val="en-IN"/>
        </w:rPr>
        <w:t xml:space="preserve">cademic knowledge </w:t>
      </w:r>
      <w:r w:rsidR="00286E69">
        <w:rPr>
          <w:rFonts w:cs="Arial"/>
          <w:szCs w:val="24"/>
          <w:lang w:val="en-IN"/>
        </w:rPr>
        <w:t>that can</w:t>
      </w:r>
      <w:r w:rsidR="004C0EBC">
        <w:rPr>
          <w:rFonts w:cs="Arial"/>
          <w:szCs w:val="24"/>
          <w:lang w:val="en-IN"/>
        </w:rPr>
        <w:t xml:space="preserve"> </w:t>
      </w:r>
      <w:r w:rsidR="00315E3A">
        <w:rPr>
          <w:rFonts w:cs="Arial"/>
          <w:szCs w:val="24"/>
          <w:lang w:val="en-IN"/>
        </w:rPr>
        <w:t xml:space="preserve">boost critical thinking, enhance innovation, </w:t>
      </w:r>
      <w:r w:rsidR="000541D3">
        <w:rPr>
          <w:rFonts w:cs="Arial"/>
          <w:szCs w:val="24"/>
          <w:lang w:val="en-IN"/>
        </w:rPr>
        <w:t xml:space="preserve">and provide the knowledge to establish </w:t>
      </w:r>
      <w:r w:rsidR="00A51D25">
        <w:rPr>
          <w:rFonts w:cs="Arial"/>
          <w:szCs w:val="24"/>
          <w:lang w:val="en-IN"/>
        </w:rPr>
        <w:t xml:space="preserve">a </w:t>
      </w:r>
      <w:r w:rsidR="000541D3">
        <w:rPr>
          <w:rFonts w:cs="Arial"/>
          <w:szCs w:val="24"/>
          <w:lang w:val="en-IN"/>
        </w:rPr>
        <w:t xml:space="preserve">career and attain growth in professionalism. </w:t>
      </w:r>
    </w:p>
    <w:p w14:paraId="62769305" w14:textId="77777777" w:rsidR="006A4D97" w:rsidRDefault="006A4D97" w:rsidP="00014170">
      <w:pPr>
        <w:rPr>
          <w:rFonts w:eastAsiaTheme="majorEastAsia" w:cs="Arial"/>
          <w:b/>
          <w:color w:val="000000" w:themeColor="text1"/>
          <w:szCs w:val="24"/>
        </w:rPr>
      </w:pPr>
      <w:r>
        <w:rPr>
          <w:rFonts w:cs="Arial"/>
          <w:szCs w:val="24"/>
        </w:rPr>
        <w:br w:type="page"/>
      </w:r>
    </w:p>
    <w:p w14:paraId="18A99F61" w14:textId="2A74EB60" w:rsidR="001D3C24" w:rsidRPr="000E7F6D" w:rsidRDefault="00953CC0" w:rsidP="00014170">
      <w:pPr>
        <w:pStyle w:val="Heading1"/>
        <w:spacing w:after="240"/>
        <w:rPr>
          <w:rFonts w:cs="Arial"/>
          <w:szCs w:val="24"/>
        </w:rPr>
      </w:pPr>
      <w:bookmarkStart w:id="12" w:name="_Toc224746329"/>
      <w:r w:rsidRPr="000E7F6D">
        <w:rPr>
          <w:rFonts w:cs="Arial"/>
          <w:szCs w:val="24"/>
        </w:rPr>
        <w:lastRenderedPageBreak/>
        <w:t>References</w:t>
      </w:r>
      <w:bookmarkEnd w:id="12"/>
    </w:p>
    <w:p w14:paraId="4AF73DE3" w14:textId="77777777" w:rsidR="006D3A9A" w:rsidRPr="00924ECB" w:rsidRDefault="006D3A9A" w:rsidP="00014170">
      <w:r w:rsidRPr="00924ECB">
        <w:t xml:space="preserve">Butler, S. (2026) Sainsbury’s to cut 300 jobs as it restructures tech team and Argos deliveries. [Online]. Available at: </w:t>
      </w:r>
      <w:hyperlink r:id="rId32" w:history="1">
        <w:r w:rsidRPr="00924ECB">
          <w:rPr>
            <w:rStyle w:val="Hyperlink"/>
          </w:rPr>
          <w:t>https://www.theguardian.com/business/2026/feb/27/sainsburys-to-cut-300-jobs-as-it-restructures-tech-team-and-argos-deliveries</w:t>
        </w:r>
      </w:hyperlink>
      <w:r w:rsidRPr="00924ECB">
        <w:t xml:space="preserve"> [Accessed on: 18 March 2026]. </w:t>
      </w:r>
    </w:p>
    <w:p w14:paraId="0A0E14CB" w14:textId="77777777" w:rsidR="006D3A9A" w:rsidRPr="000E7F6D" w:rsidRDefault="006D3A9A" w:rsidP="00014170">
      <w:pPr>
        <w:rPr>
          <w:rFonts w:cs="Arial"/>
          <w:szCs w:val="24"/>
        </w:rPr>
      </w:pPr>
      <w:r w:rsidRPr="000E7F6D">
        <w:rPr>
          <w:rFonts w:cs="Arial"/>
          <w:szCs w:val="24"/>
        </w:rPr>
        <w:t xml:space="preserve">CFI. (2020) Competitive Forces Model. [Online]. Available at: </w:t>
      </w:r>
      <w:hyperlink r:id="rId33" w:history="1">
        <w:r w:rsidRPr="000E7F6D">
          <w:rPr>
            <w:rStyle w:val="Hyperlink"/>
            <w:rFonts w:cs="Arial"/>
            <w:szCs w:val="24"/>
          </w:rPr>
          <w:t>https://corporatefinanceinstitute.com/resources/management/competitive-forces-model/</w:t>
        </w:r>
      </w:hyperlink>
      <w:r w:rsidRPr="000E7F6D">
        <w:rPr>
          <w:rFonts w:cs="Arial"/>
          <w:szCs w:val="24"/>
        </w:rPr>
        <w:t xml:space="preserve"> [Accessed on: 18 March 2026]. </w:t>
      </w:r>
    </w:p>
    <w:p w14:paraId="594075BA" w14:textId="77777777" w:rsidR="006D3A9A" w:rsidRPr="000E7F6D" w:rsidRDefault="006D3A9A" w:rsidP="00014170">
      <w:pPr>
        <w:rPr>
          <w:rFonts w:cs="Arial"/>
          <w:szCs w:val="24"/>
        </w:rPr>
      </w:pPr>
      <w:r w:rsidRPr="000E7F6D">
        <w:rPr>
          <w:rFonts w:cs="Arial"/>
          <w:szCs w:val="24"/>
        </w:rPr>
        <w:t xml:space="preserve">Dekimpe, M.G. and van </w:t>
      </w:r>
      <w:proofErr w:type="spellStart"/>
      <w:r w:rsidRPr="000E7F6D">
        <w:rPr>
          <w:rFonts w:cs="Arial"/>
          <w:szCs w:val="24"/>
        </w:rPr>
        <w:t>Heerde</w:t>
      </w:r>
      <w:proofErr w:type="spellEnd"/>
      <w:r w:rsidRPr="000E7F6D">
        <w:rPr>
          <w:rFonts w:cs="Arial"/>
          <w:szCs w:val="24"/>
        </w:rPr>
        <w:t>, H.J. (2023) Retailing in times of soaring inflation: What we know, what we don't know, and a research agenda. </w:t>
      </w:r>
      <w:r w:rsidRPr="000E7F6D">
        <w:rPr>
          <w:rFonts w:cs="Arial"/>
          <w:i/>
          <w:iCs/>
          <w:szCs w:val="24"/>
        </w:rPr>
        <w:t>Journal of Retailing</w:t>
      </w:r>
      <w:r w:rsidRPr="000E7F6D">
        <w:rPr>
          <w:rFonts w:cs="Arial"/>
          <w:szCs w:val="24"/>
        </w:rPr>
        <w:t>, </w:t>
      </w:r>
      <w:r w:rsidRPr="000E7F6D">
        <w:rPr>
          <w:rFonts w:cs="Arial"/>
          <w:i/>
          <w:iCs/>
          <w:szCs w:val="24"/>
        </w:rPr>
        <w:t>99</w:t>
      </w:r>
      <w:r w:rsidRPr="000E7F6D">
        <w:rPr>
          <w:rFonts w:cs="Arial"/>
          <w:szCs w:val="24"/>
        </w:rPr>
        <w:t>(3), pp.322-336.</w:t>
      </w:r>
    </w:p>
    <w:p w14:paraId="18F15370" w14:textId="77777777" w:rsidR="006D3A9A" w:rsidRPr="000E7F6D" w:rsidRDefault="006D3A9A" w:rsidP="00014170">
      <w:pPr>
        <w:rPr>
          <w:rFonts w:cs="Arial"/>
          <w:szCs w:val="24"/>
        </w:rPr>
      </w:pPr>
      <w:r w:rsidRPr="000E7F6D">
        <w:rPr>
          <w:rFonts w:cs="Arial"/>
          <w:szCs w:val="24"/>
        </w:rPr>
        <w:t>Essman, M., Bishop, T., Burgoine, T., Jones, A., Polden, M., Robinson, E., Smith, R., Adams, J. and White, M. (2025) Implementation and enforcement of mandatory calorie labelling regulations for the out-of-home sector in England: Qualitative study of the experiences of business implementers and regulatory enforcers. </w:t>
      </w:r>
      <w:proofErr w:type="spellStart"/>
      <w:r w:rsidRPr="000E7F6D">
        <w:rPr>
          <w:rFonts w:cs="Arial"/>
          <w:i/>
          <w:iCs/>
          <w:szCs w:val="24"/>
        </w:rPr>
        <w:t>PloS</w:t>
      </w:r>
      <w:proofErr w:type="spellEnd"/>
      <w:r w:rsidRPr="000E7F6D">
        <w:rPr>
          <w:rFonts w:cs="Arial"/>
          <w:i/>
          <w:iCs/>
          <w:szCs w:val="24"/>
        </w:rPr>
        <w:t xml:space="preserve"> one</w:t>
      </w:r>
      <w:r w:rsidRPr="000E7F6D">
        <w:rPr>
          <w:rFonts w:cs="Arial"/>
          <w:szCs w:val="24"/>
        </w:rPr>
        <w:t>, </w:t>
      </w:r>
      <w:r w:rsidRPr="000E7F6D">
        <w:rPr>
          <w:rFonts w:cs="Arial"/>
          <w:i/>
          <w:iCs/>
          <w:szCs w:val="24"/>
        </w:rPr>
        <w:t>20</w:t>
      </w:r>
      <w:r w:rsidRPr="000E7F6D">
        <w:rPr>
          <w:rFonts w:cs="Arial"/>
          <w:szCs w:val="24"/>
        </w:rPr>
        <w:t>(7), p.e0323452.</w:t>
      </w:r>
    </w:p>
    <w:p w14:paraId="7D1AB49E" w14:textId="77777777" w:rsidR="006D3A9A" w:rsidRPr="000E7F6D" w:rsidRDefault="006D3A9A" w:rsidP="00014170">
      <w:pPr>
        <w:rPr>
          <w:rFonts w:cs="Arial"/>
          <w:szCs w:val="24"/>
        </w:rPr>
      </w:pPr>
      <w:proofErr w:type="spellStart"/>
      <w:r w:rsidRPr="000E7F6D">
        <w:rPr>
          <w:rFonts w:cs="Arial"/>
          <w:szCs w:val="24"/>
        </w:rPr>
        <w:t>Fatmawati</w:t>
      </w:r>
      <w:proofErr w:type="spellEnd"/>
      <w:r w:rsidRPr="000E7F6D">
        <w:rPr>
          <w:rFonts w:cs="Arial"/>
          <w:szCs w:val="24"/>
        </w:rPr>
        <w:t>, I. and Fauzan, N. (2021) Building customer trust through corporate social responsibility: The Effects of corporate reputation and word of mouth. </w:t>
      </w:r>
      <w:r w:rsidRPr="000E7F6D">
        <w:rPr>
          <w:rFonts w:cs="Arial"/>
          <w:i/>
          <w:iCs/>
          <w:szCs w:val="24"/>
        </w:rPr>
        <w:t>The Journal of Asian Finance, Economics and Business</w:t>
      </w:r>
      <w:r w:rsidRPr="000E7F6D">
        <w:rPr>
          <w:rFonts w:cs="Arial"/>
          <w:szCs w:val="24"/>
        </w:rPr>
        <w:t>, </w:t>
      </w:r>
      <w:r w:rsidRPr="000E7F6D">
        <w:rPr>
          <w:rFonts w:cs="Arial"/>
          <w:i/>
          <w:iCs/>
          <w:szCs w:val="24"/>
        </w:rPr>
        <w:t>8</w:t>
      </w:r>
      <w:r w:rsidRPr="000E7F6D">
        <w:rPr>
          <w:rFonts w:cs="Arial"/>
          <w:szCs w:val="24"/>
        </w:rPr>
        <w:t>(3), pp.793-805.</w:t>
      </w:r>
    </w:p>
    <w:p w14:paraId="049015CD" w14:textId="77777777" w:rsidR="006D3A9A" w:rsidRPr="00924ECB" w:rsidRDefault="006D3A9A" w:rsidP="00014170">
      <w:r w:rsidRPr="00924ECB">
        <w:t xml:space="preserve">GlobalData. (2024) J Sainsbury – Digital Transformation Strategies. [Online]. Available at: </w:t>
      </w:r>
      <w:hyperlink r:id="rId34" w:history="1">
        <w:r w:rsidRPr="00924ECB">
          <w:rPr>
            <w:rStyle w:val="Hyperlink"/>
          </w:rPr>
          <w:t>https://www.globaldata.com/store/report/j-sainsbury-plc-enterprise-tech-analysis/</w:t>
        </w:r>
      </w:hyperlink>
      <w:r w:rsidRPr="00924ECB">
        <w:t xml:space="preserve"> [Accessed on: 18 March 2026].</w:t>
      </w:r>
    </w:p>
    <w:p w14:paraId="26A10B74" w14:textId="77777777" w:rsidR="006D3A9A" w:rsidRDefault="006D3A9A" w:rsidP="00014170">
      <w:pPr>
        <w:rPr>
          <w:rFonts w:cs="Arial"/>
          <w:szCs w:val="24"/>
          <w:lang w:val="en-IN"/>
        </w:rPr>
      </w:pPr>
      <w:r w:rsidRPr="00E21F6F">
        <w:rPr>
          <w:rFonts w:cs="Arial"/>
          <w:szCs w:val="24"/>
        </w:rPr>
        <w:t>Golden, B.</w:t>
      </w:r>
      <w:r>
        <w:rPr>
          <w:rFonts w:cs="Arial"/>
          <w:szCs w:val="24"/>
        </w:rPr>
        <w:t xml:space="preserve"> (</w:t>
      </w:r>
      <w:r w:rsidRPr="00E21F6F">
        <w:rPr>
          <w:rFonts w:cs="Arial"/>
          <w:szCs w:val="24"/>
        </w:rPr>
        <w:t>2023</w:t>
      </w:r>
      <w:r>
        <w:rPr>
          <w:rFonts w:cs="Arial"/>
          <w:szCs w:val="24"/>
        </w:rPr>
        <w:t>)</w:t>
      </w:r>
      <w:r w:rsidRPr="00E21F6F">
        <w:rPr>
          <w:rFonts w:cs="Arial"/>
          <w:szCs w:val="24"/>
        </w:rPr>
        <w:t xml:space="preserve"> Enabling critical thinking development in higher education </w:t>
      </w:r>
      <w:proofErr w:type="gramStart"/>
      <w:r w:rsidRPr="00E21F6F">
        <w:rPr>
          <w:rFonts w:cs="Arial"/>
          <w:szCs w:val="24"/>
        </w:rPr>
        <w:t>through the use of</w:t>
      </w:r>
      <w:proofErr w:type="gramEnd"/>
      <w:r w:rsidRPr="00E21F6F">
        <w:rPr>
          <w:rFonts w:cs="Arial"/>
          <w:szCs w:val="24"/>
        </w:rPr>
        <w:t xml:space="preserve"> a structured planning tool. </w:t>
      </w:r>
      <w:r w:rsidRPr="00E21F6F">
        <w:rPr>
          <w:rFonts w:cs="Arial"/>
          <w:i/>
          <w:iCs/>
          <w:szCs w:val="24"/>
        </w:rPr>
        <w:t>Irish Educational Studies</w:t>
      </w:r>
      <w:r w:rsidRPr="00E21F6F">
        <w:rPr>
          <w:rFonts w:cs="Arial"/>
          <w:szCs w:val="24"/>
        </w:rPr>
        <w:t>, </w:t>
      </w:r>
      <w:r w:rsidRPr="00E21F6F">
        <w:rPr>
          <w:rFonts w:cs="Arial"/>
          <w:i/>
          <w:iCs/>
          <w:szCs w:val="24"/>
        </w:rPr>
        <w:t>42</w:t>
      </w:r>
      <w:r w:rsidRPr="00E21F6F">
        <w:rPr>
          <w:rFonts w:cs="Arial"/>
          <w:szCs w:val="24"/>
        </w:rPr>
        <w:t>(4), pp.949-969.</w:t>
      </w:r>
    </w:p>
    <w:p w14:paraId="0B411A8A" w14:textId="77777777" w:rsidR="006D3A9A" w:rsidRPr="000E7F6D" w:rsidRDefault="006D3A9A" w:rsidP="00014170">
      <w:pPr>
        <w:rPr>
          <w:rFonts w:cs="Arial"/>
          <w:szCs w:val="24"/>
        </w:rPr>
      </w:pPr>
      <w:r w:rsidRPr="000E7F6D">
        <w:rPr>
          <w:rFonts w:cs="Arial"/>
          <w:szCs w:val="24"/>
        </w:rPr>
        <w:t>Imtiaz, A. and Muzaffar, M. (2025) Trade Barriers and Broken Supply Chains: Economic Fallout of Brexit. </w:t>
      </w:r>
      <w:r w:rsidRPr="000E7F6D">
        <w:rPr>
          <w:rFonts w:cs="Arial"/>
          <w:i/>
          <w:iCs/>
          <w:szCs w:val="24"/>
        </w:rPr>
        <w:t>Journal of Development and Social Sciences</w:t>
      </w:r>
      <w:r w:rsidRPr="000E7F6D">
        <w:rPr>
          <w:rFonts w:cs="Arial"/>
          <w:szCs w:val="24"/>
        </w:rPr>
        <w:t>, </w:t>
      </w:r>
      <w:r w:rsidRPr="000E7F6D">
        <w:rPr>
          <w:rFonts w:cs="Arial"/>
          <w:i/>
          <w:iCs/>
          <w:szCs w:val="24"/>
        </w:rPr>
        <w:t>6</w:t>
      </w:r>
      <w:r w:rsidRPr="000E7F6D">
        <w:rPr>
          <w:rFonts w:cs="Arial"/>
          <w:szCs w:val="24"/>
        </w:rPr>
        <w:t>(2), pp.80-90.</w:t>
      </w:r>
    </w:p>
    <w:p w14:paraId="5BA3D8DA" w14:textId="77777777" w:rsidR="006D3A9A" w:rsidRPr="00924ECB" w:rsidRDefault="006D3A9A" w:rsidP="00014170">
      <w:r w:rsidRPr="0036459F">
        <w:lastRenderedPageBreak/>
        <w:t>Jae, Y.I. and Hwa, P.I.</w:t>
      </w:r>
      <w:r>
        <w:t xml:space="preserve"> (</w:t>
      </w:r>
      <w:r w:rsidRPr="0036459F">
        <w:t>2025</w:t>
      </w:r>
      <w:r>
        <w:t>)</w:t>
      </w:r>
      <w:r w:rsidRPr="0036459F">
        <w:t xml:space="preserve"> Personalized digital marketing strategies: A data-driven approach using marketing analytics. </w:t>
      </w:r>
      <w:r w:rsidRPr="0036459F">
        <w:rPr>
          <w:i/>
          <w:iCs/>
        </w:rPr>
        <w:t>Journal of Management and Informatics</w:t>
      </w:r>
      <w:r w:rsidRPr="0036459F">
        <w:t>, </w:t>
      </w:r>
      <w:r w:rsidRPr="0036459F">
        <w:rPr>
          <w:i/>
          <w:iCs/>
        </w:rPr>
        <w:t>4</w:t>
      </w:r>
      <w:r w:rsidRPr="0036459F">
        <w:t>(1), pp.668-686.</w:t>
      </w:r>
    </w:p>
    <w:p w14:paraId="37C3104B" w14:textId="77777777" w:rsidR="006D3A9A" w:rsidRDefault="006D3A9A" w:rsidP="00014170">
      <w:proofErr w:type="spellStart"/>
      <w:r w:rsidRPr="0063354E">
        <w:t>Kewakuma</w:t>
      </w:r>
      <w:proofErr w:type="spellEnd"/>
      <w:r w:rsidRPr="0063354E">
        <w:t xml:space="preserve">, A.S.V., </w:t>
      </w:r>
      <w:proofErr w:type="spellStart"/>
      <w:r w:rsidRPr="0063354E">
        <w:t>Rofiaty</w:t>
      </w:r>
      <w:proofErr w:type="spellEnd"/>
      <w:r w:rsidRPr="0063354E">
        <w:t>, R. and Ratnawati, K.</w:t>
      </w:r>
      <w:r>
        <w:t xml:space="preserve"> (</w:t>
      </w:r>
      <w:r w:rsidRPr="0063354E">
        <w:t>2021</w:t>
      </w:r>
      <w:r>
        <w:t>)</w:t>
      </w:r>
      <w:r w:rsidRPr="0063354E">
        <w:t xml:space="preserve"> The effect of green marketing strategy on customer loyalty mediated by brand image. </w:t>
      </w:r>
      <w:r w:rsidRPr="0063354E">
        <w:rPr>
          <w:i/>
          <w:iCs/>
        </w:rPr>
        <w:t xml:space="preserve">JBTI: </w:t>
      </w:r>
      <w:proofErr w:type="spellStart"/>
      <w:r w:rsidRPr="0063354E">
        <w:rPr>
          <w:i/>
          <w:iCs/>
        </w:rPr>
        <w:t>Jurnal</w:t>
      </w:r>
      <w:proofErr w:type="spellEnd"/>
      <w:r w:rsidRPr="0063354E">
        <w:rPr>
          <w:i/>
          <w:iCs/>
        </w:rPr>
        <w:t xml:space="preserve"> </w:t>
      </w:r>
      <w:proofErr w:type="spellStart"/>
      <w:r w:rsidRPr="0063354E">
        <w:rPr>
          <w:i/>
          <w:iCs/>
        </w:rPr>
        <w:t>Bisnis</w:t>
      </w:r>
      <w:proofErr w:type="spellEnd"/>
      <w:r w:rsidRPr="0063354E">
        <w:rPr>
          <w:i/>
          <w:iCs/>
        </w:rPr>
        <w:t xml:space="preserve">: Teori Dan </w:t>
      </w:r>
      <w:proofErr w:type="spellStart"/>
      <w:r w:rsidRPr="0063354E">
        <w:rPr>
          <w:i/>
          <w:iCs/>
        </w:rPr>
        <w:t>Implementasi</w:t>
      </w:r>
      <w:proofErr w:type="spellEnd"/>
      <w:r w:rsidRPr="0063354E">
        <w:t>, </w:t>
      </w:r>
      <w:r w:rsidRPr="0063354E">
        <w:rPr>
          <w:i/>
          <w:iCs/>
        </w:rPr>
        <w:t>12</w:t>
      </w:r>
      <w:r w:rsidRPr="0063354E">
        <w:t>(1), pp.1-11.</w:t>
      </w:r>
    </w:p>
    <w:p w14:paraId="5154D2B4" w14:textId="77777777" w:rsidR="006D3A9A" w:rsidRDefault="006D3A9A" w:rsidP="00014170">
      <w:pPr>
        <w:rPr>
          <w:rFonts w:cs="Arial"/>
          <w:szCs w:val="24"/>
          <w:lang w:val="en-IN"/>
        </w:rPr>
      </w:pPr>
      <w:r w:rsidRPr="009753D7">
        <w:rPr>
          <w:rFonts w:cs="Arial"/>
          <w:szCs w:val="24"/>
        </w:rPr>
        <w:t>Khan, U.A.</w:t>
      </w:r>
      <w:r>
        <w:rPr>
          <w:rFonts w:cs="Arial"/>
          <w:szCs w:val="24"/>
        </w:rPr>
        <w:t xml:space="preserve"> (</w:t>
      </w:r>
      <w:r w:rsidRPr="009753D7">
        <w:rPr>
          <w:rFonts w:cs="Arial"/>
          <w:szCs w:val="24"/>
        </w:rPr>
        <w:t>2022</w:t>
      </w:r>
      <w:r>
        <w:rPr>
          <w:rFonts w:cs="Arial"/>
          <w:szCs w:val="24"/>
        </w:rPr>
        <w:t>)</w:t>
      </w:r>
      <w:r w:rsidRPr="009753D7">
        <w:rPr>
          <w:rFonts w:cs="Arial"/>
          <w:szCs w:val="24"/>
        </w:rPr>
        <w:t xml:space="preserve"> Effective time management techniques for busy business managers. </w:t>
      </w:r>
      <w:r w:rsidRPr="009753D7">
        <w:rPr>
          <w:rFonts w:cs="Arial"/>
          <w:i/>
          <w:iCs/>
          <w:szCs w:val="24"/>
        </w:rPr>
        <w:t>Global Journal of Econometrics and Finance</w:t>
      </w:r>
      <w:r w:rsidRPr="009753D7">
        <w:rPr>
          <w:rFonts w:cs="Arial"/>
          <w:szCs w:val="24"/>
        </w:rPr>
        <w:t>, </w:t>
      </w:r>
      <w:r w:rsidRPr="009753D7">
        <w:rPr>
          <w:rFonts w:cs="Arial"/>
          <w:i/>
          <w:iCs/>
          <w:szCs w:val="24"/>
        </w:rPr>
        <w:t>1</w:t>
      </w:r>
      <w:r w:rsidRPr="009753D7">
        <w:rPr>
          <w:rFonts w:cs="Arial"/>
          <w:szCs w:val="24"/>
        </w:rPr>
        <w:t>(2), pp.49-61.</w:t>
      </w:r>
      <w:r w:rsidRPr="009753D7">
        <w:rPr>
          <w:rFonts w:cs="Arial"/>
          <w:szCs w:val="24"/>
          <w:lang w:val="en-IN"/>
        </w:rPr>
        <w:t xml:space="preserve"> </w:t>
      </w:r>
    </w:p>
    <w:p w14:paraId="3E242BD7" w14:textId="77777777" w:rsidR="006D3A9A" w:rsidRPr="000E7F6D" w:rsidRDefault="006D3A9A" w:rsidP="00014170">
      <w:pPr>
        <w:rPr>
          <w:rFonts w:cs="Arial"/>
          <w:szCs w:val="24"/>
        </w:rPr>
      </w:pPr>
      <w:r w:rsidRPr="000E7F6D">
        <w:rPr>
          <w:rFonts w:cs="Arial"/>
          <w:szCs w:val="24"/>
        </w:rPr>
        <w:t>Law, C., Smith, R. and Cornelsen, L. (2022) Place matters: Out-of-home demand for food and beverages in Great Britain. </w:t>
      </w:r>
      <w:r w:rsidRPr="000E7F6D">
        <w:rPr>
          <w:rFonts w:cs="Arial"/>
          <w:i/>
          <w:iCs/>
          <w:szCs w:val="24"/>
        </w:rPr>
        <w:t>Food policy</w:t>
      </w:r>
      <w:r w:rsidRPr="000E7F6D">
        <w:rPr>
          <w:rFonts w:cs="Arial"/>
          <w:szCs w:val="24"/>
        </w:rPr>
        <w:t>, </w:t>
      </w:r>
      <w:r w:rsidRPr="000E7F6D">
        <w:rPr>
          <w:rFonts w:cs="Arial"/>
          <w:i/>
          <w:iCs/>
          <w:szCs w:val="24"/>
        </w:rPr>
        <w:t>107</w:t>
      </w:r>
      <w:r w:rsidRPr="000E7F6D">
        <w:rPr>
          <w:rFonts w:cs="Arial"/>
          <w:szCs w:val="24"/>
        </w:rPr>
        <w:t>, p.102215.</w:t>
      </w:r>
    </w:p>
    <w:p w14:paraId="0CB2B8E4" w14:textId="77777777" w:rsidR="006D3A9A" w:rsidRPr="000E7F6D" w:rsidRDefault="006D3A9A" w:rsidP="00014170">
      <w:pPr>
        <w:rPr>
          <w:rFonts w:cs="Arial"/>
          <w:szCs w:val="24"/>
        </w:rPr>
      </w:pPr>
      <w:r w:rsidRPr="000E7F6D">
        <w:rPr>
          <w:rFonts w:cs="Arial"/>
          <w:szCs w:val="24"/>
        </w:rPr>
        <w:t>Li, Z., Ren, L., Li, Z., Chen, J., Tian, X. and Zhang, Y. (2023) Price Dispersion, Bargaining Power, and Consumers’ Online Shopping Experience in e</w:t>
      </w:r>
      <w:r w:rsidRPr="000E7F6D">
        <w:rPr>
          <w:rFonts w:ascii="Cambria Math" w:hAnsi="Cambria Math" w:cs="Cambria Math"/>
          <w:szCs w:val="24"/>
        </w:rPr>
        <w:t>‐</w:t>
      </w:r>
      <w:r w:rsidRPr="000E7F6D">
        <w:rPr>
          <w:rFonts w:cs="Arial"/>
          <w:szCs w:val="24"/>
        </w:rPr>
        <w:t>Commerce: Evidence from Online Transactions. </w:t>
      </w:r>
      <w:r w:rsidRPr="000E7F6D">
        <w:rPr>
          <w:rFonts w:cs="Arial"/>
          <w:i/>
          <w:iCs/>
          <w:szCs w:val="24"/>
        </w:rPr>
        <w:t>Mathematical Problems in Engineering</w:t>
      </w:r>
      <w:r w:rsidRPr="000E7F6D">
        <w:rPr>
          <w:rFonts w:cs="Arial"/>
          <w:szCs w:val="24"/>
        </w:rPr>
        <w:t>, </w:t>
      </w:r>
      <w:r w:rsidRPr="000E7F6D">
        <w:rPr>
          <w:rFonts w:cs="Arial"/>
          <w:i/>
          <w:iCs/>
          <w:szCs w:val="24"/>
        </w:rPr>
        <w:t>2023</w:t>
      </w:r>
      <w:r w:rsidRPr="000E7F6D">
        <w:rPr>
          <w:rFonts w:cs="Arial"/>
          <w:szCs w:val="24"/>
        </w:rPr>
        <w:t>(1), p.6638665.</w:t>
      </w:r>
    </w:p>
    <w:p w14:paraId="3F6BB7E1" w14:textId="77777777" w:rsidR="006D3A9A" w:rsidRPr="000E7F6D" w:rsidRDefault="006D3A9A" w:rsidP="00014170">
      <w:pPr>
        <w:rPr>
          <w:rFonts w:cs="Arial"/>
          <w:szCs w:val="24"/>
        </w:rPr>
      </w:pPr>
      <w:r w:rsidRPr="000E7F6D">
        <w:rPr>
          <w:rFonts w:cs="Arial"/>
          <w:szCs w:val="24"/>
        </w:rPr>
        <w:t>Masih, J., Sharma, S.C., Saini, N. and Yadav, D.K. (2025) From preference to priority: The surge in demand for organic foods. </w:t>
      </w:r>
      <w:r w:rsidRPr="000E7F6D">
        <w:rPr>
          <w:rFonts w:cs="Arial"/>
          <w:i/>
          <w:iCs/>
          <w:szCs w:val="24"/>
        </w:rPr>
        <w:t>Economic Sciences</w:t>
      </w:r>
      <w:r w:rsidRPr="000E7F6D">
        <w:rPr>
          <w:rFonts w:cs="Arial"/>
          <w:szCs w:val="24"/>
        </w:rPr>
        <w:t>, </w:t>
      </w:r>
      <w:r w:rsidRPr="000E7F6D">
        <w:rPr>
          <w:rFonts w:cs="Arial"/>
          <w:i/>
          <w:iCs/>
          <w:szCs w:val="24"/>
        </w:rPr>
        <w:t>21</w:t>
      </w:r>
      <w:r w:rsidRPr="000E7F6D">
        <w:rPr>
          <w:rFonts w:cs="Arial"/>
          <w:szCs w:val="24"/>
        </w:rPr>
        <w:t>(1), pp.90-105.</w:t>
      </w:r>
    </w:p>
    <w:p w14:paraId="2279FD4B" w14:textId="77777777" w:rsidR="006D3A9A" w:rsidRPr="000E7F6D" w:rsidRDefault="006D3A9A" w:rsidP="00014170">
      <w:pPr>
        <w:rPr>
          <w:rFonts w:cs="Arial"/>
          <w:szCs w:val="24"/>
        </w:rPr>
      </w:pPr>
      <w:r w:rsidRPr="000E7F6D">
        <w:rPr>
          <w:rFonts w:cs="Arial"/>
          <w:szCs w:val="24"/>
        </w:rPr>
        <w:t>Olarewaju, T., Dani, S., Obeng-Fosu, C., Olarewaju, T. and Jabbar, A. (2024) The impact of climate action on the financial performance of food, grocery, and supermarket retailers in the UK. </w:t>
      </w:r>
      <w:r w:rsidRPr="000E7F6D">
        <w:rPr>
          <w:rFonts w:cs="Arial"/>
          <w:i/>
          <w:iCs/>
          <w:szCs w:val="24"/>
        </w:rPr>
        <w:t>Sustainability</w:t>
      </w:r>
      <w:r w:rsidRPr="000E7F6D">
        <w:rPr>
          <w:rFonts w:cs="Arial"/>
          <w:szCs w:val="24"/>
        </w:rPr>
        <w:t>, </w:t>
      </w:r>
      <w:r w:rsidRPr="000E7F6D">
        <w:rPr>
          <w:rFonts w:cs="Arial"/>
          <w:i/>
          <w:iCs/>
          <w:szCs w:val="24"/>
        </w:rPr>
        <w:t>16</w:t>
      </w:r>
      <w:r w:rsidRPr="000E7F6D">
        <w:rPr>
          <w:rFonts w:cs="Arial"/>
          <w:szCs w:val="24"/>
        </w:rPr>
        <w:t>(5), p.1785.</w:t>
      </w:r>
    </w:p>
    <w:p w14:paraId="3CF6F5D2" w14:textId="77777777" w:rsidR="006D3A9A" w:rsidRDefault="006D3A9A" w:rsidP="00014170">
      <w:pPr>
        <w:rPr>
          <w:rFonts w:cs="Arial"/>
          <w:szCs w:val="24"/>
          <w:lang w:val="en-IN"/>
        </w:rPr>
      </w:pPr>
      <w:r w:rsidRPr="00125794">
        <w:rPr>
          <w:rFonts w:cs="Arial"/>
          <w:szCs w:val="24"/>
        </w:rPr>
        <w:t xml:space="preserve">Praveena, K.S., </w:t>
      </w:r>
      <w:proofErr w:type="spellStart"/>
      <w:r w:rsidRPr="00125794">
        <w:rPr>
          <w:rFonts w:cs="Arial"/>
          <w:szCs w:val="24"/>
        </w:rPr>
        <w:t>Juslin</w:t>
      </w:r>
      <w:proofErr w:type="spellEnd"/>
      <w:r w:rsidRPr="00125794">
        <w:rPr>
          <w:rFonts w:cs="Arial"/>
          <w:szCs w:val="24"/>
        </w:rPr>
        <w:t>, F., Patil, C.M. and Bhargavi, K.</w:t>
      </w:r>
      <w:r>
        <w:rPr>
          <w:rFonts w:cs="Arial"/>
          <w:szCs w:val="24"/>
        </w:rPr>
        <w:t xml:space="preserve"> (</w:t>
      </w:r>
      <w:r w:rsidRPr="00125794">
        <w:rPr>
          <w:rFonts w:cs="Arial"/>
          <w:szCs w:val="24"/>
        </w:rPr>
        <w:t>2025</w:t>
      </w:r>
      <w:r>
        <w:rPr>
          <w:rFonts w:cs="Arial"/>
          <w:szCs w:val="24"/>
        </w:rPr>
        <w:t>)</w:t>
      </w:r>
      <w:r w:rsidRPr="00125794">
        <w:rPr>
          <w:rFonts w:cs="Arial"/>
          <w:szCs w:val="24"/>
        </w:rPr>
        <w:t xml:space="preserve"> Using </w:t>
      </w:r>
      <w:proofErr w:type="spellStart"/>
      <w:r w:rsidRPr="00125794">
        <w:rPr>
          <w:rFonts w:cs="Arial"/>
          <w:szCs w:val="24"/>
        </w:rPr>
        <w:t>gibb's</w:t>
      </w:r>
      <w:proofErr w:type="spellEnd"/>
      <w:r w:rsidRPr="00125794">
        <w:rPr>
          <w:rFonts w:cs="Arial"/>
          <w:szCs w:val="24"/>
        </w:rPr>
        <w:t xml:space="preserve"> reflective model approach for enhancing project-based learning among students through reflective assessment. </w:t>
      </w:r>
      <w:r w:rsidRPr="00125794">
        <w:rPr>
          <w:rFonts w:cs="Arial"/>
          <w:i/>
          <w:iCs/>
          <w:szCs w:val="24"/>
        </w:rPr>
        <w:t>Journal of Engineering Education Transformations</w:t>
      </w:r>
      <w:r w:rsidRPr="00125794">
        <w:rPr>
          <w:rFonts w:cs="Arial"/>
          <w:szCs w:val="24"/>
        </w:rPr>
        <w:t>, pp.148-155.</w:t>
      </w:r>
      <w:r w:rsidRPr="00125794">
        <w:rPr>
          <w:rFonts w:cs="Arial"/>
          <w:szCs w:val="24"/>
          <w:lang w:val="en-IN"/>
        </w:rPr>
        <w:t xml:space="preserve"> </w:t>
      </w:r>
    </w:p>
    <w:p w14:paraId="69414F61" w14:textId="77777777" w:rsidR="006D3A9A" w:rsidRPr="000E7F6D" w:rsidRDefault="006D3A9A" w:rsidP="00014170">
      <w:pPr>
        <w:rPr>
          <w:rFonts w:cs="Arial"/>
          <w:szCs w:val="24"/>
        </w:rPr>
      </w:pPr>
      <w:r w:rsidRPr="000E7F6D">
        <w:rPr>
          <w:rFonts w:cs="Arial"/>
          <w:szCs w:val="24"/>
        </w:rPr>
        <w:t xml:space="preserve">Retail Economics. (2023) Ecommerce Delivery Benchmark Report 2023: Impact of inflation &amp; consumer behaviour on online retail. [Online]. Available at: </w:t>
      </w:r>
      <w:hyperlink r:id="rId35" w:history="1">
        <w:r w:rsidRPr="000E7F6D">
          <w:rPr>
            <w:rStyle w:val="Hyperlink"/>
            <w:rFonts w:cs="Arial"/>
            <w:szCs w:val="24"/>
          </w:rPr>
          <w:t>https://www.retaileconomics.co.uk/retail-insights/thought-leadership-reports/impact-of-inflation-and-changing-consumer-behaviour-on-the-retail-sector-ecommerce-delivery-benchmark-report-2023</w:t>
        </w:r>
      </w:hyperlink>
      <w:r w:rsidRPr="000E7F6D">
        <w:rPr>
          <w:rFonts w:cs="Arial"/>
          <w:szCs w:val="24"/>
        </w:rPr>
        <w:t xml:space="preserve"> [Accessed on: 18 March 2026]. </w:t>
      </w:r>
    </w:p>
    <w:p w14:paraId="098F3121" w14:textId="77777777" w:rsidR="006D3A9A" w:rsidRPr="000E7F6D" w:rsidRDefault="006D3A9A" w:rsidP="00014170">
      <w:pPr>
        <w:rPr>
          <w:rFonts w:cs="Arial"/>
          <w:szCs w:val="24"/>
        </w:rPr>
      </w:pPr>
      <w:r w:rsidRPr="000E7F6D">
        <w:rPr>
          <w:rFonts w:cs="Arial"/>
          <w:szCs w:val="24"/>
        </w:rPr>
        <w:lastRenderedPageBreak/>
        <w:t xml:space="preserve">Retail Economics. (2025) The UK Grocery Market: Five Key Trends to 2025. [Online]. Available at: </w:t>
      </w:r>
      <w:hyperlink r:id="rId36" w:history="1">
        <w:r w:rsidRPr="000E7F6D">
          <w:rPr>
            <w:rStyle w:val="Hyperlink"/>
            <w:rFonts w:cs="Arial"/>
            <w:szCs w:val="24"/>
          </w:rPr>
          <w:t>https://www.retaileconomics.co.uk/retail-insights/thought-leadership-reports/the-uk-grocery-market-five-key-trends-to-2025-report</w:t>
        </w:r>
      </w:hyperlink>
      <w:r w:rsidRPr="000E7F6D">
        <w:rPr>
          <w:rFonts w:cs="Arial"/>
          <w:szCs w:val="24"/>
        </w:rPr>
        <w:t xml:space="preserve"> [Accessed on: 18 March 2026]. </w:t>
      </w:r>
    </w:p>
    <w:p w14:paraId="555C8040" w14:textId="77777777" w:rsidR="006D3A9A" w:rsidRPr="00924ECB" w:rsidRDefault="006D3A9A" w:rsidP="00014170">
      <w:r w:rsidRPr="00924ECB">
        <w:t xml:space="preserve">Retail Insight. (2024) Sainsbury’s invested £220m into price cuts in FY 2023. [Online]. Available at: </w:t>
      </w:r>
      <w:hyperlink r:id="rId37" w:history="1">
        <w:r w:rsidRPr="00924ECB">
          <w:rPr>
            <w:rStyle w:val="Hyperlink"/>
          </w:rPr>
          <w:t>https://www.retail-insight-network.com/news/sainsburys-investment-price-cut/?cf-view</w:t>
        </w:r>
      </w:hyperlink>
      <w:r w:rsidRPr="00924ECB">
        <w:t xml:space="preserve"> [Accessed on: 18 March 2026]. </w:t>
      </w:r>
    </w:p>
    <w:p w14:paraId="58B0F91B" w14:textId="77777777" w:rsidR="006D3A9A" w:rsidRPr="00924ECB" w:rsidRDefault="006D3A9A" w:rsidP="00014170">
      <w:r w:rsidRPr="00924ECB">
        <w:t xml:space="preserve">Roberts, A. (2024) Sainsbury’s personalisation at scale for actionable benefit customer health. [Online]. Available at: </w:t>
      </w:r>
      <w:hyperlink r:id="rId38" w:history="1">
        <w:r w:rsidRPr="00924ECB">
          <w:rPr>
            <w:rStyle w:val="Hyperlink"/>
          </w:rPr>
          <w:t>https://www.dataiq.global/articles/personalisation-at-scale-sainsburys/</w:t>
        </w:r>
      </w:hyperlink>
      <w:r w:rsidRPr="00924ECB">
        <w:t xml:space="preserve"> [Accessed on: 18 March 2026].</w:t>
      </w:r>
    </w:p>
    <w:p w14:paraId="18516331" w14:textId="77777777" w:rsidR="006D3A9A" w:rsidRPr="00924ECB" w:rsidRDefault="006D3A9A" w:rsidP="00014170">
      <w:r w:rsidRPr="00924ECB">
        <w:t xml:space="preserve">S&amp;P Global. (2025) Research Update: U.K. Retailer J Sainsbury PLC Rated 'BBB'; Outlook Stable. [Online]. Available at: </w:t>
      </w:r>
      <w:hyperlink r:id="rId39" w:history="1">
        <w:r w:rsidRPr="00924ECB">
          <w:rPr>
            <w:rStyle w:val="Hyperlink"/>
          </w:rPr>
          <w:t>https://www.spglobal.com/ratings/en/regulatory/article/-/view/sourceId/101611404</w:t>
        </w:r>
      </w:hyperlink>
      <w:r w:rsidRPr="00924ECB">
        <w:t xml:space="preserve"> [Accessed on: 18 March 2026]. </w:t>
      </w:r>
    </w:p>
    <w:p w14:paraId="0557153D" w14:textId="77777777" w:rsidR="006D3A9A" w:rsidRPr="00924ECB" w:rsidRDefault="006D3A9A" w:rsidP="00014170">
      <w:r w:rsidRPr="00924ECB">
        <w:t xml:space="preserve">Sainsbury Energy. (2026) Sainsbury Energy. [Online]. Available at: </w:t>
      </w:r>
      <w:hyperlink r:id="rId40" w:history="1">
        <w:r w:rsidRPr="00924ECB">
          <w:rPr>
            <w:rStyle w:val="Hyperlink"/>
          </w:rPr>
          <w:t>https://www.sainsburysenergy.com/?utm_source=sainsburys&amp;utm_medium=website&amp;utm_campaign=help_get_more</w:t>
        </w:r>
      </w:hyperlink>
      <w:r w:rsidRPr="00924ECB">
        <w:t xml:space="preserve"> [Accessed on: 18 March 2026]. </w:t>
      </w:r>
    </w:p>
    <w:p w14:paraId="78D66EBE" w14:textId="77777777" w:rsidR="006D3A9A" w:rsidRPr="000E7F6D" w:rsidRDefault="006D3A9A" w:rsidP="00014170">
      <w:pPr>
        <w:rPr>
          <w:rFonts w:cs="Arial"/>
          <w:szCs w:val="24"/>
        </w:rPr>
      </w:pPr>
      <w:r w:rsidRPr="000E7F6D">
        <w:rPr>
          <w:rFonts w:cs="Arial"/>
          <w:szCs w:val="24"/>
        </w:rPr>
        <w:t xml:space="preserve">Sainsbury. (2021) Annual Report and Financial Statements 2021. [Online]. Available at: </w:t>
      </w:r>
      <w:hyperlink r:id="rId41" w:history="1">
        <w:r w:rsidRPr="000E7F6D">
          <w:rPr>
            <w:rStyle w:val="Hyperlink"/>
            <w:rFonts w:cs="Arial"/>
            <w:szCs w:val="24"/>
          </w:rPr>
          <w:t>https://corporate.sainsburys.co.uk/media/xtjbqjqz/sainsburys-ar2021.pdf</w:t>
        </w:r>
      </w:hyperlink>
      <w:r w:rsidRPr="000E7F6D">
        <w:rPr>
          <w:rFonts w:cs="Arial"/>
          <w:szCs w:val="24"/>
        </w:rPr>
        <w:t xml:space="preserve"> [Accessed on: 18 March 2026]. </w:t>
      </w:r>
    </w:p>
    <w:p w14:paraId="556367F5" w14:textId="77777777" w:rsidR="006D3A9A" w:rsidRPr="00924ECB" w:rsidRDefault="006D3A9A" w:rsidP="00014170">
      <w:r w:rsidRPr="00924ECB">
        <w:t xml:space="preserve">Sainsbury. (2024) Sainsbury’s collaborates with SAP, Accenture and AWS on transformation programme. [Online]. Available at: </w:t>
      </w:r>
      <w:hyperlink r:id="rId42" w:history="1">
        <w:r w:rsidRPr="00924ECB">
          <w:rPr>
            <w:rStyle w:val="Hyperlink"/>
          </w:rPr>
          <w:t>https://corporate.sainsburys.co.uk/news/press-releases/sainsbury-s-collaborates-with-sap-accenture-and-aws-on-transformation-programme/</w:t>
        </w:r>
      </w:hyperlink>
      <w:r w:rsidRPr="00924ECB">
        <w:t xml:space="preserve"> [Accessed on: 18 March 2026]. </w:t>
      </w:r>
    </w:p>
    <w:p w14:paraId="6198026F" w14:textId="77777777" w:rsidR="006D3A9A" w:rsidRPr="000E7F6D" w:rsidRDefault="006D3A9A" w:rsidP="00014170">
      <w:pPr>
        <w:rPr>
          <w:rFonts w:cs="Arial"/>
          <w:szCs w:val="24"/>
        </w:rPr>
      </w:pPr>
      <w:r w:rsidRPr="000E7F6D">
        <w:rPr>
          <w:rFonts w:cs="Arial"/>
          <w:szCs w:val="24"/>
        </w:rPr>
        <w:t xml:space="preserve">Sainsbury. (2024) Strategy update: “Next Level Sainsbury’s”. [Online]. Available at: </w:t>
      </w:r>
      <w:hyperlink r:id="rId43" w:history="1">
        <w:r w:rsidRPr="000E7F6D">
          <w:rPr>
            <w:rStyle w:val="Hyperlink"/>
            <w:rFonts w:cs="Arial"/>
            <w:szCs w:val="24"/>
          </w:rPr>
          <w:t>https://corporate.sainsburys.co.uk/news/press-releases/strategy-update-next-level-sainsbury-s/</w:t>
        </w:r>
      </w:hyperlink>
      <w:r w:rsidRPr="000E7F6D">
        <w:rPr>
          <w:rFonts w:cs="Arial"/>
          <w:szCs w:val="24"/>
        </w:rPr>
        <w:t xml:space="preserve"> [Accessed on: 18 March 2026]. </w:t>
      </w:r>
    </w:p>
    <w:p w14:paraId="317427D9" w14:textId="77777777" w:rsidR="006D3A9A" w:rsidRPr="00924ECB" w:rsidRDefault="006D3A9A" w:rsidP="00014170">
      <w:r w:rsidRPr="00924ECB">
        <w:lastRenderedPageBreak/>
        <w:t xml:space="preserve">Sainsbury. (2025) Annual Report 2025. [Online]. Available at: </w:t>
      </w:r>
      <w:hyperlink r:id="rId44" w:history="1">
        <w:r w:rsidRPr="00924ECB">
          <w:rPr>
            <w:rStyle w:val="Hyperlink"/>
          </w:rPr>
          <w:t>https://corporate.sainsburys.co.uk/investors/annual-report-2025/</w:t>
        </w:r>
      </w:hyperlink>
      <w:r w:rsidRPr="00924ECB">
        <w:t xml:space="preserve"> [Accessed on: 18 March 2026]. </w:t>
      </w:r>
    </w:p>
    <w:p w14:paraId="502978A9" w14:textId="77777777" w:rsidR="006D3A9A" w:rsidRPr="00924ECB" w:rsidRDefault="006D3A9A" w:rsidP="00014170">
      <w:r w:rsidRPr="00924ECB">
        <w:t xml:space="preserve">Sainsbury. (2025) Annual Report and Financial Statements 2025. [Online]. Available at: </w:t>
      </w:r>
      <w:hyperlink r:id="rId45" w:history="1">
        <w:r w:rsidRPr="00924ECB">
          <w:rPr>
            <w:rStyle w:val="Hyperlink"/>
          </w:rPr>
          <w:t>https://corporate.sainsburys.co.uk/media/4prdzvro/sainsbury-annual-report-and-financial-statements-2025.pdf</w:t>
        </w:r>
      </w:hyperlink>
      <w:r w:rsidRPr="00924ECB">
        <w:t xml:space="preserve"> [Accessed on: 18 March 2026].</w:t>
      </w:r>
    </w:p>
    <w:p w14:paraId="6206DA83" w14:textId="77777777" w:rsidR="006D3A9A" w:rsidRPr="000E7F6D" w:rsidRDefault="006D3A9A" w:rsidP="00014170">
      <w:pPr>
        <w:rPr>
          <w:rFonts w:cs="Arial"/>
          <w:szCs w:val="24"/>
        </w:rPr>
      </w:pPr>
      <w:r w:rsidRPr="000E7F6D">
        <w:rPr>
          <w:rFonts w:cs="Arial"/>
          <w:szCs w:val="24"/>
        </w:rPr>
        <w:t xml:space="preserve">Sainsbury. (2025) Delivering good food in a changing world. [Online]. Available at: </w:t>
      </w:r>
      <w:hyperlink r:id="rId46" w:history="1">
        <w:r w:rsidRPr="000E7F6D">
          <w:rPr>
            <w:rStyle w:val="Hyperlink"/>
            <w:rFonts w:cs="Arial"/>
            <w:szCs w:val="24"/>
          </w:rPr>
          <w:t>https://corporate.sainsburys.co.uk/sustainability/</w:t>
        </w:r>
      </w:hyperlink>
      <w:r w:rsidRPr="000E7F6D">
        <w:rPr>
          <w:rFonts w:cs="Arial"/>
          <w:szCs w:val="24"/>
        </w:rPr>
        <w:t xml:space="preserve">  [Accessed on: 18 March 2026]. </w:t>
      </w:r>
    </w:p>
    <w:p w14:paraId="3BF9BBBE" w14:textId="77777777" w:rsidR="006D3A9A" w:rsidRPr="000E7F6D" w:rsidRDefault="006D3A9A" w:rsidP="00014170">
      <w:pPr>
        <w:rPr>
          <w:rFonts w:cs="Arial"/>
          <w:szCs w:val="24"/>
        </w:rPr>
      </w:pPr>
      <w:r w:rsidRPr="000E7F6D">
        <w:rPr>
          <w:rFonts w:cs="Arial"/>
          <w:szCs w:val="24"/>
        </w:rPr>
        <w:t xml:space="preserve">Sainsbury. (2025) Preliminary Results- 2024/25. [Online]. Available at: </w:t>
      </w:r>
      <w:hyperlink r:id="rId47" w:history="1">
        <w:r w:rsidRPr="000E7F6D">
          <w:rPr>
            <w:rStyle w:val="Hyperlink"/>
            <w:rFonts w:cs="Arial"/>
            <w:szCs w:val="24"/>
          </w:rPr>
          <w:t>https://corporate.sainsburys.co.uk/media/gwlnbo1p/j-sainsbury-plc-preliminary-results-2425-presentation.pdf</w:t>
        </w:r>
      </w:hyperlink>
      <w:r w:rsidRPr="000E7F6D">
        <w:rPr>
          <w:rFonts w:cs="Arial"/>
          <w:szCs w:val="24"/>
        </w:rPr>
        <w:t xml:space="preserve"> [Accessed on: 18 March 2026]. </w:t>
      </w:r>
    </w:p>
    <w:p w14:paraId="76A42DEE" w14:textId="77777777" w:rsidR="006D3A9A" w:rsidRPr="00924ECB" w:rsidRDefault="006D3A9A" w:rsidP="00014170">
      <w:r w:rsidRPr="00924ECB">
        <w:t xml:space="preserve">Sainsbury. (2025) Preliminary Results for the 52 weeks ended 1 March 2025. [Online]. Available at: </w:t>
      </w:r>
      <w:hyperlink r:id="rId48" w:history="1">
        <w:r w:rsidRPr="00924ECB">
          <w:rPr>
            <w:rStyle w:val="Hyperlink"/>
          </w:rPr>
          <w:t>https://corporate.sainsburys.co.uk/news/press-releases/preliminary-results-for-the-52-weeks-ended-1-march-2025/</w:t>
        </w:r>
      </w:hyperlink>
      <w:r w:rsidRPr="00924ECB">
        <w:t xml:space="preserve"> [Accessed on: 18 March 2026]. </w:t>
      </w:r>
    </w:p>
    <w:p w14:paraId="1382EF5C" w14:textId="77777777" w:rsidR="006D3A9A" w:rsidRDefault="006D3A9A" w:rsidP="00014170">
      <w:r w:rsidRPr="00924ECB">
        <w:t>Sainsbury</w:t>
      </w:r>
      <w:r>
        <w:t xml:space="preserve">. (2025) </w:t>
      </w:r>
      <w:r w:rsidRPr="0026171F">
        <w:t>Unlock, shop &amp; save: Sainsbury's rolls out Your Nectar Prices across tills nationwide</w:t>
      </w:r>
      <w:r>
        <w:t xml:space="preserve">. [Online]. Available at: </w:t>
      </w:r>
      <w:hyperlink r:id="rId49" w:anchor=":~:text=Sainsbury's%20introduced%20Your%20Nectar%20Prices%20at%20supermarket,the%20Nectar%20app%20or%20website%20every%20week" w:history="1">
        <w:r w:rsidRPr="0051348D">
          <w:rPr>
            <w:rStyle w:val="Hyperlink"/>
          </w:rPr>
          <w:t>https://corporate.sainsburys.co.uk/news/press-releases/unlock-shop-save-sainsburys-rolls-out-your-nectar-prices-across-tills-nationwide/#:~:text=Sainsbury's%20introduced%20Your%20Nectar%20Prices%20at%20supermarket,the%20Nectar%20app%20or%20website%20every%20week</w:t>
        </w:r>
      </w:hyperlink>
      <w:r>
        <w:t xml:space="preserve"> </w:t>
      </w:r>
      <w:r w:rsidRPr="00924ECB">
        <w:t>[Accessed on: 18 March 2026].</w:t>
      </w:r>
    </w:p>
    <w:p w14:paraId="2125657B" w14:textId="77777777" w:rsidR="006D3A9A" w:rsidRPr="000E7F6D" w:rsidRDefault="006D3A9A" w:rsidP="00014170">
      <w:pPr>
        <w:rPr>
          <w:rFonts w:cs="Arial"/>
          <w:szCs w:val="24"/>
        </w:rPr>
      </w:pPr>
      <w:r w:rsidRPr="000E7F6D">
        <w:rPr>
          <w:rFonts w:cs="Arial"/>
          <w:szCs w:val="24"/>
        </w:rPr>
        <w:t xml:space="preserve">Sainsbury. (2026) About. [Online]. Available at: </w:t>
      </w:r>
      <w:hyperlink r:id="rId50" w:history="1">
        <w:r w:rsidRPr="000E7F6D">
          <w:rPr>
            <w:rStyle w:val="Hyperlink"/>
            <w:rFonts w:cs="Arial"/>
            <w:szCs w:val="24"/>
          </w:rPr>
          <w:t>https://www.sainsburyarchive.org.uk/footer/about</w:t>
        </w:r>
      </w:hyperlink>
      <w:r w:rsidRPr="000E7F6D">
        <w:rPr>
          <w:rFonts w:cs="Arial"/>
          <w:szCs w:val="24"/>
        </w:rPr>
        <w:t xml:space="preserve"> [Accessed on: 18 March 2026]. </w:t>
      </w:r>
    </w:p>
    <w:p w14:paraId="32B2D6FB" w14:textId="77777777" w:rsidR="006D3A9A" w:rsidRPr="00924ECB" w:rsidRDefault="006D3A9A" w:rsidP="00014170">
      <w:r w:rsidRPr="00924ECB">
        <w:t xml:space="preserve">Sainsbury. (2026) Discover Taste the Difference. [Online]. Available at: </w:t>
      </w:r>
      <w:hyperlink r:id="rId51" w:history="1">
        <w:r w:rsidRPr="00924ECB">
          <w:rPr>
            <w:rStyle w:val="Hyperlink"/>
          </w:rPr>
          <w:t>https://www.sainsburys.co.uk/gol-ui/features/ttd-hub</w:t>
        </w:r>
      </w:hyperlink>
      <w:r w:rsidRPr="00924ECB">
        <w:t xml:space="preserve"> [Accessed on: 18 March 2026]. </w:t>
      </w:r>
    </w:p>
    <w:p w14:paraId="11EE36F9" w14:textId="77777777" w:rsidR="006D3A9A" w:rsidRPr="00924ECB" w:rsidRDefault="006D3A9A" w:rsidP="00014170">
      <w:r w:rsidRPr="00924ECB">
        <w:t xml:space="preserve">Sainsbury. (2026) Early Careers. [Online]. Available at: </w:t>
      </w:r>
      <w:hyperlink r:id="rId52" w:history="1">
        <w:r w:rsidRPr="00924ECB">
          <w:rPr>
            <w:rStyle w:val="Hyperlink"/>
          </w:rPr>
          <w:t>https://www.sainsburys.jobs/teams/early-careers</w:t>
        </w:r>
      </w:hyperlink>
      <w:r w:rsidRPr="00924ECB">
        <w:t xml:space="preserve"> [Accessed on: 18 March 2026]. </w:t>
      </w:r>
    </w:p>
    <w:p w14:paraId="7ABFB57C" w14:textId="77777777" w:rsidR="006D3A9A" w:rsidRPr="00924ECB" w:rsidRDefault="006D3A9A" w:rsidP="00014170">
      <w:r w:rsidRPr="00924ECB">
        <w:lastRenderedPageBreak/>
        <w:t xml:space="preserve">Sainsbury. (2026) Investors. [Online]. Available at: </w:t>
      </w:r>
      <w:hyperlink r:id="rId53" w:history="1">
        <w:r w:rsidRPr="00924ECB">
          <w:rPr>
            <w:rStyle w:val="Hyperlink"/>
          </w:rPr>
          <w:t>https://corporate.sainsburys.co.uk/investors/</w:t>
        </w:r>
      </w:hyperlink>
      <w:r w:rsidRPr="00924ECB">
        <w:t xml:space="preserve"> [Accessed on: 18 March 2026]. </w:t>
      </w:r>
    </w:p>
    <w:p w14:paraId="27A25DBE" w14:textId="77777777" w:rsidR="006D3A9A" w:rsidRPr="00924ECB" w:rsidRDefault="006D3A9A" w:rsidP="00014170">
      <w:r w:rsidRPr="00924ECB">
        <w:t xml:space="preserve">Sainsbury. (2026) Our approach to reducing waste. [Online]. Available at: </w:t>
      </w:r>
      <w:hyperlink r:id="rId54" w:history="1">
        <w:r w:rsidRPr="00924ECB">
          <w:rPr>
            <w:rStyle w:val="Hyperlink"/>
          </w:rPr>
          <w:t>https://corporate.sainsburys.co.uk/sustainability/explore-by-a-z/reducing-waste/our-approach-to-reducing-waste/</w:t>
        </w:r>
      </w:hyperlink>
      <w:r w:rsidRPr="00924ECB">
        <w:t xml:space="preserve"> [Accessed on: 18 March 2026]. </w:t>
      </w:r>
    </w:p>
    <w:p w14:paraId="1AF31A11" w14:textId="77777777" w:rsidR="006D3A9A" w:rsidRPr="000E7F6D" w:rsidRDefault="006D3A9A" w:rsidP="00014170">
      <w:pPr>
        <w:rPr>
          <w:rFonts w:cs="Arial"/>
          <w:szCs w:val="24"/>
        </w:rPr>
      </w:pPr>
      <w:r w:rsidRPr="000E7F6D">
        <w:rPr>
          <w:rFonts w:cs="Arial"/>
          <w:szCs w:val="24"/>
        </w:rPr>
        <w:t xml:space="preserve">Sainsbury. (2026) Our business at-a-glance. [Online]. Available at: </w:t>
      </w:r>
      <w:hyperlink r:id="rId55" w:history="1">
        <w:r w:rsidRPr="000E7F6D">
          <w:rPr>
            <w:rStyle w:val="Hyperlink"/>
            <w:rFonts w:cs="Arial"/>
            <w:szCs w:val="24"/>
          </w:rPr>
          <w:t>https://corporate.sainsburys.co.uk/media/aysjqkrf/j-sainsbury-plc_business-model.pdf</w:t>
        </w:r>
      </w:hyperlink>
      <w:r w:rsidRPr="000E7F6D">
        <w:rPr>
          <w:rFonts w:cs="Arial"/>
          <w:szCs w:val="24"/>
        </w:rPr>
        <w:t xml:space="preserve"> [Accessed on: 18 March 2026]. </w:t>
      </w:r>
    </w:p>
    <w:p w14:paraId="7B3BC20F" w14:textId="77777777" w:rsidR="006D3A9A" w:rsidRPr="000E7F6D" w:rsidRDefault="006D3A9A" w:rsidP="00014170">
      <w:pPr>
        <w:rPr>
          <w:rFonts w:cs="Arial"/>
          <w:szCs w:val="24"/>
        </w:rPr>
      </w:pPr>
      <w:r w:rsidRPr="000E7F6D">
        <w:rPr>
          <w:rFonts w:cs="Arial"/>
          <w:szCs w:val="24"/>
        </w:rPr>
        <w:t xml:space="preserve">Sainsbury. (2026) Our Strategy. [Online]. Available at: </w:t>
      </w:r>
      <w:hyperlink r:id="rId56" w:history="1">
        <w:r w:rsidRPr="000E7F6D">
          <w:rPr>
            <w:rStyle w:val="Hyperlink"/>
            <w:rFonts w:cs="Arial"/>
            <w:szCs w:val="24"/>
          </w:rPr>
          <w:t>https://corporate.sainsburys.co.uk/about-us/our-strategy/</w:t>
        </w:r>
      </w:hyperlink>
      <w:r w:rsidRPr="000E7F6D">
        <w:rPr>
          <w:rFonts w:cs="Arial"/>
          <w:szCs w:val="24"/>
        </w:rPr>
        <w:t xml:space="preserve"> [Accessed on: 18 March 2026]. </w:t>
      </w:r>
    </w:p>
    <w:p w14:paraId="3E90A905" w14:textId="77777777" w:rsidR="006D3A9A" w:rsidRPr="00924ECB" w:rsidRDefault="006D3A9A" w:rsidP="00014170">
      <w:r w:rsidRPr="00924ECB">
        <w:t xml:space="preserve">Sainsbury. (2026) Third Quarter Trading Statement for the 16 weeks to 3 January 2025-26. [Online]. Available at: </w:t>
      </w:r>
      <w:hyperlink r:id="rId57" w:history="1">
        <w:r w:rsidRPr="00924ECB">
          <w:rPr>
            <w:rStyle w:val="Hyperlink"/>
          </w:rPr>
          <w:t>https://corporate.sainsburys.co.uk/news/press-releases/third-quarter-trading-statement-for-the-16-weeks-to-3-january-2025-26/</w:t>
        </w:r>
      </w:hyperlink>
      <w:r w:rsidRPr="00924ECB">
        <w:t xml:space="preserve"> [Accessed on: 18 March 2026]. </w:t>
      </w:r>
    </w:p>
    <w:p w14:paraId="4EB0EA20" w14:textId="77777777" w:rsidR="006D3A9A" w:rsidRPr="000E7F6D" w:rsidRDefault="006D3A9A" w:rsidP="00014170">
      <w:pPr>
        <w:rPr>
          <w:rFonts w:cs="Arial"/>
          <w:szCs w:val="24"/>
        </w:rPr>
      </w:pPr>
      <w:r w:rsidRPr="000E7F6D">
        <w:rPr>
          <w:rFonts w:cs="Arial"/>
          <w:szCs w:val="24"/>
        </w:rPr>
        <w:t xml:space="preserve">Segura, E., Belmonte, L.M., Morales, R. and </w:t>
      </w:r>
      <w:proofErr w:type="spellStart"/>
      <w:r w:rsidRPr="000E7F6D">
        <w:rPr>
          <w:rFonts w:cs="Arial"/>
          <w:szCs w:val="24"/>
        </w:rPr>
        <w:t>Somolinos</w:t>
      </w:r>
      <w:proofErr w:type="spellEnd"/>
      <w:r w:rsidRPr="000E7F6D">
        <w:rPr>
          <w:rFonts w:cs="Arial"/>
          <w:szCs w:val="24"/>
        </w:rPr>
        <w:t>, J.A. (2023) A strategic analysis of photovoltaic energy projects: The case study of Spain. </w:t>
      </w:r>
      <w:r w:rsidRPr="000E7F6D">
        <w:rPr>
          <w:rFonts w:cs="Arial"/>
          <w:i/>
          <w:iCs/>
          <w:szCs w:val="24"/>
        </w:rPr>
        <w:t>Sustainability</w:t>
      </w:r>
      <w:r w:rsidRPr="000E7F6D">
        <w:rPr>
          <w:rFonts w:cs="Arial"/>
          <w:szCs w:val="24"/>
        </w:rPr>
        <w:t>, </w:t>
      </w:r>
      <w:r w:rsidRPr="000E7F6D">
        <w:rPr>
          <w:rFonts w:cs="Arial"/>
          <w:i/>
          <w:iCs/>
          <w:szCs w:val="24"/>
        </w:rPr>
        <w:t>15</w:t>
      </w:r>
      <w:r w:rsidRPr="000E7F6D">
        <w:rPr>
          <w:rFonts w:cs="Arial"/>
          <w:szCs w:val="24"/>
        </w:rPr>
        <w:t>(16), p.12316.</w:t>
      </w:r>
    </w:p>
    <w:p w14:paraId="7412A823" w14:textId="77777777" w:rsidR="006D3A9A" w:rsidRDefault="006D3A9A" w:rsidP="00014170">
      <w:r>
        <w:t xml:space="preserve">Tesco. (2019) </w:t>
      </w:r>
      <w:r w:rsidRPr="00AC376A">
        <w:t>Tesco introduces special ‘Clubcard Prices’ for customers to celebrate 100 years of great value</w:t>
      </w:r>
      <w:r>
        <w:t xml:space="preserve">. [Online]. Available at: </w:t>
      </w:r>
      <w:hyperlink r:id="rId58" w:history="1">
        <w:r w:rsidRPr="0051348D">
          <w:rPr>
            <w:rStyle w:val="Hyperlink"/>
          </w:rPr>
          <w:t>https://www.tescoplc.com/tesco-introduces-special-clubcard-prices-for-customers-to-celebrate-100-years-of-great-value/</w:t>
        </w:r>
      </w:hyperlink>
      <w:r>
        <w:t xml:space="preserve"> </w:t>
      </w:r>
      <w:r w:rsidRPr="00924ECB">
        <w:t>[Accessed on: 18 March 2026].</w:t>
      </w:r>
    </w:p>
    <w:p w14:paraId="0AC930BE" w14:textId="77777777" w:rsidR="006D3A9A" w:rsidRPr="000E7F6D" w:rsidRDefault="006D3A9A" w:rsidP="00014170">
      <w:pPr>
        <w:rPr>
          <w:rFonts w:cs="Arial"/>
          <w:szCs w:val="24"/>
        </w:rPr>
      </w:pPr>
      <w:r w:rsidRPr="000E7F6D">
        <w:rPr>
          <w:rFonts w:cs="Arial"/>
          <w:szCs w:val="24"/>
        </w:rPr>
        <w:t xml:space="preserve">The Strategy Institute. (2024) VRIO Framework: Unlocking Competitive Edge for Your Business. [Online]. Available at: </w:t>
      </w:r>
      <w:hyperlink r:id="rId59" w:history="1">
        <w:r w:rsidRPr="000E7F6D">
          <w:rPr>
            <w:rStyle w:val="Hyperlink"/>
            <w:rFonts w:cs="Arial"/>
            <w:szCs w:val="24"/>
          </w:rPr>
          <w:t>https://www.thestrategyinstitute.org/insights/vrio-framework-unlocking-competitive-edge-for-your-business</w:t>
        </w:r>
      </w:hyperlink>
      <w:r w:rsidRPr="000E7F6D">
        <w:rPr>
          <w:rFonts w:cs="Arial"/>
          <w:szCs w:val="24"/>
        </w:rPr>
        <w:t xml:space="preserve"> [Accessed on: 18 March 2026]. </w:t>
      </w:r>
    </w:p>
    <w:p w14:paraId="635F9D66" w14:textId="77777777" w:rsidR="006D3A9A" w:rsidRPr="00924ECB" w:rsidRDefault="006D3A9A" w:rsidP="00014170">
      <w:proofErr w:type="spellStart"/>
      <w:r w:rsidRPr="00924ECB">
        <w:t>Tojiri</w:t>
      </w:r>
      <w:proofErr w:type="spellEnd"/>
      <w:r w:rsidRPr="00924ECB">
        <w:t xml:space="preserve">, Y. (2023) Product differentiation strategy for organizational financial profitability: </w:t>
      </w:r>
      <w:proofErr w:type="spellStart"/>
      <w:r w:rsidRPr="00924ECB">
        <w:t>Enchancing</w:t>
      </w:r>
      <w:proofErr w:type="spellEnd"/>
      <w:r w:rsidRPr="00924ECB">
        <w:t xml:space="preserve"> market share and profitability-A comprehensive literature review. </w:t>
      </w:r>
      <w:proofErr w:type="spellStart"/>
      <w:r w:rsidRPr="00924ECB">
        <w:rPr>
          <w:i/>
          <w:iCs/>
        </w:rPr>
        <w:t>Atestasi</w:t>
      </w:r>
      <w:proofErr w:type="spellEnd"/>
      <w:r w:rsidRPr="00924ECB">
        <w:rPr>
          <w:i/>
          <w:iCs/>
        </w:rPr>
        <w:t xml:space="preserve">: </w:t>
      </w:r>
      <w:proofErr w:type="spellStart"/>
      <w:r w:rsidRPr="00924ECB">
        <w:rPr>
          <w:i/>
          <w:iCs/>
        </w:rPr>
        <w:t>Jurnal</w:t>
      </w:r>
      <w:proofErr w:type="spellEnd"/>
      <w:r w:rsidRPr="00924ECB">
        <w:rPr>
          <w:i/>
          <w:iCs/>
        </w:rPr>
        <w:t xml:space="preserve"> </w:t>
      </w:r>
      <w:proofErr w:type="spellStart"/>
      <w:r w:rsidRPr="00924ECB">
        <w:rPr>
          <w:i/>
          <w:iCs/>
        </w:rPr>
        <w:t>Ilmiah</w:t>
      </w:r>
      <w:proofErr w:type="spellEnd"/>
      <w:r w:rsidRPr="00924ECB">
        <w:rPr>
          <w:i/>
          <w:iCs/>
        </w:rPr>
        <w:t xml:space="preserve"> Akuntansi</w:t>
      </w:r>
      <w:r w:rsidRPr="00924ECB">
        <w:t>, </w:t>
      </w:r>
      <w:r w:rsidRPr="00924ECB">
        <w:rPr>
          <w:i/>
          <w:iCs/>
        </w:rPr>
        <w:t>6</w:t>
      </w:r>
      <w:r w:rsidRPr="00924ECB">
        <w:t>(2), pp.856-876.</w:t>
      </w:r>
    </w:p>
    <w:p w14:paraId="66262A9E" w14:textId="77777777" w:rsidR="006D3A9A" w:rsidRPr="000E7F6D" w:rsidRDefault="006D3A9A" w:rsidP="00014170">
      <w:pPr>
        <w:rPr>
          <w:rFonts w:cs="Arial"/>
          <w:szCs w:val="24"/>
        </w:rPr>
      </w:pPr>
      <w:r w:rsidRPr="000E7F6D">
        <w:rPr>
          <w:rFonts w:cs="Arial"/>
          <w:szCs w:val="24"/>
        </w:rPr>
        <w:lastRenderedPageBreak/>
        <w:t xml:space="preserve">Urquhart, R., </w:t>
      </w:r>
      <w:proofErr w:type="spellStart"/>
      <w:r w:rsidRPr="000E7F6D">
        <w:rPr>
          <w:rFonts w:cs="Arial"/>
          <w:szCs w:val="24"/>
        </w:rPr>
        <w:t>Newing</w:t>
      </w:r>
      <w:proofErr w:type="spellEnd"/>
      <w:r w:rsidRPr="000E7F6D">
        <w:rPr>
          <w:rFonts w:cs="Arial"/>
          <w:szCs w:val="24"/>
        </w:rPr>
        <w:t>, A., Hood, N. and Heppenstall, A. (2022) Last-mile capacity constraints in online grocery fulfilment in Great Britain. </w:t>
      </w:r>
      <w:r w:rsidRPr="000E7F6D">
        <w:rPr>
          <w:rFonts w:cs="Arial"/>
          <w:i/>
          <w:iCs/>
          <w:szCs w:val="24"/>
        </w:rPr>
        <w:t>Journal of Theoretical and Applied Electronic Commerce Research</w:t>
      </w:r>
      <w:r w:rsidRPr="000E7F6D">
        <w:rPr>
          <w:rFonts w:cs="Arial"/>
          <w:szCs w:val="24"/>
        </w:rPr>
        <w:t>, </w:t>
      </w:r>
      <w:r w:rsidRPr="000E7F6D">
        <w:rPr>
          <w:rFonts w:cs="Arial"/>
          <w:i/>
          <w:iCs/>
          <w:szCs w:val="24"/>
        </w:rPr>
        <w:t>17</w:t>
      </w:r>
      <w:r w:rsidRPr="000E7F6D">
        <w:rPr>
          <w:rFonts w:cs="Arial"/>
          <w:szCs w:val="24"/>
        </w:rPr>
        <w:t>(2), pp.636-651.</w:t>
      </w:r>
    </w:p>
    <w:p w14:paraId="613DE40F" w14:textId="77777777" w:rsidR="006D3A9A" w:rsidRPr="000E7F6D" w:rsidRDefault="006D3A9A" w:rsidP="00014170">
      <w:pPr>
        <w:rPr>
          <w:rFonts w:cs="Arial"/>
          <w:szCs w:val="24"/>
        </w:rPr>
      </w:pPr>
      <w:r w:rsidRPr="000E7F6D">
        <w:rPr>
          <w:rFonts w:cs="Arial"/>
          <w:szCs w:val="24"/>
        </w:rPr>
        <w:t xml:space="preserve">Valentine. M. (2021) Sainsbury’s drops ‘Live Well for Less’ as it shifts focus from price to value. [Online]. Available at: </w:t>
      </w:r>
      <w:hyperlink r:id="rId60" w:history="1">
        <w:r w:rsidRPr="000E7F6D">
          <w:rPr>
            <w:rStyle w:val="Hyperlink"/>
            <w:rFonts w:cs="Arial"/>
            <w:szCs w:val="24"/>
          </w:rPr>
          <w:t>https://www.marketingweek.com/sainsburys-slogan/</w:t>
        </w:r>
      </w:hyperlink>
      <w:r w:rsidRPr="000E7F6D">
        <w:rPr>
          <w:rFonts w:cs="Arial"/>
          <w:szCs w:val="24"/>
        </w:rPr>
        <w:t xml:space="preserve"> [Accessed on: 18 March 2026].  </w:t>
      </w:r>
    </w:p>
    <w:p w14:paraId="1E630C89" w14:textId="77777777" w:rsidR="006D3A9A" w:rsidRPr="00924ECB" w:rsidRDefault="006D3A9A" w:rsidP="00014170">
      <w:r w:rsidRPr="00924ECB">
        <w:t xml:space="preserve">Virdi, A. (2024) Sainsbury’s shows strong growth as it doubles down on value and loyalty. [Online]. Available at: </w:t>
      </w:r>
      <w:hyperlink r:id="rId61" w:history="1">
        <w:r w:rsidRPr="00924ECB">
          <w:rPr>
            <w:rStyle w:val="Hyperlink"/>
          </w:rPr>
          <w:t>https://www.marketingweek.com/sainsburys-shows-strong-growth/</w:t>
        </w:r>
      </w:hyperlink>
      <w:r w:rsidRPr="00924ECB">
        <w:t xml:space="preserve">  [Accessed on: 18 March 2026]. </w:t>
      </w:r>
    </w:p>
    <w:p w14:paraId="58E4ABA0" w14:textId="77777777" w:rsidR="006D3A9A" w:rsidRDefault="006D3A9A" w:rsidP="00014170">
      <w:r>
        <w:t xml:space="preserve">Walmart. (2024) </w:t>
      </w:r>
      <w:r w:rsidRPr="00113084">
        <w:t>Walmart Commerce Technologies Launches AI-Powered Logistics Product</w:t>
      </w:r>
      <w:r>
        <w:t xml:space="preserve">. [Online]. Available at: </w:t>
      </w:r>
      <w:hyperlink r:id="rId62" w:history="1">
        <w:r w:rsidRPr="0051348D">
          <w:rPr>
            <w:rStyle w:val="Hyperlink"/>
          </w:rPr>
          <w:t>https://corporate.walmart.com/news/2024/03/14/walmart-commerce-technologies-launches-ai-powered-logistics-product</w:t>
        </w:r>
      </w:hyperlink>
      <w:r>
        <w:t xml:space="preserve"> </w:t>
      </w:r>
      <w:r w:rsidRPr="00924ECB">
        <w:t>[Accessed on: 18 March 2026].</w:t>
      </w:r>
    </w:p>
    <w:p w14:paraId="5798FA61" w14:textId="77777777" w:rsidR="006D3A9A" w:rsidRPr="000E7F6D" w:rsidRDefault="006D3A9A" w:rsidP="00014170">
      <w:pPr>
        <w:rPr>
          <w:rFonts w:cs="Arial"/>
          <w:szCs w:val="24"/>
        </w:rPr>
      </w:pPr>
      <w:r w:rsidRPr="000E7F6D">
        <w:rPr>
          <w:rFonts w:cs="Arial"/>
          <w:szCs w:val="24"/>
        </w:rPr>
        <w:t>Wood, B., Williams, O., Nagarajan, V. and Sacks, G. (2021) Market strategies used by processed food manufacturers to increase and consolidate their power: a systematic review and document analysis. </w:t>
      </w:r>
      <w:r w:rsidRPr="000E7F6D">
        <w:rPr>
          <w:rFonts w:cs="Arial"/>
          <w:i/>
          <w:iCs/>
          <w:szCs w:val="24"/>
        </w:rPr>
        <w:t>Globalization and health</w:t>
      </w:r>
      <w:r w:rsidRPr="000E7F6D">
        <w:rPr>
          <w:rFonts w:cs="Arial"/>
          <w:szCs w:val="24"/>
        </w:rPr>
        <w:t>, </w:t>
      </w:r>
      <w:r w:rsidRPr="000E7F6D">
        <w:rPr>
          <w:rFonts w:cs="Arial"/>
          <w:i/>
          <w:iCs/>
          <w:szCs w:val="24"/>
        </w:rPr>
        <w:t>17</w:t>
      </w:r>
      <w:r w:rsidRPr="000E7F6D">
        <w:rPr>
          <w:rFonts w:cs="Arial"/>
          <w:szCs w:val="24"/>
        </w:rPr>
        <w:t>(1), p.17.</w:t>
      </w:r>
    </w:p>
    <w:p w14:paraId="22CA529A" w14:textId="77777777" w:rsidR="006D3A9A" w:rsidRPr="000E7F6D" w:rsidRDefault="006D3A9A" w:rsidP="00014170">
      <w:pPr>
        <w:rPr>
          <w:rFonts w:cs="Arial"/>
          <w:szCs w:val="24"/>
        </w:rPr>
      </w:pPr>
      <w:r w:rsidRPr="000E7F6D">
        <w:rPr>
          <w:rFonts w:cs="Arial"/>
          <w:szCs w:val="24"/>
        </w:rPr>
        <w:t>Xiao, B., Chen, Q. and Yu, Z. (2021, April) Research on the Investment Value of Sainsbury’s. In </w:t>
      </w:r>
      <w:r w:rsidRPr="000E7F6D">
        <w:rPr>
          <w:rFonts w:cs="Arial"/>
          <w:i/>
          <w:iCs/>
          <w:szCs w:val="24"/>
        </w:rPr>
        <w:t>2021 6th International Conference on Social Sciences and Economic Development (ICSSED 2021)</w:t>
      </w:r>
      <w:r w:rsidRPr="000E7F6D">
        <w:rPr>
          <w:rFonts w:cs="Arial"/>
          <w:szCs w:val="24"/>
        </w:rPr>
        <w:t> (pp. 108-115). Atlantis Press.</w:t>
      </w:r>
    </w:p>
    <w:p w14:paraId="605B9509" w14:textId="140DA4BE" w:rsidR="00EA6BB8" w:rsidRPr="00E33B09" w:rsidRDefault="006D3A9A" w:rsidP="00E33B09">
      <w:proofErr w:type="spellStart"/>
      <w:r w:rsidRPr="00666508">
        <w:t>Ziółkowska</w:t>
      </w:r>
      <w:proofErr w:type="spellEnd"/>
      <w:r w:rsidRPr="00666508">
        <w:t>, M.J.</w:t>
      </w:r>
      <w:r>
        <w:t xml:space="preserve"> (</w:t>
      </w:r>
      <w:r w:rsidRPr="00666508">
        <w:t>2021</w:t>
      </w:r>
      <w:r>
        <w:t>)</w:t>
      </w:r>
      <w:r w:rsidRPr="00666508">
        <w:t xml:space="preserve"> Digital transformation and marketing activities in small and medium-sized enterprises. </w:t>
      </w:r>
      <w:r w:rsidRPr="00666508">
        <w:rPr>
          <w:i/>
          <w:iCs/>
        </w:rPr>
        <w:t>Sustainability</w:t>
      </w:r>
      <w:r w:rsidRPr="00666508">
        <w:t>, </w:t>
      </w:r>
      <w:r w:rsidRPr="00666508">
        <w:rPr>
          <w:i/>
          <w:iCs/>
        </w:rPr>
        <w:t>13</w:t>
      </w:r>
      <w:r w:rsidRPr="00666508">
        <w:t>(5), p.2512.</w:t>
      </w:r>
    </w:p>
    <w:sectPr w:rsidR="00EA6BB8" w:rsidRPr="00E33B09" w:rsidSect="009462EC">
      <w:footerReference w:type="default" r:id="rId63"/>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65E5A3" w14:textId="77777777" w:rsidR="00A610B4" w:rsidRDefault="00A610B4" w:rsidP="00CE45C6">
      <w:pPr>
        <w:spacing w:before="0" w:after="0" w:line="240" w:lineRule="auto"/>
      </w:pPr>
      <w:r>
        <w:separator/>
      </w:r>
    </w:p>
  </w:endnote>
  <w:endnote w:type="continuationSeparator" w:id="0">
    <w:p w14:paraId="4BF00355" w14:textId="77777777" w:rsidR="00A610B4" w:rsidRDefault="00A610B4" w:rsidP="00CE45C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auto"/>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4320900"/>
      <w:docPartObj>
        <w:docPartGallery w:val="Page Numbers (Bottom of Page)"/>
        <w:docPartUnique/>
      </w:docPartObj>
    </w:sdtPr>
    <w:sdtEndPr>
      <w:rPr>
        <w:noProof/>
      </w:rPr>
    </w:sdtEndPr>
    <w:sdtContent>
      <w:p w14:paraId="741E109E" w14:textId="337E9213" w:rsidR="00CE45C6" w:rsidRDefault="00CE45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04C2E0" w14:textId="77777777" w:rsidR="00CE45C6" w:rsidRDefault="00CE45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C2671A" w14:textId="77777777" w:rsidR="00A610B4" w:rsidRDefault="00A610B4" w:rsidP="00CE45C6">
      <w:pPr>
        <w:spacing w:before="0" w:after="0" w:line="240" w:lineRule="auto"/>
      </w:pPr>
      <w:r>
        <w:separator/>
      </w:r>
    </w:p>
  </w:footnote>
  <w:footnote w:type="continuationSeparator" w:id="0">
    <w:p w14:paraId="7DC6C41E" w14:textId="77777777" w:rsidR="00A610B4" w:rsidRDefault="00A610B4" w:rsidP="00CE45C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E3E6D"/>
    <w:multiLevelType w:val="hybridMultilevel"/>
    <w:tmpl w:val="22D822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2EA7B03"/>
    <w:multiLevelType w:val="hybridMultilevel"/>
    <w:tmpl w:val="4956B4A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504BE8"/>
    <w:multiLevelType w:val="hybridMultilevel"/>
    <w:tmpl w:val="B5E46A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CA742A"/>
    <w:multiLevelType w:val="hybridMultilevel"/>
    <w:tmpl w:val="FAC4BC5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D82426A"/>
    <w:multiLevelType w:val="hybridMultilevel"/>
    <w:tmpl w:val="5AF607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7066B5"/>
    <w:multiLevelType w:val="hybridMultilevel"/>
    <w:tmpl w:val="0A2ED5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7446F4D"/>
    <w:multiLevelType w:val="hybridMultilevel"/>
    <w:tmpl w:val="68E21E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F2D69C0"/>
    <w:multiLevelType w:val="hybridMultilevel"/>
    <w:tmpl w:val="7DBC17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48634E22"/>
    <w:multiLevelType w:val="hybridMultilevel"/>
    <w:tmpl w:val="5A606B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49656876"/>
    <w:multiLevelType w:val="hybridMultilevel"/>
    <w:tmpl w:val="874E4A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BFC3803"/>
    <w:multiLevelType w:val="hybridMultilevel"/>
    <w:tmpl w:val="06BCBF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C2E48E4"/>
    <w:multiLevelType w:val="hybridMultilevel"/>
    <w:tmpl w:val="53A086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50593A7A"/>
    <w:multiLevelType w:val="hybridMultilevel"/>
    <w:tmpl w:val="23664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4A5035C"/>
    <w:multiLevelType w:val="hybridMultilevel"/>
    <w:tmpl w:val="034612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6C76484"/>
    <w:multiLevelType w:val="hybridMultilevel"/>
    <w:tmpl w:val="BDB200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C0D2ABB"/>
    <w:multiLevelType w:val="hybridMultilevel"/>
    <w:tmpl w:val="1410E6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D883658"/>
    <w:multiLevelType w:val="hybridMultilevel"/>
    <w:tmpl w:val="00D8B3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C616E85"/>
    <w:multiLevelType w:val="hybridMultilevel"/>
    <w:tmpl w:val="79C28B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4148659">
    <w:abstractNumId w:val="1"/>
  </w:num>
  <w:num w:numId="2" w16cid:durableId="624820264">
    <w:abstractNumId w:val="6"/>
  </w:num>
  <w:num w:numId="3" w16cid:durableId="1983076236">
    <w:abstractNumId w:val="15"/>
  </w:num>
  <w:num w:numId="4" w16cid:durableId="1282686017">
    <w:abstractNumId w:val="12"/>
  </w:num>
  <w:num w:numId="5" w16cid:durableId="321812752">
    <w:abstractNumId w:val="4"/>
  </w:num>
  <w:num w:numId="6" w16cid:durableId="86197799">
    <w:abstractNumId w:val="2"/>
  </w:num>
  <w:num w:numId="7" w16cid:durableId="670566813">
    <w:abstractNumId w:val="11"/>
  </w:num>
  <w:num w:numId="8" w16cid:durableId="2083866119">
    <w:abstractNumId w:val="0"/>
  </w:num>
  <w:num w:numId="9" w16cid:durableId="1720469855">
    <w:abstractNumId w:val="7"/>
  </w:num>
  <w:num w:numId="10" w16cid:durableId="595215301">
    <w:abstractNumId w:val="9"/>
  </w:num>
  <w:num w:numId="11" w16cid:durableId="651299484">
    <w:abstractNumId w:val="8"/>
  </w:num>
  <w:num w:numId="12" w16cid:durableId="1681735475">
    <w:abstractNumId w:val="17"/>
  </w:num>
  <w:num w:numId="13" w16cid:durableId="836924258">
    <w:abstractNumId w:val="10"/>
  </w:num>
  <w:num w:numId="14" w16cid:durableId="1720739618">
    <w:abstractNumId w:val="13"/>
  </w:num>
  <w:num w:numId="15" w16cid:durableId="1781679777">
    <w:abstractNumId w:val="14"/>
  </w:num>
  <w:num w:numId="16" w16cid:durableId="901139029">
    <w:abstractNumId w:val="16"/>
  </w:num>
  <w:num w:numId="17" w16cid:durableId="1855683346">
    <w:abstractNumId w:val="5"/>
  </w:num>
  <w:num w:numId="18" w16cid:durableId="19713941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AyMDC0NDG2NDE3MDdR0lEKTi0uzszPAykwrgUAVMcq/iwAAAA="/>
  </w:docVars>
  <w:rsids>
    <w:rsidRoot w:val="00AE0D46"/>
    <w:rsid w:val="00001982"/>
    <w:rsid w:val="00002506"/>
    <w:rsid w:val="000120FD"/>
    <w:rsid w:val="000128D9"/>
    <w:rsid w:val="00014170"/>
    <w:rsid w:val="00016191"/>
    <w:rsid w:val="00016DA8"/>
    <w:rsid w:val="0001734A"/>
    <w:rsid w:val="000177AC"/>
    <w:rsid w:val="00017F54"/>
    <w:rsid w:val="000214DF"/>
    <w:rsid w:val="0003105A"/>
    <w:rsid w:val="000356B8"/>
    <w:rsid w:val="00040498"/>
    <w:rsid w:val="00046638"/>
    <w:rsid w:val="00051440"/>
    <w:rsid w:val="00052058"/>
    <w:rsid w:val="000541D3"/>
    <w:rsid w:val="00075334"/>
    <w:rsid w:val="00077FF4"/>
    <w:rsid w:val="00085ADD"/>
    <w:rsid w:val="00097647"/>
    <w:rsid w:val="000A152A"/>
    <w:rsid w:val="000A7E92"/>
    <w:rsid w:val="000B0766"/>
    <w:rsid w:val="000B0D2C"/>
    <w:rsid w:val="000B3F2B"/>
    <w:rsid w:val="000C2AEF"/>
    <w:rsid w:val="000C761D"/>
    <w:rsid w:val="000E5468"/>
    <w:rsid w:val="000E6816"/>
    <w:rsid w:val="000E7F6D"/>
    <w:rsid w:val="000F0155"/>
    <w:rsid w:val="000F09E7"/>
    <w:rsid w:val="000F0E8B"/>
    <w:rsid w:val="000F2E8C"/>
    <w:rsid w:val="000F38BE"/>
    <w:rsid w:val="0010034D"/>
    <w:rsid w:val="0010173B"/>
    <w:rsid w:val="00103366"/>
    <w:rsid w:val="0011126C"/>
    <w:rsid w:val="001170EE"/>
    <w:rsid w:val="001211D8"/>
    <w:rsid w:val="00125794"/>
    <w:rsid w:val="0012793A"/>
    <w:rsid w:val="00144243"/>
    <w:rsid w:val="0017215E"/>
    <w:rsid w:val="00173FFB"/>
    <w:rsid w:val="0017405B"/>
    <w:rsid w:val="0018364A"/>
    <w:rsid w:val="00183F93"/>
    <w:rsid w:val="0019029B"/>
    <w:rsid w:val="0019162C"/>
    <w:rsid w:val="00194B45"/>
    <w:rsid w:val="0019770E"/>
    <w:rsid w:val="001B38D3"/>
    <w:rsid w:val="001B39E3"/>
    <w:rsid w:val="001B6BC2"/>
    <w:rsid w:val="001D0880"/>
    <w:rsid w:val="001D2223"/>
    <w:rsid w:val="001D32BE"/>
    <w:rsid w:val="001D3C24"/>
    <w:rsid w:val="001D4C52"/>
    <w:rsid w:val="001E01E9"/>
    <w:rsid w:val="001E60F2"/>
    <w:rsid w:val="001E7DE7"/>
    <w:rsid w:val="0020261E"/>
    <w:rsid w:val="002041EE"/>
    <w:rsid w:val="00204493"/>
    <w:rsid w:val="00210C86"/>
    <w:rsid w:val="00214330"/>
    <w:rsid w:val="002205F9"/>
    <w:rsid w:val="00220CCB"/>
    <w:rsid w:val="002227E8"/>
    <w:rsid w:val="00227FBC"/>
    <w:rsid w:val="00243E7D"/>
    <w:rsid w:val="00245637"/>
    <w:rsid w:val="002516FA"/>
    <w:rsid w:val="00254AAF"/>
    <w:rsid w:val="0026505C"/>
    <w:rsid w:val="002663A7"/>
    <w:rsid w:val="00275A6A"/>
    <w:rsid w:val="00286E69"/>
    <w:rsid w:val="00294F4A"/>
    <w:rsid w:val="002A0A56"/>
    <w:rsid w:val="002A58DE"/>
    <w:rsid w:val="002A7A04"/>
    <w:rsid w:val="002B6C16"/>
    <w:rsid w:val="002C0F5C"/>
    <w:rsid w:val="002C1C6C"/>
    <w:rsid w:val="002D453B"/>
    <w:rsid w:val="002E0001"/>
    <w:rsid w:val="002E051D"/>
    <w:rsid w:val="002E37A8"/>
    <w:rsid w:val="002E6B92"/>
    <w:rsid w:val="00315E3A"/>
    <w:rsid w:val="00326319"/>
    <w:rsid w:val="00334C02"/>
    <w:rsid w:val="00346597"/>
    <w:rsid w:val="00352371"/>
    <w:rsid w:val="00364295"/>
    <w:rsid w:val="003707A9"/>
    <w:rsid w:val="00376264"/>
    <w:rsid w:val="003849DB"/>
    <w:rsid w:val="00387804"/>
    <w:rsid w:val="00387D70"/>
    <w:rsid w:val="00390796"/>
    <w:rsid w:val="00395CFB"/>
    <w:rsid w:val="00396001"/>
    <w:rsid w:val="003A7FE2"/>
    <w:rsid w:val="003C231C"/>
    <w:rsid w:val="003C3587"/>
    <w:rsid w:val="003D7476"/>
    <w:rsid w:val="003D7A3F"/>
    <w:rsid w:val="003E19AB"/>
    <w:rsid w:val="003E3A15"/>
    <w:rsid w:val="003E5051"/>
    <w:rsid w:val="00410C7E"/>
    <w:rsid w:val="00420911"/>
    <w:rsid w:val="0042383B"/>
    <w:rsid w:val="0042533B"/>
    <w:rsid w:val="00431CF1"/>
    <w:rsid w:val="004321F7"/>
    <w:rsid w:val="0043607D"/>
    <w:rsid w:val="00436CAD"/>
    <w:rsid w:val="0045180A"/>
    <w:rsid w:val="00452128"/>
    <w:rsid w:val="00460BDA"/>
    <w:rsid w:val="00463ABB"/>
    <w:rsid w:val="004642BE"/>
    <w:rsid w:val="00464679"/>
    <w:rsid w:val="00470C77"/>
    <w:rsid w:val="004725B9"/>
    <w:rsid w:val="00473035"/>
    <w:rsid w:val="00473239"/>
    <w:rsid w:val="004843FD"/>
    <w:rsid w:val="004927AF"/>
    <w:rsid w:val="00495783"/>
    <w:rsid w:val="004A2308"/>
    <w:rsid w:val="004A30D4"/>
    <w:rsid w:val="004B03DF"/>
    <w:rsid w:val="004B316F"/>
    <w:rsid w:val="004C0EBC"/>
    <w:rsid w:val="004C0EF1"/>
    <w:rsid w:val="004C145B"/>
    <w:rsid w:val="004C1B3D"/>
    <w:rsid w:val="004C32AC"/>
    <w:rsid w:val="004C6DCF"/>
    <w:rsid w:val="004D18E6"/>
    <w:rsid w:val="004D4392"/>
    <w:rsid w:val="004D555D"/>
    <w:rsid w:val="004D6645"/>
    <w:rsid w:val="004D7C2A"/>
    <w:rsid w:val="004E00D1"/>
    <w:rsid w:val="004E071D"/>
    <w:rsid w:val="004E682D"/>
    <w:rsid w:val="004F0989"/>
    <w:rsid w:val="004F0D17"/>
    <w:rsid w:val="004F157F"/>
    <w:rsid w:val="004F3061"/>
    <w:rsid w:val="004F4BC1"/>
    <w:rsid w:val="004F6F09"/>
    <w:rsid w:val="005011CB"/>
    <w:rsid w:val="0050236D"/>
    <w:rsid w:val="0050254B"/>
    <w:rsid w:val="0052533A"/>
    <w:rsid w:val="00527DCC"/>
    <w:rsid w:val="00534D34"/>
    <w:rsid w:val="00536EF4"/>
    <w:rsid w:val="005375BA"/>
    <w:rsid w:val="00541C2F"/>
    <w:rsid w:val="005459BE"/>
    <w:rsid w:val="0055292B"/>
    <w:rsid w:val="00555CDC"/>
    <w:rsid w:val="005576A6"/>
    <w:rsid w:val="0056052F"/>
    <w:rsid w:val="00562745"/>
    <w:rsid w:val="00567B50"/>
    <w:rsid w:val="00571546"/>
    <w:rsid w:val="00571A67"/>
    <w:rsid w:val="00577F84"/>
    <w:rsid w:val="0058440F"/>
    <w:rsid w:val="00587289"/>
    <w:rsid w:val="005878F1"/>
    <w:rsid w:val="00591901"/>
    <w:rsid w:val="005A1D7B"/>
    <w:rsid w:val="005A5BD3"/>
    <w:rsid w:val="005C2740"/>
    <w:rsid w:val="005C6C6C"/>
    <w:rsid w:val="005E21D3"/>
    <w:rsid w:val="005E66C5"/>
    <w:rsid w:val="005E7D32"/>
    <w:rsid w:val="005F0038"/>
    <w:rsid w:val="005F4D01"/>
    <w:rsid w:val="005F71FA"/>
    <w:rsid w:val="005F7ECB"/>
    <w:rsid w:val="00604932"/>
    <w:rsid w:val="00606F12"/>
    <w:rsid w:val="00612A71"/>
    <w:rsid w:val="00614CAD"/>
    <w:rsid w:val="006268C8"/>
    <w:rsid w:val="006304CE"/>
    <w:rsid w:val="00632A54"/>
    <w:rsid w:val="00634AF0"/>
    <w:rsid w:val="00635032"/>
    <w:rsid w:val="006356C0"/>
    <w:rsid w:val="00640040"/>
    <w:rsid w:val="00640296"/>
    <w:rsid w:val="00644B4F"/>
    <w:rsid w:val="00651B21"/>
    <w:rsid w:val="00660369"/>
    <w:rsid w:val="00661CD4"/>
    <w:rsid w:val="006658F4"/>
    <w:rsid w:val="006726EF"/>
    <w:rsid w:val="00674F8C"/>
    <w:rsid w:val="00675FC6"/>
    <w:rsid w:val="0068182C"/>
    <w:rsid w:val="0068315B"/>
    <w:rsid w:val="0069362D"/>
    <w:rsid w:val="006944A8"/>
    <w:rsid w:val="006959C8"/>
    <w:rsid w:val="006A478A"/>
    <w:rsid w:val="006A4D97"/>
    <w:rsid w:val="006B0007"/>
    <w:rsid w:val="006B07C4"/>
    <w:rsid w:val="006B1568"/>
    <w:rsid w:val="006B56DD"/>
    <w:rsid w:val="006C04A9"/>
    <w:rsid w:val="006C1E9A"/>
    <w:rsid w:val="006C345F"/>
    <w:rsid w:val="006C4791"/>
    <w:rsid w:val="006C4E3C"/>
    <w:rsid w:val="006D37AC"/>
    <w:rsid w:val="006D3A9A"/>
    <w:rsid w:val="006E0988"/>
    <w:rsid w:val="006E1C6C"/>
    <w:rsid w:val="006E3CD9"/>
    <w:rsid w:val="006F2084"/>
    <w:rsid w:val="006F4F74"/>
    <w:rsid w:val="006F5564"/>
    <w:rsid w:val="00700D21"/>
    <w:rsid w:val="0070785A"/>
    <w:rsid w:val="00710585"/>
    <w:rsid w:val="0071112F"/>
    <w:rsid w:val="00716C62"/>
    <w:rsid w:val="0072393C"/>
    <w:rsid w:val="00735022"/>
    <w:rsid w:val="00741659"/>
    <w:rsid w:val="00747569"/>
    <w:rsid w:val="00756796"/>
    <w:rsid w:val="00756A7E"/>
    <w:rsid w:val="007603A0"/>
    <w:rsid w:val="00772124"/>
    <w:rsid w:val="00776219"/>
    <w:rsid w:val="0078069A"/>
    <w:rsid w:val="007825EE"/>
    <w:rsid w:val="0079137A"/>
    <w:rsid w:val="00797E37"/>
    <w:rsid w:val="007A1D02"/>
    <w:rsid w:val="007A4716"/>
    <w:rsid w:val="007A50C5"/>
    <w:rsid w:val="007B1611"/>
    <w:rsid w:val="007B5EFC"/>
    <w:rsid w:val="007C70A0"/>
    <w:rsid w:val="007C70D4"/>
    <w:rsid w:val="007D6645"/>
    <w:rsid w:val="007D7AA5"/>
    <w:rsid w:val="007E5FAE"/>
    <w:rsid w:val="007F3EB7"/>
    <w:rsid w:val="007F4DA9"/>
    <w:rsid w:val="007F62CF"/>
    <w:rsid w:val="008147B9"/>
    <w:rsid w:val="0082214D"/>
    <w:rsid w:val="00822B2E"/>
    <w:rsid w:val="008273F6"/>
    <w:rsid w:val="00830975"/>
    <w:rsid w:val="00835F99"/>
    <w:rsid w:val="00842D2D"/>
    <w:rsid w:val="00843900"/>
    <w:rsid w:val="00844950"/>
    <w:rsid w:val="00845ECF"/>
    <w:rsid w:val="00854578"/>
    <w:rsid w:val="00860885"/>
    <w:rsid w:val="00863FC7"/>
    <w:rsid w:val="008714AB"/>
    <w:rsid w:val="008745A5"/>
    <w:rsid w:val="008818A5"/>
    <w:rsid w:val="00882B4A"/>
    <w:rsid w:val="008872EE"/>
    <w:rsid w:val="0089314A"/>
    <w:rsid w:val="008A0144"/>
    <w:rsid w:val="008A051F"/>
    <w:rsid w:val="008B004C"/>
    <w:rsid w:val="008B4BA8"/>
    <w:rsid w:val="008B4BE4"/>
    <w:rsid w:val="008C1268"/>
    <w:rsid w:val="008D1399"/>
    <w:rsid w:val="008D5B8D"/>
    <w:rsid w:val="008D7AAB"/>
    <w:rsid w:val="008E439A"/>
    <w:rsid w:val="008F70DE"/>
    <w:rsid w:val="008F7B63"/>
    <w:rsid w:val="00900F8C"/>
    <w:rsid w:val="00904A71"/>
    <w:rsid w:val="00904EC9"/>
    <w:rsid w:val="009113C9"/>
    <w:rsid w:val="00923440"/>
    <w:rsid w:val="00925CAC"/>
    <w:rsid w:val="00925EA7"/>
    <w:rsid w:val="00931BE9"/>
    <w:rsid w:val="00937062"/>
    <w:rsid w:val="009462EC"/>
    <w:rsid w:val="0094665B"/>
    <w:rsid w:val="00953CC0"/>
    <w:rsid w:val="00955367"/>
    <w:rsid w:val="00960A13"/>
    <w:rsid w:val="00960D8A"/>
    <w:rsid w:val="00961ED5"/>
    <w:rsid w:val="0097181F"/>
    <w:rsid w:val="00971F63"/>
    <w:rsid w:val="009753D7"/>
    <w:rsid w:val="0097735C"/>
    <w:rsid w:val="0098010F"/>
    <w:rsid w:val="00983C46"/>
    <w:rsid w:val="00985EC9"/>
    <w:rsid w:val="0099032A"/>
    <w:rsid w:val="009917B2"/>
    <w:rsid w:val="00996F7A"/>
    <w:rsid w:val="009973BF"/>
    <w:rsid w:val="009A2489"/>
    <w:rsid w:val="009A587E"/>
    <w:rsid w:val="009B04C7"/>
    <w:rsid w:val="009B4988"/>
    <w:rsid w:val="009B4B3C"/>
    <w:rsid w:val="009D6808"/>
    <w:rsid w:val="009D6A7A"/>
    <w:rsid w:val="009E1B22"/>
    <w:rsid w:val="009E46DC"/>
    <w:rsid w:val="00A01555"/>
    <w:rsid w:val="00A02DD3"/>
    <w:rsid w:val="00A063CC"/>
    <w:rsid w:val="00A07629"/>
    <w:rsid w:val="00A13A29"/>
    <w:rsid w:val="00A24822"/>
    <w:rsid w:val="00A25CBD"/>
    <w:rsid w:val="00A27A9C"/>
    <w:rsid w:val="00A3669A"/>
    <w:rsid w:val="00A41971"/>
    <w:rsid w:val="00A43EA8"/>
    <w:rsid w:val="00A501A6"/>
    <w:rsid w:val="00A50C55"/>
    <w:rsid w:val="00A51D25"/>
    <w:rsid w:val="00A54FC2"/>
    <w:rsid w:val="00A610B4"/>
    <w:rsid w:val="00A64A9F"/>
    <w:rsid w:val="00A650C1"/>
    <w:rsid w:val="00A668E1"/>
    <w:rsid w:val="00A721F3"/>
    <w:rsid w:val="00A72845"/>
    <w:rsid w:val="00A7308F"/>
    <w:rsid w:val="00A75E26"/>
    <w:rsid w:val="00A76A62"/>
    <w:rsid w:val="00A8471B"/>
    <w:rsid w:val="00AA3623"/>
    <w:rsid w:val="00AC237F"/>
    <w:rsid w:val="00AC2CC5"/>
    <w:rsid w:val="00AC4FFF"/>
    <w:rsid w:val="00AC6336"/>
    <w:rsid w:val="00AD0D60"/>
    <w:rsid w:val="00AD24DC"/>
    <w:rsid w:val="00AE0D46"/>
    <w:rsid w:val="00AE28A4"/>
    <w:rsid w:val="00AE40E4"/>
    <w:rsid w:val="00AE5BCC"/>
    <w:rsid w:val="00AE77B9"/>
    <w:rsid w:val="00AF35A8"/>
    <w:rsid w:val="00AF3EFC"/>
    <w:rsid w:val="00B0404F"/>
    <w:rsid w:val="00B064FB"/>
    <w:rsid w:val="00B1007E"/>
    <w:rsid w:val="00B12914"/>
    <w:rsid w:val="00B151B8"/>
    <w:rsid w:val="00B1614B"/>
    <w:rsid w:val="00B17459"/>
    <w:rsid w:val="00B229EC"/>
    <w:rsid w:val="00B23B64"/>
    <w:rsid w:val="00B27AD6"/>
    <w:rsid w:val="00B4357E"/>
    <w:rsid w:val="00B47882"/>
    <w:rsid w:val="00B55449"/>
    <w:rsid w:val="00B56A83"/>
    <w:rsid w:val="00B63F47"/>
    <w:rsid w:val="00B67B99"/>
    <w:rsid w:val="00B71A38"/>
    <w:rsid w:val="00B74C91"/>
    <w:rsid w:val="00B8281C"/>
    <w:rsid w:val="00B84F88"/>
    <w:rsid w:val="00B9405B"/>
    <w:rsid w:val="00B97368"/>
    <w:rsid w:val="00BA61D0"/>
    <w:rsid w:val="00BB121C"/>
    <w:rsid w:val="00BD7A22"/>
    <w:rsid w:val="00BE10CC"/>
    <w:rsid w:val="00BE36F3"/>
    <w:rsid w:val="00BE489E"/>
    <w:rsid w:val="00BF1096"/>
    <w:rsid w:val="00BF2E27"/>
    <w:rsid w:val="00BF5491"/>
    <w:rsid w:val="00BF65C2"/>
    <w:rsid w:val="00C00A7F"/>
    <w:rsid w:val="00C06D3B"/>
    <w:rsid w:val="00C06E6D"/>
    <w:rsid w:val="00C11230"/>
    <w:rsid w:val="00C21693"/>
    <w:rsid w:val="00C342E3"/>
    <w:rsid w:val="00C376A9"/>
    <w:rsid w:val="00C37736"/>
    <w:rsid w:val="00C40A89"/>
    <w:rsid w:val="00C446D6"/>
    <w:rsid w:val="00C553E8"/>
    <w:rsid w:val="00C57C8C"/>
    <w:rsid w:val="00C6296B"/>
    <w:rsid w:val="00C64FB5"/>
    <w:rsid w:val="00C7444C"/>
    <w:rsid w:val="00C84A62"/>
    <w:rsid w:val="00C90733"/>
    <w:rsid w:val="00C95C9E"/>
    <w:rsid w:val="00CB3C94"/>
    <w:rsid w:val="00CB5D51"/>
    <w:rsid w:val="00CB7BB2"/>
    <w:rsid w:val="00CC1682"/>
    <w:rsid w:val="00CC2487"/>
    <w:rsid w:val="00CC3B00"/>
    <w:rsid w:val="00CC433F"/>
    <w:rsid w:val="00CC597A"/>
    <w:rsid w:val="00CE0093"/>
    <w:rsid w:val="00CE08D8"/>
    <w:rsid w:val="00CE45C6"/>
    <w:rsid w:val="00CE45DF"/>
    <w:rsid w:val="00CE51C9"/>
    <w:rsid w:val="00CE729F"/>
    <w:rsid w:val="00CF1DCB"/>
    <w:rsid w:val="00CF4534"/>
    <w:rsid w:val="00CF4D3F"/>
    <w:rsid w:val="00D00879"/>
    <w:rsid w:val="00D00887"/>
    <w:rsid w:val="00D00C09"/>
    <w:rsid w:val="00D12D89"/>
    <w:rsid w:val="00D13916"/>
    <w:rsid w:val="00D16A2F"/>
    <w:rsid w:val="00D22DED"/>
    <w:rsid w:val="00D27364"/>
    <w:rsid w:val="00D401F1"/>
    <w:rsid w:val="00D457B4"/>
    <w:rsid w:val="00D45CCB"/>
    <w:rsid w:val="00D47F75"/>
    <w:rsid w:val="00D6050D"/>
    <w:rsid w:val="00D63B36"/>
    <w:rsid w:val="00D64535"/>
    <w:rsid w:val="00D66EF5"/>
    <w:rsid w:val="00D765B8"/>
    <w:rsid w:val="00D81DAB"/>
    <w:rsid w:val="00D84271"/>
    <w:rsid w:val="00D87077"/>
    <w:rsid w:val="00D95909"/>
    <w:rsid w:val="00DB2FE0"/>
    <w:rsid w:val="00DB7FE9"/>
    <w:rsid w:val="00DC2863"/>
    <w:rsid w:val="00DC47CE"/>
    <w:rsid w:val="00DC758A"/>
    <w:rsid w:val="00DD1203"/>
    <w:rsid w:val="00DD5B60"/>
    <w:rsid w:val="00DE5E3E"/>
    <w:rsid w:val="00DF47E1"/>
    <w:rsid w:val="00E15233"/>
    <w:rsid w:val="00E179E8"/>
    <w:rsid w:val="00E21570"/>
    <w:rsid w:val="00E21F6F"/>
    <w:rsid w:val="00E26970"/>
    <w:rsid w:val="00E27BCB"/>
    <w:rsid w:val="00E31E26"/>
    <w:rsid w:val="00E33B09"/>
    <w:rsid w:val="00E3795D"/>
    <w:rsid w:val="00E41C83"/>
    <w:rsid w:val="00E431D4"/>
    <w:rsid w:val="00E46B82"/>
    <w:rsid w:val="00E50D4F"/>
    <w:rsid w:val="00E53809"/>
    <w:rsid w:val="00E5432A"/>
    <w:rsid w:val="00E62F1B"/>
    <w:rsid w:val="00E74478"/>
    <w:rsid w:val="00E81C50"/>
    <w:rsid w:val="00E97CE3"/>
    <w:rsid w:val="00E97F29"/>
    <w:rsid w:val="00EA6BB8"/>
    <w:rsid w:val="00EB0361"/>
    <w:rsid w:val="00EB05DC"/>
    <w:rsid w:val="00EC7397"/>
    <w:rsid w:val="00ED041A"/>
    <w:rsid w:val="00ED2C4F"/>
    <w:rsid w:val="00ED480B"/>
    <w:rsid w:val="00EE0129"/>
    <w:rsid w:val="00EE24B6"/>
    <w:rsid w:val="00EE6BA1"/>
    <w:rsid w:val="00F144FA"/>
    <w:rsid w:val="00F17BA0"/>
    <w:rsid w:val="00F201C7"/>
    <w:rsid w:val="00F2037D"/>
    <w:rsid w:val="00F235AF"/>
    <w:rsid w:val="00F317E8"/>
    <w:rsid w:val="00F3210C"/>
    <w:rsid w:val="00F41414"/>
    <w:rsid w:val="00F42A8E"/>
    <w:rsid w:val="00F464AE"/>
    <w:rsid w:val="00F5319E"/>
    <w:rsid w:val="00F56888"/>
    <w:rsid w:val="00F75DC3"/>
    <w:rsid w:val="00F76F8D"/>
    <w:rsid w:val="00F90F85"/>
    <w:rsid w:val="00F97505"/>
    <w:rsid w:val="00FA272D"/>
    <w:rsid w:val="00FB4720"/>
    <w:rsid w:val="00FB5D48"/>
    <w:rsid w:val="00FB5E21"/>
    <w:rsid w:val="00FB7B91"/>
    <w:rsid w:val="00FD573D"/>
    <w:rsid w:val="00FE0F78"/>
    <w:rsid w:val="00FE1C19"/>
    <w:rsid w:val="00FF0258"/>
    <w:rsid w:val="00FF4503"/>
  </w:rsids>
  <m:mathPr>
    <m:mathFont m:val="Cambria Math"/>
    <m:brkBin m:val="before"/>
    <m:brkBinSub m:val="--"/>
    <m:smallFrac m:val="0"/>
    <m:dispDef/>
    <m:lMargin m:val="0"/>
    <m:rMargin m:val="0"/>
    <m:defJc m:val="centerGroup"/>
    <m:wrapIndent m:val="1440"/>
    <m:intLim m:val="subSup"/>
    <m:naryLim m:val="undOvr"/>
  </m:mathPr>
  <w:themeFontLang w:val="en-US" w:eastAsia="zh-CN" w:bidi="as-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C4926"/>
  <w15:chartTrackingRefBased/>
  <w15:docId w15:val="{9561BBEF-D9C0-40BC-B9E1-5FE839648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7C8C"/>
    <w:pPr>
      <w:spacing w:before="240" w:after="240" w:line="360" w:lineRule="auto"/>
      <w:jc w:val="both"/>
    </w:pPr>
    <w:rPr>
      <w:rFonts w:ascii="Arial" w:hAnsi="Arial"/>
      <w:sz w:val="24"/>
      <w:lang w:val="en-GB"/>
    </w:rPr>
  </w:style>
  <w:style w:type="paragraph" w:styleId="Heading1">
    <w:name w:val="heading 1"/>
    <w:basedOn w:val="Normal"/>
    <w:next w:val="Normal"/>
    <w:link w:val="Heading1Char"/>
    <w:uiPriority w:val="9"/>
    <w:qFormat/>
    <w:rsid w:val="000C2AEF"/>
    <w:pPr>
      <w:keepNext/>
      <w:keepLines/>
      <w:spacing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103366"/>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953CC0"/>
    <w:pPr>
      <w:keepNext/>
      <w:keepLines/>
      <w:spacing w:before="160" w:after="80"/>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AE0D46"/>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AE0D46"/>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AE0D4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E0D4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E0D46"/>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E0D46"/>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2AEF"/>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103366"/>
    <w:rPr>
      <w:rFonts w:ascii="Times New Roman" w:eastAsiaTheme="majorEastAsia" w:hAnsi="Times New Roman" w:cstheme="majorBidi"/>
      <w:b/>
      <w:color w:val="000000" w:themeColor="text1"/>
      <w:sz w:val="24"/>
      <w:szCs w:val="26"/>
      <w:lang w:val="en-GB"/>
    </w:rPr>
  </w:style>
  <w:style w:type="character" w:customStyle="1" w:styleId="Heading3Char">
    <w:name w:val="Heading 3 Char"/>
    <w:basedOn w:val="DefaultParagraphFont"/>
    <w:link w:val="Heading3"/>
    <w:uiPriority w:val="9"/>
    <w:rsid w:val="00953CC0"/>
    <w:rPr>
      <w:rFonts w:ascii="Times New Roman" w:eastAsiaTheme="majorEastAsia" w:hAnsi="Times New Roman" w:cstheme="majorBidi"/>
      <w:b/>
      <w:i/>
      <w:color w:val="000000" w:themeColor="text1"/>
      <w:sz w:val="24"/>
      <w:szCs w:val="28"/>
      <w:lang w:val="en-GB"/>
    </w:rPr>
  </w:style>
  <w:style w:type="character" w:customStyle="1" w:styleId="Heading4Char">
    <w:name w:val="Heading 4 Char"/>
    <w:basedOn w:val="DefaultParagraphFont"/>
    <w:link w:val="Heading4"/>
    <w:uiPriority w:val="9"/>
    <w:semiHidden/>
    <w:rsid w:val="00AE0D46"/>
    <w:rPr>
      <w:rFonts w:eastAsiaTheme="majorEastAsia"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AE0D46"/>
    <w:rPr>
      <w:rFonts w:eastAsiaTheme="majorEastAsia"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AE0D46"/>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AE0D46"/>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AE0D46"/>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AE0D46"/>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AE0D46"/>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0D4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E0D4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0D4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E0D4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E0D46"/>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AE0D46"/>
    <w:pPr>
      <w:ind w:left="720"/>
      <w:contextualSpacing/>
    </w:pPr>
  </w:style>
  <w:style w:type="character" w:styleId="IntenseEmphasis">
    <w:name w:val="Intense Emphasis"/>
    <w:basedOn w:val="DefaultParagraphFont"/>
    <w:uiPriority w:val="21"/>
    <w:qFormat/>
    <w:rsid w:val="00AE0D46"/>
    <w:rPr>
      <w:i/>
      <w:iCs/>
      <w:color w:val="365F91" w:themeColor="accent1" w:themeShade="BF"/>
    </w:rPr>
  </w:style>
  <w:style w:type="paragraph" w:styleId="IntenseQuote">
    <w:name w:val="Intense Quote"/>
    <w:basedOn w:val="Normal"/>
    <w:next w:val="Normal"/>
    <w:link w:val="IntenseQuoteChar"/>
    <w:uiPriority w:val="30"/>
    <w:qFormat/>
    <w:rsid w:val="00AE0D46"/>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AE0D46"/>
    <w:rPr>
      <w:rFonts w:ascii="Times New Roman" w:hAnsi="Times New Roman"/>
      <w:i/>
      <w:iCs/>
      <w:color w:val="365F91" w:themeColor="accent1" w:themeShade="BF"/>
      <w:sz w:val="24"/>
      <w:lang w:val="en-GB"/>
    </w:rPr>
  </w:style>
  <w:style w:type="character" w:styleId="IntenseReference">
    <w:name w:val="Intense Reference"/>
    <w:basedOn w:val="DefaultParagraphFont"/>
    <w:uiPriority w:val="32"/>
    <w:qFormat/>
    <w:rsid w:val="00AE0D46"/>
    <w:rPr>
      <w:b/>
      <w:bCs/>
      <w:smallCaps/>
      <w:color w:val="365F91" w:themeColor="accent1" w:themeShade="BF"/>
      <w:spacing w:val="5"/>
    </w:rPr>
  </w:style>
  <w:style w:type="paragraph" w:styleId="Header">
    <w:name w:val="header"/>
    <w:basedOn w:val="Normal"/>
    <w:link w:val="HeaderChar"/>
    <w:uiPriority w:val="99"/>
    <w:unhideWhenUsed/>
    <w:rsid w:val="00CE45C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E45C6"/>
    <w:rPr>
      <w:rFonts w:ascii="Times New Roman" w:hAnsi="Times New Roman"/>
      <w:sz w:val="24"/>
      <w:lang w:val="en-GB"/>
    </w:rPr>
  </w:style>
  <w:style w:type="paragraph" w:styleId="Footer">
    <w:name w:val="footer"/>
    <w:basedOn w:val="Normal"/>
    <w:link w:val="FooterChar"/>
    <w:uiPriority w:val="99"/>
    <w:unhideWhenUsed/>
    <w:rsid w:val="00CE45C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E45C6"/>
    <w:rPr>
      <w:rFonts w:ascii="Times New Roman" w:hAnsi="Times New Roman"/>
      <w:sz w:val="24"/>
      <w:lang w:val="en-GB"/>
    </w:rPr>
  </w:style>
  <w:style w:type="character" w:customStyle="1" w:styleId="bzpyqfadein">
    <w:name w:val="bz_pyq_fadein"/>
    <w:basedOn w:val="DefaultParagraphFont"/>
    <w:rsid w:val="00AC4FFF"/>
  </w:style>
  <w:style w:type="paragraph" w:styleId="NormalWeb">
    <w:name w:val="Normal (Web)"/>
    <w:basedOn w:val="Normal"/>
    <w:uiPriority w:val="99"/>
    <w:semiHidden/>
    <w:unhideWhenUsed/>
    <w:rsid w:val="00B97368"/>
    <w:pPr>
      <w:spacing w:before="100" w:beforeAutospacing="1" w:after="100" w:afterAutospacing="1" w:line="240" w:lineRule="auto"/>
      <w:jc w:val="left"/>
    </w:pPr>
    <w:rPr>
      <w:rFonts w:eastAsia="Times New Roman" w:cs="Times New Roman"/>
      <w:kern w:val="0"/>
      <w:szCs w:val="24"/>
      <w:lang w:val="en-US" w:bidi="as-IN"/>
      <w14:ligatures w14:val="none"/>
    </w:rPr>
  </w:style>
  <w:style w:type="character" w:styleId="Strong">
    <w:name w:val="Strong"/>
    <w:basedOn w:val="DefaultParagraphFont"/>
    <w:uiPriority w:val="22"/>
    <w:qFormat/>
    <w:rsid w:val="006E3CD9"/>
    <w:rPr>
      <w:b/>
      <w:bCs/>
    </w:rPr>
  </w:style>
  <w:style w:type="table" w:styleId="GridTable5Dark-Accent1">
    <w:name w:val="Grid Table 5 Dark Accent 1"/>
    <w:basedOn w:val="TableNormal"/>
    <w:uiPriority w:val="50"/>
    <w:rsid w:val="006E3CD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character" w:styleId="Hyperlink">
    <w:name w:val="Hyperlink"/>
    <w:basedOn w:val="DefaultParagraphFont"/>
    <w:uiPriority w:val="99"/>
    <w:unhideWhenUsed/>
    <w:rsid w:val="005A5BD3"/>
    <w:rPr>
      <w:color w:val="0000FF" w:themeColor="hyperlink"/>
      <w:u w:val="single"/>
    </w:rPr>
  </w:style>
  <w:style w:type="paragraph" w:styleId="TOCHeading">
    <w:name w:val="TOC Heading"/>
    <w:basedOn w:val="Heading1"/>
    <w:next w:val="Normal"/>
    <w:uiPriority w:val="39"/>
    <w:unhideWhenUsed/>
    <w:qFormat/>
    <w:rsid w:val="00A668E1"/>
    <w:pPr>
      <w:spacing w:line="259" w:lineRule="auto"/>
      <w:jc w:val="left"/>
      <w:outlineLvl w:val="9"/>
    </w:pPr>
    <w:rPr>
      <w:rFonts w:asciiTheme="majorHAnsi" w:hAnsiTheme="majorHAnsi"/>
      <w:b w:val="0"/>
      <w:color w:val="365F91" w:themeColor="accent1" w:themeShade="BF"/>
      <w:kern w:val="0"/>
      <w:sz w:val="32"/>
      <w:lang w:val="en-US" w:eastAsia="en-US"/>
      <w14:ligatures w14:val="none"/>
    </w:rPr>
  </w:style>
  <w:style w:type="paragraph" w:styleId="TOC1">
    <w:name w:val="toc 1"/>
    <w:basedOn w:val="Normal"/>
    <w:next w:val="Normal"/>
    <w:autoRedefine/>
    <w:uiPriority w:val="39"/>
    <w:unhideWhenUsed/>
    <w:rsid w:val="00A668E1"/>
    <w:pPr>
      <w:spacing w:after="100"/>
    </w:pPr>
  </w:style>
  <w:style w:type="paragraph" w:styleId="TOC2">
    <w:name w:val="toc 2"/>
    <w:basedOn w:val="Normal"/>
    <w:next w:val="Normal"/>
    <w:autoRedefine/>
    <w:uiPriority w:val="39"/>
    <w:unhideWhenUsed/>
    <w:rsid w:val="00B8281C"/>
    <w:pPr>
      <w:spacing w:after="100"/>
      <w:ind w:left="240"/>
    </w:pPr>
  </w:style>
  <w:style w:type="paragraph" w:styleId="TOC3">
    <w:name w:val="toc 3"/>
    <w:basedOn w:val="Normal"/>
    <w:next w:val="Normal"/>
    <w:autoRedefine/>
    <w:uiPriority w:val="39"/>
    <w:unhideWhenUsed/>
    <w:rsid w:val="00B8281C"/>
    <w:pPr>
      <w:spacing w:after="100"/>
      <w:ind w:left="480"/>
    </w:pPr>
  </w:style>
  <w:style w:type="paragraph" w:styleId="Caption">
    <w:name w:val="caption"/>
    <w:basedOn w:val="Normal"/>
    <w:next w:val="Normal"/>
    <w:uiPriority w:val="35"/>
    <w:unhideWhenUsed/>
    <w:qFormat/>
    <w:rsid w:val="00396001"/>
    <w:pPr>
      <w:spacing w:before="0" w:after="200"/>
    </w:pPr>
    <w:rPr>
      <w:b/>
      <w:i/>
      <w:iCs/>
      <w:color w:val="000000" w:themeColor="text1"/>
      <w:szCs w:val="18"/>
    </w:rPr>
  </w:style>
  <w:style w:type="character" w:styleId="UnresolvedMention">
    <w:name w:val="Unresolved Mention"/>
    <w:basedOn w:val="DefaultParagraphFont"/>
    <w:uiPriority w:val="99"/>
    <w:semiHidden/>
    <w:unhideWhenUsed/>
    <w:rsid w:val="009113C9"/>
    <w:rPr>
      <w:color w:val="605E5C"/>
      <w:shd w:val="clear" w:color="auto" w:fill="E1DFDD"/>
    </w:rPr>
  </w:style>
  <w:style w:type="table" w:styleId="GridTable5Dark-Accent4">
    <w:name w:val="Grid Table 5 Dark Accent 4"/>
    <w:basedOn w:val="TableNormal"/>
    <w:uiPriority w:val="50"/>
    <w:rsid w:val="006268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Accent5">
    <w:name w:val="Grid Table 5 Dark Accent 5"/>
    <w:basedOn w:val="TableNormal"/>
    <w:uiPriority w:val="50"/>
    <w:rsid w:val="006268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ListTable3-Accent4">
    <w:name w:val="List Table 3 Accent 4"/>
    <w:basedOn w:val="TableNormal"/>
    <w:uiPriority w:val="48"/>
    <w:rsid w:val="00DB7FE9"/>
    <w:pPr>
      <w:spacing w:after="0" w:line="240" w:lineRule="auto"/>
    </w:pPr>
    <w:tblPr>
      <w:tblStyleRowBandSize w:val="1"/>
      <w:tblStyleColBandSize w:val="1"/>
      <w:tblBorders>
        <w:top w:val="single" w:sz="4" w:space="0" w:color="8064A2" w:themeColor="accent4"/>
        <w:left w:val="single" w:sz="4" w:space="0" w:color="8064A2" w:themeColor="accent4"/>
        <w:bottom w:val="single" w:sz="4" w:space="0" w:color="8064A2" w:themeColor="accent4"/>
        <w:right w:val="single" w:sz="4" w:space="0" w:color="8064A2" w:themeColor="accent4"/>
      </w:tblBorders>
    </w:tblPr>
    <w:tblStylePr w:type="firstRow">
      <w:rPr>
        <w:b/>
        <w:bCs/>
        <w:color w:val="FFFFFF" w:themeColor="background1"/>
      </w:rPr>
      <w:tblPr/>
      <w:tcPr>
        <w:shd w:val="clear" w:color="auto" w:fill="8064A2" w:themeFill="accent4"/>
      </w:tcPr>
    </w:tblStylePr>
    <w:tblStylePr w:type="lastRow">
      <w:rPr>
        <w:b/>
        <w:bCs/>
      </w:rPr>
      <w:tblPr/>
      <w:tcPr>
        <w:tcBorders>
          <w:top w:val="double" w:sz="4" w:space="0" w:color="8064A2"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064A2" w:themeColor="accent4"/>
          <w:right w:val="single" w:sz="4" w:space="0" w:color="8064A2" w:themeColor="accent4"/>
        </w:tcBorders>
      </w:tcPr>
    </w:tblStylePr>
    <w:tblStylePr w:type="band1Horz">
      <w:tblPr/>
      <w:tcPr>
        <w:tcBorders>
          <w:top w:val="single" w:sz="4" w:space="0" w:color="8064A2" w:themeColor="accent4"/>
          <w:bottom w:val="single" w:sz="4" w:space="0" w:color="8064A2"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064A2" w:themeColor="accent4"/>
          <w:left w:val="nil"/>
        </w:tcBorders>
      </w:tcPr>
    </w:tblStylePr>
    <w:tblStylePr w:type="swCell">
      <w:tblPr/>
      <w:tcPr>
        <w:tcBorders>
          <w:top w:val="double" w:sz="4" w:space="0" w:color="8064A2" w:themeColor="accent4"/>
          <w:right w:val="nil"/>
        </w:tcBorders>
      </w:tcPr>
    </w:tblStylePr>
  </w:style>
  <w:style w:type="table" w:styleId="GridTable5Dark-Accent6">
    <w:name w:val="Grid Table 5 Dark Accent 6"/>
    <w:basedOn w:val="TableNormal"/>
    <w:uiPriority w:val="50"/>
    <w:rsid w:val="00B229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diagramQuickStyle" Target="diagrams/quickStyle1.xml"/><Relationship Id="rId34" Type="http://schemas.openxmlformats.org/officeDocument/2006/relationships/hyperlink" Target="https://www.globaldata.com/store/report/j-sainsbury-plc-enterprise-tech-analysis/" TargetMode="External"/><Relationship Id="rId42" Type="http://schemas.openxmlformats.org/officeDocument/2006/relationships/hyperlink" Target="https://corporate.sainsburys.co.uk/news/press-releases/sainsbury-s-collaborates-with-sap-accenture-and-aws-on-transformation-programme/" TargetMode="External"/><Relationship Id="rId47" Type="http://schemas.openxmlformats.org/officeDocument/2006/relationships/hyperlink" Target="https://corporate.sainsburys.co.uk/media/gwlnbo1p/j-sainsbury-plc-preliminary-results-2425-presentation.pdf" TargetMode="External"/><Relationship Id="rId50" Type="http://schemas.openxmlformats.org/officeDocument/2006/relationships/hyperlink" Target="https://www.sainsburyarchive.org.uk/footer/about" TargetMode="External"/><Relationship Id="rId55" Type="http://schemas.openxmlformats.org/officeDocument/2006/relationships/hyperlink" Target="https://corporate.sainsburys.co.uk/media/aysjqkrf/j-sainsbury-plc_business-model.pdf" TargetMode="External"/><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diagramQuickStyle" Target="diagrams/quickStyle2.xml"/><Relationship Id="rId11" Type="http://schemas.openxmlformats.org/officeDocument/2006/relationships/image" Target="media/image4.png"/><Relationship Id="rId24" Type="http://schemas.openxmlformats.org/officeDocument/2006/relationships/image" Target="media/image12.png"/><Relationship Id="rId32" Type="http://schemas.openxmlformats.org/officeDocument/2006/relationships/hyperlink" Target="https://www.theguardian.com/business/2026/feb/27/sainsburys-to-cut-300-jobs-as-it-restructures-tech-team-and-argos-deliveries" TargetMode="External"/><Relationship Id="rId37" Type="http://schemas.openxmlformats.org/officeDocument/2006/relationships/hyperlink" Target="https://www.retail-insight-network.com/news/sainsburys-investment-price-cut/?cf-view" TargetMode="External"/><Relationship Id="rId40" Type="http://schemas.openxmlformats.org/officeDocument/2006/relationships/hyperlink" Target="https://www.sainsburysenergy.com/?utm_source=sainsburys&amp;utm_medium=website&amp;utm_campaign=help_get_more" TargetMode="External"/><Relationship Id="rId45" Type="http://schemas.openxmlformats.org/officeDocument/2006/relationships/hyperlink" Target="https://corporate.sainsburys.co.uk/media/4prdzvro/sainsbury-annual-report-and-financial-statements-2025.pdf" TargetMode="External"/><Relationship Id="rId53" Type="http://schemas.openxmlformats.org/officeDocument/2006/relationships/hyperlink" Target="https://corporate.sainsburys.co.uk/investors/" TargetMode="External"/><Relationship Id="rId58" Type="http://schemas.openxmlformats.org/officeDocument/2006/relationships/hyperlink" Target="https://www.tescoplc.com/tesco-introduces-special-clubcard-prices-for-customers-to-celebrate-100-years-of-great-value/" TargetMode="External"/><Relationship Id="rId5" Type="http://schemas.openxmlformats.org/officeDocument/2006/relationships/webSettings" Target="webSettings.xml"/><Relationship Id="rId61" Type="http://schemas.openxmlformats.org/officeDocument/2006/relationships/hyperlink" Target="https://www.marketingweek.com/sainsburys-shows-strong-growth/" TargetMode="External"/><Relationship Id="rId19" Type="http://schemas.openxmlformats.org/officeDocument/2006/relationships/diagramData" Target="diagrams/data1.xml"/><Relationship Id="rId14" Type="http://schemas.openxmlformats.org/officeDocument/2006/relationships/image" Target="media/image7.png"/><Relationship Id="rId22" Type="http://schemas.openxmlformats.org/officeDocument/2006/relationships/diagramColors" Target="diagrams/colors1.xml"/><Relationship Id="rId27" Type="http://schemas.openxmlformats.org/officeDocument/2006/relationships/diagramData" Target="diagrams/data2.xml"/><Relationship Id="rId30" Type="http://schemas.openxmlformats.org/officeDocument/2006/relationships/diagramColors" Target="diagrams/colors2.xml"/><Relationship Id="rId35" Type="http://schemas.openxmlformats.org/officeDocument/2006/relationships/hyperlink" Target="https://www.retaileconomics.co.uk/retail-insights/thought-leadership-reports/impact-of-inflation-and-changing-consumer-behaviour-on-the-retail-sector-ecommerce-delivery-benchmark-report-2023" TargetMode="External"/><Relationship Id="rId43" Type="http://schemas.openxmlformats.org/officeDocument/2006/relationships/hyperlink" Target="https://corporate.sainsburys.co.uk/news/press-releases/strategy-update-next-level-sainsbury-s/" TargetMode="External"/><Relationship Id="rId48" Type="http://schemas.openxmlformats.org/officeDocument/2006/relationships/hyperlink" Target="https://corporate.sainsburys.co.uk/news/press-releases/preliminary-results-for-the-52-weeks-ended-1-march-2025/" TargetMode="External"/><Relationship Id="rId56" Type="http://schemas.openxmlformats.org/officeDocument/2006/relationships/hyperlink" Target="https://corporate.sainsburys.co.uk/about-us/our-strategy/" TargetMode="External"/><Relationship Id="rId64" Type="http://schemas.openxmlformats.org/officeDocument/2006/relationships/fontTable" Target="fontTable.xml"/><Relationship Id="rId8" Type="http://schemas.openxmlformats.org/officeDocument/2006/relationships/image" Target="media/image1.jpg"/><Relationship Id="rId51" Type="http://schemas.openxmlformats.org/officeDocument/2006/relationships/hyperlink" Target="https://www.sainsburys.co.uk/gol-ui/features/ttd-hub"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3.png"/><Relationship Id="rId33" Type="http://schemas.openxmlformats.org/officeDocument/2006/relationships/hyperlink" Target="https://corporatefinanceinstitute.com/resources/management/competitive-forces-model/" TargetMode="External"/><Relationship Id="rId38" Type="http://schemas.openxmlformats.org/officeDocument/2006/relationships/hyperlink" Target="https://www.dataiq.global/articles/personalisation-at-scale-sainsburys/" TargetMode="External"/><Relationship Id="rId46" Type="http://schemas.openxmlformats.org/officeDocument/2006/relationships/hyperlink" Target="https://corporate.sainsburys.co.uk/sustainability/" TargetMode="External"/><Relationship Id="rId59" Type="http://schemas.openxmlformats.org/officeDocument/2006/relationships/hyperlink" Target="https://www.thestrategyinstitute.org/insights/vrio-framework-unlocking-competitive-edge-for-your-business" TargetMode="External"/><Relationship Id="rId20" Type="http://schemas.openxmlformats.org/officeDocument/2006/relationships/diagramLayout" Target="diagrams/layout1.xml"/><Relationship Id="rId41" Type="http://schemas.openxmlformats.org/officeDocument/2006/relationships/hyperlink" Target="https://corporate.sainsburys.co.uk/media/xtjbqjqz/sainsburys-ar2021.pdf" TargetMode="External"/><Relationship Id="rId54" Type="http://schemas.openxmlformats.org/officeDocument/2006/relationships/hyperlink" Target="https://corporate.sainsburys.co.uk/sustainability/explore-by-a-z/reducing-waste/our-approach-to-reducing-waste/" TargetMode="External"/><Relationship Id="rId62" Type="http://schemas.openxmlformats.org/officeDocument/2006/relationships/hyperlink" Target="https://corporate.walmart.com/news/2024/03/14/walmart-commerce-technologies-launches-ai-powered-logistics-produc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microsoft.com/office/2007/relationships/diagramDrawing" Target="diagrams/drawing1.xml"/><Relationship Id="rId28" Type="http://schemas.openxmlformats.org/officeDocument/2006/relationships/diagramLayout" Target="diagrams/layout2.xml"/><Relationship Id="rId36" Type="http://schemas.openxmlformats.org/officeDocument/2006/relationships/hyperlink" Target="https://www.retaileconomics.co.uk/retail-insights/thought-leadership-reports/the-uk-grocery-market-five-key-trends-to-2025-report" TargetMode="External"/><Relationship Id="rId49" Type="http://schemas.openxmlformats.org/officeDocument/2006/relationships/hyperlink" Target="https://corporate.sainsburys.co.uk/news/press-releases/unlock-shop-save-sainsburys-rolls-out-your-nectar-prices-across-tills-nationwide/" TargetMode="External"/><Relationship Id="rId57" Type="http://schemas.openxmlformats.org/officeDocument/2006/relationships/hyperlink" Target="https://corporate.sainsburys.co.uk/news/press-releases/third-quarter-trading-statement-for-the-16-weeks-to-3-january-2025-26/" TargetMode="External"/><Relationship Id="rId10" Type="http://schemas.openxmlformats.org/officeDocument/2006/relationships/image" Target="media/image3.png"/><Relationship Id="rId31" Type="http://schemas.microsoft.com/office/2007/relationships/diagramDrawing" Target="diagrams/drawing2.xml"/><Relationship Id="rId44" Type="http://schemas.openxmlformats.org/officeDocument/2006/relationships/hyperlink" Target="https://corporate.sainsburys.co.uk/investors/annual-report-2025/" TargetMode="External"/><Relationship Id="rId52" Type="http://schemas.openxmlformats.org/officeDocument/2006/relationships/hyperlink" Target="https://www.sainsburys.jobs/teams/early-careers" TargetMode="External"/><Relationship Id="rId60" Type="http://schemas.openxmlformats.org/officeDocument/2006/relationships/hyperlink" Target="https://www.marketingweek.com/sainsburys-slogan/"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spglobal.com/ratings/en/regulatory/article/-/view/sourceId/101611404" TargetMode="Externa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D85CA52-A12F-4092-9A14-33209A7A1DCC}" type="doc">
      <dgm:prSet loTypeId="urn:microsoft.com/office/officeart/2005/8/layout/cycle4" loCatId="matrix" qsTypeId="urn:microsoft.com/office/officeart/2005/8/quickstyle/simple1" qsCatId="simple" csTypeId="urn:microsoft.com/office/officeart/2005/8/colors/colorful3" csCatId="colorful" phldr="1"/>
      <dgm:spPr/>
      <dgm:t>
        <a:bodyPr/>
        <a:lstStyle/>
        <a:p>
          <a:endParaRPr lang="en-IN"/>
        </a:p>
      </dgm:t>
    </dgm:pt>
    <dgm:pt modelId="{DCB4F6BF-6DA2-46E9-B602-88A1E5EE06F6}">
      <dgm:prSet phldrT="[Text]" custT="1"/>
      <dgm:spPr/>
      <dgm:t>
        <a:bodyPr/>
        <a:lstStyle/>
        <a:p>
          <a:r>
            <a:rPr lang="en-IN" sz="1200">
              <a:latin typeface="Times New Roman" panose="02020603050405020304" pitchFamily="18" charset="0"/>
              <a:cs typeface="Times New Roman" panose="02020603050405020304" pitchFamily="18" charset="0"/>
            </a:rPr>
            <a:t>Financial Perspective</a:t>
          </a:r>
        </a:p>
      </dgm:t>
    </dgm:pt>
    <dgm:pt modelId="{544A04E8-CC2B-4A95-BF90-58F3219116E6}" type="parTrans" cxnId="{68816195-D619-4342-AD58-D1FACE83874C}">
      <dgm:prSet/>
      <dgm:spPr/>
      <dgm:t>
        <a:bodyPr/>
        <a:lstStyle/>
        <a:p>
          <a:endParaRPr lang="en-IN"/>
        </a:p>
      </dgm:t>
    </dgm:pt>
    <dgm:pt modelId="{48F137B1-F92E-4F6F-BCC3-3A62AB9D8746}" type="sibTrans" cxnId="{68816195-D619-4342-AD58-D1FACE83874C}">
      <dgm:prSet/>
      <dgm:spPr/>
      <dgm:t>
        <a:bodyPr/>
        <a:lstStyle/>
        <a:p>
          <a:endParaRPr lang="en-IN"/>
        </a:p>
      </dgm:t>
    </dgm:pt>
    <dgm:pt modelId="{72A97177-0887-4943-A449-6818E36D24F9}">
      <dgm:prSet phldrT="[Text]" custT="1"/>
      <dgm:spPr/>
      <dgm:t>
        <a:bodyPr/>
        <a:lstStyle/>
        <a:p>
          <a:pPr algn="l"/>
          <a:r>
            <a:rPr lang="en-IN" sz="600" b="1">
              <a:latin typeface="Times New Roman" panose="02020603050405020304" pitchFamily="18" charset="0"/>
              <a:cs typeface="Times New Roman" panose="02020603050405020304" pitchFamily="18" charset="0"/>
            </a:rPr>
            <a:t>Objective - </a:t>
          </a:r>
          <a:r>
            <a:rPr lang="en-IN" sz="600">
              <a:latin typeface="Times New Roman" panose="02020603050405020304" pitchFamily="18" charset="0"/>
              <a:cs typeface="Times New Roman" panose="02020603050405020304" pitchFamily="18" charset="0"/>
            </a:rPr>
            <a:t>Improve profitability while maintaining competitive pricing</a:t>
          </a:r>
        </a:p>
      </dgm:t>
    </dgm:pt>
    <dgm:pt modelId="{7FE473B7-B45B-444A-ACAB-FB1751E145CF}" type="parTrans" cxnId="{C4E13E4C-95DF-4DDE-8DF7-7BDC3D3BE550}">
      <dgm:prSet/>
      <dgm:spPr/>
      <dgm:t>
        <a:bodyPr/>
        <a:lstStyle/>
        <a:p>
          <a:endParaRPr lang="en-IN"/>
        </a:p>
      </dgm:t>
    </dgm:pt>
    <dgm:pt modelId="{50710ACA-2C74-41FF-9A0A-0A8B41307D54}" type="sibTrans" cxnId="{C4E13E4C-95DF-4DDE-8DF7-7BDC3D3BE550}">
      <dgm:prSet/>
      <dgm:spPr/>
      <dgm:t>
        <a:bodyPr/>
        <a:lstStyle/>
        <a:p>
          <a:endParaRPr lang="en-IN"/>
        </a:p>
      </dgm:t>
    </dgm:pt>
    <dgm:pt modelId="{AEE9CDDE-4DB3-45E1-A425-F7B359D71F96}">
      <dgm:prSet phldrT="[Text]" custT="1"/>
      <dgm:spPr/>
      <dgm:t>
        <a:bodyPr/>
        <a:lstStyle/>
        <a:p>
          <a:r>
            <a:rPr lang="en-IN" sz="1200">
              <a:latin typeface="Times New Roman" panose="02020603050405020304" pitchFamily="18" charset="0"/>
              <a:cs typeface="Times New Roman" panose="02020603050405020304" pitchFamily="18" charset="0"/>
            </a:rPr>
            <a:t>Customer Perspective</a:t>
          </a:r>
        </a:p>
      </dgm:t>
    </dgm:pt>
    <dgm:pt modelId="{AD1F1508-4DF3-494B-8F8F-458D65488E9D}" type="parTrans" cxnId="{520C28E2-EFCC-47C2-9496-02F6EAF032CC}">
      <dgm:prSet/>
      <dgm:spPr/>
      <dgm:t>
        <a:bodyPr/>
        <a:lstStyle/>
        <a:p>
          <a:endParaRPr lang="en-IN"/>
        </a:p>
      </dgm:t>
    </dgm:pt>
    <dgm:pt modelId="{F89C38A8-CFF9-456A-8AA2-2CFEBBCA384D}" type="sibTrans" cxnId="{520C28E2-EFCC-47C2-9496-02F6EAF032CC}">
      <dgm:prSet/>
      <dgm:spPr/>
      <dgm:t>
        <a:bodyPr/>
        <a:lstStyle/>
        <a:p>
          <a:endParaRPr lang="en-IN"/>
        </a:p>
      </dgm:t>
    </dgm:pt>
    <dgm:pt modelId="{DAB35E3E-DD51-4AA8-9764-8AB88AE700AB}">
      <dgm:prSet phldrT="[Text]" custT="1"/>
      <dgm:spPr/>
      <dgm:t>
        <a:bodyPr/>
        <a:lstStyle/>
        <a:p>
          <a:r>
            <a:rPr lang="en-IN" sz="550" b="1">
              <a:latin typeface="Times New Roman" panose="02020603050405020304" pitchFamily="18" charset="0"/>
              <a:cs typeface="Times New Roman" panose="02020603050405020304" pitchFamily="18" charset="0"/>
            </a:rPr>
            <a:t>Objective - </a:t>
          </a:r>
          <a:r>
            <a:rPr lang="en-IN" sz="550">
              <a:latin typeface="Times New Roman" panose="02020603050405020304" pitchFamily="18" charset="0"/>
              <a:cs typeface="Times New Roman" panose="02020603050405020304" pitchFamily="18" charset="0"/>
            </a:rPr>
            <a:t>Strengthen customer loyalty through value, quality, and personalised experience</a:t>
          </a:r>
        </a:p>
      </dgm:t>
    </dgm:pt>
    <dgm:pt modelId="{72818BA9-0346-45D9-AB92-FDFDCEBBD674}" type="parTrans" cxnId="{2BD164C7-1D40-4C9C-83DF-77C39B43676C}">
      <dgm:prSet/>
      <dgm:spPr/>
      <dgm:t>
        <a:bodyPr/>
        <a:lstStyle/>
        <a:p>
          <a:endParaRPr lang="en-IN"/>
        </a:p>
      </dgm:t>
    </dgm:pt>
    <dgm:pt modelId="{7011C68D-1137-43D1-8A61-D3506C956836}" type="sibTrans" cxnId="{2BD164C7-1D40-4C9C-83DF-77C39B43676C}">
      <dgm:prSet/>
      <dgm:spPr/>
      <dgm:t>
        <a:bodyPr/>
        <a:lstStyle/>
        <a:p>
          <a:endParaRPr lang="en-IN"/>
        </a:p>
      </dgm:t>
    </dgm:pt>
    <dgm:pt modelId="{CFA3FBD5-397C-4722-872B-C0D0D5B9E535}">
      <dgm:prSet phldrT="[Text]" custT="1"/>
      <dgm:spPr/>
      <dgm:t>
        <a:bodyPr/>
        <a:lstStyle/>
        <a:p>
          <a:r>
            <a:rPr lang="en-IN" sz="1200">
              <a:latin typeface="Times New Roman" panose="02020603050405020304" pitchFamily="18" charset="0"/>
              <a:cs typeface="Times New Roman" panose="02020603050405020304" pitchFamily="18" charset="0"/>
            </a:rPr>
            <a:t>Learning and Growth Perspective</a:t>
          </a:r>
        </a:p>
      </dgm:t>
    </dgm:pt>
    <dgm:pt modelId="{79EB35DD-EC6F-4FD7-90A2-6CD509B81449}" type="parTrans" cxnId="{2A8947E1-2D3A-4B4E-A15E-360642401DB8}">
      <dgm:prSet/>
      <dgm:spPr/>
      <dgm:t>
        <a:bodyPr/>
        <a:lstStyle/>
        <a:p>
          <a:endParaRPr lang="en-IN"/>
        </a:p>
      </dgm:t>
    </dgm:pt>
    <dgm:pt modelId="{01E033E1-AACA-47F9-A6A4-F37A3F27A075}" type="sibTrans" cxnId="{2A8947E1-2D3A-4B4E-A15E-360642401DB8}">
      <dgm:prSet/>
      <dgm:spPr/>
      <dgm:t>
        <a:bodyPr/>
        <a:lstStyle/>
        <a:p>
          <a:endParaRPr lang="en-IN"/>
        </a:p>
      </dgm:t>
    </dgm:pt>
    <dgm:pt modelId="{887D4D16-63EB-4D59-BC07-8410EB8130AA}">
      <dgm:prSet phldrT="[Text]" custT="1"/>
      <dgm:spPr/>
      <dgm:t>
        <a:bodyPr/>
        <a:lstStyle/>
        <a:p>
          <a:r>
            <a:rPr lang="en-IN" sz="550" b="1">
              <a:latin typeface="Times New Roman" panose="02020603050405020304" pitchFamily="18" charset="0"/>
              <a:cs typeface="Times New Roman" panose="02020603050405020304" pitchFamily="18" charset="0"/>
            </a:rPr>
            <a:t>Objective - </a:t>
          </a:r>
          <a:r>
            <a:rPr lang="en-IN" sz="550">
              <a:latin typeface="Times New Roman" panose="02020603050405020304" pitchFamily="18" charset="0"/>
              <a:cs typeface="Times New Roman" panose="02020603050405020304" pitchFamily="18" charset="0"/>
            </a:rPr>
            <a:t>Develop digital capabilities and improve workforce productivity</a:t>
          </a:r>
        </a:p>
      </dgm:t>
    </dgm:pt>
    <dgm:pt modelId="{2A8CD6EF-8522-4AEC-A00D-225652D33959}" type="parTrans" cxnId="{B555CDC2-59D0-4F5C-91D1-FE497C963BFC}">
      <dgm:prSet/>
      <dgm:spPr/>
      <dgm:t>
        <a:bodyPr/>
        <a:lstStyle/>
        <a:p>
          <a:endParaRPr lang="en-IN"/>
        </a:p>
      </dgm:t>
    </dgm:pt>
    <dgm:pt modelId="{8340E1AA-3A16-48E3-89CD-B108ACC6BD6F}" type="sibTrans" cxnId="{B555CDC2-59D0-4F5C-91D1-FE497C963BFC}">
      <dgm:prSet/>
      <dgm:spPr/>
      <dgm:t>
        <a:bodyPr/>
        <a:lstStyle/>
        <a:p>
          <a:endParaRPr lang="en-IN"/>
        </a:p>
      </dgm:t>
    </dgm:pt>
    <dgm:pt modelId="{F8BA54CD-398A-443A-B370-B23B42CBBCED}">
      <dgm:prSet phldrT="[Text]" custT="1"/>
      <dgm:spPr/>
      <dgm:t>
        <a:bodyPr/>
        <a:lstStyle/>
        <a:p>
          <a:r>
            <a:rPr lang="en-IN" sz="1200">
              <a:latin typeface="Times New Roman" panose="02020603050405020304" pitchFamily="18" charset="0"/>
              <a:cs typeface="Times New Roman" panose="02020603050405020304" pitchFamily="18" charset="0"/>
            </a:rPr>
            <a:t>Internal Business Processes Perspective</a:t>
          </a:r>
        </a:p>
      </dgm:t>
    </dgm:pt>
    <dgm:pt modelId="{4C1195BD-B2D0-4AD5-9DC3-7E8CDBE186A2}" type="parTrans" cxnId="{EE04A501-96AB-4EAC-90F0-31EF9DCFE3EB}">
      <dgm:prSet/>
      <dgm:spPr/>
      <dgm:t>
        <a:bodyPr/>
        <a:lstStyle/>
        <a:p>
          <a:endParaRPr lang="en-IN"/>
        </a:p>
      </dgm:t>
    </dgm:pt>
    <dgm:pt modelId="{E11827AE-9B44-49BE-9850-358A4B47C299}" type="sibTrans" cxnId="{EE04A501-96AB-4EAC-90F0-31EF9DCFE3EB}">
      <dgm:prSet/>
      <dgm:spPr/>
      <dgm:t>
        <a:bodyPr/>
        <a:lstStyle/>
        <a:p>
          <a:endParaRPr lang="en-IN"/>
        </a:p>
      </dgm:t>
    </dgm:pt>
    <dgm:pt modelId="{31FD430A-BA22-4AC7-A57E-7CEDA52B4238}">
      <dgm:prSet phldrT="[Text]" custT="1"/>
      <dgm:spPr/>
      <dgm:t>
        <a:bodyPr/>
        <a:lstStyle/>
        <a:p>
          <a:pPr algn="l"/>
          <a:r>
            <a:rPr lang="en-IN" sz="600" b="1">
              <a:latin typeface="Times New Roman" panose="02020603050405020304" pitchFamily="18" charset="0"/>
              <a:cs typeface="Times New Roman" panose="02020603050405020304" pitchFamily="18" charset="0"/>
            </a:rPr>
            <a:t>KPIs:</a:t>
          </a:r>
        </a:p>
      </dgm:t>
    </dgm:pt>
    <dgm:pt modelId="{7DF18701-3311-4660-9E32-CD02ED4D3D1D}" type="parTrans" cxnId="{4159FAEC-3153-41B3-ABAF-C710E02055C0}">
      <dgm:prSet/>
      <dgm:spPr/>
      <dgm:t>
        <a:bodyPr/>
        <a:lstStyle/>
        <a:p>
          <a:endParaRPr lang="en-IN"/>
        </a:p>
      </dgm:t>
    </dgm:pt>
    <dgm:pt modelId="{E56BD72E-D682-4F3A-95EE-DE9A436DB6D6}" type="sibTrans" cxnId="{4159FAEC-3153-41B3-ABAF-C710E02055C0}">
      <dgm:prSet/>
      <dgm:spPr/>
      <dgm:t>
        <a:bodyPr/>
        <a:lstStyle/>
        <a:p>
          <a:endParaRPr lang="en-IN"/>
        </a:p>
      </dgm:t>
    </dgm:pt>
    <dgm:pt modelId="{1BEB5703-EC78-4AE8-B2A5-96919C9B2B13}">
      <dgm:prSet custT="1"/>
      <dgm:spPr/>
      <dgm:t>
        <a:bodyPr/>
        <a:lstStyle/>
        <a:p>
          <a:pPr algn="l">
            <a:buNone/>
          </a:pPr>
          <a:r>
            <a:rPr lang="en-IN" sz="600">
              <a:latin typeface="Times New Roman" panose="02020603050405020304" pitchFamily="18" charset="0"/>
              <a:cs typeface="Times New Roman" panose="02020603050405020304" pitchFamily="18" charset="0"/>
            </a:rPr>
            <a:t>Online sales growth</a:t>
          </a:r>
        </a:p>
      </dgm:t>
    </dgm:pt>
    <dgm:pt modelId="{1800021A-09D0-4CB2-A752-5F1320D8B907}" type="parTrans" cxnId="{AC8E5EE5-5474-41C8-AC8F-43B9E6190E52}">
      <dgm:prSet/>
      <dgm:spPr/>
      <dgm:t>
        <a:bodyPr/>
        <a:lstStyle/>
        <a:p>
          <a:endParaRPr lang="en-IN"/>
        </a:p>
      </dgm:t>
    </dgm:pt>
    <dgm:pt modelId="{9EA1398D-F809-4928-8A2A-4827A42E254F}" type="sibTrans" cxnId="{AC8E5EE5-5474-41C8-AC8F-43B9E6190E52}">
      <dgm:prSet/>
      <dgm:spPr/>
      <dgm:t>
        <a:bodyPr/>
        <a:lstStyle/>
        <a:p>
          <a:endParaRPr lang="en-IN"/>
        </a:p>
      </dgm:t>
    </dgm:pt>
    <dgm:pt modelId="{5E0219A2-D2D0-4A10-A54B-C9B32DD6111E}">
      <dgm:prSet custT="1"/>
      <dgm:spPr/>
      <dgm:t>
        <a:bodyPr/>
        <a:lstStyle/>
        <a:p>
          <a:pPr algn="l">
            <a:buNone/>
          </a:pPr>
          <a:r>
            <a:rPr lang="en-IN" sz="600">
              <a:latin typeface="Times New Roman" panose="02020603050405020304" pitchFamily="18" charset="0"/>
              <a:cs typeface="Times New Roman" panose="02020603050405020304" pitchFamily="18" charset="0"/>
            </a:rPr>
            <a:t>Cost reduction achieved</a:t>
          </a:r>
        </a:p>
      </dgm:t>
    </dgm:pt>
    <dgm:pt modelId="{7DF35A8C-97E8-4CDE-90B4-2F8D4FEBB879}" type="sibTrans" cxnId="{10F0B245-F180-43DE-8D0C-08705F39BFA5}">
      <dgm:prSet/>
      <dgm:spPr/>
      <dgm:t>
        <a:bodyPr/>
        <a:lstStyle/>
        <a:p>
          <a:endParaRPr lang="en-IN"/>
        </a:p>
      </dgm:t>
    </dgm:pt>
    <dgm:pt modelId="{5787E12B-CC12-466A-A39A-DF33090C6E45}" type="parTrans" cxnId="{10F0B245-F180-43DE-8D0C-08705F39BFA5}">
      <dgm:prSet/>
      <dgm:spPr/>
      <dgm:t>
        <a:bodyPr/>
        <a:lstStyle/>
        <a:p>
          <a:endParaRPr lang="en-IN"/>
        </a:p>
      </dgm:t>
    </dgm:pt>
    <dgm:pt modelId="{0170B31C-9A99-449D-BBB8-D5D82BCE3E9A}">
      <dgm:prSet custT="1"/>
      <dgm:spPr/>
      <dgm:t>
        <a:bodyPr/>
        <a:lstStyle/>
        <a:p>
          <a:pPr algn="l">
            <a:buNone/>
          </a:pPr>
          <a:r>
            <a:rPr lang="en-IN" sz="600">
              <a:latin typeface="Times New Roman" panose="02020603050405020304" pitchFamily="18" charset="0"/>
              <a:cs typeface="Times New Roman" panose="02020603050405020304" pitchFamily="18" charset="0"/>
            </a:rPr>
            <a:t>Revenue growth rate</a:t>
          </a:r>
        </a:p>
      </dgm:t>
    </dgm:pt>
    <dgm:pt modelId="{9D46C164-18DD-4C30-B4D6-E6398D8B47D8}" type="sibTrans" cxnId="{9B2C2F91-2F0D-4827-BDD9-A4550117554E}">
      <dgm:prSet/>
      <dgm:spPr/>
      <dgm:t>
        <a:bodyPr/>
        <a:lstStyle/>
        <a:p>
          <a:endParaRPr lang="en-IN"/>
        </a:p>
      </dgm:t>
    </dgm:pt>
    <dgm:pt modelId="{940E68E9-728C-4DEF-8440-FA407ADF723F}" type="parTrans" cxnId="{9B2C2F91-2F0D-4827-BDD9-A4550117554E}">
      <dgm:prSet/>
      <dgm:spPr/>
      <dgm:t>
        <a:bodyPr/>
        <a:lstStyle/>
        <a:p>
          <a:endParaRPr lang="en-IN"/>
        </a:p>
      </dgm:t>
    </dgm:pt>
    <dgm:pt modelId="{C94058CC-0A55-469F-BBFE-1D7D5DDB3230}">
      <dgm:prSet phldrT="[Text]" custT="1"/>
      <dgm:spPr/>
      <dgm:t>
        <a:bodyPr/>
        <a:lstStyle/>
        <a:p>
          <a:pPr algn="l">
            <a:buNone/>
          </a:pPr>
          <a:r>
            <a:rPr lang="en-IN" sz="600">
              <a:latin typeface="Times New Roman" panose="02020603050405020304" pitchFamily="18" charset="0"/>
              <a:cs typeface="Times New Roman" panose="02020603050405020304" pitchFamily="18" charset="0"/>
            </a:rPr>
            <a:t>Operating profit margin</a:t>
          </a:r>
        </a:p>
      </dgm:t>
    </dgm:pt>
    <dgm:pt modelId="{8922E382-E6E3-4E59-BA0C-04A25E04647E}" type="sibTrans" cxnId="{27938B29-00EC-4436-8962-7FC34EF62AAC}">
      <dgm:prSet/>
      <dgm:spPr/>
      <dgm:t>
        <a:bodyPr/>
        <a:lstStyle/>
        <a:p>
          <a:endParaRPr lang="en-IN"/>
        </a:p>
      </dgm:t>
    </dgm:pt>
    <dgm:pt modelId="{8BF7147C-02C2-4F09-B453-98D08FFE8D7A}" type="parTrans" cxnId="{27938B29-00EC-4436-8962-7FC34EF62AAC}">
      <dgm:prSet/>
      <dgm:spPr/>
      <dgm:t>
        <a:bodyPr/>
        <a:lstStyle/>
        <a:p>
          <a:endParaRPr lang="en-IN"/>
        </a:p>
      </dgm:t>
    </dgm:pt>
    <dgm:pt modelId="{6FF5A164-B32E-4F93-A052-1FF881D0360F}">
      <dgm:prSet phldrT="[Text]" custT="1"/>
      <dgm:spPr/>
      <dgm:t>
        <a:bodyPr/>
        <a:lstStyle/>
        <a:p>
          <a:pPr algn="l">
            <a:buNone/>
          </a:pPr>
          <a:r>
            <a:rPr lang="en-IN" sz="600">
              <a:latin typeface="Times New Roman" panose="02020603050405020304" pitchFamily="18" charset="0"/>
              <a:cs typeface="Times New Roman" panose="02020603050405020304" pitchFamily="18" charset="0"/>
            </a:rPr>
            <a:t>Return on Capital Employed</a:t>
          </a:r>
        </a:p>
      </dgm:t>
    </dgm:pt>
    <dgm:pt modelId="{9C1ADC7F-268B-4DBB-8FE8-E537CA5E6BBC}" type="parTrans" cxnId="{C42CE468-5BDA-4403-A3D3-E3C31F30723B}">
      <dgm:prSet/>
      <dgm:spPr/>
      <dgm:t>
        <a:bodyPr/>
        <a:lstStyle/>
        <a:p>
          <a:endParaRPr lang="en-IN"/>
        </a:p>
      </dgm:t>
    </dgm:pt>
    <dgm:pt modelId="{DF2E1165-DDE7-4363-9A39-1B99E8B28226}" type="sibTrans" cxnId="{C42CE468-5BDA-4403-A3D3-E3C31F30723B}">
      <dgm:prSet/>
      <dgm:spPr/>
      <dgm:t>
        <a:bodyPr/>
        <a:lstStyle/>
        <a:p>
          <a:endParaRPr lang="en-IN"/>
        </a:p>
      </dgm:t>
    </dgm:pt>
    <dgm:pt modelId="{9A32B624-F122-4A90-B6AA-DCE5D5199F77}">
      <dgm:prSet phldrT="[Text]" custT="1"/>
      <dgm:spPr/>
      <dgm:t>
        <a:bodyPr/>
        <a:lstStyle/>
        <a:p>
          <a:r>
            <a:rPr lang="en-IN" sz="550" b="1">
              <a:latin typeface="Times New Roman" panose="02020603050405020304" pitchFamily="18" charset="0"/>
              <a:cs typeface="Times New Roman" panose="02020603050405020304" pitchFamily="18" charset="0"/>
            </a:rPr>
            <a:t>KPIs: </a:t>
          </a:r>
        </a:p>
      </dgm:t>
    </dgm:pt>
    <dgm:pt modelId="{67E1C8AB-7056-4413-AF8E-7694868965D4}" type="parTrans" cxnId="{FB004256-0FA7-4892-B9A6-7515EF4494B8}">
      <dgm:prSet/>
      <dgm:spPr/>
      <dgm:t>
        <a:bodyPr/>
        <a:lstStyle/>
        <a:p>
          <a:endParaRPr lang="en-IN"/>
        </a:p>
      </dgm:t>
    </dgm:pt>
    <dgm:pt modelId="{B47CA60C-EBD2-4A8A-9A1E-B2ED74CAD3F4}" type="sibTrans" cxnId="{FB004256-0FA7-4892-B9A6-7515EF4494B8}">
      <dgm:prSet/>
      <dgm:spPr/>
      <dgm:t>
        <a:bodyPr/>
        <a:lstStyle/>
        <a:p>
          <a:endParaRPr lang="en-IN"/>
        </a:p>
      </dgm:t>
    </dgm:pt>
    <dgm:pt modelId="{E4F4EEC1-C3B4-42EA-948B-B3FA98166807}">
      <dgm:prSet phldrT="[Text]" custT="1"/>
      <dgm:spPr/>
      <dgm:t>
        <a:bodyPr/>
        <a:lstStyle/>
        <a:p>
          <a:pPr>
            <a:buNone/>
          </a:pPr>
          <a:r>
            <a:rPr lang="en-IN" sz="550">
              <a:latin typeface="Times New Roman" panose="02020603050405020304" pitchFamily="18" charset="0"/>
              <a:cs typeface="Times New Roman" panose="02020603050405020304" pitchFamily="18" charset="0"/>
            </a:rPr>
            <a:t>Customer satisfaction score</a:t>
          </a:r>
        </a:p>
      </dgm:t>
    </dgm:pt>
    <dgm:pt modelId="{54FABC63-E08C-4903-AC60-A6AC94ADB876}" type="parTrans" cxnId="{AC0BF9C9-F589-41C4-B2A8-80E3BB517970}">
      <dgm:prSet/>
      <dgm:spPr/>
      <dgm:t>
        <a:bodyPr/>
        <a:lstStyle/>
        <a:p>
          <a:endParaRPr lang="en-IN"/>
        </a:p>
      </dgm:t>
    </dgm:pt>
    <dgm:pt modelId="{DF8EFFA8-EC91-42B9-98DA-65592650998E}" type="sibTrans" cxnId="{AC0BF9C9-F589-41C4-B2A8-80E3BB517970}">
      <dgm:prSet/>
      <dgm:spPr/>
      <dgm:t>
        <a:bodyPr/>
        <a:lstStyle/>
        <a:p>
          <a:endParaRPr lang="en-IN"/>
        </a:p>
      </dgm:t>
    </dgm:pt>
    <dgm:pt modelId="{6E01E9DB-33F3-4FD7-8807-D5A7AD84626A}">
      <dgm:prSet custT="1"/>
      <dgm:spPr/>
      <dgm:t>
        <a:bodyPr/>
        <a:lstStyle/>
        <a:p>
          <a:pPr>
            <a:buNone/>
          </a:pPr>
          <a:r>
            <a:rPr lang="en-IN" sz="550">
              <a:latin typeface="Times New Roman" panose="02020603050405020304" pitchFamily="18" charset="0"/>
              <a:cs typeface="Times New Roman" panose="02020603050405020304" pitchFamily="18" charset="0"/>
            </a:rPr>
            <a:t>Net Promoter Score</a:t>
          </a:r>
        </a:p>
      </dgm:t>
    </dgm:pt>
    <dgm:pt modelId="{6AA4F808-780F-4E0A-88FC-CB0ADA442789}" type="parTrans" cxnId="{1D9D5A31-1B8A-4B87-9922-30B5E6A8CEE0}">
      <dgm:prSet/>
      <dgm:spPr/>
      <dgm:t>
        <a:bodyPr/>
        <a:lstStyle/>
        <a:p>
          <a:endParaRPr lang="en-IN"/>
        </a:p>
      </dgm:t>
    </dgm:pt>
    <dgm:pt modelId="{97746211-B5EB-44DF-B8E1-8E8E2D0D0491}" type="sibTrans" cxnId="{1D9D5A31-1B8A-4B87-9922-30B5E6A8CEE0}">
      <dgm:prSet/>
      <dgm:spPr/>
      <dgm:t>
        <a:bodyPr/>
        <a:lstStyle/>
        <a:p>
          <a:endParaRPr lang="en-IN"/>
        </a:p>
      </dgm:t>
    </dgm:pt>
    <dgm:pt modelId="{8C219377-4D61-43D6-B7DF-928BE6DA71F1}">
      <dgm:prSet custT="1"/>
      <dgm:spPr/>
      <dgm:t>
        <a:bodyPr/>
        <a:lstStyle/>
        <a:p>
          <a:pPr>
            <a:buNone/>
          </a:pPr>
          <a:r>
            <a:rPr lang="en-IN" sz="550">
              <a:latin typeface="Times New Roman" panose="02020603050405020304" pitchFamily="18" charset="0"/>
              <a:cs typeface="Times New Roman" panose="02020603050405020304" pitchFamily="18" charset="0"/>
            </a:rPr>
            <a:t>Nectar loyalty engagement</a:t>
          </a:r>
        </a:p>
      </dgm:t>
    </dgm:pt>
    <dgm:pt modelId="{AAC6136D-A607-408C-902D-F8E51612859D}" type="parTrans" cxnId="{02D30C18-4B85-485F-9295-4EA175220E19}">
      <dgm:prSet/>
      <dgm:spPr/>
      <dgm:t>
        <a:bodyPr/>
        <a:lstStyle/>
        <a:p>
          <a:endParaRPr lang="en-IN"/>
        </a:p>
      </dgm:t>
    </dgm:pt>
    <dgm:pt modelId="{1F5995F7-4B5C-4F1E-A11F-69F5C7378251}" type="sibTrans" cxnId="{02D30C18-4B85-485F-9295-4EA175220E19}">
      <dgm:prSet/>
      <dgm:spPr/>
      <dgm:t>
        <a:bodyPr/>
        <a:lstStyle/>
        <a:p>
          <a:endParaRPr lang="en-IN"/>
        </a:p>
      </dgm:t>
    </dgm:pt>
    <dgm:pt modelId="{AB708FDE-6991-4E96-AB6E-3FEB74E0ED34}">
      <dgm:prSet custT="1"/>
      <dgm:spPr/>
      <dgm:t>
        <a:bodyPr/>
        <a:lstStyle/>
        <a:p>
          <a:pPr>
            <a:buNone/>
          </a:pPr>
          <a:r>
            <a:rPr lang="en-IN" sz="550">
              <a:latin typeface="Times New Roman" panose="02020603050405020304" pitchFamily="18" charset="0"/>
              <a:cs typeface="Times New Roman" panose="02020603050405020304" pitchFamily="18" charset="0"/>
            </a:rPr>
            <a:t>Market share in UK</a:t>
          </a:r>
        </a:p>
      </dgm:t>
    </dgm:pt>
    <dgm:pt modelId="{DCEB3572-878B-4662-958B-56979DBA15C3}" type="parTrans" cxnId="{E1DFDCAF-8977-4069-9DBA-C1271971C20F}">
      <dgm:prSet/>
      <dgm:spPr/>
      <dgm:t>
        <a:bodyPr/>
        <a:lstStyle/>
        <a:p>
          <a:endParaRPr lang="en-IN"/>
        </a:p>
      </dgm:t>
    </dgm:pt>
    <dgm:pt modelId="{25CD3FAA-7C29-4337-890D-FA77EC2ACE45}" type="sibTrans" cxnId="{E1DFDCAF-8977-4069-9DBA-C1271971C20F}">
      <dgm:prSet/>
      <dgm:spPr/>
      <dgm:t>
        <a:bodyPr/>
        <a:lstStyle/>
        <a:p>
          <a:endParaRPr lang="en-IN"/>
        </a:p>
      </dgm:t>
    </dgm:pt>
    <dgm:pt modelId="{D6846A11-39AF-47AF-B3A9-C7A005AD2244}">
      <dgm:prSet phldrT="[Text]" custT="1"/>
      <dgm:spPr/>
      <dgm:t>
        <a:bodyPr/>
        <a:lstStyle/>
        <a:p>
          <a:r>
            <a:rPr lang="en-IN" sz="600" b="1">
              <a:latin typeface="Times New Roman" panose="02020603050405020304" pitchFamily="18" charset="0"/>
              <a:cs typeface="Times New Roman" panose="02020603050405020304" pitchFamily="18" charset="0"/>
            </a:rPr>
            <a:t>KPIs: </a:t>
          </a:r>
          <a:r>
            <a:rPr lang="en-IN" sz="600">
              <a:latin typeface="Times New Roman" panose="02020603050405020304" pitchFamily="18" charset="0"/>
              <a:cs typeface="Times New Roman" panose="02020603050405020304" pitchFamily="18" charset="0"/>
            </a:rPr>
            <a:t>Inventory turnover ratio</a:t>
          </a:r>
        </a:p>
      </dgm:t>
    </dgm:pt>
    <dgm:pt modelId="{7AAFE756-0F3A-4B32-BBDA-B2384BFAF505}" type="parTrans" cxnId="{6FE49360-DE4E-4B96-91B9-D9B0F35E4CC2}">
      <dgm:prSet/>
      <dgm:spPr/>
      <dgm:t>
        <a:bodyPr/>
        <a:lstStyle/>
        <a:p>
          <a:endParaRPr lang="en-IN"/>
        </a:p>
      </dgm:t>
    </dgm:pt>
    <dgm:pt modelId="{01DB4A4D-B0CF-431C-896D-330AC1F36EB3}" type="sibTrans" cxnId="{6FE49360-DE4E-4B96-91B9-D9B0F35E4CC2}">
      <dgm:prSet/>
      <dgm:spPr/>
      <dgm:t>
        <a:bodyPr/>
        <a:lstStyle/>
        <a:p>
          <a:endParaRPr lang="en-IN"/>
        </a:p>
      </dgm:t>
    </dgm:pt>
    <dgm:pt modelId="{3BE483C8-8750-4E03-BB50-760888C81C32}">
      <dgm:prSet custT="1"/>
      <dgm:spPr/>
      <dgm:t>
        <a:bodyPr/>
        <a:lstStyle/>
        <a:p>
          <a:pPr>
            <a:buNone/>
          </a:pPr>
          <a:r>
            <a:rPr lang="en-IN" sz="600">
              <a:latin typeface="Times New Roman" panose="02020603050405020304" pitchFamily="18" charset="0"/>
              <a:cs typeface="Times New Roman" panose="02020603050405020304" pitchFamily="18" charset="0"/>
            </a:rPr>
            <a:t>Stock availability rate</a:t>
          </a:r>
        </a:p>
      </dgm:t>
    </dgm:pt>
    <dgm:pt modelId="{F79A1D29-FFA4-4156-9519-427C6B729900}" type="parTrans" cxnId="{DB802264-687A-4578-9D5C-788A212BA8AA}">
      <dgm:prSet/>
      <dgm:spPr/>
      <dgm:t>
        <a:bodyPr/>
        <a:lstStyle/>
        <a:p>
          <a:endParaRPr lang="en-IN"/>
        </a:p>
      </dgm:t>
    </dgm:pt>
    <dgm:pt modelId="{8AACAD1C-F53F-4258-93F6-A94C57ECD824}" type="sibTrans" cxnId="{DB802264-687A-4578-9D5C-788A212BA8AA}">
      <dgm:prSet/>
      <dgm:spPr/>
      <dgm:t>
        <a:bodyPr/>
        <a:lstStyle/>
        <a:p>
          <a:endParaRPr lang="en-IN"/>
        </a:p>
      </dgm:t>
    </dgm:pt>
    <dgm:pt modelId="{EACF1355-8FF7-4A72-AC8F-2E579E9E5F49}">
      <dgm:prSet custT="1"/>
      <dgm:spPr/>
      <dgm:t>
        <a:bodyPr/>
        <a:lstStyle/>
        <a:p>
          <a:pPr>
            <a:buNone/>
          </a:pPr>
          <a:r>
            <a:rPr lang="en-IN" sz="600">
              <a:latin typeface="Times New Roman" panose="02020603050405020304" pitchFamily="18" charset="0"/>
              <a:cs typeface="Times New Roman" panose="02020603050405020304" pitchFamily="18" charset="0"/>
            </a:rPr>
            <a:t>Order fulfilment accuracy</a:t>
          </a:r>
        </a:p>
      </dgm:t>
    </dgm:pt>
    <dgm:pt modelId="{BC855863-1857-4BA8-A95C-9F7B602F4D31}" type="parTrans" cxnId="{6A78C62C-C876-4393-8759-8AC89EE7A4F5}">
      <dgm:prSet/>
      <dgm:spPr/>
      <dgm:t>
        <a:bodyPr/>
        <a:lstStyle/>
        <a:p>
          <a:endParaRPr lang="en-IN"/>
        </a:p>
      </dgm:t>
    </dgm:pt>
    <dgm:pt modelId="{5AAC29BE-02AA-4376-875A-87A5607877F4}" type="sibTrans" cxnId="{6A78C62C-C876-4393-8759-8AC89EE7A4F5}">
      <dgm:prSet/>
      <dgm:spPr/>
      <dgm:t>
        <a:bodyPr/>
        <a:lstStyle/>
        <a:p>
          <a:endParaRPr lang="en-IN"/>
        </a:p>
      </dgm:t>
    </dgm:pt>
    <dgm:pt modelId="{D263347F-2C9A-4857-BCBB-53A6F8E9665D}">
      <dgm:prSet custT="1"/>
      <dgm:spPr/>
      <dgm:t>
        <a:bodyPr/>
        <a:lstStyle/>
        <a:p>
          <a:pPr>
            <a:buNone/>
          </a:pPr>
          <a:r>
            <a:rPr lang="en-IN" sz="600">
              <a:latin typeface="Times New Roman" panose="02020603050405020304" pitchFamily="18" charset="0"/>
              <a:cs typeface="Times New Roman" panose="02020603050405020304" pitchFamily="18" charset="0"/>
            </a:rPr>
            <a:t>Supply chain delivery time</a:t>
          </a:r>
        </a:p>
      </dgm:t>
    </dgm:pt>
    <dgm:pt modelId="{8D0785F1-F620-4221-BFCB-C9D87F98A10E}" type="parTrans" cxnId="{189568AA-7C41-4A24-B1F2-E8131BB95D1B}">
      <dgm:prSet/>
      <dgm:spPr/>
      <dgm:t>
        <a:bodyPr/>
        <a:lstStyle/>
        <a:p>
          <a:endParaRPr lang="en-IN"/>
        </a:p>
      </dgm:t>
    </dgm:pt>
    <dgm:pt modelId="{75F1B297-4F11-44DF-9F09-2A1D0EC1F4A3}" type="sibTrans" cxnId="{189568AA-7C41-4A24-B1F2-E8131BB95D1B}">
      <dgm:prSet/>
      <dgm:spPr/>
      <dgm:t>
        <a:bodyPr/>
        <a:lstStyle/>
        <a:p>
          <a:endParaRPr lang="en-IN"/>
        </a:p>
      </dgm:t>
    </dgm:pt>
    <dgm:pt modelId="{439EA294-D142-45D0-BE20-F96BC2979A29}">
      <dgm:prSet custT="1"/>
      <dgm:spPr/>
      <dgm:t>
        <a:bodyPr/>
        <a:lstStyle/>
        <a:p>
          <a:pPr>
            <a:buNone/>
          </a:pPr>
          <a:r>
            <a:rPr lang="en-IN" sz="600">
              <a:latin typeface="Times New Roman" panose="02020603050405020304" pitchFamily="18" charset="0"/>
              <a:cs typeface="Times New Roman" panose="02020603050405020304" pitchFamily="18" charset="0"/>
            </a:rPr>
            <a:t>Food waste reduction</a:t>
          </a:r>
        </a:p>
      </dgm:t>
    </dgm:pt>
    <dgm:pt modelId="{AFCD5E87-A188-48ED-855B-46DFC7E5D93E}" type="parTrans" cxnId="{8D3C123D-A010-4058-B83D-755A6EBBB0E4}">
      <dgm:prSet/>
      <dgm:spPr/>
      <dgm:t>
        <a:bodyPr/>
        <a:lstStyle/>
        <a:p>
          <a:endParaRPr lang="en-IN"/>
        </a:p>
      </dgm:t>
    </dgm:pt>
    <dgm:pt modelId="{D7E85D7D-72B2-4A63-B6EA-9981549D9A00}" type="sibTrans" cxnId="{8D3C123D-A010-4058-B83D-755A6EBBB0E4}">
      <dgm:prSet/>
      <dgm:spPr/>
      <dgm:t>
        <a:bodyPr/>
        <a:lstStyle/>
        <a:p>
          <a:endParaRPr lang="en-IN"/>
        </a:p>
      </dgm:t>
    </dgm:pt>
    <dgm:pt modelId="{AD5E2FA6-8C36-446A-B0B3-76C294182CA6}">
      <dgm:prSet phldrT="[Text]" custT="1"/>
      <dgm:spPr/>
      <dgm:t>
        <a:bodyPr/>
        <a:lstStyle/>
        <a:p>
          <a:r>
            <a:rPr lang="en-IN" sz="600" b="1">
              <a:latin typeface="Times New Roman" panose="02020603050405020304" pitchFamily="18" charset="0"/>
              <a:cs typeface="Times New Roman" panose="02020603050405020304" pitchFamily="18" charset="0"/>
            </a:rPr>
            <a:t>Objective - </a:t>
          </a:r>
          <a:r>
            <a:rPr lang="en-IN" sz="600">
              <a:latin typeface="Times New Roman" panose="02020603050405020304" pitchFamily="18" charset="0"/>
              <a:cs typeface="Times New Roman" panose="02020603050405020304" pitchFamily="18" charset="0"/>
            </a:rPr>
            <a:t>Enhance operational efficiency and supply chain performance</a:t>
          </a:r>
        </a:p>
      </dgm:t>
    </dgm:pt>
    <dgm:pt modelId="{58F07C89-FC26-4E5F-ACEB-EE57365728F6}" type="sibTrans" cxnId="{9419139D-A376-4D38-A51A-3A3070C52D1D}">
      <dgm:prSet/>
      <dgm:spPr/>
      <dgm:t>
        <a:bodyPr/>
        <a:lstStyle/>
        <a:p>
          <a:endParaRPr lang="en-IN"/>
        </a:p>
      </dgm:t>
    </dgm:pt>
    <dgm:pt modelId="{C4E860DF-D6D3-40EB-B38F-33BFC1BE3F9A}" type="parTrans" cxnId="{9419139D-A376-4D38-A51A-3A3070C52D1D}">
      <dgm:prSet/>
      <dgm:spPr/>
      <dgm:t>
        <a:bodyPr/>
        <a:lstStyle/>
        <a:p>
          <a:endParaRPr lang="en-IN"/>
        </a:p>
      </dgm:t>
    </dgm:pt>
    <dgm:pt modelId="{95E58C2E-5523-4E2C-BB69-FFFD1E8E7950}">
      <dgm:prSet phldrT="[Text]" custT="1"/>
      <dgm:spPr/>
      <dgm:t>
        <a:bodyPr/>
        <a:lstStyle/>
        <a:p>
          <a:r>
            <a:rPr lang="en-IN" sz="550" b="1">
              <a:latin typeface="Times New Roman" panose="02020603050405020304" pitchFamily="18" charset="0"/>
              <a:cs typeface="Times New Roman" panose="02020603050405020304" pitchFamily="18" charset="0"/>
            </a:rPr>
            <a:t>KPIs:</a:t>
          </a:r>
        </a:p>
      </dgm:t>
    </dgm:pt>
    <dgm:pt modelId="{714B1630-D3D2-4C02-92F9-4EA04765A21E}" type="parTrans" cxnId="{F7EA4476-D95B-489E-9CBA-D076E8DF1406}">
      <dgm:prSet/>
      <dgm:spPr/>
      <dgm:t>
        <a:bodyPr/>
        <a:lstStyle/>
        <a:p>
          <a:endParaRPr lang="en-IN"/>
        </a:p>
      </dgm:t>
    </dgm:pt>
    <dgm:pt modelId="{233E8D80-E672-4FD0-B313-71EEB723F938}" type="sibTrans" cxnId="{F7EA4476-D95B-489E-9CBA-D076E8DF1406}">
      <dgm:prSet/>
      <dgm:spPr/>
      <dgm:t>
        <a:bodyPr/>
        <a:lstStyle/>
        <a:p>
          <a:endParaRPr lang="en-IN"/>
        </a:p>
      </dgm:t>
    </dgm:pt>
    <dgm:pt modelId="{E10BA322-3EBE-4BA2-AC43-3ADC0874E586}">
      <dgm:prSet phldrT="[Text]" custT="1"/>
      <dgm:spPr/>
      <dgm:t>
        <a:bodyPr/>
        <a:lstStyle/>
        <a:p>
          <a:pPr>
            <a:buNone/>
          </a:pPr>
          <a:r>
            <a:rPr lang="en-IN" sz="550">
              <a:latin typeface="Times New Roman" panose="02020603050405020304" pitchFamily="18" charset="0"/>
              <a:cs typeface="Times New Roman" panose="02020603050405020304" pitchFamily="18" charset="0"/>
            </a:rPr>
            <a:t>Employee training hours</a:t>
          </a:r>
        </a:p>
      </dgm:t>
    </dgm:pt>
    <dgm:pt modelId="{5B763DAA-622D-4BCF-BAD8-CA35CAF5E588}" type="parTrans" cxnId="{5AEBDE75-D6D8-45CC-83A0-2622810200D7}">
      <dgm:prSet/>
      <dgm:spPr/>
      <dgm:t>
        <a:bodyPr/>
        <a:lstStyle/>
        <a:p>
          <a:endParaRPr lang="en-IN"/>
        </a:p>
      </dgm:t>
    </dgm:pt>
    <dgm:pt modelId="{9C7F0185-20DC-48ED-84EA-FE56067388C5}" type="sibTrans" cxnId="{5AEBDE75-D6D8-45CC-83A0-2622810200D7}">
      <dgm:prSet/>
      <dgm:spPr/>
      <dgm:t>
        <a:bodyPr/>
        <a:lstStyle/>
        <a:p>
          <a:endParaRPr lang="en-IN"/>
        </a:p>
      </dgm:t>
    </dgm:pt>
    <dgm:pt modelId="{B6393E84-2112-4DB7-9CC1-3372612EAF13}">
      <dgm:prSet custT="1"/>
      <dgm:spPr/>
      <dgm:t>
        <a:bodyPr/>
        <a:lstStyle/>
        <a:p>
          <a:pPr>
            <a:buNone/>
          </a:pPr>
          <a:r>
            <a:rPr lang="en-IN" sz="550">
              <a:latin typeface="Times New Roman" panose="02020603050405020304" pitchFamily="18" charset="0"/>
              <a:cs typeface="Times New Roman" panose="02020603050405020304" pitchFamily="18" charset="0"/>
            </a:rPr>
            <a:t>Employee engagement</a:t>
          </a:r>
        </a:p>
      </dgm:t>
    </dgm:pt>
    <dgm:pt modelId="{290F0EFE-AE4F-499C-A58D-3CC6614654EF}" type="parTrans" cxnId="{4D2667A4-2A5E-4F6F-9378-B1CA2ED4447E}">
      <dgm:prSet/>
      <dgm:spPr/>
      <dgm:t>
        <a:bodyPr/>
        <a:lstStyle/>
        <a:p>
          <a:endParaRPr lang="en-IN"/>
        </a:p>
      </dgm:t>
    </dgm:pt>
    <dgm:pt modelId="{48617836-A482-474D-A820-27D3552E9F66}" type="sibTrans" cxnId="{4D2667A4-2A5E-4F6F-9378-B1CA2ED4447E}">
      <dgm:prSet/>
      <dgm:spPr/>
      <dgm:t>
        <a:bodyPr/>
        <a:lstStyle/>
        <a:p>
          <a:endParaRPr lang="en-IN"/>
        </a:p>
      </dgm:t>
    </dgm:pt>
    <dgm:pt modelId="{42F7E5BA-B288-404E-8D58-651A7C073B44}">
      <dgm:prSet custT="1"/>
      <dgm:spPr/>
      <dgm:t>
        <a:bodyPr/>
        <a:lstStyle/>
        <a:p>
          <a:pPr>
            <a:buNone/>
          </a:pPr>
          <a:r>
            <a:rPr lang="en-IN" sz="550">
              <a:latin typeface="Times New Roman" panose="02020603050405020304" pitchFamily="18" charset="0"/>
              <a:cs typeface="Times New Roman" panose="02020603050405020304" pitchFamily="18" charset="0"/>
            </a:rPr>
            <a:t>Staff turnover rate </a:t>
          </a:r>
        </a:p>
      </dgm:t>
    </dgm:pt>
    <dgm:pt modelId="{31D7D210-E468-48E7-810D-BCAE8F5F2A0C}" type="parTrans" cxnId="{AC434C25-0C59-44BD-9114-C39838C56CC2}">
      <dgm:prSet/>
      <dgm:spPr/>
      <dgm:t>
        <a:bodyPr/>
        <a:lstStyle/>
        <a:p>
          <a:endParaRPr lang="en-IN"/>
        </a:p>
      </dgm:t>
    </dgm:pt>
    <dgm:pt modelId="{49E29CAB-28FB-4BDA-970D-6B7EA324563B}" type="sibTrans" cxnId="{AC434C25-0C59-44BD-9114-C39838C56CC2}">
      <dgm:prSet/>
      <dgm:spPr/>
      <dgm:t>
        <a:bodyPr/>
        <a:lstStyle/>
        <a:p>
          <a:endParaRPr lang="en-IN"/>
        </a:p>
      </dgm:t>
    </dgm:pt>
    <dgm:pt modelId="{E0FEF724-536D-41B3-A806-15F8886B0E9B}">
      <dgm:prSet custT="1"/>
      <dgm:spPr/>
      <dgm:t>
        <a:bodyPr/>
        <a:lstStyle/>
        <a:p>
          <a:pPr>
            <a:buNone/>
          </a:pPr>
          <a:r>
            <a:rPr lang="en-IN" sz="550">
              <a:latin typeface="Times New Roman" panose="02020603050405020304" pitchFamily="18" charset="0"/>
              <a:cs typeface="Times New Roman" panose="02020603050405020304" pitchFamily="18" charset="0"/>
            </a:rPr>
            <a:t>Investment in technology and</a:t>
          </a:r>
        </a:p>
      </dgm:t>
    </dgm:pt>
    <dgm:pt modelId="{B61DE765-0645-43F7-A977-6BE201E15D5F}" type="parTrans" cxnId="{C7819B9C-B298-47B0-8F2A-0E92F954D866}">
      <dgm:prSet/>
      <dgm:spPr/>
      <dgm:t>
        <a:bodyPr/>
        <a:lstStyle/>
        <a:p>
          <a:endParaRPr lang="en-IN"/>
        </a:p>
      </dgm:t>
    </dgm:pt>
    <dgm:pt modelId="{81F4F594-5080-4BD4-AFC0-0FC1F3E43265}" type="sibTrans" cxnId="{C7819B9C-B298-47B0-8F2A-0E92F954D866}">
      <dgm:prSet/>
      <dgm:spPr/>
      <dgm:t>
        <a:bodyPr/>
        <a:lstStyle/>
        <a:p>
          <a:endParaRPr lang="en-IN"/>
        </a:p>
      </dgm:t>
    </dgm:pt>
    <dgm:pt modelId="{F1B1F3D3-3A27-4D2A-99DD-683079324D01}">
      <dgm:prSet custT="1"/>
      <dgm:spPr/>
      <dgm:t>
        <a:bodyPr/>
        <a:lstStyle/>
        <a:p>
          <a:pPr>
            <a:buNone/>
          </a:pPr>
          <a:r>
            <a:rPr lang="en-IN" sz="550">
              <a:latin typeface="Times New Roman" panose="02020603050405020304" pitchFamily="18" charset="0"/>
              <a:cs typeface="Times New Roman" panose="02020603050405020304" pitchFamily="18" charset="0"/>
            </a:rPr>
            <a:t>innovation</a:t>
          </a:r>
        </a:p>
      </dgm:t>
    </dgm:pt>
    <dgm:pt modelId="{0D094473-9EF7-472D-A884-D289557D0EAD}" type="parTrans" cxnId="{EF809D70-609A-493B-8EE8-89376C26C062}">
      <dgm:prSet/>
      <dgm:spPr/>
      <dgm:t>
        <a:bodyPr/>
        <a:lstStyle/>
        <a:p>
          <a:endParaRPr lang="en-IN"/>
        </a:p>
      </dgm:t>
    </dgm:pt>
    <dgm:pt modelId="{C7F66961-5CA8-4E0D-AC29-CD48B8D0CD2C}" type="sibTrans" cxnId="{EF809D70-609A-493B-8EE8-89376C26C062}">
      <dgm:prSet/>
      <dgm:spPr/>
      <dgm:t>
        <a:bodyPr/>
        <a:lstStyle/>
        <a:p>
          <a:endParaRPr lang="en-IN"/>
        </a:p>
      </dgm:t>
    </dgm:pt>
    <dgm:pt modelId="{2642756C-8555-405A-8419-354244AC4218}" type="pres">
      <dgm:prSet presAssocID="{2D85CA52-A12F-4092-9A14-33209A7A1DCC}" presName="cycleMatrixDiagram" presStyleCnt="0">
        <dgm:presLayoutVars>
          <dgm:chMax val="1"/>
          <dgm:dir/>
          <dgm:animLvl val="lvl"/>
          <dgm:resizeHandles val="exact"/>
        </dgm:presLayoutVars>
      </dgm:prSet>
      <dgm:spPr/>
    </dgm:pt>
    <dgm:pt modelId="{6FE5DC1F-A76C-40EE-A870-76F399F1D004}" type="pres">
      <dgm:prSet presAssocID="{2D85CA52-A12F-4092-9A14-33209A7A1DCC}" presName="children" presStyleCnt="0"/>
      <dgm:spPr/>
    </dgm:pt>
    <dgm:pt modelId="{18AD638F-4145-4A22-8512-34BE80C34F02}" type="pres">
      <dgm:prSet presAssocID="{2D85CA52-A12F-4092-9A14-33209A7A1DCC}" presName="child1group" presStyleCnt="0"/>
      <dgm:spPr/>
    </dgm:pt>
    <dgm:pt modelId="{89E33A3E-E749-4115-9574-6868075BEBE6}" type="pres">
      <dgm:prSet presAssocID="{2D85CA52-A12F-4092-9A14-33209A7A1DCC}" presName="child1" presStyleLbl="bgAcc1" presStyleIdx="0" presStyleCnt="4"/>
      <dgm:spPr/>
    </dgm:pt>
    <dgm:pt modelId="{506074BC-B811-4359-A7FD-11BCFBE73CFD}" type="pres">
      <dgm:prSet presAssocID="{2D85CA52-A12F-4092-9A14-33209A7A1DCC}" presName="child1Text" presStyleLbl="bgAcc1" presStyleIdx="0" presStyleCnt="4">
        <dgm:presLayoutVars>
          <dgm:bulletEnabled val="1"/>
        </dgm:presLayoutVars>
      </dgm:prSet>
      <dgm:spPr/>
    </dgm:pt>
    <dgm:pt modelId="{B4084D2A-AD47-4DEF-A2ED-0272633EB5F9}" type="pres">
      <dgm:prSet presAssocID="{2D85CA52-A12F-4092-9A14-33209A7A1DCC}" presName="child2group" presStyleCnt="0"/>
      <dgm:spPr/>
    </dgm:pt>
    <dgm:pt modelId="{4899B896-5F76-4E8C-8E78-F37B0D453030}" type="pres">
      <dgm:prSet presAssocID="{2D85CA52-A12F-4092-9A14-33209A7A1DCC}" presName="child2" presStyleLbl="bgAcc1" presStyleIdx="1" presStyleCnt="4" custScaleX="99962"/>
      <dgm:spPr/>
    </dgm:pt>
    <dgm:pt modelId="{3B4BAE00-FBEC-41F3-8E58-6D0297E890A8}" type="pres">
      <dgm:prSet presAssocID="{2D85CA52-A12F-4092-9A14-33209A7A1DCC}" presName="child2Text" presStyleLbl="bgAcc1" presStyleIdx="1" presStyleCnt="4">
        <dgm:presLayoutVars>
          <dgm:bulletEnabled val="1"/>
        </dgm:presLayoutVars>
      </dgm:prSet>
      <dgm:spPr/>
    </dgm:pt>
    <dgm:pt modelId="{AFDB0F60-8C8C-42F0-917C-483BE72FC0DF}" type="pres">
      <dgm:prSet presAssocID="{2D85CA52-A12F-4092-9A14-33209A7A1DCC}" presName="child3group" presStyleCnt="0"/>
      <dgm:spPr/>
    </dgm:pt>
    <dgm:pt modelId="{5FDEF46D-BDA6-4E37-B78C-EDC8543DA3FF}" type="pres">
      <dgm:prSet presAssocID="{2D85CA52-A12F-4092-9A14-33209A7A1DCC}" presName="child3" presStyleLbl="bgAcc1" presStyleIdx="2" presStyleCnt="4"/>
      <dgm:spPr/>
    </dgm:pt>
    <dgm:pt modelId="{FDBFB0C6-1FD1-46DB-A423-0648045DBE54}" type="pres">
      <dgm:prSet presAssocID="{2D85CA52-A12F-4092-9A14-33209A7A1DCC}" presName="child3Text" presStyleLbl="bgAcc1" presStyleIdx="2" presStyleCnt="4">
        <dgm:presLayoutVars>
          <dgm:bulletEnabled val="1"/>
        </dgm:presLayoutVars>
      </dgm:prSet>
      <dgm:spPr/>
    </dgm:pt>
    <dgm:pt modelId="{BCB81518-936A-4BDE-9F55-6F42B1CD398A}" type="pres">
      <dgm:prSet presAssocID="{2D85CA52-A12F-4092-9A14-33209A7A1DCC}" presName="child4group" presStyleCnt="0"/>
      <dgm:spPr/>
    </dgm:pt>
    <dgm:pt modelId="{3497964F-F7CD-407A-BD52-8EE669E96A70}" type="pres">
      <dgm:prSet presAssocID="{2D85CA52-A12F-4092-9A14-33209A7A1DCC}" presName="child4" presStyleLbl="bgAcc1" presStyleIdx="3" presStyleCnt="4"/>
      <dgm:spPr/>
    </dgm:pt>
    <dgm:pt modelId="{52804E4E-3AEE-4F09-BA22-1A89BA3E5B5D}" type="pres">
      <dgm:prSet presAssocID="{2D85CA52-A12F-4092-9A14-33209A7A1DCC}" presName="child4Text" presStyleLbl="bgAcc1" presStyleIdx="3" presStyleCnt="4">
        <dgm:presLayoutVars>
          <dgm:bulletEnabled val="1"/>
        </dgm:presLayoutVars>
      </dgm:prSet>
      <dgm:spPr/>
    </dgm:pt>
    <dgm:pt modelId="{F95587A5-E76C-4B6E-94E9-93B851E32DB0}" type="pres">
      <dgm:prSet presAssocID="{2D85CA52-A12F-4092-9A14-33209A7A1DCC}" presName="childPlaceholder" presStyleCnt="0"/>
      <dgm:spPr/>
    </dgm:pt>
    <dgm:pt modelId="{9170CB88-FCCF-4842-86EC-00C1475B6D02}" type="pres">
      <dgm:prSet presAssocID="{2D85CA52-A12F-4092-9A14-33209A7A1DCC}" presName="circle" presStyleCnt="0"/>
      <dgm:spPr/>
    </dgm:pt>
    <dgm:pt modelId="{13F93F5A-E591-45D7-A550-1F1D280045FF}" type="pres">
      <dgm:prSet presAssocID="{2D85CA52-A12F-4092-9A14-33209A7A1DCC}" presName="quadrant1" presStyleLbl="node1" presStyleIdx="0" presStyleCnt="4">
        <dgm:presLayoutVars>
          <dgm:chMax val="1"/>
          <dgm:bulletEnabled val="1"/>
        </dgm:presLayoutVars>
      </dgm:prSet>
      <dgm:spPr/>
    </dgm:pt>
    <dgm:pt modelId="{27A65DFA-1C38-4D5E-915F-0C28584225A1}" type="pres">
      <dgm:prSet presAssocID="{2D85CA52-A12F-4092-9A14-33209A7A1DCC}" presName="quadrant2" presStyleLbl="node1" presStyleIdx="1" presStyleCnt="4">
        <dgm:presLayoutVars>
          <dgm:chMax val="1"/>
          <dgm:bulletEnabled val="1"/>
        </dgm:presLayoutVars>
      </dgm:prSet>
      <dgm:spPr/>
    </dgm:pt>
    <dgm:pt modelId="{FA44E4B3-2FE1-4CDF-9834-6851CE31BFF3}" type="pres">
      <dgm:prSet presAssocID="{2D85CA52-A12F-4092-9A14-33209A7A1DCC}" presName="quadrant3" presStyleLbl="node1" presStyleIdx="2" presStyleCnt="4">
        <dgm:presLayoutVars>
          <dgm:chMax val="1"/>
          <dgm:bulletEnabled val="1"/>
        </dgm:presLayoutVars>
      </dgm:prSet>
      <dgm:spPr/>
    </dgm:pt>
    <dgm:pt modelId="{34884FC2-F6E7-4B02-B6F4-94662D501E1F}" type="pres">
      <dgm:prSet presAssocID="{2D85CA52-A12F-4092-9A14-33209A7A1DCC}" presName="quadrant4" presStyleLbl="node1" presStyleIdx="3" presStyleCnt="4">
        <dgm:presLayoutVars>
          <dgm:chMax val="1"/>
          <dgm:bulletEnabled val="1"/>
        </dgm:presLayoutVars>
      </dgm:prSet>
      <dgm:spPr/>
    </dgm:pt>
    <dgm:pt modelId="{EA41CCD1-5B03-4197-AFEE-6E385C25A284}" type="pres">
      <dgm:prSet presAssocID="{2D85CA52-A12F-4092-9A14-33209A7A1DCC}" presName="quadrantPlaceholder" presStyleCnt="0"/>
      <dgm:spPr/>
    </dgm:pt>
    <dgm:pt modelId="{F2502B4D-5168-44A9-B033-B18F8220EAFE}" type="pres">
      <dgm:prSet presAssocID="{2D85CA52-A12F-4092-9A14-33209A7A1DCC}" presName="center1" presStyleLbl="fgShp" presStyleIdx="0" presStyleCnt="2"/>
      <dgm:spPr/>
    </dgm:pt>
    <dgm:pt modelId="{2C3BA191-D402-4970-8389-0C5CEF7F907E}" type="pres">
      <dgm:prSet presAssocID="{2D85CA52-A12F-4092-9A14-33209A7A1DCC}" presName="center2" presStyleLbl="fgShp" presStyleIdx="1" presStyleCnt="2"/>
      <dgm:spPr/>
    </dgm:pt>
  </dgm:ptLst>
  <dgm:cxnLst>
    <dgm:cxn modelId="{B583D100-35EE-4365-B88D-5A26450E30EF}" type="presOf" srcId="{D263347F-2C9A-4857-BCBB-53A6F8E9665D}" destId="{52804E4E-3AEE-4F09-BA22-1A89BA3E5B5D}" srcOrd="1" destOrd="4" presId="urn:microsoft.com/office/officeart/2005/8/layout/cycle4"/>
    <dgm:cxn modelId="{FED7F300-AE20-4F4A-8D7D-2AA792912645}" type="presOf" srcId="{E0FEF724-536D-41B3-A806-15F8886B0E9B}" destId="{FDBFB0C6-1FD1-46DB-A423-0648045DBE54}" srcOrd="1" destOrd="5" presId="urn:microsoft.com/office/officeart/2005/8/layout/cycle4"/>
    <dgm:cxn modelId="{EE04A501-96AB-4EAC-90F0-31EF9DCFE3EB}" srcId="{2D85CA52-A12F-4092-9A14-33209A7A1DCC}" destId="{F8BA54CD-398A-443A-B370-B23B42CBBCED}" srcOrd="3" destOrd="0" parTransId="{4C1195BD-B2D0-4AD5-9DC3-7E8CDBE186A2}" sibTransId="{E11827AE-9B44-49BE-9850-358A4B47C299}"/>
    <dgm:cxn modelId="{51244B03-5875-4237-8476-DDCCC1F4D668}" type="presOf" srcId="{72A97177-0887-4943-A449-6818E36D24F9}" destId="{89E33A3E-E749-4115-9574-6868075BEBE6}" srcOrd="0" destOrd="0" presId="urn:microsoft.com/office/officeart/2005/8/layout/cycle4"/>
    <dgm:cxn modelId="{8A1F4309-50E6-478A-9840-5FA0437F2BBA}" type="presOf" srcId="{6FF5A164-B32E-4F93-A052-1FF881D0360F}" destId="{89E33A3E-E749-4115-9574-6868075BEBE6}" srcOrd="0" destOrd="3" presId="urn:microsoft.com/office/officeart/2005/8/layout/cycle4"/>
    <dgm:cxn modelId="{AA0E890C-7E03-44AA-B368-469EC218C912}" type="presOf" srcId="{31FD430A-BA22-4AC7-A57E-7CEDA52B4238}" destId="{89E33A3E-E749-4115-9574-6868075BEBE6}" srcOrd="0" destOrd="1" presId="urn:microsoft.com/office/officeart/2005/8/layout/cycle4"/>
    <dgm:cxn modelId="{CBC0EB14-EB31-4409-A02E-1CAE53051ACC}" type="presOf" srcId="{439EA294-D142-45D0-BE20-F96BC2979A29}" destId="{3497964F-F7CD-407A-BD52-8EE669E96A70}" srcOrd="0" destOrd="5" presId="urn:microsoft.com/office/officeart/2005/8/layout/cycle4"/>
    <dgm:cxn modelId="{02D30C18-4B85-485F-9295-4EA175220E19}" srcId="{9A32B624-F122-4A90-B6AA-DCE5D5199F77}" destId="{8C219377-4D61-43D6-B7DF-928BE6DA71F1}" srcOrd="2" destOrd="0" parTransId="{AAC6136D-A607-408C-902D-F8E51612859D}" sibTransId="{1F5995F7-4B5C-4F1E-A11F-69F5C7378251}"/>
    <dgm:cxn modelId="{7B730719-671D-445F-AF64-8F5FA2869DE3}" type="presOf" srcId="{42F7E5BA-B288-404E-8D58-651A7C073B44}" destId="{FDBFB0C6-1FD1-46DB-A423-0648045DBE54}" srcOrd="1" destOrd="4" presId="urn:microsoft.com/office/officeart/2005/8/layout/cycle4"/>
    <dgm:cxn modelId="{79B7631B-F3D7-4E11-92CD-5724F1C70D14}" type="presOf" srcId="{8C219377-4D61-43D6-B7DF-928BE6DA71F1}" destId="{4899B896-5F76-4E8C-8E78-F37B0D453030}" srcOrd="0" destOrd="4" presId="urn:microsoft.com/office/officeart/2005/8/layout/cycle4"/>
    <dgm:cxn modelId="{1AC41224-CC79-4E81-813E-3AE9C79D5597}" type="presOf" srcId="{C94058CC-0A55-469F-BBFE-1D7D5DDB3230}" destId="{506074BC-B811-4359-A7FD-11BCFBE73CFD}" srcOrd="1" destOrd="2" presId="urn:microsoft.com/office/officeart/2005/8/layout/cycle4"/>
    <dgm:cxn modelId="{AC434C25-0C59-44BD-9114-C39838C56CC2}" srcId="{95E58C2E-5523-4E2C-BB69-FFFD1E8E7950}" destId="{42F7E5BA-B288-404E-8D58-651A7C073B44}" srcOrd="2" destOrd="0" parTransId="{31D7D210-E468-48E7-810D-BCAE8F5F2A0C}" sibTransId="{49E29CAB-28FB-4BDA-970D-6B7EA324563B}"/>
    <dgm:cxn modelId="{14A4C728-5EAD-4F20-9789-06F12AD9D0AE}" type="presOf" srcId="{D263347F-2C9A-4857-BCBB-53A6F8E9665D}" destId="{3497964F-F7CD-407A-BD52-8EE669E96A70}" srcOrd="0" destOrd="4" presId="urn:microsoft.com/office/officeart/2005/8/layout/cycle4"/>
    <dgm:cxn modelId="{27938B29-00EC-4436-8962-7FC34EF62AAC}" srcId="{31FD430A-BA22-4AC7-A57E-7CEDA52B4238}" destId="{C94058CC-0A55-469F-BBFE-1D7D5DDB3230}" srcOrd="0" destOrd="0" parTransId="{8BF7147C-02C2-4F09-B453-98D08FFE8D7A}" sibTransId="{8922E382-E6E3-4E59-BA0C-04A25E04647E}"/>
    <dgm:cxn modelId="{CC926B2A-CF96-4106-845B-4AD9A558A070}" type="presOf" srcId="{5E0219A2-D2D0-4A10-A54B-C9B32DD6111E}" destId="{506074BC-B811-4359-A7FD-11BCFBE73CFD}" srcOrd="1" destOrd="5" presId="urn:microsoft.com/office/officeart/2005/8/layout/cycle4"/>
    <dgm:cxn modelId="{25E5B22B-FEFF-4CD7-A0C6-A035F79A0519}" type="presOf" srcId="{1BEB5703-EC78-4AE8-B2A5-96919C9B2B13}" destId="{89E33A3E-E749-4115-9574-6868075BEBE6}" srcOrd="0" destOrd="6" presId="urn:microsoft.com/office/officeart/2005/8/layout/cycle4"/>
    <dgm:cxn modelId="{6A78C62C-C876-4393-8759-8AC89EE7A4F5}" srcId="{D6846A11-39AF-47AF-B3A9-C7A005AD2244}" destId="{EACF1355-8FF7-4A72-AC8F-2E579E9E5F49}" srcOrd="1" destOrd="0" parTransId="{BC855863-1857-4BA8-A95C-9F7B602F4D31}" sibTransId="{5AAC29BE-02AA-4376-875A-87A5607877F4}"/>
    <dgm:cxn modelId="{1D9D5A31-1B8A-4B87-9922-30B5E6A8CEE0}" srcId="{9A32B624-F122-4A90-B6AA-DCE5D5199F77}" destId="{6E01E9DB-33F3-4FD7-8807-D5A7AD84626A}" srcOrd="1" destOrd="0" parTransId="{6AA4F808-780F-4E0A-88FC-CB0ADA442789}" sibTransId="{97746211-B5EB-44DF-B8E1-8E8E2D0D0491}"/>
    <dgm:cxn modelId="{33FA2936-E622-45BA-9AB7-9D89D7BD3D94}" type="presOf" srcId="{DAB35E3E-DD51-4AA8-9764-8AB88AE700AB}" destId="{4899B896-5F76-4E8C-8E78-F37B0D453030}" srcOrd="0" destOrd="0" presId="urn:microsoft.com/office/officeart/2005/8/layout/cycle4"/>
    <dgm:cxn modelId="{8D3C123D-A010-4058-B83D-755A6EBBB0E4}" srcId="{D6846A11-39AF-47AF-B3A9-C7A005AD2244}" destId="{439EA294-D142-45D0-BE20-F96BC2979A29}" srcOrd="3" destOrd="0" parTransId="{AFCD5E87-A188-48ED-855B-46DFC7E5D93E}" sibTransId="{D7E85D7D-72B2-4A63-B6EA-9981549D9A00}"/>
    <dgm:cxn modelId="{E72EE73D-41D3-4001-94B3-BDC243D68FC6}" type="presOf" srcId="{F1B1F3D3-3A27-4D2A-99DD-683079324D01}" destId="{FDBFB0C6-1FD1-46DB-A423-0648045DBE54}" srcOrd="1" destOrd="6" presId="urn:microsoft.com/office/officeart/2005/8/layout/cycle4"/>
    <dgm:cxn modelId="{6FE49360-DE4E-4B96-91B9-D9B0F35E4CC2}" srcId="{F8BA54CD-398A-443A-B370-B23B42CBBCED}" destId="{D6846A11-39AF-47AF-B3A9-C7A005AD2244}" srcOrd="1" destOrd="0" parTransId="{7AAFE756-0F3A-4B32-BBDA-B2384BFAF505}" sibTransId="{01DB4A4D-B0CF-431C-896D-330AC1F36EB3}"/>
    <dgm:cxn modelId="{AF91A461-E869-465A-BBE7-92DFC48010EA}" type="presOf" srcId="{E4F4EEC1-C3B4-42EA-948B-B3FA98166807}" destId="{4899B896-5F76-4E8C-8E78-F37B0D453030}" srcOrd="0" destOrd="2" presId="urn:microsoft.com/office/officeart/2005/8/layout/cycle4"/>
    <dgm:cxn modelId="{A0202542-01DB-4F85-8557-3D503676DBD9}" type="presOf" srcId="{AEE9CDDE-4DB3-45E1-A425-F7B359D71F96}" destId="{27A65DFA-1C38-4D5E-915F-0C28584225A1}" srcOrd="0" destOrd="0" presId="urn:microsoft.com/office/officeart/2005/8/layout/cycle4"/>
    <dgm:cxn modelId="{32C85762-CF4E-4190-8102-2E0BF24E2C96}" type="presOf" srcId="{439EA294-D142-45D0-BE20-F96BC2979A29}" destId="{52804E4E-3AEE-4F09-BA22-1A89BA3E5B5D}" srcOrd="1" destOrd="5" presId="urn:microsoft.com/office/officeart/2005/8/layout/cycle4"/>
    <dgm:cxn modelId="{6B3EF363-C76A-455E-BCE4-8E2AEE1F31E8}" type="presOf" srcId="{8C219377-4D61-43D6-B7DF-928BE6DA71F1}" destId="{3B4BAE00-FBEC-41F3-8E58-6D0297E890A8}" srcOrd="1" destOrd="4" presId="urn:microsoft.com/office/officeart/2005/8/layout/cycle4"/>
    <dgm:cxn modelId="{DB802264-687A-4578-9D5C-788A212BA8AA}" srcId="{D6846A11-39AF-47AF-B3A9-C7A005AD2244}" destId="{3BE483C8-8750-4E03-BB50-760888C81C32}" srcOrd="0" destOrd="0" parTransId="{F79A1D29-FFA4-4156-9519-427C6B729900}" sibTransId="{8AACAD1C-F53F-4258-93F6-A94C57ECD824}"/>
    <dgm:cxn modelId="{10F0B245-F180-43DE-8D0C-08705F39BFA5}" srcId="{31FD430A-BA22-4AC7-A57E-7CEDA52B4238}" destId="{5E0219A2-D2D0-4A10-A54B-C9B32DD6111E}" srcOrd="3" destOrd="0" parTransId="{5787E12B-CC12-466A-A39A-DF33090C6E45}" sibTransId="{7DF35A8C-97E8-4CDE-90B4-2F8D4FEBB879}"/>
    <dgm:cxn modelId="{9FF2D948-1542-462D-A5F6-E222DDCB8514}" type="presOf" srcId="{887D4D16-63EB-4D59-BC07-8410EB8130AA}" destId="{FDBFB0C6-1FD1-46DB-A423-0648045DBE54}" srcOrd="1" destOrd="0" presId="urn:microsoft.com/office/officeart/2005/8/layout/cycle4"/>
    <dgm:cxn modelId="{C42CE468-5BDA-4403-A3D3-E3C31F30723B}" srcId="{31FD430A-BA22-4AC7-A57E-7CEDA52B4238}" destId="{6FF5A164-B32E-4F93-A052-1FF881D0360F}" srcOrd="1" destOrd="0" parTransId="{9C1ADC7F-268B-4DBB-8FE8-E537CA5E6BBC}" sibTransId="{DF2E1165-DDE7-4363-9A39-1B99E8B28226}"/>
    <dgm:cxn modelId="{8505296C-0227-4ACC-AE26-60C00209F180}" type="presOf" srcId="{D6846A11-39AF-47AF-B3A9-C7A005AD2244}" destId="{3497964F-F7CD-407A-BD52-8EE669E96A70}" srcOrd="0" destOrd="1" presId="urn:microsoft.com/office/officeart/2005/8/layout/cycle4"/>
    <dgm:cxn modelId="{C4E13E4C-95DF-4DDE-8DF7-7BDC3D3BE550}" srcId="{DCB4F6BF-6DA2-46E9-B602-88A1E5EE06F6}" destId="{72A97177-0887-4943-A449-6818E36D24F9}" srcOrd="0" destOrd="0" parTransId="{7FE473B7-B45B-444A-ACAB-FB1751E145CF}" sibTransId="{50710ACA-2C74-41FF-9A0A-0A8B41307D54}"/>
    <dgm:cxn modelId="{3386FB4C-3A9F-422A-A8F8-2E0281306042}" type="presOf" srcId="{CFA3FBD5-397C-4722-872B-C0D0D5B9E535}" destId="{FA44E4B3-2FE1-4CDF-9834-6851CE31BFF3}" srcOrd="0" destOrd="0" presId="urn:microsoft.com/office/officeart/2005/8/layout/cycle4"/>
    <dgm:cxn modelId="{FE05956F-0C35-4F1D-B59A-35355B30889D}" type="presOf" srcId="{DAB35E3E-DD51-4AA8-9764-8AB88AE700AB}" destId="{3B4BAE00-FBEC-41F3-8E58-6D0297E890A8}" srcOrd="1" destOrd="0" presId="urn:microsoft.com/office/officeart/2005/8/layout/cycle4"/>
    <dgm:cxn modelId="{6BB47D70-580B-4873-8C03-FF9A79DC3308}" type="presOf" srcId="{95E58C2E-5523-4E2C-BB69-FFFD1E8E7950}" destId="{5FDEF46D-BDA6-4E37-B78C-EDC8543DA3FF}" srcOrd="0" destOrd="1" presId="urn:microsoft.com/office/officeart/2005/8/layout/cycle4"/>
    <dgm:cxn modelId="{EF809D70-609A-493B-8EE8-89376C26C062}" srcId="{95E58C2E-5523-4E2C-BB69-FFFD1E8E7950}" destId="{F1B1F3D3-3A27-4D2A-99DD-683079324D01}" srcOrd="4" destOrd="0" parTransId="{0D094473-9EF7-472D-A884-D289557D0EAD}" sibTransId="{C7F66961-5CA8-4E0D-AC29-CD48B8D0CD2C}"/>
    <dgm:cxn modelId="{86F8BC71-F7FE-4886-86EB-00D919CBAE5B}" type="presOf" srcId="{E4F4EEC1-C3B4-42EA-948B-B3FA98166807}" destId="{3B4BAE00-FBEC-41F3-8E58-6D0297E890A8}" srcOrd="1" destOrd="2" presId="urn:microsoft.com/office/officeart/2005/8/layout/cycle4"/>
    <dgm:cxn modelId="{BBE49854-59BE-4F58-9558-C8116B37854F}" type="presOf" srcId="{AB708FDE-6991-4E96-AB6E-3FEB74E0ED34}" destId="{3B4BAE00-FBEC-41F3-8E58-6D0297E890A8}" srcOrd="1" destOrd="5" presId="urn:microsoft.com/office/officeart/2005/8/layout/cycle4"/>
    <dgm:cxn modelId="{5AEBDE75-D6D8-45CC-83A0-2622810200D7}" srcId="{95E58C2E-5523-4E2C-BB69-FFFD1E8E7950}" destId="{E10BA322-3EBE-4BA2-AC43-3ADC0874E586}" srcOrd="0" destOrd="0" parTransId="{5B763DAA-622D-4BCF-BAD8-CA35CAF5E588}" sibTransId="{9C7F0185-20DC-48ED-84EA-FE56067388C5}"/>
    <dgm:cxn modelId="{FB004256-0FA7-4892-B9A6-7515EF4494B8}" srcId="{AEE9CDDE-4DB3-45E1-A425-F7B359D71F96}" destId="{9A32B624-F122-4A90-B6AA-DCE5D5199F77}" srcOrd="1" destOrd="0" parTransId="{67E1C8AB-7056-4413-AF8E-7694868965D4}" sibTransId="{B47CA60C-EBD2-4A8A-9A1E-B2ED74CAD3F4}"/>
    <dgm:cxn modelId="{F7EA4476-D95B-489E-9CBA-D076E8DF1406}" srcId="{CFA3FBD5-397C-4722-872B-C0D0D5B9E535}" destId="{95E58C2E-5523-4E2C-BB69-FFFD1E8E7950}" srcOrd="1" destOrd="0" parTransId="{714B1630-D3D2-4C02-92F9-4EA04765A21E}" sibTransId="{233E8D80-E672-4FD0-B313-71EEB723F938}"/>
    <dgm:cxn modelId="{B18D0957-EA34-4DB2-9F14-2AD3497E7C1F}" type="presOf" srcId="{B6393E84-2112-4DB7-9CC1-3372612EAF13}" destId="{FDBFB0C6-1FD1-46DB-A423-0648045DBE54}" srcOrd="1" destOrd="3" presId="urn:microsoft.com/office/officeart/2005/8/layout/cycle4"/>
    <dgm:cxn modelId="{8D6BB17C-DB68-437C-A458-0F41F110EC75}" type="presOf" srcId="{6FF5A164-B32E-4F93-A052-1FF881D0360F}" destId="{506074BC-B811-4359-A7FD-11BCFBE73CFD}" srcOrd="1" destOrd="3" presId="urn:microsoft.com/office/officeart/2005/8/layout/cycle4"/>
    <dgm:cxn modelId="{E4F2617F-C6C4-4893-914A-49204278642C}" type="presOf" srcId="{42F7E5BA-B288-404E-8D58-651A7C073B44}" destId="{5FDEF46D-BDA6-4E37-B78C-EDC8543DA3FF}" srcOrd="0" destOrd="4" presId="urn:microsoft.com/office/officeart/2005/8/layout/cycle4"/>
    <dgm:cxn modelId="{706B1B85-5236-4B3B-896B-657E091A998C}" type="presOf" srcId="{9A32B624-F122-4A90-B6AA-DCE5D5199F77}" destId="{4899B896-5F76-4E8C-8E78-F37B0D453030}" srcOrd="0" destOrd="1" presId="urn:microsoft.com/office/officeart/2005/8/layout/cycle4"/>
    <dgm:cxn modelId="{219F0088-9857-40E2-AAF9-A251F20FAB4A}" type="presOf" srcId="{72A97177-0887-4943-A449-6818E36D24F9}" destId="{506074BC-B811-4359-A7FD-11BCFBE73CFD}" srcOrd="1" destOrd="0" presId="urn:microsoft.com/office/officeart/2005/8/layout/cycle4"/>
    <dgm:cxn modelId="{3D3A018C-2CB9-4F18-AB91-EB0BAEE45374}" type="presOf" srcId="{95E58C2E-5523-4E2C-BB69-FFFD1E8E7950}" destId="{FDBFB0C6-1FD1-46DB-A423-0648045DBE54}" srcOrd="1" destOrd="1" presId="urn:microsoft.com/office/officeart/2005/8/layout/cycle4"/>
    <dgm:cxn modelId="{9B2C2F91-2F0D-4827-BDD9-A4550117554E}" srcId="{31FD430A-BA22-4AC7-A57E-7CEDA52B4238}" destId="{0170B31C-9A99-449D-BBB8-D5D82BCE3E9A}" srcOrd="2" destOrd="0" parTransId="{940E68E9-728C-4DEF-8440-FA407ADF723F}" sibTransId="{9D46C164-18DD-4C30-B4D6-E6398D8B47D8}"/>
    <dgm:cxn modelId="{19F69792-D440-4D27-ACAF-C35F6457C58F}" type="presOf" srcId="{D6846A11-39AF-47AF-B3A9-C7A005AD2244}" destId="{52804E4E-3AEE-4F09-BA22-1A89BA3E5B5D}" srcOrd="1" destOrd="1" presId="urn:microsoft.com/office/officeart/2005/8/layout/cycle4"/>
    <dgm:cxn modelId="{68816195-D619-4342-AD58-D1FACE83874C}" srcId="{2D85CA52-A12F-4092-9A14-33209A7A1DCC}" destId="{DCB4F6BF-6DA2-46E9-B602-88A1E5EE06F6}" srcOrd="0" destOrd="0" parTransId="{544A04E8-CC2B-4A95-BF90-58F3219116E6}" sibTransId="{48F137B1-F92E-4F6F-BCC3-3A62AB9D8746}"/>
    <dgm:cxn modelId="{8B864798-B9CB-4AD2-B44B-EB22995023A1}" type="presOf" srcId="{B6393E84-2112-4DB7-9CC1-3372612EAF13}" destId="{5FDEF46D-BDA6-4E37-B78C-EDC8543DA3FF}" srcOrd="0" destOrd="3" presId="urn:microsoft.com/office/officeart/2005/8/layout/cycle4"/>
    <dgm:cxn modelId="{C7819B9C-B298-47B0-8F2A-0E92F954D866}" srcId="{95E58C2E-5523-4E2C-BB69-FFFD1E8E7950}" destId="{E0FEF724-536D-41B3-A806-15F8886B0E9B}" srcOrd="3" destOrd="0" parTransId="{B61DE765-0645-43F7-A977-6BE201E15D5F}" sibTransId="{81F4F594-5080-4BD4-AFC0-0FC1F3E43265}"/>
    <dgm:cxn modelId="{9419139D-A376-4D38-A51A-3A3070C52D1D}" srcId="{F8BA54CD-398A-443A-B370-B23B42CBBCED}" destId="{AD5E2FA6-8C36-446A-B0B3-76C294182CA6}" srcOrd="0" destOrd="0" parTransId="{C4E860DF-D6D3-40EB-B38F-33BFC1BE3F9A}" sibTransId="{58F07C89-FC26-4E5F-ACEB-EE57365728F6}"/>
    <dgm:cxn modelId="{1333929F-1B7C-41C7-B89D-DBDE6E60C97E}" type="presOf" srcId="{31FD430A-BA22-4AC7-A57E-7CEDA52B4238}" destId="{506074BC-B811-4359-A7FD-11BCFBE73CFD}" srcOrd="1" destOrd="1" presId="urn:microsoft.com/office/officeart/2005/8/layout/cycle4"/>
    <dgm:cxn modelId="{744BBDA0-C266-44D5-87C9-8C4DC0663C6D}" type="presOf" srcId="{2D85CA52-A12F-4092-9A14-33209A7A1DCC}" destId="{2642756C-8555-405A-8419-354244AC4218}" srcOrd="0" destOrd="0" presId="urn:microsoft.com/office/officeart/2005/8/layout/cycle4"/>
    <dgm:cxn modelId="{B46BD3A1-0CC5-4EEA-A9C6-A1416D08E132}" type="presOf" srcId="{6E01E9DB-33F3-4FD7-8807-D5A7AD84626A}" destId="{4899B896-5F76-4E8C-8E78-F37B0D453030}" srcOrd="0" destOrd="3" presId="urn:microsoft.com/office/officeart/2005/8/layout/cycle4"/>
    <dgm:cxn modelId="{4D2667A4-2A5E-4F6F-9378-B1CA2ED4447E}" srcId="{95E58C2E-5523-4E2C-BB69-FFFD1E8E7950}" destId="{B6393E84-2112-4DB7-9CC1-3372612EAF13}" srcOrd="1" destOrd="0" parTransId="{290F0EFE-AE4F-499C-A58D-3CC6614654EF}" sibTransId="{48617836-A482-474D-A820-27D3552E9F66}"/>
    <dgm:cxn modelId="{F6B7C3A5-A2EE-4729-BF44-D7A1D0410599}" type="presOf" srcId="{E10BA322-3EBE-4BA2-AC43-3ADC0874E586}" destId="{5FDEF46D-BDA6-4E37-B78C-EDC8543DA3FF}" srcOrd="0" destOrd="2" presId="urn:microsoft.com/office/officeart/2005/8/layout/cycle4"/>
    <dgm:cxn modelId="{189568AA-7C41-4A24-B1F2-E8131BB95D1B}" srcId="{D6846A11-39AF-47AF-B3A9-C7A005AD2244}" destId="{D263347F-2C9A-4857-BCBB-53A6F8E9665D}" srcOrd="2" destOrd="0" parTransId="{8D0785F1-F620-4221-BFCB-C9D87F98A10E}" sibTransId="{75F1B297-4F11-44DF-9F09-2A1D0EC1F4A3}"/>
    <dgm:cxn modelId="{A6EBB9AB-4C77-419B-BFE3-BF619032C18B}" type="presOf" srcId="{C94058CC-0A55-469F-BBFE-1D7D5DDB3230}" destId="{89E33A3E-E749-4115-9574-6868075BEBE6}" srcOrd="0" destOrd="2" presId="urn:microsoft.com/office/officeart/2005/8/layout/cycle4"/>
    <dgm:cxn modelId="{1A58A8AC-A095-4698-A019-05F8FFF9771D}" type="presOf" srcId="{9A32B624-F122-4A90-B6AA-DCE5D5199F77}" destId="{3B4BAE00-FBEC-41F3-8E58-6D0297E890A8}" srcOrd="1" destOrd="1" presId="urn:microsoft.com/office/officeart/2005/8/layout/cycle4"/>
    <dgm:cxn modelId="{E1DFDCAF-8977-4069-9DBA-C1271971C20F}" srcId="{9A32B624-F122-4A90-B6AA-DCE5D5199F77}" destId="{AB708FDE-6991-4E96-AB6E-3FEB74E0ED34}" srcOrd="3" destOrd="0" parTransId="{DCEB3572-878B-4662-958B-56979DBA15C3}" sibTransId="{25CD3FAA-7C29-4337-890D-FA77EC2ACE45}"/>
    <dgm:cxn modelId="{C44254B0-03F0-4535-BD46-7347ABEB7C3C}" type="presOf" srcId="{AD5E2FA6-8C36-446A-B0B3-76C294182CA6}" destId="{3497964F-F7CD-407A-BD52-8EE669E96A70}" srcOrd="0" destOrd="0" presId="urn:microsoft.com/office/officeart/2005/8/layout/cycle4"/>
    <dgm:cxn modelId="{ECF5E1B2-6075-4F0C-9B6D-C484FDFD3ECD}" type="presOf" srcId="{AB708FDE-6991-4E96-AB6E-3FEB74E0ED34}" destId="{4899B896-5F76-4E8C-8E78-F37B0D453030}" srcOrd="0" destOrd="5" presId="urn:microsoft.com/office/officeart/2005/8/layout/cycle4"/>
    <dgm:cxn modelId="{1F1D02B7-3C81-41CC-8021-BD5C56E5553D}" type="presOf" srcId="{E10BA322-3EBE-4BA2-AC43-3ADC0874E586}" destId="{FDBFB0C6-1FD1-46DB-A423-0648045DBE54}" srcOrd="1" destOrd="2" presId="urn:microsoft.com/office/officeart/2005/8/layout/cycle4"/>
    <dgm:cxn modelId="{9C79FDC0-D748-44CB-83D3-5F9A913C9666}" type="presOf" srcId="{F8BA54CD-398A-443A-B370-B23B42CBBCED}" destId="{34884FC2-F6E7-4B02-B6F4-94662D501E1F}" srcOrd="0" destOrd="0" presId="urn:microsoft.com/office/officeart/2005/8/layout/cycle4"/>
    <dgm:cxn modelId="{B555CDC2-59D0-4F5C-91D1-FE497C963BFC}" srcId="{CFA3FBD5-397C-4722-872B-C0D0D5B9E535}" destId="{887D4D16-63EB-4D59-BC07-8410EB8130AA}" srcOrd="0" destOrd="0" parTransId="{2A8CD6EF-8522-4AEC-A00D-225652D33959}" sibTransId="{8340E1AA-3A16-48E3-89CD-B108ACC6BD6F}"/>
    <dgm:cxn modelId="{80B3C8C6-6F82-4329-9095-8DACE1F609FA}" type="presOf" srcId="{887D4D16-63EB-4D59-BC07-8410EB8130AA}" destId="{5FDEF46D-BDA6-4E37-B78C-EDC8543DA3FF}" srcOrd="0" destOrd="0" presId="urn:microsoft.com/office/officeart/2005/8/layout/cycle4"/>
    <dgm:cxn modelId="{2BD164C7-1D40-4C9C-83DF-77C39B43676C}" srcId="{AEE9CDDE-4DB3-45E1-A425-F7B359D71F96}" destId="{DAB35E3E-DD51-4AA8-9764-8AB88AE700AB}" srcOrd="0" destOrd="0" parTransId="{72818BA9-0346-45D9-AB92-FDFDCEBBD674}" sibTransId="{7011C68D-1137-43D1-8A61-D3506C956836}"/>
    <dgm:cxn modelId="{08CAC8C7-2C00-46F9-86C8-2F1A5CE21BC5}" type="presOf" srcId="{E0FEF724-536D-41B3-A806-15F8886B0E9B}" destId="{5FDEF46D-BDA6-4E37-B78C-EDC8543DA3FF}" srcOrd="0" destOrd="5" presId="urn:microsoft.com/office/officeart/2005/8/layout/cycle4"/>
    <dgm:cxn modelId="{AC0BF9C9-F589-41C4-B2A8-80E3BB517970}" srcId="{9A32B624-F122-4A90-B6AA-DCE5D5199F77}" destId="{E4F4EEC1-C3B4-42EA-948B-B3FA98166807}" srcOrd="0" destOrd="0" parTransId="{54FABC63-E08C-4903-AC60-A6AC94ADB876}" sibTransId="{DF8EFFA8-EC91-42B9-98DA-65592650998E}"/>
    <dgm:cxn modelId="{41344BCF-74AF-4462-A032-37A220F71433}" type="presOf" srcId="{1BEB5703-EC78-4AE8-B2A5-96919C9B2B13}" destId="{506074BC-B811-4359-A7FD-11BCFBE73CFD}" srcOrd="1" destOrd="6" presId="urn:microsoft.com/office/officeart/2005/8/layout/cycle4"/>
    <dgm:cxn modelId="{7514E0D0-2C38-4946-B299-2DFC4617537D}" type="presOf" srcId="{DCB4F6BF-6DA2-46E9-B602-88A1E5EE06F6}" destId="{13F93F5A-E591-45D7-A550-1F1D280045FF}" srcOrd="0" destOrd="0" presId="urn:microsoft.com/office/officeart/2005/8/layout/cycle4"/>
    <dgm:cxn modelId="{433198D7-60CE-4A42-9E95-3CAD2795FC68}" type="presOf" srcId="{EACF1355-8FF7-4A72-AC8F-2E579E9E5F49}" destId="{52804E4E-3AEE-4F09-BA22-1A89BA3E5B5D}" srcOrd="1" destOrd="3" presId="urn:microsoft.com/office/officeart/2005/8/layout/cycle4"/>
    <dgm:cxn modelId="{93DEBFDC-60E3-49C9-B013-DEA3DF4E14FD}" type="presOf" srcId="{EACF1355-8FF7-4A72-AC8F-2E579E9E5F49}" destId="{3497964F-F7CD-407A-BD52-8EE669E96A70}" srcOrd="0" destOrd="3" presId="urn:microsoft.com/office/officeart/2005/8/layout/cycle4"/>
    <dgm:cxn modelId="{DD9A31DF-5E68-491D-A829-537F67BD5D70}" type="presOf" srcId="{5E0219A2-D2D0-4A10-A54B-C9B32DD6111E}" destId="{89E33A3E-E749-4115-9574-6868075BEBE6}" srcOrd="0" destOrd="5" presId="urn:microsoft.com/office/officeart/2005/8/layout/cycle4"/>
    <dgm:cxn modelId="{2A8947E1-2D3A-4B4E-A15E-360642401DB8}" srcId="{2D85CA52-A12F-4092-9A14-33209A7A1DCC}" destId="{CFA3FBD5-397C-4722-872B-C0D0D5B9E535}" srcOrd="2" destOrd="0" parTransId="{79EB35DD-EC6F-4FD7-90A2-6CD509B81449}" sibTransId="{01E033E1-AACA-47F9-A6A4-F37A3F27A075}"/>
    <dgm:cxn modelId="{520C28E2-EFCC-47C2-9496-02F6EAF032CC}" srcId="{2D85CA52-A12F-4092-9A14-33209A7A1DCC}" destId="{AEE9CDDE-4DB3-45E1-A425-F7B359D71F96}" srcOrd="1" destOrd="0" parTransId="{AD1F1508-4DF3-494B-8F8F-458D65488E9D}" sibTransId="{F89C38A8-CFF9-456A-8AA2-2CFEBBCA384D}"/>
    <dgm:cxn modelId="{1FB134E4-2315-46EC-AF34-5D3D1C3997C9}" type="presOf" srcId="{0170B31C-9A99-449D-BBB8-D5D82BCE3E9A}" destId="{506074BC-B811-4359-A7FD-11BCFBE73CFD}" srcOrd="1" destOrd="4" presId="urn:microsoft.com/office/officeart/2005/8/layout/cycle4"/>
    <dgm:cxn modelId="{AC8E5EE5-5474-41C8-AC8F-43B9E6190E52}" srcId="{31FD430A-BA22-4AC7-A57E-7CEDA52B4238}" destId="{1BEB5703-EC78-4AE8-B2A5-96919C9B2B13}" srcOrd="4" destOrd="0" parTransId="{1800021A-09D0-4CB2-A752-5F1320D8B907}" sibTransId="{9EA1398D-F809-4928-8A2A-4827A42E254F}"/>
    <dgm:cxn modelId="{0C35C3E6-EB51-408B-A053-FE797049DA7F}" type="presOf" srcId="{F1B1F3D3-3A27-4D2A-99DD-683079324D01}" destId="{5FDEF46D-BDA6-4E37-B78C-EDC8543DA3FF}" srcOrd="0" destOrd="6" presId="urn:microsoft.com/office/officeart/2005/8/layout/cycle4"/>
    <dgm:cxn modelId="{4159FAEC-3153-41B3-ABAF-C710E02055C0}" srcId="{DCB4F6BF-6DA2-46E9-B602-88A1E5EE06F6}" destId="{31FD430A-BA22-4AC7-A57E-7CEDA52B4238}" srcOrd="1" destOrd="0" parTransId="{7DF18701-3311-4660-9E32-CD02ED4D3D1D}" sibTransId="{E56BD72E-D682-4F3A-95EE-DE9A436DB6D6}"/>
    <dgm:cxn modelId="{927A11EE-E2B2-488F-BE23-5D77B96F651A}" type="presOf" srcId="{AD5E2FA6-8C36-446A-B0B3-76C294182CA6}" destId="{52804E4E-3AEE-4F09-BA22-1A89BA3E5B5D}" srcOrd="1" destOrd="0" presId="urn:microsoft.com/office/officeart/2005/8/layout/cycle4"/>
    <dgm:cxn modelId="{894E39F3-E932-41E9-8A27-7A53B3EF8C14}" type="presOf" srcId="{6E01E9DB-33F3-4FD7-8807-D5A7AD84626A}" destId="{3B4BAE00-FBEC-41F3-8E58-6D0297E890A8}" srcOrd="1" destOrd="3" presId="urn:microsoft.com/office/officeart/2005/8/layout/cycle4"/>
    <dgm:cxn modelId="{3B0A7BFA-EA8D-419D-BBC2-1C01305F1CE9}" type="presOf" srcId="{0170B31C-9A99-449D-BBB8-D5D82BCE3E9A}" destId="{89E33A3E-E749-4115-9574-6868075BEBE6}" srcOrd="0" destOrd="4" presId="urn:microsoft.com/office/officeart/2005/8/layout/cycle4"/>
    <dgm:cxn modelId="{61E0CBFA-AB34-4172-B809-4CC6BE3A0934}" type="presOf" srcId="{3BE483C8-8750-4E03-BB50-760888C81C32}" destId="{3497964F-F7CD-407A-BD52-8EE669E96A70}" srcOrd="0" destOrd="2" presId="urn:microsoft.com/office/officeart/2005/8/layout/cycle4"/>
    <dgm:cxn modelId="{BCE382FE-A626-4FB6-B568-B8304C595B39}" type="presOf" srcId="{3BE483C8-8750-4E03-BB50-760888C81C32}" destId="{52804E4E-3AEE-4F09-BA22-1A89BA3E5B5D}" srcOrd="1" destOrd="2" presId="urn:microsoft.com/office/officeart/2005/8/layout/cycle4"/>
    <dgm:cxn modelId="{A670C42F-82D3-4317-B402-027E997148DE}" type="presParOf" srcId="{2642756C-8555-405A-8419-354244AC4218}" destId="{6FE5DC1F-A76C-40EE-A870-76F399F1D004}" srcOrd="0" destOrd="0" presId="urn:microsoft.com/office/officeart/2005/8/layout/cycle4"/>
    <dgm:cxn modelId="{66F06C61-02A7-4055-9FC2-28D7B97A7769}" type="presParOf" srcId="{6FE5DC1F-A76C-40EE-A870-76F399F1D004}" destId="{18AD638F-4145-4A22-8512-34BE80C34F02}" srcOrd="0" destOrd="0" presId="urn:microsoft.com/office/officeart/2005/8/layout/cycle4"/>
    <dgm:cxn modelId="{0135F2AB-4091-49AD-A59A-DCC3FE873344}" type="presParOf" srcId="{18AD638F-4145-4A22-8512-34BE80C34F02}" destId="{89E33A3E-E749-4115-9574-6868075BEBE6}" srcOrd="0" destOrd="0" presId="urn:microsoft.com/office/officeart/2005/8/layout/cycle4"/>
    <dgm:cxn modelId="{56BD3054-62A0-43B8-B323-55CF9DD535AA}" type="presParOf" srcId="{18AD638F-4145-4A22-8512-34BE80C34F02}" destId="{506074BC-B811-4359-A7FD-11BCFBE73CFD}" srcOrd="1" destOrd="0" presId="urn:microsoft.com/office/officeart/2005/8/layout/cycle4"/>
    <dgm:cxn modelId="{195A7F6B-2521-47F7-9402-CC3EF9112F93}" type="presParOf" srcId="{6FE5DC1F-A76C-40EE-A870-76F399F1D004}" destId="{B4084D2A-AD47-4DEF-A2ED-0272633EB5F9}" srcOrd="1" destOrd="0" presId="urn:microsoft.com/office/officeart/2005/8/layout/cycle4"/>
    <dgm:cxn modelId="{2AFD9CB5-3733-4618-A425-4807213BFAB7}" type="presParOf" srcId="{B4084D2A-AD47-4DEF-A2ED-0272633EB5F9}" destId="{4899B896-5F76-4E8C-8E78-F37B0D453030}" srcOrd="0" destOrd="0" presId="urn:microsoft.com/office/officeart/2005/8/layout/cycle4"/>
    <dgm:cxn modelId="{2A5916FA-6FFA-41C7-95A8-51D9AB6AC9AD}" type="presParOf" srcId="{B4084D2A-AD47-4DEF-A2ED-0272633EB5F9}" destId="{3B4BAE00-FBEC-41F3-8E58-6D0297E890A8}" srcOrd="1" destOrd="0" presId="urn:microsoft.com/office/officeart/2005/8/layout/cycle4"/>
    <dgm:cxn modelId="{DE03944D-7DEF-4D17-B7E4-CA835527E8FD}" type="presParOf" srcId="{6FE5DC1F-A76C-40EE-A870-76F399F1D004}" destId="{AFDB0F60-8C8C-42F0-917C-483BE72FC0DF}" srcOrd="2" destOrd="0" presId="urn:microsoft.com/office/officeart/2005/8/layout/cycle4"/>
    <dgm:cxn modelId="{0423878C-59AD-4B95-8591-010959D66D5E}" type="presParOf" srcId="{AFDB0F60-8C8C-42F0-917C-483BE72FC0DF}" destId="{5FDEF46D-BDA6-4E37-B78C-EDC8543DA3FF}" srcOrd="0" destOrd="0" presId="urn:microsoft.com/office/officeart/2005/8/layout/cycle4"/>
    <dgm:cxn modelId="{5E15BF13-73CC-442E-8925-A95771045B40}" type="presParOf" srcId="{AFDB0F60-8C8C-42F0-917C-483BE72FC0DF}" destId="{FDBFB0C6-1FD1-46DB-A423-0648045DBE54}" srcOrd="1" destOrd="0" presId="urn:microsoft.com/office/officeart/2005/8/layout/cycle4"/>
    <dgm:cxn modelId="{9366A955-8C3F-4862-AC1D-A1AF490CCAFD}" type="presParOf" srcId="{6FE5DC1F-A76C-40EE-A870-76F399F1D004}" destId="{BCB81518-936A-4BDE-9F55-6F42B1CD398A}" srcOrd="3" destOrd="0" presId="urn:microsoft.com/office/officeart/2005/8/layout/cycle4"/>
    <dgm:cxn modelId="{7EE09854-3513-443F-9845-94ED173E0963}" type="presParOf" srcId="{BCB81518-936A-4BDE-9F55-6F42B1CD398A}" destId="{3497964F-F7CD-407A-BD52-8EE669E96A70}" srcOrd="0" destOrd="0" presId="urn:microsoft.com/office/officeart/2005/8/layout/cycle4"/>
    <dgm:cxn modelId="{7D3F9690-2DB4-4D7C-A7BD-B2F580944937}" type="presParOf" srcId="{BCB81518-936A-4BDE-9F55-6F42B1CD398A}" destId="{52804E4E-3AEE-4F09-BA22-1A89BA3E5B5D}" srcOrd="1" destOrd="0" presId="urn:microsoft.com/office/officeart/2005/8/layout/cycle4"/>
    <dgm:cxn modelId="{57B334E6-0F28-43DA-9DEC-D9D18CB33D51}" type="presParOf" srcId="{6FE5DC1F-A76C-40EE-A870-76F399F1D004}" destId="{F95587A5-E76C-4B6E-94E9-93B851E32DB0}" srcOrd="4" destOrd="0" presId="urn:microsoft.com/office/officeart/2005/8/layout/cycle4"/>
    <dgm:cxn modelId="{7213C795-0298-4E1E-977E-5CC628E14ADD}" type="presParOf" srcId="{2642756C-8555-405A-8419-354244AC4218}" destId="{9170CB88-FCCF-4842-86EC-00C1475B6D02}" srcOrd="1" destOrd="0" presId="urn:microsoft.com/office/officeart/2005/8/layout/cycle4"/>
    <dgm:cxn modelId="{92252F24-3C1D-4BA5-80B4-2A3AF61944B7}" type="presParOf" srcId="{9170CB88-FCCF-4842-86EC-00C1475B6D02}" destId="{13F93F5A-E591-45D7-A550-1F1D280045FF}" srcOrd="0" destOrd="0" presId="urn:microsoft.com/office/officeart/2005/8/layout/cycle4"/>
    <dgm:cxn modelId="{1B0CAF73-1743-4FB4-B39E-8E05D790DD2F}" type="presParOf" srcId="{9170CB88-FCCF-4842-86EC-00C1475B6D02}" destId="{27A65DFA-1C38-4D5E-915F-0C28584225A1}" srcOrd="1" destOrd="0" presId="urn:microsoft.com/office/officeart/2005/8/layout/cycle4"/>
    <dgm:cxn modelId="{B47BBF86-3EE7-4BC3-807E-C43F1ED5AE77}" type="presParOf" srcId="{9170CB88-FCCF-4842-86EC-00C1475B6D02}" destId="{FA44E4B3-2FE1-4CDF-9834-6851CE31BFF3}" srcOrd="2" destOrd="0" presId="urn:microsoft.com/office/officeart/2005/8/layout/cycle4"/>
    <dgm:cxn modelId="{71EA0820-A02B-48B4-A86D-05A34F3A1881}" type="presParOf" srcId="{9170CB88-FCCF-4842-86EC-00C1475B6D02}" destId="{34884FC2-F6E7-4B02-B6F4-94662D501E1F}" srcOrd="3" destOrd="0" presId="urn:microsoft.com/office/officeart/2005/8/layout/cycle4"/>
    <dgm:cxn modelId="{7A6A2FBC-C3F8-41BF-BD83-A9FFFDAF078B}" type="presParOf" srcId="{9170CB88-FCCF-4842-86EC-00C1475B6D02}" destId="{EA41CCD1-5B03-4197-AFEE-6E385C25A284}" srcOrd="4" destOrd="0" presId="urn:microsoft.com/office/officeart/2005/8/layout/cycle4"/>
    <dgm:cxn modelId="{5172CA6D-CB2D-4C89-98FD-5610309989D8}" type="presParOf" srcId="{2642756C-8555-405A-8419-354244AC4218}" destId="{F2502B4D-5168-44A9-B033-B18F8220EAFE}" srcOrd="2" destOrd="0" presId="urn:microsoft.com/office/officeart/2005/8/layout/cycle4"/>
    <dgm:cxn modelId="{B4ECF591-E38D-438A-BDF0-7C4BA26BF467}" type="presParOf" srcId="{2642756C-8555-405A-8419-354244AC4218}" destId="{2C3BA191-D402-4970-8389-0C5CEF7F907E}" srcOrd="3" destOrd="0" presId="urn:microsoft.com/office/officeart/2005/8/layout/cycle4"/>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37AC9BA-4F54-45C2-A937-42DF687C48BA}" type="doc">
      <dgm:prSet loTypeId="urn:microsoft.com/office/officeart/2005/8/layout/cycle1" loCatId="cycle" qsTypeId="urn:microsoft.com/office/officeart/2005/8/quickstyle/simple2" qsCatId="simple" csTypeId="urn:microsoft.com/office/officeart/2005/8/colors/colorful1" csCatId="colorful" phldr="1"/>
      <dgm:spPr/>
      <dgm:t>
        <a:bodyPr/>
        <a:lstStyle/>
        <a:p>
          <a:endParaRPr lang="en-IN"/>
        </a:p>
      </dgm:t>
    </dgm:pt>
    <dgm:pt modelId="{012CA8D6-31A2-43A7-93DE-230441DED154}">
      <dgm:prSet phldrT="[Text]" custT="1"/>
      <dgm:spPr/>
      <dgm:t>
        <a:bodyPr/>
        <a:lstStyle/>
        <a:p>
          <a:r>
            <a:rPr lang="en-IN" sz="1050">
              <a:latin typeface="Times New Roman" panose="02020603050405020304" pitchFamily="18" charset="0"/>
              <a:cs typeface="Times New Roman" panose="02020603050405020304" pitchFamily="18" charset="0"/>
            </a:rPr>
            <a:t>Description</a:t>
          </a:r>
        </a:p>
      </dgm:t>
    </dgm:pt>
    <dgm:pt modelId="{5D3A8A11-C8B1-4E9B-9AA5-3C85B2FC3395}" type="parTrans" cxnId="{6F759E47-DAAE-48FD-92C4-8884400EB272}">
      <dgm:prSet/>
      <dgm:spPr/>
      <dgm:t>
        <a:bodyPr/>
        <a:lstStyle/>
        <a:p>
          <a:endParaRPr lang="en-IN"/>
        </a:p>
      </dgm:t>
    </dgm:pt>
    <dgm:pt modelId="{808004E0-36C8-43B3-B3FD-6B0CDCCF0016}" type="sibTrans" cxnId="{6F759E47-DAAE-48FD-92C4-8884400EB272}">
      <dgm:prSet/>
      <dgm:spPr/>
      <dgm:t>
        <a:bodyPr/>
        <a:lstStyle/>
        <a:p>
          <a:endParaRPr lang="en-IN" sz="2000">
            <a:latin typeface="Times New Roman" panose="02020603050405020304" pitchFamily="18" charset="0"/>
            <a:cs typeface="Times New Roman" panose="02020603050405020304" pitchFamily="18" charset="0"/>
          </a:endParaRPr>
        </a:p>
      </dgm:t>
    </dgm:pt>
    <dgm:pt modelId="{36DF9FDC-C96D-4818-960B-99E276708C5D}">
      <dgm:prSet phldrT="[Text]" custT="1"/>
      <dgm:spPr/>
      <dgm:t>
        <a:bodyPr/>
        <a:lstStyle/>
        <a:p>
          <a:r>
            <a:rPr lang="en-IN" sz="1050">
              <a:latin typeface="Times New Roman" panose="02020603050405020304" pitchFamily="18" charset="0"/>
              <a:cs typeface="Times New Roman" panose="02020603050405020304" pitchFamily="18" charset="0"/>
            </a:rPr>
            <a:t>Feelings</a:t>
          </a:r>
        </a:p>
      </dgm:t>
    </dgm:pt>
    <dgm:pt modelId="{EA6D067B-BBBE-4001-843E-BBF3BBB54361}" type="parTrans" cxnId="{5E53DFD4-58FC-4220-97A5-E60378013470}">
      <dgm:prSet/>
      <dgm:spPr/>
      <dgm:t>
        <a:bodyPr/>
        <a:lstStyle/>
        <a:p>
          <a:endParaRPr lang="en-IN"/>
        </a:p>
      </dgm:t>
    </dgm:pt>
    <dgm:pt modelId="{2AB0DC63-934E-4CF6-9511-10D2C0130AB1}" type="sibTrans" cxnId="{5E53DFD4-58FC-4220-97A5-E60378013470}">
      <dgm:prSet/>
      <dgm:spPr/>
      <dgm:t>
        <a:bodyPr/>
        <a:lstStyle/>
        <a:p>
          <a:endParaRPr lang="en-IN" sz="2000">
            <a:latin typeface="Times New Roman" panose="02020603050405020304" pitchFamily="18" charset="0"/>
            <a:cs typeface="Times New Roman" panose="02020603050405020304" pitchFamily="18" charset="0"/>
          </a:endParaRPr>
        </a:p>
      </dgm:t>
    </dgm:pt>
    <dgm:pt modelId="{94C1624E-767F-45F6-AEBB-EA006640AD06}">
      <dgm:prSet phldrT="[Text]" custT="1"/>
      <dgm:spPr/>
      <dgm:t>
        <a:bodyPr/>
        <a:lstStyle/>
        <a:p>
          <a:r>
            <a:rPr lang="en-IN" sz="1050">
              <a:latin typeface="Times New Roman" panose="02020603050405020304" pitchFamily="18" charset="0"/>
              <a:cs typeface="Times New Roman" panose="02020603050405020304" pitchFamily="18" charset="0"/>
            </a:rPr>
            <a:t>Evaluation</a:t>
          </a:r>
        </a:p>
      </dgm:t>
    </dgm:pt>
    <dgm:pt modelId="{8CCA9A49-5F6F-4901-BDF8-D0559362A80A}" type="parTrans" cxnId="{A1880E7A-3174-4AF4-8949-C701EFA05D82}">
      <dgm:prSet/>
      <dgm:spPr/>
      <dgm:t>
        <a:bodyPr/>
        <a:lstStyle/>
        <a:p>
          <a:endParaRPr lang="en-IN"/>
        </a:p>
      </dgm:t>
    </dgm:pt>
    <dgm:pt modelId="{8267EAE8-4381-4FD0-B29B-ACD5E9D552C9}" type="sibTrans" cxnId="{A1880E7A-3174-4AF4-8949-C701EFA05D82}">
      <dgm:prSet/>
      <dgm:spPr/>
      <dgm:t>
        <a:bodyPr/>
        <a:lstStyle/>
        <a:p>
          <a:endParaRPr lang="en-IN" sz="2000">
            <a:latin typeface="Times New Roman" panose="02020603050405020304" pitchFamily="18" charset="0"/>
            <a:cs typeface="Times New Roman" panose="02020603050405020304" pitchFamily="18" charset="0"/>
          </a:endParaRPr>
        </a:p>
      </dgm:t>
    </dgm:pt>
    <dgm:pt modelId="{7D17F3A9-F4A0-4BC8-86E1-623D19A3B63E}">
      <dgm:prSet phldrT="[Text]" custT="1"/>
      <dgm:spPr/>
      <dgm:t>
        <a:bodyPr/>
        <a:lstStyle/>
        <a:p>
          <a:r>
            <a:rPr lang="en-IN" sz="1050">
              <a:latin typeface="Times New Roman" panose="02020603050405020304" pitchFamily="18" charset="0"/>
              <a:cs typeface="Times New Roman" panose="02020603050405020304" pitchFamily="18" charset="0"/>
            </a:rPr>
            <a:t>Analysis</a:t>
          </a:r>
        </a:p>
      </dgm:t>
    </dgm:pt>
    <dgm:pt modelId="{1A3D14DB-AF2B-4A4C-BCA2-7359CCC3DBD7}" type="parTrans" cxnId="{D00C7732-58E5-4BDE-9A67-445834989A67}">
      <dgm:prSet/>
      <dgm:spPr/>
      <dgm:t>
        <a:bodyPr/>
        <a:lstStyle/>
        <a:p>
          <a:endParaRPr lang="en-IN"/>
        </a:p>
      </dgm:t>
    </dgm:pt>
    <dgm:pt modelId="{E64DE3AF-4264-4CA5-AF8B-0444B6D2C773}" type="sibTrans" cxnId="{D00C7732-58E5-4BDE-9A67-445834989A67}">
      <dgm:prSet/>
      <dgm:spPr/>
      <dgm:t>
        <a:bodyPr/>
        <a:lstStyle/>
        <a:p>
          <a:endParaRPr lang="en-IN" sz="2000">
            <a:latin typeface="Times New Roman" panose="02020603050405020304" pitchFamily="18" charset="0"/>
            <a:cs typeface="Times New Roman" panose="02020603050405020304" pitchFamily="18" charset="0"/>
          </a:endParaRPr>
        </a:p>
      </dgm:t>
    </dgm:pt>
    <dgm:pt modelId="{A9BB8F78-CB40-4B04-B0B6-22F6FEC212AA}">
      <dgm:prSet phldrT="[Text]" custT="1"/>
      <dgm:spPr/>
      <dgm:t>
        <a:bodyPr/>
        <a:lstStyle/>
        <a:p>
          <a:r>
            <a:rPr lang="en-IN" sz="1050">
              <a:latin typeface="Times New Roman" panose="02020603050405020304" pitchFamily="18" charset="0"/>
              <a:cs typeface="Times New Roman" panose="02020603050405020304" pitchFamily="18" charset="0"/>
            </a:rPr>
            <a:t>Conclusion</a:t>
          </a:r>
        </a:p>
      </dgm:t>
    </dgm:pt>
    <dgm:pt modelId="{260F5375-FACB-4AB7-B362-407332D498F4}" type="parTrans" cxnId="{B73E64EE-514F-4786-89C3-738FA36B4588}">
      <dgm:prSet/>
      <dgm:spPr/>
      <dgm:t>
        <a:bodyPr/>
        <a:lstStyle/>
        <a:p>
          <a:endParaRPr lang="en-IN"/>
        </a:p>
      </dgm:t>
    </dgm:pt>
    <dgm:pt modelId="{B8124861-DD37-4E1C-B5B9-44F962F879B3}" type="sibTrans" cxnId="{B73E64EE-514F-4786-89C3-738FA36B4588}">
      <dgm:prSet/>
      <dgm:spPr/>
      <dgm:t>
        <a:bodyPr/>
        <a:lstStyle/>
        <a:p>
          <a:endParaRPr lang="en-IN" sz="2000">
            <a:latin typeface="Times New Roman" panose="02020603050405020304" pitchFamily="18" charset="0"/>
            <a:cs typeface="Times New Roman" panose="02020603050405020304" pitchFamily="18" charset="0"/>
          </a:endParaRPr>
        </a:p>
      </dgm:t>
    </dgm:pt>
    <dgm:pt modelId="{8B3AE4C0-54E6-4F8D-B2BB-4C4C45740041}">
      <dgm:prSet phldrT="[Text]" custT="1"/>
      <dgm:spPr/>
      <dgm:t>
        <a:bodyPr/>
        <a:lstStyle/>
        <a:p>
          <a:r>
            <a:rPr lang="en-IN" sz="1050">
              <a:latin typeface="Times New Roman" panose="02020603050405020304" pitchFamily="18" charset="0"/>
              <a:cs typeface="Times New Roman" panose="02020603050405020304" pitchFamily="18" charset="0"/>
            </a:rPr>
            <a:t>Action Plan</a:t>
          </a:r>
        </a:p>
      </dgm:t>
    </dgm:pt>
    <dgm:pt modelId="{D03E181C-89E5-45C0-A993-473F79023F35}" type="parTrans" cxnId="{C9CFBF35-B543-4522-8C87-A75F681EFD1F}">
      <dgm:prSet/>
      <dgm:spPr/>
      <dgm:t>
        <a:bodyPr/>
        <a:lstStyle/>
        <a:p>
          <a:endParaRPr lang="en-IN"/>
        </a:p>
      </dgm:t>
    </dgm:pt>
    <dgm:pt modelId="{22BA8D83-E7BD-42ED-A6D9-92EFEB623C4A}" type="sibTrans" cxnId="{C9CFBF35-B543-4522-8C87-A75F681EFD1F}">
      <dgm:prSet/>
      <dgm:spPr/>
      <dgm:t>
        <a:bodyPr/>
        <a:lstStyle/>
        <a:p>
          <a:endParaRPr lang="en-IN" sz="2000">
            <a:latin typeface="Times New Roman" panose="02020603050405020304" pitchFamily="18" charset="0"/>
            <a:cs typeface="Times New Roman" panose="02020603050405020304" pitchFamily="18" charset="0"/>
          </a:endParaRPr>
        </a:p>
      </dgm:t>
    </dgm:pt>
    <dgm:pt modelId="{D3E491FA-15DD-43CD-87C5-B0FFDFF55EC3}" type="pres">
      <dgm:prSet presAssocID="{637AC9BA-4F54-45C2-A937-42DF687C48BA}" presName="cycle" presStyleCnt="0">
        <dgm:presLayoutVars>
          <dgm:dir/>
          <dgm:resizeHandles val="exact"/>
        </dgm:presLayoutVars>
      </dgm:prSet>
      <dgm:spPr/>
    </dgm:pt>
    <dgm:pt modelId="{BB0DF988-92A0-4782-B016-53E9376955C3}" type="pres">
      <dgm:prSet presAssocID="{012CA8D6-31A2-43A7-93DE-230441DED154}" presName="dummy" presStyleCnt="0"/>
      <dgm:spPr/>
    </dgm:pt>
    <dgm:pt modelId="{60D344F9-3612-48B2-9639-2A36F9F4E186}" type="pres">
      <dgm:prSet presAssocID="{012CA8D6-31A2-43A7-93DE-230441DED154}" presName="node" presStyleLbl="revTx" presStyleIdx="0" presStyleCnt="6">
        <dgm:presLayoutVars>
          <dgm:bulletEnabled val="1"/>
        </dgm:presLayoutVars>
      </dgm:prSet>
      <dgm:spPr/>
    </dgm:pt>
    <dgm:pt modelId="{7D856D26-0E95-4D58-A736-F657A478456B}" type="pres">
      <dgm:prSet presAssocID="{808004E0-36C8-43B3-B3FD-6B0CDCCF0016}" presName="sibTrans" presStyleLbl="node1" presStyleIdx="0" presStyleCnt="6"/>
      <dgm:spPr/>
    </dgm:pt>
    <dgm:pt modelId="{F84AB719-115B-4856-B0A2-DF6ED4E93465}" type="pres">
      <dgm:prSet presAssocID="{36DF9FDC-C96D-4818-960B-99E276708C5D}" presName="dummy" presStyleCnt="0"/>
      <dgm:spPr/>
    </dgm:pt>
    <dgm:pt modelId="{B619E272-9F5A-43EA-8DA1-E09923117C4E}" type="pres">
      <dgm:prSet presAssocID="{36DF9FDC-C96D-4818-960B-99E276708C5D}" presName="node" presStyleLbl="revTx" presStyleIdx="1" presStyleCnt="6">
        <dgm:presLayoutVars>
          <dgm:bulletEnabled val="1"/>
        </dgm:presLayoutVars>
      </dgm:prSet>
      <dgm:spPr/>
    </dgm:pt>
    <dgm:pt modelId="{E32FCBD3-C9EC-46DC-8B47-47DEBE232453}" type="pres">
      <dgm:prSet presAssocID="{2AB0DC63-934E-4CF6-9511-10D2C0130AB1}" presName="sibTrans" presStyleLbl="node1" presStyleIdx="1" presStyleCnt="6"/>
      <dgm:spPr/>
    </dgm:pt>
    <dgm:pt modelId="{394F0C75-41C7-46B1-BDA6-0F19BE3AEEAE}" type="pres">
      <dgm:prSet presAssocID="{94C1624E-767F-45F6-AEBB-EA006640AD06}" presName="dummy" presStyleCnt="0"/>
      <dgm:spPr/>
    </dgm:pt>
    <dgm:pt modelId="{00FD4C7A-A320-431C-BEF4-EE39692D811B}" type="pres">
      <dgm:prSet presAssocID="{94C1624E-767F-45F6-AEBB-EA006640AD06}" presName="node" presStyleLbl="revTx" presStyleIdx="2" presStyleCnt="6">
        <dgm:presLayoutVars>
          <dgm:bulletEnabled val="1"/>
        </dgm:presLayoutVars>
      </dgm:prSet>
      <dgm:spPr/>
    </dgm:pt>
    <dgm:pt modelId="{1EA5C7D6-9AFC-4596-BB14-D7AF776416CE}" type="pres">
      <dgm:prSet presAssocID="{8267EAE8-4381-4FD0-B29B-ACD5E9D552C9}" presName="sibTrans" presStyleLbl="node1" presStyleIdx="2" presStyleCnt="6"/>
      <dgm:spPr/>
    </dgm:pt>
    <dgm:pt modelId="{1B69F1A6-5955-43AC-B1AA-E2793A2B08C8}" type="pres">
      <dgm:prSet presAssocID="{7D17F3A9-F4A0-4BC8-86E1-623D19A3B63E}" presName="dummy" presStyleCnt="0"/>
      <dgm:spPr/>
    </dgm:pt>
    <dgm:pt modelId="{95335FFC-6197-4D7D-8A23-E35ECFB72B64}" type="pres">
      <dgm:prSet presAssocID="{7D17F3A9-F4A0-4BC8-86E1-623D19A3B63E}" presName="node" presStyleLbl="revTx" presStyleIdx="3" presStyleCnt="6">
        <dgm:presLayoutVars>
          <dgm:bulletEnabled val="1"/>
        </dgm:presLayoutVars>
      </dgm:prSet>
      <dgm:spPr/>
    </dgm:pt>
    <dgm:pt modelId="{2122F06B-611F-48DF-AAB7-249173A75CC2}" type="pres">
      <dgm:prSet presAssocID="{E64DE3AF-4264-4CA5-AF8B-0444B6D2C773}" presName="sibTrans" presStyleLbl="node1" presStyleIdx="3" presStyleCnt="6"/>
      <dgm:spPr/>
    </dgm:pt>
    <dgm:pt modelId="{3C5CEB58-8234-413F-AA9E-2162079F1AF0}" type="pres">
      <dgm:prSet presAssocID="{A9BB8F78-CB40-4B04-B0B6-22F6FEC212AA}" presName="dummy" presStyleCnt="0"/>
      <dgm:spPr/>
    </dgm:pt>
    <dgm:pt modelId="{F9548DC5-8A16-487E-B7BA-223E70826683}" type="pres">
      <dgm:prSet presAssocID="{A9BB8F78-CB40-4B04-B0B6-22F6FEC212AA}" presName="node" presStyleLbl="revTx" presStyleIdx="4" presStyleCnt="6">
        <dgm:presLayoutVars>
          <dgm:bulletEnabled val="1"/>
        </dgm:presLayoutVars>
      </dgm:prSet>
      <dgm:spPr/>
    </dgm:pt>
    <dgm:pt modelId="{E3D5771E-CA2B-42B2-8620-52DEBBBF6B6B}" type="pres">
      <dgm:prSet presAssocID="{B8124861-DD37-4E1C-B5B9-44F962F879B3}" presName="sibTrans" presStyleLbl="node1" presStyleIdx="4" presStyleCnt="6"/>
      <dgm:spPr/>
    </dgm:pt>
    <dgm:pt modelId="{1CEEC067-21FB-452E-8EAB-B4914CE7B448}" type="pres">
      <dgm:prSet presAssocID="{8B3AE4C0-54E6-4F8D-B2BB-4C4C45740041}" presName="dummy" presStyleCnt="0"/>
      <dgm:spPr/>
    </dgm:pt>
    <dgm:pt modelId="{0FB106D0-7F18-41EB-80D0-1E4C658AEB34}" type="pres">
      <dgm:prSet presAssocID="{8B3AE4C0-54E6-4F8D-B2BB-4C4C45740041}" presName="node" presStyleLbl="revTx" presStyleIdx="5" presStyleCnt="6">
        <dgm:presLayoutVars>
          <dgm:bulletEnabled val="1"/>
        </dgm:presLayoutVars>
      </dgm:prSet>
      <dgm:spPr/>
    </dgm:pt>
    <dgm:pt modelId="{1B27B524-C85A-4FB5-9DDC-FA1815C074A5}" type="pres">
      <dgm:prSet presAssocID="{22BA8D83-E7BD-42ED-A6D9-92EFEB623C4A}" presName="sibTrans" presStyleLbl="node1" presStyleIdx="5" presStyleCnt="6"/>
      <dgm:spPr/>
    </dgm:pt>
  </dgm:ptLst>
  <dgm:cxnLst>
    <dgm:cxn modelId="{03EBFA1C-F5B5-4D78-8626-CE5AE859C489}" type="presOf" srcId="{2AB0DC63-934E-4CF6-9511-10D2C0130AB1}" destId="{E32FCBD3-C9EC-46DC-8B47-47DEBE232453}" srcOrd="0" destOrd="0" presId="urn:microsoft.com/office/officeart/2005/8/layout/cycle1"/>
    <dgm:cxn modelId="{9F67252F-6F9A-4FB0-AB57-93964599B787}" type="presOf" srcId="{A9BB8F78-CB40-4B04-B0B6-22F6FEC212AA}" destId="{F9548DC5-8A16-487E-B7BA-223E70826683}" srcOrd="0" destOrd="0" presId="urn:microsoft.com/office/officeart/2005/8/layout/cycle1"/>
    <dgm:cxn modelId="{D00C7732-58E5-4BDE-9A67-445834989A67}" srcId="{637AC9BA-4F54-45C2-A937-42DF687C48BA}" destId="{7D17F3A9-F4A0-4BC8-86E1-623D19A3B63E}" srcOrd="3" destOrd="0" parTransId="{1A3D14DB-AF2B-4A4C-BCA2-7359CCC3DBD7}" sibTransId="{E64DE3AF-4264-4CA5-AF8B-0444B6D2C773}"/>
    <dgm:cxn modelId="{C9CFBF35-B543-4522-8C87-A75F681EFD1F}" srcId="{637AC9BA-4F54-45C2-A937-42DF687C48BA}" destId="{8B3AE4C0-54E6-4F8D-B2BB-4C4C45740041}" srcOrd="5" destOrd="0" parTransId="{D03E181C-89E5-45C0-A993-473F79023F35}" sibTransId="{22BA8D83-E7BD-42ED-A6D9-92EFEB623C4A}"/>
    <dgm:cxn modelId="{6F759E47-DAAE-48FD-92C4-8884400EB272}" srcId="{637AC9BA-4F54-45C2-A937-42DF687C48BA}" destId="{012CA8D6-31A2-43A7-93DE-230441DED154}" srcOrd="0" destOrd="0" parTransId="{5D3A8A11-C8B1-4E9B-9AA5-3C85B2FC3395}" sibTransId="{808004E0-36C8-43B3-B3FD-6B0CDCCF0016}"/>
    <dgm:cxn modelId="{9AF74A57-6ED0-4924-A7F9-0DD9FDA8FA12}" type="presOf" srcId="{36DF9FDC-C96D-4818-960B-99E276708C5D}" destId="{B619E272-9F5A-43EA-8DA1-E09923117C4E}" srcOrd="0" destOrd="0" presId="urn:microsoft.com/office/officeart/2005/8/layout/cycle1"/>
    <dgm:cxn modelId="{2B276778-A95A-4AAF-A4D7-1BAD9FD5A329}" type="presOf" srcId="{B8124861-DD37-4E1C-B5B9-44F962F879B3}" destId="{E3D5771E-CA2B-42B2-8620-52DEBBBF6B6B}" srcOrd="0" destOrd="0" presId="urn:microsoft.com/office/officeart/2005/8/layout/cycle1"/>
    <dgm:cxn modelId="{A1880E7A-3174-4AF4-8949-C701EFA05D82}" srcId="{637AC9BA-4F54-45C2-A937-42DF687C48BA}" destId="{94C1624E-767F-45F6-AEBB-EA006640AD06}" srcOrd="2" destOrd="0" parTransId="{8CCA9A49-5F6F-4901-BDF8-D0559362A80A}" sibTransId="{8267EAE8-4381-4FD0-B29B-ACD5E9D552C9}"/>
    <dgm:cxn modelId="{1C58E57B-1FC0-45D7-B0FF-AC19209395E4}" type="presOf" srcId="{7D17F3A9-F4A0-4BC8-86E1-623D19A3B63E}" destId="{95335FFC-6197-4D7D-8A23-E35ECFB72B64}" srcOrd="0" destOrd="0" presId="urn:microsoft.com/office/officeart/2005/8/layout/cycle1"/>
    <dgm:cxn modelId="{F45B9D8E-177E-4659-BE19-81D23B5B26D8}" type="presOf" srcId="{E64DE3AF-4264-4CA5-AF8B-0444B6D2C773}" destId="{2122F06B-611F-48DF-AAB7-249173A75CC2}" srcOrd="0" destOrd="0" presId="urn:microsoft.com/office/officeart/2005/8/layout/cycle1"/>
    <dgm:cxn modelId="{C9CD189D-F391-4904-9016-3A183BC38AC7}" type="presOf" srcId="{8B3AE4C0-54E6-4F8D-B2BB-4C4C45740041}" destId="{0FB106D0-7F18-41EB-80D0-1E4C658AEB34}" srcOrd="0" destOrd="0" presId="urn:microsoft.com/office/officeart/2005/8/layout/cycle1"/>
    <dgm:cxn modelId="{21126FAC-A0FA-49A6-909B-B0DEBF9B1757}" type="presOf" srcId="{637AC9BA-4F54-45C2-A937-42DF687C48BA}" destId="{D3E491FA-15DD-43CD-87C5-B0FFDFF55EC3}" srcOrd="0" destOrd="0" presId="urn:microsoft.com/office/officeart/2005/8/layout/cycle1"/>
    <dgm:cxn modelId="{36A8F2AE-E420-444A-8C30-0EFA40B4F502}" type="presOf" srcId="{808004E0-36C8-43B3-B3FD-6B0CDCCF0016}" destId="{7D856D26-0E95-4D58-A736-F657A478456B}" srcOrd="0" destOrd="0" presId="urn:microsoft.com/office/officeart/2005/8/layout/cycle1"/>
    <dgm:cxn modelId="{5E53DFD4-58FC-4220-97A5-E60378013470}" srcId="{637AC9BA-4F54-45C2-A937-42DF687C48BA}" destId="{36DF9FDC-C96D-4818-960B-99E276708C5D}" srcOrd="1" destOrd="0" parTransId="{EA6D067B-BBBE-4001-843E-BBF3BBB54361}" sibTransId="{2AB0DC63-934E-4CF6-9511-10D2C0130AB1}"/>
    <dgm:cxn modelId="{3699AEDF-7E4D-42D2-8374-32EBA7957E78}" type="presOf" srcId="{94C1624E-767F-45F6-AEBB-EA006640AD06}" destId="{00FD4C7A-A320-431C-BEF4-EE39692D811B}" srcOrd="0" destOrd="0" presId="urn:microsoft.com/office/officeart/2005/8/layout/cycle1"/>
    <dgm:cxn modelId="{450997E6-65F8-4CC7-957E-69451260AD91}" type="presOf" srcId="{012CA8D6-31A2-43A7-93DE-230441DED154}" destId="{60D344F9-3612-48B2-9639-2A36F9F4E186}" srcOrd="0" destOrd="0" presId="urn:microsoft.com/office/officeart/2005/8/layout/cycle1"/>
    <dgm:cxn modelId="{B73E64EE-514F-4786-89C3-738FA36B4588}" srcId="{637AC9BA-4F54-45C2-A937-42DF687C48BA}" destId="{A9BB8F78-CB40-4B04-B0B6-22F6FEC212AA}" srcOrd="4" destOrd="0" parTransId="{260F5375-FACB-4AB7-B362-407332D498F4}" sibTransId="{B8124861-DD37-4E1C-B5B9-44F962F879B3}"/>
    <dgm:cxn modelId="{BBE03EF3-AF01-4215-8B07-0AAF337BCF32}" type="presOf" srcId="{22BA8D83-E7BD-42ED-A6D9-92EFEB623C4A}" destId="{1B27B524-C85A-4FB5-9DDC-FA1815C074A5}" srcOrd="0" destOrd="0" presId="urn:microsoft.com/office/officeart/2005/8/layout/cycle1"/>
    <dgm:cxn modelId="{416DD2FA-2C5D-4702-9747-C931C3AC1549}" type="presOf" srcId="{8267EAE8-4381-4FD0-B29B-ACD5E9D552C9}" destId="{1EA5C7D6-9AFC-4596-BB14-D7AF776416CE}" srcOrd="0" destOrd="0" presId="urn:microsoft.com/office/officeart/2005/8/layout/cycle1"/>
    <dgm:cxn modelId="{B01CABEA-ECEE-44F2-85FD-4C095E27FB6F}" type="presParOf" srcId="{D3E491FA-15DD-43CD-87C5-B0FFDFF55EC3}" destId="{BB0DF988-92A0-4782-B016-53E9376955C3}" srcOrd="0" destOrd="0" presId="urn:microsoft.com/office/officeart/2005/8/layout/cycle1"/>
    <dgm:cxn modelId="{5DAF70B2-B2F4-4ED8-A408-111614598FB6}" type="presParOf" srcId="{D3E491FA-15DD-43CD-87C5-B0FFDFF55EC3}" destId="{60D344F9-3612-48B2-9639-2A36F9F4E186}" srcOrd="1" destOrd="0" presId="urn:microsoft.com/office/officeart/2005/8/layout/cycle1"/>
    <dgm:cxn modelId="{74586913-4D5C-4045-AF77-2CE715122D31}" type="presParOf" srcId="{D3E491FA-15DD-43CD-87C5-B0FFDFF55EC3}" destId="{7D856D26-0E95-4D58-A736-F657A478456B}" srcOrd="2" destOrd="0" presId="urn:microsoft.com/office/officeart/2005/8/layout/cycle1"/>
    <dgm:cxn modelId="{D5511F2E-EDE5-4415-8498-F15DB8C7547E}" type="presParOf" srcId="{D3E491FA-15DD-43CD-87C5-B0FFDFF55EC3}" destId="{F84AB719-115B-4856-B0A2-DF6ED4E93465}" srcOrd="3" destOrd="0" presId="urn:microsoft.com/office/officeart/2005/8/layout/cycle1"/>
    <dgm:cxn modelId="{B23BF0E1-DAA7-42A8-88B4-2D32D6A9E112}" type="presParOf" srcId="{D3E491FA-15DD-43CD-87C5-B0FFDFF55EC3}" destId="{B619E272-9F5A-43EA-8DA1-E09923117C4E}" srcOrd="4" destOrd="0" presId="urn:microsoft.com/office/officeart/2005/8/layout/cycle1"/>
    <dgm:cxn modelId="{7EBC4134-8110-4D48-93B4-F7079CD3BF6F}" type="presParOf" srcId="{D3E491FA-15DD-43CD-87C5-B0FFDFF55EC3}" destId="{E32FCBD3-C9EC-46DC-8B47-47DEBE232453}" srcOrd="5" destOrd="0" presId="urn:microsoft.com/office/officeart/2005/8/layout/cycle1"/>
    <dgm:cxn modelId="{E5199F11-490A-4C3A-96DA-965EB1DEA3E9}" type="presParOf" srcId="{D3E491FA-15DD-43CD-87C5-B0FFDFF55EC3}" destId="{394F0C75-41C7-46B1-BDA6-0F19BE3AEEAE}" srcOrd="6" destOrd="0" presId="urn:microsoft.com/office/officeart/2005/8/layout/cycle1"/>
    <dgm:cxn modelId="{9851B96A-80E4-4112-84C4-8E6C8C4837C7}" type="presParOf" srcId="{D3E491FA-15DD-43CD-87C5-B0FFDFF55EC3}" destId="{00FD4C7A-A320-431C-BEF4-EE39692D811B}" srcOrd="7" destOrd="0" presId="urn:microsoft.com/office/officeart/2005/8/layout/cycle1"/>
    <dgm:cxn modelId="{EB759105-39EB-4976-8DA2-D6AAD4FCABB4}" type="presParOf" srcId="{D3E491FA-15DD-43CD-87C5-B0FFDFF55EC3}" destId="{1EA5C7D6-9AFC-4596-BB14-D7AF776416CE}" srcOrd="8" destOrd="0" presId="urn:microsoft.com/office/officeart/2005/8/layout/cycle1"/>
    <dgm:cxn modelId="{5D5F40AA-C02E-4366-B355-3B81C40BCD4E}" type="presParOf" srcId="{D3E491FA-15DD-43CD-87C5-B0FFDFF55EC3}" destId="{1B69F1A6-5955-43AC-B1AA-E2793A2B08C8}" srcOrd="9" destOrd="0" presId="urn:microsoft.com/office/officeart/2005/8/layout/cycle1"/>
    <dgm:cxn modelId="{58A80119-348A-4BC7-9380-2C9E834433C2}" type="presParOf" srcId="{D3E491FA-15DD-43CD-87C5-B0FFDFF55EC3}" destId="{95335FFC-6197-4D7D-8A23-E35ECFB72B64}" srcOrd="10" destOrd="0" presId="urn:microsoft.com/office/officeart/2005/8/layout/cycle1"/>
    <dgm:cxn modelId="{5EBBC929-A205-4F80-A6B7-9B3247F2D042}" type="presParOf" srcId="{D3E491FA-15DD-43CD-87C5-B0FFDFF55EC3}" destId="{2122F06B-611F-48DF-AAB7-249173A75CC2}" srcOrd="11" destOrd="0" presId="urn:microsoft.com/office/officeart/2005/8/layout/cycle1"/>
    <dgm:cxn modelId="{E2332344-F67D-448C-971C-FBA4A2150A2F}" type="presParOf" srcId="{D3E491FA-15DD-43CD-87C5-B0FFDFF55EC3}" destId="{3C5CEB58-8234-413F-AA9E-2162079F1AF0}" srcOrd="12" destOrd="0" presId="urn:microsoft.com/office/officeart/2005/8/layout/cycle1"/>
    <dgm:cxn modelId="{F15BB326-A09F-4F82-83C4-B498E68A8E63}" type="presParOf" srcId="{D3E491FA-15DD-43CD-87C5-B0FFDFF55EC3}" destId="{F9548DC5-8A16-487E-B7BA-223E70826683}" srcOrd="13" destOrd="0" presId="urn:microsoft.com/office/officeart/2005/8/layout/cycle1"/>
    <dgm:cxn modelId="{1E5F5EF8-037B-4D6D-8FAE-3EDA66D2B049}" type="presParOf" srcId="{D3E491FA-15DD-43CD-87C5-B0FFDFF55EC3}" destId="{E3D5771E-CA2B-42B2-8620-52DEBBBF6B6B}" srcOrd="14" destOrd="0" presId="urn:microsoft.com/office/officeart/2005/8/layout/cycle1"/>
    <dgm:cxn modelId="{86BA98D0-7AAE-4F2D-9C44-CEC313C56AFF}" type="presParOf" srcId="{D3E491FA-15DD-43CD-87C5-B0FFDFF55EC3}" destId="{1CEEC067-21FB-452E-8EAB-B4914CE7B448}" srcOrd="15" destOrd="0" presId="urn:microsoft.com/office/officeart/2005/8/layout/cycle1"/>
    <dgm:cxn modelId="{D2B8C891-8B99-4328-AF76-C38E43FDC422}" type="presParOf" srcId="{D3E491FA-15DD-43CD-87C5-B0FFDFF55EC3}" destId="{0FB106D0-7F18-41EB-80D0-1E4C658AEB34}" srcOrd="16" destOrd="0" presId="urn:microsoft.com/office/officeart/2005/8/layout/cycle1"/>
    <dgm:cxn modelId="{71D1E8CD-FEC3-4CCB-8B19-85C7A60A806E}" type="presParOf" srcId="{D3E491FA-15DD-43CD-87C5-B0FFDFF55EC3}" destId="{1B27B524-C85A-4FB5-9DDC-FA1815C074A5}" srcOrd="17" destOrd="0" presId="urn:microsoft.com/office/officeart/2005/8/layout/cycle1"/>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FDEF46D-BDA6-4E37-B78C-EDC8543DA3FF}">
      <dsp:nvSpPr>
        <dsp:cNvPr id="0" name=""/>
        <dsp:cNvSpPr/>
      </dsp:nvSpPr>
      <dsp:spPr>
        <a:xfrm>
          <a:off x="3242462" y="2176272"/>
          <a:ext cx="1580997" cy="1024128"/>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7500176"/>
              <a:satOff val="-11253"/>
              <a:lumOff val="-183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t" anchorCtr="0">
          <a:noAutofit/>
        </a:bodyPr>
        <a:lstStyle/>
        <a:p>
          <a:pPr marL="57150" lvl="1" indent="-57150" algn="l" defTabSz="244475">
            <a:lnSpc>
              <a:spcPct val="90000"/>
            </a:lnSpc>
            <a:spcBef>
              <a:spcPct val="0"/>
            </a:spcBef>
            <a:spcAft>
              <a:spcPct val="15000"/>
            </a:spcAft>
            <a:buChar char="•"/>
          </a:pPr>
          <a:r>
            <a:rPr lang="en-IN" sz="550" b="1" kern="1200">
              <a:latin typeface="Times New Roman" panose="02020603050405020304" pitchFamily="18" charset="0"/>
              <a:cs typeface="Times New Roman" panose="02020603050405020304" pitchFamily="18" charset="0"/>
            </a:rPr>
            <a:t>Objective - </a:t>
          </a:r>
          <a:r>
            <a:rPr lang="en-IN" sz="550" kern="1200">
              <a:latin typeface="Times New Roman" panose="02020603050405020304" pitchFamily="18" charset="0"/>
              <a:cs typeface="Times New Roman" panose="02020603050405020304" pitchFamily="18" charset="0"/>
            </a:rPr>
            <a:t>Develop digital capabilities and improve workforce productivity</a:t>
          </a:r>
        </a:p>
        <a:p>
          <a:pPr marL="57150" lvl="1" indent="-57150" algn="l" defTabSz="244475">
            <a:lnSpc>
              <a:spcPct val="90000"/>
            </a:lnSpc>
            <a:spcBef>
              <a:spcPct val="0"/>
            </a:spcBef>
            <a:spcAft>
              <a:spcPct val="15000"/>
            </a:spcAft>
            <a:buChar char="•"/>
          </a:pPr>
          <a:r>
            <a:rPr lang="en-IN" sz="550" b="1" kern="1200">
              <a:latin typeface="Times New Roman" panose="02020603050405020304" pitchFamily="18" charset="0"/>
              <a:cs typeface="Times New Roman" panose="02020603050405020304" pitchFamily="18" charset="0"/>
            </a:rPr>
            <a:t>KPIs:</a:t>
          </a:r>
        </a:p>
        <a:p>
          <a:pPr marL="114300" lvl="2" indent="-57150" algn="l" defTabSz="244475">
            <a:lnSpc>
              <a:spcPct val="90000"/>
            </a:lnSpc>
            <a:spcBef>
              <a:spcPct val="0"/>
            </a:spcBef>
            <a:spcAft>
              <a:spcPct val="15000"/>
            </a:spcAft>
            <a:buNone/>
          </a:pPr>
          <a:r>
            <a:rPr lang="en-IN" sz="550" kern="1200">
              <a:latin typeface="Times New Roman" panose="02020603050405020304" pitchFamily="18" charset="0"/>
              <a:cs typeface="Times New Roman" panose="02020603050405020304" pitchFamily="18" charset="0"/>
            </a:rPr>
            <a:t>Employee training hours</a:t>
          </a:r>
        </a:p>
        <a:p>
          <a:pPr marL="114300" lvl="2" indent="-57150" algn="l" defTabSz="244475">
            <a:lnSpc>
              <a:spcPct val="90000"/>
            </a:lnSpc>
            <a:spcBef>
              <a:spcPct val="0"/>
            </a:spcBef>
            <a:spcAft>
              <a:spcPct val="15000"/>
            </a:spcAft>
            <a:buNone/>
          </a:pPr>
          <a:r>
            <a:rPr lang="en-IN" sz="550" kern="1200">
              <a:latin typeface="Times New Roman" panose="02020603050405020304" pitchFamily="18" charset="0"/>
              <a:cs typeface="Times New Roman" panose="02020603050405020304" pitchFamily="18" charset="0"/>
            </a:rPr>
            <a:t>Employee engagement</a:t>
          </a:r>
        </a:p>
        <a:p>
          <a:pPr marL="114300" lvl="2" indent="-57150" algn="l" defTabSz="244475">
            <a:lnSpc>
              <a:spcPct val="90000"/>
            </a:lnSpc>
            <a:spcBef>
              <a:spcPct val="0"/>
            </a:spcBef>
            <a:spcAft>
              <a:spcPct val="15000"/>
            </a:spcAft>
            <a:buNone/>
          </a:pPr>
          <a:r>
            <a:rPr lang="en-IN" sz="550" kern="1200">
              <a:latin typeface="Times New Roman" panose="02020603050405020304" pitchFamily="18" charset="0"/>
              <a:cs typeface="Times New Roman" panose="02020603050405020304" pitchFamily="18" charset="0"/>
            </a:rPr>
            <a:t>Staff turnover rate </a:t>
          </a:r>
        </a:p>
        <a:p>
          <a:pPr marL="114300" lvl="2" indent="-57150" algn="l" defTabSz="244475">
            <a:lnSpc>
              <a:spcPct val="90000"/>
            </a:lnSpc>
            <a:spcBef>
              <a:spcPct val="0"/>
            </a:spcBef>
            <a:spcAft>
              <a:spcPct val="15000"/>
            </a:spcAft>
            <a:buNone/>
          </a:pPr>
          <a:r>
            <a:rPr lang="en-IN" sz="550" kern="1200">
              <a:latin typeface="Times New Roman" panose="02020603050405020304" pitchFamily="18" charset="0"/>
              <a:cs typeface="Times New Roman" panose="02020603050405020304" pitchFamily="18" charset="0"/>
            </a:rPr>
            <a:t>Investment in technology and</a:t>
          </a:r>
        </a:p>
        <a:p>
          <a:pPr marL="114300" lvl="2" indent="-57150" algn="l" defTabSz="244475">
            <a:lnSpc>
              <a:spcPct val="90000"/>
            </a:lnSpc>
            <a:spcBef>
              <a:spcPct val="0"/>
            </a:spcBef>
            <a:spcAft>
              <a:spcPct val="15000"/>
            </a:spcAft>
            <a:buNone/>
          </a:pPr>
          <a:r>
            <a:rPr lang="en-IN" sz="550" kern="1200">
              <a:latin typeface="Times New Roman" panose="02020603050405020304" pitchFamily="18" charset="0"/>
              <a:cs typeface="Times New Roman" panose="02020603050405020304" pitchFamily="18" charset="0"/>
            </a:rPr>
            <a:t>innovation</a:t>
          </a:r>
        </a:p>
      </dsp:txBody>
      <dsp:txXfrm>
        <a:off x="3739258" y="2454800"/>
        <a:ext cx="1061704" cy="723102"/>
      </dsp:txXfrm>
    </dsp:sp>
    <dsp:sp modelId="{3497964F-F7CD-407A-BD52-8EE669E96A70}">
      <dsp:nvSpPr>
        <dsp:cNvPr id="0" name=""/>
        <dsp:cNvSpPr/>
      </dsp:nvSpPr>
      <dsp:spPr>
        <a:xfrm>
          <a:off x="662939" y="2176272"/>
          <a:ext cx="1580997" cy="1024128"/>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t" anchorCtr="0">
          <a:noAutofit/>
        </a:bodyPr>
        <a:lstStyle/>
        <a:p>
          <a:pPr marL="57150" lvl="1" indent="-57150" algn="l" defTabSz="266700">
            <a:lnSpc>
              <a:spcPct val="90000"/>
            </a:lnSpc>
            <a:spcBef>
              <a:spcPct val="0"/>
            </a:spcBef>
            <a:spcAft>
              <a:spcPct val="15000"/>
            </a:spcAft>
            <a:buChar char="•"/>
          </a:pPr>
          <a:r>
            <a:rPr lang="en-IN" sz="600" b="1" kern="1200">
              <a:latin typeface="Times New Roman" panose="02020603050405020304" pitchFamily="18" charset="0"/>
              <a:cs typeface="Times New Roman" panose="02020603050405020304" pitchFamily="18" charset="0"/>
            </a:rPr>
            <a:t>Objective - </a:t>
          </a:r>
          <a:r>
            <a:rPr lang="en-IN" sz="600" kern="1200">
              <a:latin typeface="Times New Roman" panose="02020603050405020304" pitchFamily="18" charset="0"/>
              <a:cs typeface="Times New Roman" panose="02020603050405020304" pitchFamily="18" charset="0"/>
            </a:rPr>
            <a:t>Enhance operational efficiency and supply chain performance</a:t>
          </a:r>
        </a:p>
        <a:p>
          <a:pPr marL="57150" lvl="1" indent="-57150" algn="l" defTabSz="266700">
            <a:lnSpc>
              <a:spcPct val="90000"/>
            </a:lnSpc>
            <a:spcBef>
              <a:spcPct val="0"/>
            </a:spcBef>
            <a:spcAft>
              <a:spcPct val="15000"/>
            </a:spcAft>
            <a:buChar char="•"/>
          </a:pPr>
          <a:r>
            <a:rPr lang="en-IN" sz="600" b="1" kern="1200">
              <a:latin typeface="Times New Roman" panose="02020603050405020304" pitchFamily="18" charset="0"/>
              <a:cs typeface="Times New Roman" panose="02020603050405020304" pitchFamily="18" charset="0"/>
            </a:rPr>
            <a:t>KPIs: </a:t>
          </a:r>
          <a:r>
            <a:rPr lang="en-IN" sz="600" kern="1200">
              <a:latin typeface="Times New Roman" panose="02020603050405020304" pitchFamily="18" charset="0"/>
              <a:cs typeface="Times New Roman" panose="02020603050405020304" pitchFamily="18" charset="0"/>
            </a:rPr>
            <a:t>Inventory turnover ratio</a:t>
          </a:r>
        </a:p>
        <a:p>
          <a:pPr marL="114300" lvl="2" indent="-57150" algn="l" defTabSz="266700">
            <a:lnSpc>
              <a:spcPct val="90000"/>
            </a:lnSpc>
            <a:spcBef>
              <a:spcPct val="0"/>
            </a:spcBef>
            <a:spcAft>
              <a:spcPct val="15000"/>
            </a:spcAft>
            <a:buNone/>
          </a:pPr>
          <a:r>
            <a:rPr lang="en-IN" sz="600" kern="1200">
              <a:latin typeface="Times New Roman" panose="02020603050405020304" pitchFamily="18" charset="0"/>
              <a:cs typeface="Times New Roman" panose="02020603050405020304" pitchFamily="18" charset="0"/>
            </a:rPr>
            <a:t>Stock availability rate</a:t>
          </a:r>
        </a:p>
        <a:p>
          <a:pPr marL="114300" lvl="2" indent="-57150" algn="l" defTabSz="266700">
            <a:lnSpc>
              <a:spcPct val="90000"/>
            </a:lnSpc>
            <a:spcBef>
              <a:spcPct val="0"/>
            </a:spcBef>
            <a:spcAft>
              <a:spcPct val="15000"/>
            </a:spcAft>
            <a:buNone/>
          </a:pPr>
          <a:r>
            <a:rPr lang="en-IN" sz="600" kern="1200">
              <a:latin typeface="Times New Roman" panose="02020603050405020304" pitchFamily="18" charset="0"/>
              <a:cs typeface="Times New Roman" panose="02020603050405020304" pitchFamily="18" charset="0"/>
            </a:rPr>
            <a:t>Order fulfilment accuracy</a:t>
          </a:r>
        </a:p>
        <a:p>
          <a:pPr marL="114300" lvl="2" indent="-57150" algn="l" defTabSz="266700">
            <a:lnSpc>
              <a:spcPct val="90000"/>
            </a:lnSpc>
            <a:spcBef>
              <a:spcPct val="0"/>
            </a:spcBef>
            <a:spcAft>
              <a:spcPct val="15000"/>
            </a:spcAft>
            <a:buNone/>
          </a:pPr>
          <a:r>
            <a:rPr lang="en-IN" sz="600" kern="1200">
              <a:latin typeface="Times New Roman" panose="02020603050405020304" pitchFamily="18" charset="0"/>
              <a:cs typeface="Times New Roman" panose="02020603050405020304" pitchFamily="18" charset="0"/>
            </a:rPr>
            <a:t>Supply chain delivery time</a:t>
          </a:r>
        </a:p>
        <a:p>
          <a:pPr marL="114300" lvl="2" indent="-57150" algn="l" defTabSz="266700">
            <a:lnSpc>
              <a:spcPct val="90000"/>
            </a:lnSpc>
            <a:spcBef>
              <a:spcPct val="0"/>
            </a:spcBef>
            <a:spcAft>
              <a:spcPct val="15000"/>
            </a:spcAft>
            <a:buNone/>
          </a:pPr>
          <a:r>
            <a:rPr lang="en-IN" sz="600" kern="1200">
              <a:latin typeface="Times New Roman" panose="02020603050405020304" pitchFamily="18" charset="0"/>
              <a:cs typeface="Times New Roman" panose="02020603050405020304" pitchFamily="18" charset="0"/>
            </a:rPr>
            <a:t>Food waste reduction</a:t>
          </a:r>
        </a:p>
      </dsp:txBody>
      <dsp:txXfrm>
        <a:off x="685436" y="2454800"/>
        <a:ext cx="1061704" cy="723102"/>
      </dsp:txXfrm>
    </dsp:sp>
    <dsp:sp modelId="{4899B896-5F76-4E8C-8E78-F37B0D453030}">
      <dsp:nvSpPr>
        <dsp:cNvPr id="0" name=""/>
        <dsp:cNvSpPr/>
      </dsp:nvSpPr>
      <dsp:spPr>
        <a:xfrm>
          <a:off x="3242762" y="0"/>
          <a:ext cx="1580396" cy="1024128"/>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3750088"/>
              <a:satOff val="-5627"/>
              <a:lumOff val="-91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t" anchorCtr="0">
          <a:noAutofit/>
        </a:bodyPr>
        <a:lstStyle/>
        <a:p>
          <a:pPr marL="57150" lvl="1" indent="-57150" algn="l" defTabSz="244475">
            <a:lnSpc>
              <a:spcPct val="90000"/>
            </a:lnSpc>
            <a:spcBef>
              <a:spcPct val="0"/>
            </a:spcBef>
            <a:spcAft>
              <a:spcPct val="15000"/>
            </a:spcAft>
            <a:buChar char="•"/>
          </a:pPr>
          <a:r>
            <a:rPr lang="en-IN" sz="550" b="1" kern="1200">
              <a:latin typeface="Times New Roman" panose="02020603050405020304" pitchFamily="18" charset="0"/>
              <a:cs typeface="Times New Roman" panose="02020603050405020304" pitchFamily="18" charset="0"/>
            </a:rPr>
            <a:t>Objective - </a:t>
          </a:r>
          <a:r>
            <a:rPr lang="en-IN" sz="550" kern="1200">
              <a:latin typeface="Times New Roman" panose="02020603050405020304" pitchFamily="18" charset="0"/>
              <a:cs typeface="Times New Roman" panose="02020603050405020304" pitchFamily="18" charset="0"/>
            </a:rPr>
            <a:t>Strengthen customer loyalty through value, quality, and personalised experience</a:t>
          </a:r>
        </a:p>
        <a:p>
          <a:pPr marL="57150" lvl="1" indent="-57150" algn="l" defTabSz="244475">
            <a:lnSpc>
              <a:spcPct val="90000"/>
            </a:lnSpc>
            <a:spcBef>
              <a:spcPct val="0"/>
            </a:spcBef>
            <a:spcAft>
              <a:spcPct val="15000"/>
            </a:spcAft>
            <a:buChar char="•"/>
          </a:pPr>
          <a:r>
            <a:rPr lang="en-IN" sz="550" b="1" kern="1200">
              <a:latin typeface="Times New Roman" panose="02020603050405020304" pitchFamily="18" charset="0"/>
              <a:cs typeface="Times New Roman" panose="02020603050405020304" pitchFamily="18" charset="0"/>
            </a:rPr>
            <a:t>KPIs: </a:t>
          </a:r>
        </a:p>
        <a:p>
          <a:pPr marL="114300" lvl="2" indent="-57150" algn="l" defTabSz="244475">
            <a:lnSpc>
              <a:spcPct val="90000"/>
            </a:lnSpc>
            <a:spcBef>
              <a:spcPct val="0"/>
            </a:spcBef>
            <a:spcAft>
              <a:spcPct val="15000"/>
            </a:spcAft>
            <a:buNone/>
          </a:pPr>
          <a:r>
            <a:rPr lang="en-IN" sz="550" kern="1200">
              <a:latin typeface="Times New Roman" panose="02020603050405020304" pitchFamily="18" charset="0"/>
              <a:cs typeface="Times New Roman" panose="02020603050405020304" pitchFamily="18" charset="0"/>
            </a:rPr>
            <a:t>Customer satisfaction score</a:t>
          </a:r>
        </a:p>
        <a:p>
          <a:pPr marL="114300" lvl="2" indent="-57150" algn="l" defTabSz="244475">
            <a:lnSpc>
              <a:spcPct val="90000"/>
            </a:lnSpc>
            <a:spcBef>
              <a:spcPct val="0"/>
            </a:spcBef>
            <a:spcAft>
              <a:spcPct val="15000"/>
            </a:spcAft>
            <a:buNone/>
          </a:pPr>
          <a:r>
            <a:rPr lang="en-IN" sz="550" kern="1200">
              <a:latin typeface="Times New Roman" panose="02020603050405020304" pitchFamily="18" charset="0"/>
              <a:cs typeface="Times New Roman" panose="02020603050405020304" pitchFamily="18" charset="0"/>
            </a:rPr>
            <a:t>Net Promoter Score</a:t>
          </a:r>
        </a:p>
        <a:p>
          <a:pPr marL="114300" lvl="2" indent="-57150" algn="l" defTabSz="244475">
            <a:lnSpc>
              <a:spcPct val="90000"/>
            </a:lnSpc>
            <a:spcBef>
              <a:spcPct val="0"/>
            </a:spcBef>
            <a:spcAft>
              <a:spcPct val="15000"/>
            </a:spcAft>
            <a:buNone/>
          </a:pPr>
          <a:r>
            <a:rPr lang="en-IN" sz="550" kern="1200">
              <a:latin typeface="Times New Roman" panose="02020603050405020304" pitchFamily="18" charset="0"/>
              <a:cs typeface="Times New Roman" panose="02020603050405020304" pitchFamily="18" charset="0"/>
            </a:rPr>
            <a:t>Nectar loyalty engagement</a:t>
          </a:r>
        </a:p>
        <a:p>
          <a:pPr marL="114300" lvl="2" indent="-57150" algn="l" defTabSz="244475">
            <a:lnSpc>
              <a:spcPct val="90000"/>
            </a:lnSpc>
            <a:spcBef>
              <a:spcPct val="0"/>
            </a:spcBef>
            <a:spcAft>
              <a:spcPct val="15000"/>
            </a:spcAft>
            <a:buNone/>
          </a:pPr>
          <a:r>
            <a:rPr lang="en-IN" sz="550" kern="1200">
              <a:latin typeface="Times New Roman" panose="02020603050405020304" pitchFamily="18" charset="0"/>
              <a:cs typeface="Times New Roman" panose="02020603050405020304" pitchFamily="18" charset="0"/>
            </a:rPr>
            <a:t>Market share in UK</a:t>
          </a:r>
        </a:p>
      </dsp:txBody>
      <dsp:txXfrm>
        <a:off x="3739378" y="22497"/>
        <a:ext cx="1061283" cy="723102"/>
      </dsp:txXfrm>
    </dsp:sp>
    <dsp:sp modelId="{89E33A3E-E749-4115-9574-6868075BEBE6}">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t" anchorCtr="0">
          <a:noAutofit/>
        </a:bodyPr>
        <a:lstStyle/>
        <a:p>
          <a:pPr marL="57150" lvl="1" indent="-57150" algn="l" defTabSz="266700">
            <a:lnSpc>
              <a:spcPct val="90000"/>
            </a:lnSpc>
            <a:spcBef>
              <a:spcPct val="0"/>
            </a:spcBef>
            <a:spcAft>
              <a:spcPct val="15000"/>
            </a:spcAft>
            <a:buChar char="•"/>
          </a:pPr>
          <a:r>
            <a:rPr lang="en-IN" sz="600" b="1" kern="1200">
              <a:latin typeface="Times New Roman" panose="02020603050405020304" pitchFamily="18" charset="0"/>
              <a:cs typeface="Times New Roman" panose="02020603050405020304" pitchFamily="18" charset="0"/>
            </a:rPr>
            <a:t>Objective - </a:t>
          </a:r>
          <a:r>
            <a:rPr lang="en-IN" sz="600" kern="1200">
              <a:latin typeface="Times New Roman" panose="02020603050405020304" pitchFamily="18" charset="0"/>
              <a:cs typeface="Times New Roman" panose="02020603050405020304" pitchFamily="18" charset="0"/>
            </a:rPr>
            <a:t>Improve profitability while maintaining competitive pricing</a:t>
          </a:r>
        </a:p>
        <a:p>
          <a:pPr marL="57150" lvl="1" indent="-57150" algn="l" defTabSz="266700">
            <a:lnSpc>
              <a:spcPct val="90000"/>
            </a:lnSpc>
            <a:spcBef>
              <a:spcPct val="0"/>
            </a:spcBef>
            <a:spcAft>
              <a:spcPct val="15000"/>
            </a:spcAft>
            <a:buChar char="•"/>
          </a:pPr>
          <a:r>
            <a:rPr lang="en-IN" sz="600" b="1" kern="1200">
              <a:latin typeface="Times New Roman" panose="02020603050405020304" pitchFamily="18" charset="0"/>
              <a:cs typeface="Times New Roman" panose="02020603050405020304" pitchFamily="18" charset="0"/>
            </a:rPr>
            <a:t>KPIs:</a:t>
          </a:r>
        </a:p>
        <a:p>
          <a:pPr marL="114300" lvl="2" indent="-57150" algn="l" defTabSz="266700">
            <a:lnSpc>
              <a:spcPct val="90000"/>
            </a:lnSpc>
            <a:spcBef>
              <a:spcPct val="0"/>
            </a:spcBef>
            <a:spcAft>
              <a:spcPct val="15000"/>
            </a:spcAft>
            <a:buNone/>
          </a:pPr>
          <a:r>
            <a:rPr lang="en-IN" sz="600" kern="1200">
              <a:latin typeface="Times New Roman" panose="02020603050405020304" pitchFamily="18" charset="0"/>
              <a:cs typeface="Times New Roman" panose="02020603050405020304" pitchFamily="18" charset="0"/>
            </a:rPr>
            <a:t>Operating profit margin</a:t>
          </a:r>
        </a:p>
        <a:p>
          <a:pPr marL="114300" lvl="2" indent="-57150" algn="l" defTabSz="266700">
            <a:lnSpc>
              <a:spcPct val="90000"/>
            </a:lnSpc>
            <a:spcBef>
              <a:spcPct val="0"/>
            </a:spcBef>
            <a:spcAft>
              <a:spcPct val="15000"/>
            </a:spcAft>
            <a:buNone/>
          </a:pPr>
          <a:r>
            <a:rPr lang="en-IN" sz="600" kern="1200">
              <a:latin typeface="Times New Roman" panose="02020603050405020304" pitchFamily="18" charset="0"/>
              <a:cs typeface="Times New Roman" panose="02020603050405020304" pitchFamily="18" charset="0"/>
            </a:rPr>
            <a:t>Return on Capital Employed</a:t>
          </a:r>
        </a:p>
        <a:p>
          <a:pPr marL="114300" lvl="2" indent="-57150" algn="l" defTabSz="266700">
            <a:lnSpc>
              <a:spcPct val="90000"/>
            </a:lnSpc>
            <a:spcBef>
              <a:spcPct val="0"/>
            </a:spcBef>
            <a:spcAft>
              <a:spcPct val="15000"/>
            </a:spcAft>
            <a:buNone/>
          </a:pPr>
          <a:r>
            <a:rPr lang="en-IN" sz="600" kern="1200">
              <a:latin typeface="Times New Roman" panose="02020603050405020304" pitchFamily="18" charset="0"/>
              <a:cs typeface="Times New Roman" panose="02020603050405020304" pitchFamily="18" charset="0"/>
            </a:rPr>
            <a:t>Revenue growth rate</a:t>
          </a:r>
        </a:p>
        <a:p>
          <a:pPr marL="114300" lvl="2" indent="-57150" algn="l" defTabSz="266700">
            <a:lnSpc>
              <a:spcPct val="90000"/>
            </a:lnSpc>
            <a:spcBef>
              <a:spcPct val="0"/>
            </a:spcBef>
            <a:spcAft>
              <a:spcPct val="15000"/>
            </a:spcAft>
            <a:buNone/>
          </a:pPr>
          <a:r>
            <a:rPr lang="en-IN" sz="600" kern="1200">
              <a:latin typeface="Times New Roman" panose="02020603050405020304" pitchFamily="18" charset="0"/>
              <a:cs typeface="Times New Roman" panose="02020603050405020304" pitchFamily="18" charset="0"/>
            </a:rPr>
            <a:t>Cost reduction achieved</a:t>
          </a:r>
        </a:p>
        <a:p>
          <a:pPr marL="114300" lvl="2" indent="-57150" algn="l" defTabSz="266700">
            <a:lnSpc>
              <a:spcPct val="90000"/>
            </a:lnSpc>
            <a:spcBef>
              <a:spcPct val="0"/>
            </a:spcBef>
            <a:spcAft>
              <a:spcPct val="15000"/>
            </a:spcAft>
            <a:buNone/>
          </a:pPr>
          <a:r>
            <a:rPr lang="en-IN" sz="600" kern="1200">
              <a:latin typeface="Times New Roman" panose="02020603050405020304" pitchFamily="18" charset="0"/>
              <a:cs typeface="Times New Roman" panose="02020603050405020304" pitchFamily="18" charset="0"/>
            </a:rPr>
            <a:t>Online sales growth</a:t>
          </a:r>
        </a:p>
      </dsp:txBody>
      <dsp:txXfrm>
        <a:off x="685436" y="22497"/>
        <a:ext cx="1061704" cy="723102"/>
      </dsp:txXfrm>
    </dsp:sp>
    <dsp:sp modelId="{13F93F5A-E591-45D7-A550-1F1D280045FF}">
      <dsp:nvSpPr>
        <dsp:cNvPr id="0" name=""/>
        <dsp:cNvSpPr/>
      </dsp:nvSpPr>
      <dsp:spPr>
        <a:xfrm>
          <a:off x="1325422" y="182422"/>
          <a:ext cx="1385773" cy="1385773"/>
        </a:xfrm>
        <a:prstGeom prst="pieWedg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Financial Perspective</a:t>
          </a:r>
        </a:p>
      </dsp:txBody>
      <dsp:txXfrm>
        <a:off x="1731306" y="588306"/>
        <a:ext cx="979889" cy="979889"/>
      </dsp:txXfrm>
    </dsp:sp>
    <dsp:sp modelId="{27A65DFA-1C38-4D5E-915F-0C28584225A1}">
      <dsp:nvSpPr>
        <dsp:cNvPr id="0" name=""/>
        <dsp:cNvSpPr/>
      </dsp:nvSpPr>
      <dsp:spPr>
        <a:xfrm rot="5400000">
          <a:off x="2775204" y="182422"/>
          <a:ext cx="1385773" cy="1385773"/>
        </a:xfrm>
        <a:prstGeom prst="pieWedge">
          <a:avLst/>
        </a:prstGeom>
        <a:solidFill>
          <a:schemeClr val="accent3">
            <a:hueOff val="3750088"/>
            <a:satOff val="-5627"/>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Customer Perspective</a:t>
          </a:r>
        </a:p>
      </dsp:txBody>
      <dsp:txXfrm rot="-5400000">
        <a:off x="2775204" y="588306"/>
        <a:ext cx="979889" cy="979889"/>
      </dsp:txXfrm>
    </dsp:sp>
    <dsp:sp modelId="{FA44E4B3-2FE1-4CDF-9834-6851CE31BFF3}">
      <dsp:nvSpPr>
        <dsp:cNvPr id="0" name=""/>
        <dsp:cNvSpPr/>
      </dsp:nvSpPr>
      <dsp:spPr>
        <a:xfrm rot="10800000">
          <a:off x="2775204" y="1632204"/>
          <a:ext cx="1385773" cy="1385773"/>
        </a:xfrm>
        <a:prstGeom prst="pieWedge">
          <a:avLst/>
        </a:prstGeom>
        <a:solidFill>
          <a:schemeClr val="accent3">
            <a:hueOff val="7500176"/>
            <a:satOff val="-11253"/>
            <a:lumOff val="-18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Learning and Growth Perspective</a:t>
          </a:r>
        </a:p>
      </dsp:txBody>
      <dsp:txXfrm rot="10800000">
        <a:off x="2775204" y="1632204"/>
        <a:ext cx="979889" cy="979889"/>
      </dsp:txXfrm>
    </dsp:sp>
    <dsp:sp modelId="{34884FC2-F6E7-4B02-B6F4-94662D501E1F}">
      <dsp:nvSpPr>
        <dsp:cNvPr id="0" name=""/>
        <dsp:cNvSpPr/>
      </dsp:nvSpPr>
      <dsp:spPr>
        <a:xfrm rot="16200000">
          <a:off x="1325422" y="1632204"/>
          <a:ext cx="1385773" cy="1385773"/>
        </a:xfrm>
        <a:prstGeom prst="pieWedge">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Internal Business Processes Perspective</a:t>
          </a:r>
        </a:p>
      </dsp:txBody>
      <dsp:txXfrm rot="5400000">
        <a:off x="1731306" y="1632204"/>
        <a:ext cx="979889" cy="979889"/>
      </dsp:txXfrm>
    </dsp:sp>
    <dsp:sp modelId="{F2502B4D-5168-44A9-B033-B18F8220EAFE}">
      <dsp:nvSpPr>
        <dsp:cNvPr id="0" name=""/>
        <dsp:cNvSpPr/>
      </dsp:nvSpPr>
      <dsp:spPr>
        <a:xfrm>
          <a:off x="2503970" y="1312164"/>
          <a:ext cx="478459" cy="416052"/>
        </a:xfrm>
        <a:prstGeom prst="circularArrow">
          <a:avLst/>
        </a:prstGeom>
        <a:solidFill>
          <a:schemeClr val="accent3">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2C3BA191-D402-4970-8389-0C5CEF7F907E}">
      <dsp:nvSpPr>
        <dsp:cNvPr id="0" name=""/>
        <dsp:cNvSpPr/>
      </dsp:nvSpPr>
      <dsp:spPr>
        <a:xfrm rot="10800000">
          <a:off x="2503970" y="1472184"/>
          <a:ext cx="478459" cy="416052"/>
        </a:xfrm>
        <a:prstGeom prst="circularArrow">
          <a:avLst/>
        </a:prstGeom>
        <a:solidFill>
          <a:schemeClr val="accent3">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D344F9-3612-48B2-9639-2A36F9F4E186}">
      <dsp:nvSpPr>
        <dsp:cNvPr id="0" name=""/>
        <dsp:cNvSpPr/>
      </dsp:nvSpPr>
      <dsp:spPr>
        <a:xfrm>
          <a:off x="3145991" y="780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IN" sz="1050" kern="1200">
              <a:latin typeface="Times New Roman" panose="02020603050405020304" pitchFamily="18" charset="0"/>
              <a:cs typeface="Times New Roman" panose="02020603050405020304" pitchFamily="18" charset="0"/>
            </a:rPr>
            <a:t>Description</a:t>
          </a:r>
        </a:p>
      </dsp:txBody>
      <dsp:txXfrm>
        <a:off x="3145991" y="7808"/>
        <a:ext cx="654992" cy="654992"/>
      </dsp:txXfrm>
    </dsp:sp>
    <dsp:sp modelId="{7D856D26-0E95-4D58-A736-F657A478456B}">
      <dsp:nvSpPr>
        <dsp:cNvPr id="0" name=""/>
        <dsp:cNvSpPr/>
      </dsp:nvSpPr>
      <dsp:spPr>
        <a:xfrm>
          <a:off x="1144257" y="1257"/>
          <a:ext cx="3197884" cy="3197884"/>
        </a:xfrm>
        <a:prstGeom prst="circularArrow">
          <a:avLst>
            <a:gd name="adj1" fmla="val 3994"/>
            <a:gd name="adj2" fmla="val 250574"/>
            <a:gd name="adj3" fmla="val 20571990"/>
            <a:gd name="adj4" fmla="val 18984261"/>
            <a:gd name="adj5" fmla="val 4660"/>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B619E272-9F5A-43EA-8DA1-E09923117C4E}">
      <dsp:nvSpPr>
        <dsp:cNvPr id="0" name=""/>
        <dsp:cNvSpPr/>
      </dsp:nvSpPr>
      <dsp:spPr>
        <a:xfrm>
          <a:off x="3876278" y="1272703"/>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IN" sz="1050" kern="1200">
              <a:latin typeface="Times New Roman" panose="02020603050405020304" pitchFamily="18" charset="0"/>
              <a:cs typeface="Times New Roman" panose="02020603050405020304" pitchFamily="18" charset="0"/>
            </a:rPr>
            <a:t>Feelings</a:t>
          </a:r>
        </a:p>
      </dsp:txBody>
      <dsp:txXfrm>
        <a:off x="3876278" y="1272703"/>
        <a:ext cx="654992" cy="654992"/>
      </dsp:txXfrm>
    </dsp:sp>
    <dsp:sp modelId="{E32FCBD3-C9EC-46DC-8B47-47DEBE232453}">
      <dsp:nvSpPr>
        <dsp:cNvPr id="0" name=""/>
        <dsp:cNvSpPr/>
      </dsp:nvSpPr>
      <dsp:spPr>
        <a:xfrm>
          <a:off x="1144257" y="1257"/>
          <a:ext cx="3197884" cy="3197884"/>
        </a:xfrm>
        <a:prstGeom prst="circularArrow">
          <a:avLst>
            <a:gd name="adj1" fmla="val 3994"/>
            <a:gd name="adj2" fmla="val 250574"/>
            <a:gd name="adj3" fmla="val 2365165"/>
            <a:gd name="adj4" fmla="val 777436"/>
            <a:gd name="adj5" fmla="val 4660"/>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00FD4C7A-A320-431C-BEF4-EE39692D811B}">
      <dsp:nvSpPr>
        <dsp:cNvPr id="0" name=""/>
        <dsp:cNvSpPr/>
      </dsp:nvSpPr>
      <dsp:spPr>
        <a:xfrm>
          <a:off x="3145991" y="253759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IN" sz="1050" kern="1200">
              <a:latin typeface="Times New Roman" panose="02020603050405020304" pitchFamily="18" charset="0"/>
              <a:cs typeface="Times New Roman" panose="02020603050405020304" pitchFamily="18" charset="0"/>
            </a:rPr>
            <a:t>Evaluation</a:t>
          </a:r>
        </a:p>
      </dsp:txBody>
      <dsp:txXfrm>
        <a:off x="3145991" y="2537598"/>
        <a:ext cx="654992" cy="654992"/>
      </dsp:txXfrm>
    </dsp:sp>
    <dsp:sp modelId="{1EA5C7D6-9AFC-4596-BB14-D7AF776416CE}">
      <dsp:nvSpPr>
        <dsp:cNvPr id="0" name=""/>
        <dsp:cNvSpPr/>
      </dsp:nvSpPr>
      <dsp:spPr>
        <a:xfrm>
          <a:off x="1144257" y="1257"/>
          <a:ext cx="3197884" cy="3197884"/>
        </a:xfrm>
        <a:prstGeom prst="circularArrow">
          <a:avLst>
            <a:gd name="adj1" fmla="val 3994"/>
            <a:gd name="adj2" fmla="val 250574"/>
            <a:gd name="adj3" fmla="val 6109921"/>
            <a:gd name="adj4" fmla="val 4439505"/>
            <a:gd name="adj5" fmla="val 4660"/>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95335FFC-6197-4D7D-8A23-E35ECFB72B64}">
      <dsp:nvSpPr>
        <dsp:cNvPr id="0" name=""/>
        <dsp:cNvSpPr/>
      </dsp:nvSpPr>
      <dsp:spPr>
        <a:xfrm>
          <a:off x="1685416" y="253759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IN" sz="1050" kern="1200">
              <a:latin typeface="Times New Roman" panose="02020603050405020304" pitchFamily="18" charset="0"/>
              <a:cs typeface="Times New Roman" panose="02020603050405020304" pitchFamily="18" charset="0"/>
            </a:rPr>
            <a:t>Analysis</a:t>
          </a:r>
        </a:p>
      </dsp:txBody>
      <dsp:txXfrm>
        <a:off x="1685416" y="2537598"/>
        <a:ext cx="654992" cy="654992"/>
      </dsp:txXfrm>
    </dsp:sp>
    <dsp:sp modelId="{2122F06B-611F-48DF-AAB7-249173A75CC2}">
      <dsp:nvSpPr>
        <dsp:cNvPr id="0" name=""/>
        <dsp:cNvSpPr/>
      </dsp:nvSpPr>
      <dsp:spPr>
        <a:xfrm>
          <a:off x="1144257" y="1257"/>
          <a:ext cx="3197884" cy="3197884"/>
        </a:xfrm>
        <a:prstGeom prst="circularArrow">
          <a:avLst>
            <a:gd name="adj1" fmla="val 3994"/>
            <a:gd name="adj2" fmla="val 250574"/>
            <a:gd name="adj3" fmla="val 9771990"/>
            <a:gd name="adj4" fmla="val 8184261"/>
            <a:gd name="adj5" fmla="val 4660"/>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F9548DC5-8A16-487E-B7BA-223E70826683}">
      <dsp:nvSpPr>
        <dsp:cNvPr id="0" name=""/>
        <dsp:cNvSpPr/>
      </dsp:nvSpPr>
      <dsp:spPr>
        <a:xfrm>
          <a:off x="955128" y="1272703"/>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IN" sz="1050" kern="1200">
              <a:latin typeface="Times New Roman" panose="02020603050405020304" pitchFamily="18" charset="0"/>
              <a:cs typeface="Times New Roman" panose="02020603050405020304" pitchFamily="18" charset="0"/>
            </a:rPr>
            <a:t>Conclusion</a:t>
          </a:r>
        </a:p>
      </dsp:txBody>
      <dsp:txXfrm>
        <a:off x="955128" y="1272703"/>
        <a:ext cx="654992" cy="654992"/>
      </dsp:txXfrm>
    </dsp:sp>
    <dsp:sp modelId="{E3D5771E-CA2B-42B2-8620-52DEBBBF6B6B}">
      <dsp:nvSpPr>
        <dsp:cNvPr id="0" name=""/>
        <dsp:cNvSpPr/>
      </dsp:nvSpPr>
      <dsp:spPr>
        <a:xfrm>
          <a:off x="1144257" y="1257"/>
          <a:ext cx="3197884" cy="3197884"/>
        </a:xfrm>
        <a:prstGeom prst="circularArrow">
          <a:avLst>
            <a:gd name="adj1" fmla="val 3994"/>
            <a:gd name="adj2" fmla="val 250574"/>
            <a:gd name="adj3" fmla="val 13165165"/>
            <a:gd name="adj4" fmla="val 11577436"/>
            <a:gd name="adj5" fmla="val 4660"/>
          </a:avLst>
        </a:prstGeom>
        <a:solidFill>
          <a:schemeClr val="accent6">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0FB106D0-7F18-41EB-80D0-1E4C658AEB34}">
      <dsp:nvSpPr>
        <dsp:cNvPr id="0" name=""/>
        <dsp:cNvSpPr/>
      </dsp:nvSpPr>
      <dsp:spPr>
        <a:xfrm>
          <a:off x="1685416" y="780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IN" sz="1050" kern="1200">
              <a:latin typeface="Times New Roman" panose="02020603050405020304" pitchFamily="18" charset="0"/>
              <a:cs typeface="Times New Roman" panose="02020603050405020304" pitchFamily="18" charset="0"/>
            </a:rPr>
            <a:t>Action Plan</a:t>
          </a:r>
        </a:p>
      </dsp:txBody>
      <dsp:txXfrm>
        <a:off x="1685416" y="7808"/>
        <a:ext cx="654992" cy="654992"/>
      </dsp:txXfrm>
    </dsp:sp>
    <dsp:sp modelId="{1B27B524-C85A-4FB5-9DDC-FA1815C074A5}">
      <dsp:nvSpPr>
        <dsp:cNvPr id="0" name=""/>
        <dsp:cNvSpPr/>
      </dsp:nvSpPr>
      <dsp:spPr>
        <a:xfrm>
          <a:off x="1144257" y="1257"/>
          <a:ext cx="3197884" cy="3197884"/>
        </a:xfrm>
        <a:prstGeom prst="circularArrow">
          <a:avLst>
            <a:gd name="adj1" fmla="val 3994"/>
            <a:gd name="adj2" fmla="val 250574"/>
            <a:gd name="adj3" fmla="val 16909921"/>
            <a:gd name="adj4" fmla="val 15239505"/>
            <a:gd name="adj5" fmla="val 4660"/>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2.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D4E168-8C83-4BFC-B5E3-B5605972F6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7517</Words>
  <Characters>42850</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maniya</dc:creator>
  <cp:keywords/>
  <dc:description/>
  <cp:lastModifiedBy>kevin maniya</cp:lastModifiedBy>
  <cp:revision>2</cp:revision>
  <dcterms:created xsi:type="dcterms:W3CDTF">2026-04-30T23:40:00Z</dcterms:created>
  <dcterms:modified xsi:type="dcterms:W3CDTF">2026-04-30T23:40:00Z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0e564e70-39e2-48f6-bdb2-7517ffb95a21</vt:lpwstr>
  </property>
</Properties>
</file>