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51601743"/>
        <w:docPartObj>
          <w:docPartGallery w:val="Cover Pages"/>
          <w:docPartUnique/>
        </w:docPartObj>
      </w:sdtPr>
      <w:sdtContent>
        <w:p w14:paraId="673409E8" w14:textId="681D3088" w:rsidR="003D60FC" w:rsidRDefault="003D60FC">
          <w:r>
            <w:rPr>
              <w:noProof/>
            </w:rPr>
            <mc:AlternateContent>
              <mc:Choice Requires="wpg">
                <w:drawing>
                  <wp:anchor distT="0" distB="0" distL="114300" distR="114300" simplePos="0" relativeHeight="251659264" behindDoc="1" locked="0" layoutInCell="1" allowOverlap="1" wp14:anchorId="526CEC09" wp14:editId="37A7FE8B">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07BD92E" w14:textId="2DEB677C" w:rsidR="003D60FC" w:rsidRDefault="003D60FC">
                                      <w:pPr>
                                        <w:pStyle w:val="NoSpacing"/>
                                        <w:spacing w:before="120"/>
                                        <w:jc w:val="center"/>
                                        <w:rPr>
                                          <w:color w:val="FFFFFF" w:themeColor="background1"/>
                                        </w:rPr>
                                      </w:pPr>
                                      <w:r>
                                        <w:rPr>
                                          <w:color w:val="FFFFFF" w:themeColor="background1"/>
                                        </w:rPr>
                                        <w:t>Jade Brown (2319007)</w:t>
                                      </w:r>
                                    </w:p>
                                  </w:sdtContent>
                                </w:sdt>
                                <w:p w14:paraId="1A47925B" w14:textId="376BFC3F" w:rsidR="003D60FC"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3D60FC">
                                        <w:rPr>
                                          <w:caps/>
                                          <w:color w:val="FFFFFF" w:themeColor="background1"/>
                                        </w:rPr>
                                        <w:t>equity and trusts</w:t>
                                      </w:r>
                                    </w:sdtContent>
                                  </w:sdt>
                                  <w:r w:rsidR="003D60FC">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3D60FC">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2C2E155" w14:textId="58175C53" w:rsidR="003D60FC" w:rsidRDefault="003D60FC">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law reform 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26CEC09"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07BD92E" w14:textId="2DEB677C" w:rsidR="003D60FC" w:rsidRDefault="003D60FC">
                                <w:pPr>
                                  <w:pStyle w:val="NoSpacing"/>
                                  <w:spacing w:before="120"/>
                                  <w:jc w:val="center"/>
                                  <w:rPr>
                                    <w:color w:val="FFFFFF" w:themeColor="background1"/>
                                  </w:rPr>
                                </w:pPr>
                                <w:r>
                                  <w:rPr>
                                    <w:color w:val="FFFFFF" w:themeColor="background1"/>
                                  </w:rPr>
                                  <w:t>Jade Brown (2319007)</w:t>
                                </w:r>
                              </w:p>
                            </w:sdtContent>
                          </w:sdt>
                          <w:p w14:paraId="1A47925B" w14:textId="376BFC3F" w:rsidR="003D60FC"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3D60FC">
                                  <w:rPr>
                                    <w:caps/>
                                    <w:color w:val="FFFFFF" w:themeColor="background1"/>
                                  </w:rPr>
                                  <w:t>equity and trusts</w:t>
                                </w:r>
                              </w:sdtContent>
                            </w:sdt>
                            <w:r w:rsidR="003D60FC">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3D60FC">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2C2E155" w14:textId="58175C53" w:rsidR="003D60FC" w:rsidRDefault="003D60FC">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law reform report</w:t>
                                </w:r>
                              </w:p>
                            </w:sdtContent>
                          </w:sdt>
                        </w:txbxContent>
                      </v:textbox>
                    </v:shape>
                    <w10:wrap anchorx="page" anchory="page"/>
                  </v:group>
                </w:pict>
              </mc:Fallback>
            </mc:AlternateContent>
          </w:r>
        </w:p>
        <w:p w14:paraId="3364C811" w14:textId="2ABF50EB" w:rsidR="003D60FC" w:rsidRDefault="003D60FC">
          <w:r>
            <w:br w:type="page"/>
          </w:r>
        </w:p>
      </w:sdtContent>
    </w:sdt>
    <w:p w14:paraId="2B7C7F2B" w14:textId="77777777" w:rsidR="003D60FC" w:rsidRPr="003D60FC" w:rsidRDefault="003D60FC" w:rsidP="003D60FC">
      <w:pPr>
        <w:rPr>
          <w:rFonts w:ascii="Times New Roman" w:hAnsi="Times New Roman" w:cs="Times New Roman"/>
          <w:b/>
          <w:bCs/>
          <w:u w:val="single"/>
        </w:rPr>
      </w:pPr>
      <w:r w:rsidRPr="003D60FC">
        <w:rPr>
          <w:rFonts w:ascii="Times New Roman" w:hAnsi="Times New Roman" w:cs="Times New Roman"/>
          <w:b/>
          <w:bCs/>
          <w:u w:val="single"/>
        </w:rPr>
        <w:lastRenderedPageBreak/>
        <w:t>Group Contract for Equity and Trust Assessment for Section A</w:t>
      </w:r>
    </w:p>
    <w:p w14:paraId="67B6B924" w14:textId="02A08995" w:rsidR="00A911E9" w:rsidRDefault="003D60FC" w:rsidP="003D60FC">
      <w:pPr>
        <w:rPr>
          <w:rFonts w:ascii="Times New Roman" w:hAnsi="Times New Roman" w:cs="Times New Roman"/>
        </w:rPr>
      </w:pPr>
      <w:r w:rsidRPr="003D60FC">
        <w:rPr>
          <w:rFonts w:ascii="Times New Roman" w:hAnsi="Times New Roman" w:cs="Times New Roman"/>
          <w:b/>
          <w:bCs/>
          <w:u w:val="single"/>
        </w:rPr>
        <w:t>Participants</w:t>
      </w:r>
    </w:p>
    <w:p w14:paraId="62274D7D" w14:textId="71E7E12F" w:rsidR="003D60FC" w:rsidRPr="003D60FC" w:rsidRDefault="003D60FC" w:rsidP="003D60FC">
      <w:pPr>
        <w:rPr>
          <w:rFonts w:ascii="Times New Roman" w:hAnsi="Times New Roman" w:cs="Times New Roman"/>
        </w:rPr>
      </w:pPr>
      <w:r w:rsidRPr="003D60FC">
        <w:rPr>
          <w:rFonts w:ascii="Times New Roman" w:hAnsi="Times New Roman" w:cs="Times New Roman"/>
        </w:rPr>
        <w:t>Jade Brown, Sarah Hoffmann, Chloe Foulis, Teresa Kan, Sajid Khan, Diana Demeterova, Mohamed Djalo, Ffion Oliver, Alexandra Baloi, Gabrial Harris, Shannon Davies.</w:t>
      </w:r>
    </w:p>
    <w:p w14:paraId="18D4AF72" w14:textId="77777777" w:rsidR="003D60FC" w:rsidRPr="003D60FC" w:rsidRDefault="003D60FC" w:rsidP="003D60FC">
      <w:pPr>
        <w:rPr>
          <w:rFonts w:ascii="Times New Roman" w:hAnsi="Times New Roman" w:cs="Times New Roman"/>
        </w:rPr>
      </w:pPr>
      <w:r w:rsidRPr="003D60FC">
        <w:rPr>
          <w:rFonts w:ascii="Times New Roman" w:hAnsi="Times New Roman" w:cs="Times New Roman"/>
        </w:rPr>
        <w:t>We, the above-named participants, agree to collaboratively work together to complete Section A of the Equity and Trust assessment. This contract outlines our shared expectations, responsibilities, and commitments to ensure fair contribution and effective teamwork.</w:t>
      </w:r>
    </w:p>
    <w:p w14:paraId="325B65A2" w14:textId="77777777" w:rsidR="003D60FC" w:rsidRPr="003D60FC" w:rsidRDefault="003D60FC" w:rsidP="003D60FC">
      <w:pPr>
        <w:rPr>
          <w:rFonts w:ascii="Times New Roman" w:hAnsi="Times New Roman" w:cs="Times New Roman"/>
        </w:rPr>
      </w:pPr>
      <w:r w:rsidRPr="003D60FC">
        <w:rPr>
          <w:rFonts w:ascii="Times New Roman" w:hAnsi="Times New Roman" w:cs="Times New Roman"/>
        </w:rPr>
        <w:t>We agree to use the shared Word document to upload our individual work, research, and contributions. We agree to communicate actively and respectfully within the Teams chat to coordinate tasks, share updates, and support one another.</w:t>
      </w:r>
    </w:p>
    <w:p w14:paraId="7756BAAF" w14:textId="77777777" w:rsidR="003D60FC" w:rsidRPr="003D60FC" w:rsidRDefault="003D60FC" w:rsidP="003D60FC">
      <w:pPr>
        <w:rPr>
          <w:rFonts w:ascii="Times New Roman" w:hAnsi="Times New Roman" w:cs="Times New Roman"/>
        </w:rPr>
      </w:pPr>
      <w:r w:rsidRPr="003D60FC">
        <w:rPr>
          <w:rFonts w:ascii="Times New Roman" w:hAnsi="Times New Roman" w:cs="Times New Roman"/>
        </w:rPr>
        <w:t>We agree to participate fairly and contribute meaningfully to the group task. To treat all group members with respect and professionalism and to ensure that all contributions are constructive and aligned with the group’s goals.</w:t>
      </w:r>
    </w:p>
    <w:p w14:paraId="5544CCAD" w14:textId="77777777" w:rsidR="003D60FC" w:rsidRPr="003D60FC" w:rsidRDefault="003D60FC" w:rsidP="003D60FC">
      <w:pPr>
        <w:rPr>
          <w:rFonts w:ascii="Times New Roman" w:hAnsi="Times New Roman" w:cs="Times New Roman"/>
        </w:rPr>
      </w:pPr>
      <w:r w:rsidRPr="003D60FC">
        <w:rPr>
          <w:rFonts w:ascii="Times New Roman" w:hAnsi="Times New Roman" w:cs="Times New Roman"/>
        </w:rPr>
        <w:t>Each member agrees to complete the following tasks:</w:t>
      </w:r>
    </w:p>
    <w:p w14:paraId="4B6CE17D" w14:textId="77777777" w:rsidR="003D60FC" w:rsidRPr="003D60FC" w:rsidRDefault="003D60FC" w:rsidP="003D60FC">
      <w:pPr>
        <w:rPr>
          <w:rFonts w:ascii="Times New Roman" w:hAnsi="Times New Roman" w:cs="Times New Roman"/>
          <w:b/>
          <w:bCs/>
          <w:u w:val="single"/>
        </w:rPr>
      </w:pPr>
      <w:r w:rsidRPr="003D60FC">
        <w:rPr>
          <w:rFonts w:ascii="Times New Roman" w:hAnsi="Times New Roman" w:cs="Times New Roman"/>
          <w:b/>
          <w:bCs/>
          <w:u w:val="single"/>
        </w:rPr>
        <w:t>Member Contribution</w:t>
      </w:r>
    </w:p>
    <w:p w14:paraId="2B134DAE" w14:textId="77777777" w:rsidR="003D60FC" w:rsidRPr="003D60FC" w:rsidRDefault="003D60FC" w:rsidP="003D60FC">
      <w:pPr>
        <w:rPr>
          <w:rFonts w:ascii="Times New Roman" w:hAnsi="Times New Roman" w:cs="Times New Roman"/>
        </w:rPr>
      </w:pPr>
      <w:r w:rsidRPr="003D60FC">
        <w:rPr>
          <w:rFonts w:ascii="Times New Roman" w:hAnsi="Times New Roman" w:cs="Times New Roman"/>
        </w:rPr>
        <w:t>Jade Suggested the topic and researched the development of the law. Created a Bill with 3 Clauses for a new Act called the Trustee Disclosure and Beneficiary Information Act 2026. Researched reform ideas.</w:t>
      </w:r>
    </w:p>
    <w:p w14:paraId="1E97DAD0" w14:textId="1EC4C840" w:rsidR="003D60FC" w:rsidRPr="003D60FC" w:rsidRDefault="003D60FC" w:rsidP="003D60FC">
      <w:pPr>
        <w:rPr>
          <w:rFonts w:ascii="Times New Roman" w:hAnsi="Times New Roman" w:cs="Times New Roman"/>
        </w:rPr>
      </w:pPr>
      <w:r w:rsidRPr="003D60FC">
        <w:rPr>
          <w:rFonts w:ascii="Times New Roman" w:hAnsi="Times New Roman" w:cs="Times New Roman"/>
        </w:rPr>
        <w:t>Sarah Conducted case research – Murphy v Murphy (2021). Drafted the group contract for each person to electronically sign. Compiled reference list and cases with case law. Analysis of the draft Bill we are proposing.</w:t>
      </w:r>
    </w:p>
    <w:p w14:paraId="42B225CB" w14:textId="77777777" w:rsidR="003D60FC" w:rsidRPr="003D60FC" w:rsidRDefault="003D60FC" w:rsidP="003D60FC">
      <w:pPr>
        <w:rPr>
          <w:rFonts w:ascii="Times New Roman" w:hAnsi="Times New Roman" w:cs="Times New Roman"/>
        </w:rPr>
      </w:pPr>
      <w:r w:rsidRPr="003D60FC">
        <w:rPr>
          <w:rFonts w:ascii="Times New Roman" w:hAnsi="Times New Roman" w:cs="Times New Roman"/>
        </w:rPr>
        <w:t>Chloe Researched Schmidt v Rosewood Trust and s22(4) of the Trustee Act 1925. Researched case facts for Rouse v IOOF Australia Ltd [1999] and identified how this can help us with part B.</w:t>
      </w:r>
    </w:p>
    <w:p w14:paraId="4760BA7B" w14:textId="77777777" w:rsidR="003D60FC" w:rsidRPr="003D60FC" w:rsidRDefault="003D60FC" w:rsidP="003D60FC">
      <w:pPr>
        <w:rPr>
          <w:rFonts w:ascii="Times New Roman" w:hAnsi="Times New Roman" w:cs="Times New Roman"/>
        </w:rPr>
      </w:pPr>
      <w:r w:rsidRPr="003D60FC">
        <w:rPr>
          <w:rFonts w:ascii="Times New Roman" w:hAnsi="Times New Roman" w:cs="Times New Roman"/>
        </w:rPr>
        <w:t>Teresa Identified a relevant case: Schmidt v Rosewood Trust Ltd. Researched case facts for Nestle v National Westminster Bank and Target Holdings LTD v Redferns and applied the facts of the case to beneficiary rights.</w:t>
      </w:r>
    </w:p>
    <w:p w14:paraId="64DEE370" w14:textId="77777777" w:rsidR="003D60FC" w:rsidRPr="003D60FC" w:rsidRDefault="003D60FC" w:rsidP="003D60FC">
      <w:pPr>
        <w:rPr>
          <w:rFonts w:ascii="Times New Roman" w:hAnsi="Times New Roman" w:cs="Times New Roman"/>
        </w:rPr>
      </w:pPr>
      <w:r w:rsidRPr="003D60FC">
        <w:rPr>
          <w:rFonts w:ascii="Times New Roman" w:hAnsi="Times New Roman" w:cs="Times New Roman"/>
        </w:rPr>
        <w:t>Sajid Conducted case research on Trust Accounts. Schmidt v Rosewood Trust Ltd.</w:t>
      </w:r>
    </w:p>
    <w:p w14:paraId="55C828F6" w14:textId="77777777" w:rsidR="003D60FC" w:rsidRPr="003D60FC" w:rsidRDefault="003D60FC" w:rsidP="003D60FC">
      <w:pPr>
        <w:rPr>
          <w:rFonts w:ascii="Times New Roman" w:hAnsi="Times New Roman" w:cs="Times New Roman"/>
        </w:rPr>
      </w:pPr>
      <w:r w:rsidRPr="003D60FC">
        <w:rPr>
          <w:rFonts w:ascii="Times New Roman" w:hAnsi="Times New Roman" w:cs="Times New Roman"/>
        </w:rPr>
        <w:t>Diana Researched Lewis v Tamplin. Research the challenges associated with beneficiary rights. Researched the Data Protection Act 2018 (DPA 2018), and the Inheritance (Provision for Family and Dependants) Act 1975.</w:t>
      </w:r>
    </w:p>
    <w:p w14:paraId="7AD84712" w14:textId="1C8B826D" w:rsidR="003D60FC" w:rsidRPr="003D60FC" w:rsidRDefault="003D60FC" w:rsidP="003D60FC">
      <w:pPr>
        <w:rPr>
          <w:rFonts w:ascii="Times New Roman" w:hAnsi="Times New Roman" w:cs="Times New Roman"/>
        </w:rPr>
      </w:pPr>
      <w:r w:rsidRPr="003D60FC">
        <w:rPr>
          <w:rFonts w:ascii="Times New Roman" w:hAnsi="Times New Roman" w:cs="Times New Roman"/>
        </w:rPr>
        <w:t>Mohamed Conducted case research. Journal Research. Possible Reform Suggestions from a Journal.</w:t>
      </w:r>
    </w:p>
    <w:p w14:paraId="562B7858" w14:textId="2F17483F" w:rsidR="003D60FC" w:rsidRPr="003D60FC" w:rsidRDefault="003D60FC" w:rsidP="003D60FC">
      <w:pPr>
        <w:rPr>
          <w:rFonts w:ascii="Times New Roman" w:hAnsi="Times New Roman" w:cs="Times New Roman"/>
        </w:rPr>
      </w:pPr>
      <w:r w:rsidRPr="003D60FC">
        <w:rPr>
          <w:rFonts w:ascii="Times New Roman" w:hAnsi="Times New Roman" w:cs="Times New Roman"/>
        </w:rPr>
        <w:t>Ffion Researched the current legal position relating to a trustee’s duties and researched the case Boardman v Phipps [1966] UKHL.</w:t>
      </w:r>
    </w:p>
    <w:p w14:paraId="5CB4BD15" w14:textId="77777777" w:rsidR="003D60FC" w:rsidRPr="003D60FC" w:rsidRDefault="003D60FC" w:rsidP="003D60FC">
      <w:pPr>
        <w:rPr>
          <w:rFonts w:ascii="Times New Roman" w:hAnsi="Times New Roman" w:cs="Times New Roman"/>
        </w:rPr>
      </w:pPr>
      <w:r w:rsidRPr="003D60FC">
        <w:rPr>
          <w:rFonts w:ascii="Times New Roman" w:hAnsi="Times New Roman" w:cs="Times New Roman"/>
        </w:rPr>
        <w:lastRenderedPageBreak/>
        <w:t>Alexandra Conducted case research Breakspear v Ackland [2008] EWHC 220 (Ch), /Researched the Charities Act 2011.</w:t>
      </w:r>
    </w:p>
    <w:p w14:paraId="1CC6A4CD" w14:textId="2B3B58A7" w:rsidR="003D60FC" w:rsidRPr="003D60FC" w:rsidRDefault="003D60FC" w:rsidP="003D60FC">
      <w:pPr>
        <w:rPr>
          <w:rFonts w:ascii="Times New Roman" w:hAnsi="Times New Roman" w:cs="Times New Roman"/>
        </w:rPr>
      </w:pPr>
      <w:r w:rsidRPr="003D60FC">
        <w:rPr>
          <w:rFonts w:ascii="Times New Roman" w:hAnsi="Times New Roman" w:cs="Times New Roman"/>
        </w:rPr>
        <w:t>Shannon How reform interacts with existing Statutory duties.</w:t>
      </w:r>
    </w:p>
    <w:p w14:paraId="0BACFB9B" w14:textId="6B88C2AB" w:rsidR="003D60FC" w:rsidRPr="003D60FC" w:rsidRDefault="003D60FC" w:rsidP="003D60FC">
      <w:pPr>
        <w:rPr>
          <w:rFonts w:ascii="Times New Roman" w:hAnsi="Times New Roman" w:cs="Times New Roman"/>
        </w:rPr>
      </w:pPr>
      <w:r w:rsidRPr="003D60FC">
        <w:rPr>
          <w:rFonts w:ascii="Times New Roman" w:hAnsi="Times New Roman" w:cs="Times New Roman"/>
        </w:rPr>
        <w:t>Gabriel Research on Acts comparable in nature to the proposed bill and its provisions (Trusts and Succession (Scotland) Act 2024).</w:t>
      </w:r>
    </w:p>
    <w:p w14:paraId="063D2674" w14:textId="77777777" w:rsidR="003D60FC" w:rsidRPr="003D60FC" w:rsidRDefault="003D60FC" w:rsidP="003D60FC">
      <w:pPr>
        <w:rPr>
          <w:rFonts w:ascii="Times New Roman" w:hAnsi="Times New Roman" w:cs="Times New Roman"/>
        </w:rPr>
      </w:pPr>
      <w:r w:rsidRPr="003D60FC">
        <w:rPr>
          <w:rFonts w:ascii="Times New Roman" w:hAnsi="Times New Roman" w:cs="Times New Roman"/>
        </w:rPr>
        <w:t>We agree that all work and research submitted is our own. We will not use AI tools or another student’s work in completing our contributions. We will uphold academic honesty and the standards expected as set out in the assessment guidelines.</w:t>
      </w:r>
    </w:p>
    <w:p w14:paraId="72F8EC01" w14:textId="77777777" w:rsidR="003D60FC" w:rsidRPr="003D60FC" w:rsidRDefault="003D60FC" w:rsidP="003D60FC">
      <w:pPr>
        <w:rPr>
          <w:rFonts w:ascii="Times New Roman" w:hAnsi="Times New Roman" w:cs="Times New Roman"/>
        </w:rPr>
      </w:pPr>
      <w:r w:rsidRPr="003D60FC">
        <w:rPr>
          <w:rFonts w:ascii="Times New Roman" w:hAnsi="Times New Roman" w:cs="Times New Roman"/>
        </w:rPr>
        <w:t>We agree to adhere to the deadline set: Wednesday 25th of February 2026</w:t>
      </w:r>
    </w:p>
    <w:p w14:paraId="5282E796" w14:textId="77777777" w:rsidR="003D60FC" w:rsidRPr="003D60FC" w:rsidRDefault="003D60FC" w:rsidP="003D60FC">
      <w:pPr>
        <w:rPr>
          <w:rFonts w:ascii="Times New Roman" w:hAnsi="Times New Roman" w:cs="Times New Roman"/>
        </w:rPr>
      </w:pPr>
      <w:r w:rsidRPr="003D60FC">
        <w:rPr>
          <w:rFonts w:ascii="Times New Roman" w:hAnsi="Times New Roman" w:cs="Times New Roman"/>
        </w:rPr>
        <w:t>By signing below, each participant confirms their agreement to the terms of this contract:</w:t>
      </w:r>
    </w:p>
    <w:p w14:paraId="02FB3DD6" w14:textId="77777777" w:rsidR="003D60FC" w:rsidRPr="003D60FC" w:rsidRDefault="003D60FC" w:rsidP="003D60FC">
      <w:pPr>
        <w:rPr>
          <w:rFonts w:ascii="Times New Roman" w:hAnsi="Times New Roman" w:cs="Times New Roman"/>
          <w:b/>
          <w:bCs/>
          <w:u w:val="single"/>
        </w:rPr>
      </w:pPr>
      <w:r w:rsidRPr="003D60FC">
        <w:rPr>
          <w:rFonts w:ascii="Times New Roman" w:hAnsi="Times New Roman" w:cs="Times New Roman"/>
          <w:b/>
          <w:bCs/>
          <w:u w:val="single"/>
        </w:rPr>
        <w:t>· JADE_______________________ (Jade)</w:t>
      </w:r>
    </w:p>
    <w:p w14:paraId="7B7FF422" w14:textId="77777777" w:rsidR="003D60FC" w:rsidRPr="003D60FC" w:rsidRDefault="003D60FC" w:rsidP="003D60FC">
      <w:pPr>
        <w:rPr>
          <w:rFonts w:ascii="Times New Roman" w:hAnsi="Times New Roman" w:cs="Times New Roman"/>
          <w:b/>
          <w:bCs/>
          <w:u w:val="single"/>
        </w:rPr>
      </w:pPr>
      <w:r w:rsidRPr="003D60FC">
        <w:rPr>
          <w:rFonts w:ascii="Times New Roman" w:hAnsi="Times New Roman" w:cs="Times New Roman"/>
          <w:b/>
          <w:bCs/>
          <w:u w:val="single"/>
        </w:rPr>
        <w:t>· Sarah ______________________ (Sarah)</w:t>
      </w:r>
    </w:p>
    <w:p w14:paraId="76C5C1CC" w14:textId="77777777" w:rsidR="003D60FC" w:rsidRPr="003D60FC" w:rsidRDefault="003D60FC" w:rsidP="003D60FC">
      <w:pPr>
        <w:rPr>
          <w:rFonts w:ascii="Times New Roman" w:hAnsi="Times New Roman" w:cs="Times New Roman"/>
          <w:b/>
          <w:bCs/>
          <w:u w:val="single"/>
        </w:rPr>
      </w:pPr>
      <w:r w:rsidRPr="003D60FC">
        <w:rPr>
          <w:rFonts w:ascii="Times New Roman" w:hAnsi="Times New Roman" w:cs="Times New Roman"/>
          <w:b/>
          <w:bCs/>
          <w:u w:val="single"/>
        </w:rPr>
        <w:t>· CHLOE_____________________ (Chloe)</w:t>
      </w:r>
    </w:p>
    <w:p w14:paraId="1BA8B336" w14:textId="77777777" w:rsidR="003D60FC" w:rsidRPr="003D60FC" w:rsidRDefault="003D60FC" w:rsidP="003D60FC">
      <w:pPr>
        <w:rPr>
          <w:rFonts w:ascii="Times New Roman" w:hAnsi="Times New Roman" w:cs="Times New Roman"/>
          <w:b/>
          <w:bCs/>
          <w:u w:val="single"/>
        </w:rPr>
      </w:pPr>
      <w:r w:rsidRPr="003D60FC">
        <w:rPr>
          <w:rFonts w:ascii="Times New Roman" w:hAnsi="Times New Roman" w:cs="Times New Roman"/>
          <w:b/>
          <w:bCs/>
          <w:u w:val="single"/>
        </w:rPr>
        <w:t>· Teresa Kan__________________ (Teresa)</w:t>
      </w:r>
    </w:p>
    <w:p w14:paraId="31EFDB16" w14:textId="77777777" w:rsidR="003D60FC" w:rsidRPr="003D60FC" w:rsidRDefault="003D60FC" w:rsidP="003D60FC">
      <w:pPr>
        <w:rPr>
          <w:rFonts w:ascii="Times New Roman" w:hAnsi="Times New Roman" w:cs="Times New Roman"/>
          <w:b/>
          <w:bCs/>
          <w:u w:val="single"/>
        </w:rPr>
      </w:pPr>
      <w:r w:rsidRPr="003D60FC">
        <w:rPr>
          <w:rFonts w:ascii="Times New Roman" w:hAnsi="Times New Roman" w:cs="Times New Roman"/>
          <w:b/>
          <w:bCs/>
          <w:u w:val="single"/>
        </w:rPr>
        <w:t>· Sajid Mohammed Abbas Khan (Sajid)</w:t>
      </w:r>
    </w:p>
    <w:p w14:paraId="59B4A4DF" w14:textId="77777777" w:rsidR="003D60FC" w:rsidRPr="003D60FC" w:rsidRDefault="003D60FC" w:rsidP="003D60FC">
      <w:pPr>
        <w:rPr>
          <w:rFonts w:ascii="Times New Roman" w:hAnsi="Times New Roman" w:cs="Times New Roman"/>
          <w:b/>
          <w:bCs/>
          <w:u w:val="single"/>
        </w:rPr>
      </w:pPr>
      <w:r w:rsidRPr="003D60FC">
        <w:rPr>
          <w:rFonts w:ascii="Times New Roman" w:hAnsi="Times New Roman" w:cs="Times New Roman"/>
          <w:b/>
          <w:bCs/>
          <w:u w:val="single"/>
        </w:rPr>
        <w:t>· DIANA______________________ (Diana)</w:t>
      </w:r>
    </w:p>
    <w:p w14:paraId="0225DC9A" w14:textId="77777777" w:rsidR="003D60FC" w:rsidRPr="003D60FC" w:rsidRDefault="003D60FC" w:rsidP="003D60FC">
      <w:pPr>
        <w:rPr>
          <w:rFonts w:ascii="Times New Roman" w:hAnsi="Times New Roman" w:cs="Times New Roman"/>
          <w:b/>
          <w:bCs/>
          <w:u w:val="single"/>
        </w:rPr>
      </w:pPr>
      <w:r w:rsidRPr="003D60FC">
        <w:rPr>
          <w:rFonts w:ascii="Times New Roman" w:hAnsi="Times New Roman" w:cs="Times New Roman"/>
          <w:b/>
          <w:bCs/>
          <w:u w:val="single"/>
        </w:rPr>
        <w:t>· MOHAMED_________________ (Mohamed)</w:t>
      </w:r>
    </w:p>
    <w:p w14:paraId="018CAE68" w14:textId="77777777" w:rsidR="003D60FC" w:rsidRPr="003D60FC" w:rsidRDefault="003D60FC" w:rsidP="003D60FC">
      <w:pPr>
        <w:rPr>
          <w:rFonts w:ascii="Times New Roman" w:hAnsi="Times New Roman" w:cs="Times New Roman"/>
          <w:b/>
          <w:bCs/>
          <w:u w:val="single"/>
        </w:rPr>
      </w:pPr>
      <w:r w:rsidRPr="003D60FC">
        <w:rPr>
          <w:rFonts w:ascii="Times New Roman" w:hAnsi="Times New Roman" w:cs="Times New Roman"/>
          <w:b/>
          <w:bCs/>
          <w:u w:val="single"/>
        </w:rPr>
        <w:t>· Ffion Oliver__________________ (Ffion)</w:t>
      </w:r>
    </w:p>
    <w:p w14:paraId="0D0B7094" w14:textId="77777777" w:rsidR="003D60FC" w:rsidRPr="003D60FC" w:rsidRDefault="003D60FC" w:rsidP="003D60FC">
      <w:pPr>
        <w:rPr>
          <w:rFonts w:ascii="Times New Roman" w:hAnsi="Times New Roman" w:cs="Times New Roman"/>
          <w:b/>
          <w:bCs/>
          <w:u w:val="single"/>
        </w:rPr>
      </w:pPr>
      <w:r w:rsidRPr="003D60FC">
        <w:rPr>
          <w:rFonts w:ascii="Times New Roman" w:hAnsi="Times New Roman" w:cs="Times New Roman"/>
          <w:b/>
          <w:bCs/>
          <w:u w:val="single"/>
        </w:rPr>
        <w:t>· ALEXANDRA_________________ (Alexandra)</w:t>
      </w:r>
    </w:p>
    <w:p w14:paraId="0AEA88FF" w14:textId="77777777" w:rsidR="003D60FC" w:rsidRPr="003D60FC" w:rsidRDefault="003D60FC" w:rsidP="003D60FC">
      <w:pPr>
        <w:rPr>
          <w:rFonts w:ascii="Times New Roman" w:hAnsi="Times New Roman" w:cs="Times New Roman"/>
          <w:b/>
          <w:bCs/>
          <w:u w:val="single"/>
        </w:rPr>
      </w:pPr>
      <w:r w:rsidRPr="003D60FC">
        <w:rPr>
          <w:rFonts w:ascii="Times New Roman" w:hAnsi="Times New Roman" w:cs="Times New Roman"/>
          <w:b/>
          <w:bCs/>
          <w:u w:val="single"/>
        </w:rPr>
        <w:t>· Shannon____________________ (Shannon)</w:t>
      </w:r>
    </w:p>
    <w:p w14:paraId="7BE39730" w14:textId="3FCB3F3F" w:rsidR="003D60FC" w:rsidRPr="003D60FC" w:rsidRDefault="003D60FC" w:rsidP="0010752D">
      <w:pPr>
        <w:rPr>
          <w:rFonts w:ascii="Times New Roman" w:hAnsi="Times New Roman" w:cs="Times New Roman"/>
          <w:b/>
          <w:bCs/>
          <w:u w:val="single"/>
        </w:rPr>
      </w:pPr>
      <w:r w:rsidRPr="003D60FC">
        <w:rPr>
          <w:rFonts w:ascii="Times New Roman" w:hAnsi="Times New Roman" w:cs="Times New Roman"/>
          <w:b/>
          <w:bCs/>
          <w:u w:val="single"/>
        </w:rPr>
        <w:t>· Gabrial______________________ (Gabrial)</w:t>
      </w:r>
    </w:p>
    <w:p w14:paraId="302969C4" w14:textId="77777777" w:rsidR="003D60FC" w:rsidRPr="003D60FC" w:rsidRDefault="003D60FC" w:rsidP="0010752D">
      <w:pPr>
        <w:rPr>
          <w:rFonts w:ascii="Times New Roman" w:hAnsi="Times New Roman" w:cs="Times New Roman"/>
          <w:b/>
          <w:bCs/>
          <w:u w:val="single"/>
        </w:rPr>
      </w:pPr>
    </w:p>
    <w:p w14:paraId="337EAB97" w14:textId="37681CE6" w:rsidR="003D60FC" w:rsidRPr="003D60FC" w:rsidRDefault="003D60FC" w:rsidP="0010752D">
      <w:pPr>
        <w:rPr>
          <w:rFonts w:ascii="Times New Roman" w:hAnsi="Times New Roman" w:cs="Times New Roman"/>
        </w:rPr>
      </w:pPr>
      <w:r w:rsidRPr="003D60FC">
        <w:rPr>
          <w:rFonts w:ascii="Times New Roman" w:hAnsi="Times New Roman" w:cs="Times New Roma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7188172" w14:textId="77777777" w:rsidR="003D60FC" w:rsidRPr="003D60FC" w:rsidRDefault="003D60FC" w:rsidP="0010752D">
      <w:pPr>
        <w:rPr>
          <w:rFonts w:ascii="Times New Roman" w:hAnsi="Times New Roman" w:cs="Times New Roman"/>
        </w:rPr>
      </w:pPr>
    </w:p>
    <w:p w14:paraId="32DE7DC3" w14:textId="77777777" w:rsidR="003D60FC" w:rsidRPr="003D60FC" w:rsidRDefault="003D60FC" w:rsidP="0010752D">
      <w:pPr>
        <w:rPr>
          <w:rFonts w:ascii="Times New Roman" w:hAnsi="Times New Roman" w:cs="Times New Roman"/>
        </w:rPr>
      </w:pPr>
    </w:p>
    <w:p w14:paraId="744F56BF" w14:textId="77777777" w:rsidR="003D60FC" w:rsidRDefault="003D60FC" w:rsidP="0010752D">
      <w:pPr>
        <w:rPr>
          <w:rFonts w:ascii="Times New Roman" w:hAnsi="Times New Roman" w:cs="Times New Roman"/>
          <w:b/>
          <w:bCs/>
          <w:u w:val="single"/>
        </w:rPr>
      </w:pPr>
    </w:p>
    <w:p w14:paraId="35799D78" w14:textId="77777777" w:rsidR="003D60FC" w:rsidRDefault="003D60FC" w:rsidP="0010752D">
      <w:pPr>
        <w:rPr>
          <w:rFonts w:ascii="Times New Roman" w:hAnsi="Times New Roman" w:cs="Times New Roman"/>
          <w:b/>
          <w:bCs/>
          <w:u w:val="single"/>
        </w:rPr>
      </w:pPr>
    </w:p>
    <w:p w14:paraId="6F06D481" w14:textId="77777777" w:rsidR="003D60FC" w:rsidRDefault="003D60FC" w:rsidP="0010752D">
      <w:pPr>
        <w:rPr>
          <w:rFonts w:ascii="Times New Roman" w:hAnsi="Times New Roman" w:cs="Times New Roman"/>
          <w:b/>
          <w:bCs/>
          <w:u w:val="single"/>
        </w:rPr>
      </w:pPr>
    </w:p>
    <w:p w14:paraId="68658A86" w14:textId="159ACF13" w:rsidR="0010752D" w:rsidRPr="00F56DE0" w:rsidRDefault="0010752D" w:rsidP="0010752D">
      <w:pPr>
        <w:rPr>
          <w:rFonts w:ascii="Times New Roman" w:hAnsi="Times New Roman" w:cs="Times New Roman"/>
          <w:b/>
          <w:bCs/>
          <w:u w:val="single"/>
        </w:rPr>
      </w:pPr>
      <w:r w:rsidRPr="003D60FC">
        <w:rPr>
          <w:rFonts w:ascii="Times New Roman" w:hAnsi="Times New Roman" w:cs="Times New Roman"/>
          <w:b/>
          <w:bCs/>
          <w:u w:val="single"/>
        </w:rPr>
        <w:lastRenderedPageBreak/>
        <w:t xml:space="preserve">Law </w:t>
      </w:r>
      <w:r w:rsidRPr="00F56DE0">
        <w:rPr>
          <w:rFonts w:ascii="Times New Roman" w:hAnsi="Times New Roman" w:cs="Times New Roman"/>
          <w:b/>
          <w:bCs/>
          <w:u w:val="single"/>
        </w:rPr>
        <w:t xml:space="preserve">Reform Report: Reform of The Beneficiaries Rights to Information </w:t>
      </w:r>
    </w:p>
    <w:p w14:paraId="1A8029C6" w14:textId="77777777" w:rsidR="0010752D" w:rsidRPr="00F56DE0" w:rsidRDefault="0010752D" w:rsidP="0010752D">
      <w:pPr>
        <w:rPr>
          <w:rFonts w:ascii="Times New Roman" w:hAnsi="Times New Roman" w:cs="Times New Roman"/>
          <w:b/>
          <w:bCs/>
          <w:u w:val="single"/>
        </w:rPr>
      </w:pPr>
      <w:r w:rsidRPr="00F56DE0">
        <w:rPr>
          <w:rFonts w:ascii="Times New Roman" w:hAnsi="Times New Roman" w:cs="Times New Roman"/>
          <w:b/>
          <w:bCs/>
          <w:u w:val="single"/>
        </w:rPr>
        <w:t>Introduction</w:t>
      </w:r>
    </w:p>
    <w:p w14:paraId="41CF4468" w14:textId="78D643D6" w:rsidR="0010752D" w:rsidRPr="00F56DE0" w:rsidRDefault="0010752D" w:rsidP="0010752D">
      <w:pPr>
        <w:rPr>
          <w:rFonts w:ascii="Times New Roman" w:hAnsi="Times New Roman" w:cs="Times New Roman"/>
        </w:rPr>
      </w:pPr>
      <w:r w:rsidRPr="00F56DE0">
        <w:rPr>
          <w:rFonts w:ascii="Times New Roman" w:hAnsi="Times New Roman" w:cs="Times New Roman"/>
        </w:rPr>
        <w:t xml:space="preserve">The duty of trustees to provide information to beneficiaries lies at the heart of equitable accountability. Trusts depend upon the separation of legal and equitable ownership, with trustees holding property for the benefit of beneficiaries. </w:t>
      </w:r>
      <w:r w:rsidR="007D77BA" w:rsidRPr="00F56DE0">
        <w:rPr>
          <w:rFonts w:ascii="Times New Roman" w:hAnsi="Times New Roman" w:cs="Times New Roman"/>
        </w:rPr>
        <w:t>For</w:t>
      </w:r>
      <w:r w:rsidRPr="00F56DE0">
        <w:rPr>
          <w:rFonts w:ascii="Times New Roman" w:hAnsi="Times New Roman" w:cs="Times New Roman"/>
        </w:rPr>
        <w:t xml:space="preserve"> beneficiaries to enforce the trust and ensure proper administration, access to information is essential. However, the modern law governing beneficiaries’ access to trust information is uncertain and largely dependent upon judicial discretion</w:t>
      </w:r>
      <w:r w:rsidR="007D77BA" w:rsidRPr="00F56DE0">
        <w:rPr>
          <w:rFonts w:ascii="Times New Roman" w:hAnsi="Times New Roman" w:cs="Times New Roman"/>
        </w:rPr>
        <w:t xml:space="preserve"> particularly following the decision in Schmidt v Rosewood Trust Ltd</w:t>
      </w:r>
      <w:r w:rsidR="00F56DE0" w:rsidRPr="00F56DE0">
        <w:rPr>
          <w:rFonts w:ascii="Times New Roman" w:hAnsi="Times New Roman" w:cs="Times New Roman"/>
        </w:rPr>
        <w:t xml:space="preserve"> (2003)</w:t>
      </w:r>
      <w:r w:rsidR="007D77BA" w:rsidRPr="00F56DE0">
        <w:rPr>
          <w:rFonts w:ascii="Times New Roman" w:hAnsi="Times New Roman" w:cs="Times New Roman"/>
        </w:rPr>
        <w:t>.</w:t>
      </w:r>
    </w:p>
    <w:p w14:paraId="5E915A55" w14:textId="6E636F8B" w:rsidR="00C2743E" w:rsidRPr="00F56DE0" w:rsidRDefault="00C2743E" w:rsidP="0010752D">
      <w:pPr>
        <w:rPr>
          <w:rFonts w:ascii="Times New Roman" w:hAnsi="Times New Roman" w:cs="Times New Roman"/>
        </w:rPr>
      </w:pPr>
      <w:r w:rsidRPr="00F56DE0">
        <w:rPr>
          <w:rFonts w:ascii="Times New Roman" w:hAnsi="Times New Roman" w:cs="Times New Roman"/>
        </w:rPr>
        <w:t>This report argues that the current discretionary framework governing beneficiaries’ access to trust information lacks clarity and may undermine trustee accountability. Limited statutory reform introducing a right to core trust information would improve transparency while preserving necessary trustee discretion.</w:t>
      </w:r>
    </w:p>
    <w:p w14:paraId="4E62D1A1" w14:textId="77777777" w:rsidR="0010752D" w:rsidRPr="00F56DE0" w:rsidRDefault="0010752D" w:rsidP="0010752D">
      <w:pPr>
        <w:rPr>
          <w:rFonts w:ascii="Times New Roman" w:hAnsi="Times New Roman" w:cs="Times New Roman"/>
          <w:b/>
          <w:bCs/>
          <w:u w:val="single"/>
        </w:rPr>
      </w:pPr>
      <w:r w:rsidRPr="00F56DE0">
        <w:rPr>
          <w:rFonts w:ascii="Times New Roman" w:hAnsi="Times New Roman" w:cs="Times New Roman"/>
          <w:b/>
          <w:bCs/>
          <w:u w:val="single"/>
        </w:rPr>
        <w:t>Current Legal Position</w:t>
      </w:r>
    </w:p>
    <w:p w14:paraId="282A902E" w14:textId="40A27DEB" w:rsidR="004E382E" w:rsidRPr="00F56DE0" w:rsidRDefault="004E382E" w:rsidP="003C1E49">
      <w:pPr>
        <w:rPr>
          <w:rFonts w:ascii="Times New Roman" w:hAnsi="Times New Roman" w:cs="Times New Roman"/>
        </w:rPr>
      </w:pPr>
      <w:r w:rsidRPr="00F56DE0">
        <w:rPr>
          <w:rFonts w:ascii="Times New Roman" w:hAnsi="Times New Roman" w:cs="Times New Roman"/>
        </w:rPr>
        <w:t xml:space="preserve">Historically, beneficiaries were considered to possess a proprietary right to inspect trust documents, derived from their equitable ownership of the trust property. This principle was recognised in O’Rourke v Darbishire (1920), where the House of Lords acknowledged that beneficiaries were entitled to inspect trust documents </w:t>
      </w:r>
      <w:r w:rsidRPr="00F56DE0">
        <w:rPr>
          <w:rFonts w:ascii="Times New Roman" w:hAnsi="Times New Roman" w:cs="Times New Roman"/>
        </w:rPr>
        <w:t>to</w:t>
      </w:r>
      <w:r w:rsidRPr="00F56DE0">
        <w:rPr>
          <w:rFonts w:ascii="Times New Roman" w:hAnsi="Times New Roman" w:cs="Times New Roman"/>
        </w:rPr>
        <w:t xml:space="preserve"> supervise the administration of the trust. However, this understanding was significantly reconsidered in Schmidt v Rosewood Trust Ltd (2003).</w:t>
      </w:r>
    </w:p>
    <w:p w14:paraId="537CEE40" w14:textId="1498DCC5" w:rsidR="003C1E49" w:rsidRPr="00F56DE0" w:rsidRDefault="003C1E49" w:rsidP="003C1E49">
      <w:pPr>
        <w:rPr>
          <w:rFonts w:ascii="Times New Roman" w:hAnsi="Times New Roman" w:cs="Times New Roman"/>
        </w:rPr>
      </w:pPr>
      <w:r w:rsidRPr="003C1E49">
        <w:rPr>
          <w:rFonts w:ascii="Times New Roman" w:hAnsi="Times New Roman" w:cs="Times New Roman"/>
        </w:rPr>
        <w:t xml:space="preserve">Earlier authority, such as Re Londonderry’s Settlement </w:t>
      </w:r>
      <w:r w:rsidRPr="00F56DE0">
        <w:rPr>
          <w:rFonts w:ascii="Times New Roman" w:hAnsi="Times New Roman" w:cs="Times New Roman"/>
        </w:rPr>
        <w:t>(</w:t>
      </w:r>
      <w:r w:rsidRPr="003C1E49">
        <w:rPr>
          <w:rFonts w:ascii="Times New Roman" w:hAnsi="Times New Roman" w:cs="Times New Roman"/>
        </w:rPr>
        <w:t>1965</w:t>
      </w:r>
      <w:r w:rsidRPr="00F56DE0">
        <w:rPr>
          <w:rFonts w:ascii="Times New Roman" w:hAnsi="Times New Roman" w:cs="Times New Roman"/>
        </w:rPr>
        <w:t>)</w:t>
      </w:r>
      <w:r w:rsidRPr="003C1E49">
        <w:rPr>
          <w:rFonts w:ascii="Times New Roman" w:hAnsi="Times New Roman" w:cs="Times New Roman"/>
        </w:rPr>
        <w:t xml:space="preserve">, established limits on disclosure, particularly concerning trustees’ reasons for discretionary decisions. The Court of Appeal held that trustees are generally not required to disclose their reasons for exercising discretionary powers, </w:t>
      </w:r>
      <w:r w:rsidRPr="00F56DE0">
        <w:rPr>
          <w:rFonts w:ascii="Times New Roman" w:hAnsi="Times New Roman" w:cs="Times New Roman"/>
        </w:rPr>
        <w:t>to</w:t>
      </w:r>
      <w:r w:rsidRPr="003C1E49">
        <w:rPr>
          <w:rFonts w:ascii="Times New Roman" w:hAnsi="Times New Roman" w:cs="Times New Roman"/>
        </w:rPr>
        <w:t xml:space="preserve"> preserve the confidentiality and integrity of trustee decision-making. During the passage of the Trustee legislation through Parliament, proposals were made to introduce amendments that would have strengthened the position of beneficiaries by expanding their rights to information. These proposals were ultimately unsuccessful. As a result, beneficiaries continue to possess relatively limited rights to obtain information from trustees, and trustees are generally not required to explain or justify the exercise of their discretionary powers (Clements and Abass, 2015</w:t>
      </w:r>
      <w:r w:rsidR="007A2209" w:rsidRPr="00F56DE0">
        <w:rPr>
          <w:rFonts w:ascii="Times New Roman" w:hAnsi="Times New Roman" w:cs="Times New Roman"/>
        </w:rPr>
        <w:t>, p. 344</w:t>
      </w:r>
      <w:r w:rsidRPr="003C1E49">
        <w:rPr>
          <w:rFonts w:ascii="Times New Roman" w:hAnsi="Times New Roman" w:cs="Times New Roman"/>
        </w:rPr>
        <w:t>).</w:t>
      </w:r>
    </w:p>
    <w:p w14:paraId="29D9A602" w14:textId="30F8DA44" w:rsidR="00A911E9" w:rsidRPr="003C1E49" w:rsidRDefault="00A911E9" w:rsidP="003C1E49">
      <w:pPr>
        <w:rPr>
          <w:rFonts w:ascii="Times New Roman" w:hAnsi="Times New Roman" w:cs="Times New Roman"/>
        </w:rPr>
      </w:pPr>
      <w:r w:rsidRPr="00F56DE0">
        <w:rPr>
          <w:rFonts w:ascii="Times New Roman" w:hAnsi="Times New Roman" w:cs="Times New Roman"/>
        </w:rPr>
        <w:t xml:space="preserve">This restriction reflects a long-standing policy concern within trust law. Courts have historically sought to protect trustees from excessive scrutiny or harassment by beneficiaries, recognising that imposing overly burdensome disclosure obligations might discourage individuals from accepting trusteeship. However, the courts have also recognised that beneficiaries must retain the ability to enforce trustees’ duties, as emphasised in Armitage v Nurse </w:t>
      </w:r>
      <w:r w:rsidRPr="00F56DE0">
        <w:rPr>
          <w:rFonts w:ascii="Times New Roman" w:hAnsi="Times New Roman" w:cs="Times New Roman"/>
        </w:rPr>
        <w:t>(</w:t>
      </w:r>
      <w:r w:rsidRPr="00F56DE0">
        <w:rPr>
          <w:rFonts w:ascii="Times New Roman" w:hAnsi="Times New Roman" w:cs="Times New Roman"/>
        </w:rPr>
        <w:t>1998</w:t>
      </w:r>
      <w:r w:rsidRPr="00F56DE0">
        <w:rPr>
          <w:rFonts w:ascii="Times New Roman" w:hAnsi="Times New Roman" w:cs="Times New Roman"/>
        </w:rPr>
        <w:t>)</w:t>
      </w:r>
      <w:r w:rsidRPr="00F56DE0">
        <w:rPr>
          <w:rFonts w:ascii="Times New Roman" w:hAnsi="Times New Roman" w:cs="Times New Roman"/>
        </w:rPr>
        <w:t>, where the Court of Appeal affirmed that the irreducible core of trusteeship requires accountability to beneficiaries.</w:t>
      </w:r>
    </w:p>
    <w:p w14:paraId="215CFF68" w14:textId="20B1F998" w:rsidR="003C1E49" w:rsidRPr="003C1E49" w:rsidRDefault="003C1E49" w:rsidP="003C1E49">
      <w:pPr>
        <w:rPr>
          <w:rFonts w:ascii="Times New Roman" w:hAnsi="Times New Roman" w:cs="Times New Roman"/>
        </w:rPr>
      </w:pPr>
      <w:r w:rsidRPr="003C1E49">
        <w:rPr>
          <w:rFonts w:ascii="Times New Roman" w:hAnsi="Times New Roman" w:cs="Times New Roman"/>
        </w:rPr>
        <w:t xml:space="preserve">Statutory provisions provide only limited assistance in this area. Under s22(4) of the Trustee Act 1925, trustees may use trust funds to have the trust accounts audited or examined by an </w:t>
      </w:r>
      <w:r w:rsidRPr="003C1E49">
        <w:rPr>
          <w:rFonts w:ascii="Times New Roman" w:hAnsi="Times New Roman" w:cs="Times New Roman"/>
        </w:rPr>
        <w:lastRenderedPageBreak/>
        <w:t xml:space="preserve">independent accountant. Similarly, s13 of the Public Trustee Act 1906 allows beneficiaries to inspect audited accounts relating to the trust fund. Traditional case law has extended this principle by recognising a beneficiary’s right to inspect certain trust documents where necessary to supervise the administration of the trust </w:t>
      </w:r>
      <w:r w:rsidR="000619DC" w:rsidRPr="00F56DE0">
        <w:rPr>
          <w:rFonts w:ascii="Times New Roman" w:hAnsi="Times New Roman" w:cs="Times New Roman"/>
        </w:rPr>
        <w:t>(Virgo, 2023, p. 520).</w:t>
      </w:r>
    </w:p>
    <w:p w14:paraId="4770F87C" w14:textId="6141D4A3" w:rsidR="003C1E49" w:rsidRPr="003C1E49" w:rsidRDefault="003C1E49" w:rsidP="003C1E49">
      <w:pPr>
        <w:rPr>
          <w:rFonts w:ascii="Times New Roman" w:hAnsi="Times New Roman" w:cs="Times New Roman"/>
        </w:rPr>
      </w:pPr>
      <w:r w:rsidRPr="003C1E49">
        <w:rPr>
          <w:rFonts w:ascii="Times New Roman" w:hAnsi="Times New Roman" w:cs="Times New Roman"/>
        </w:rPr>
        <w:t>The current position, therefore, is that beneficiaries do not possess an absolute right to trust information. Disclosure depends on the court balancing competing interests, including the nature of the beneficiary’s interest, the type of document requested, and broader considerations of confidentiality and efficient administration.</w:t>
      </w:r>
      <w:r w:rsidR="000619DC" w:rsidRPr="00F56DE0">
        <w:rPr>
          <w:rFonts w:ascii="Times New Roman" w:hAnsi="Times New Roman" w:cs="Times New Roman"/>
        </w:rPr>
        <w:t xml:space="preserve"> </w:t>
      </w:r>
      <w:r w:rsidRPr="003C1E49">
        <w:rPr>
          <w:rFonts w:ascii="Times New Roman" w:hAnsi="Times New Roman" w:cs="Times New Roman"/>
        </w:rPr>
        <w:t xml:space="preserve">Further clarification was provided in Breakspear v Ackland </w:t>
      </w:r>
      <w:r w:rsidRPr="00F56DE0">
        <w:rPr>
          <w:rFonts w:ascii="Times New Roman" w:hAnsi="Times New Roman" w:cs="Times New Roman"/>
        </w:rPr>
        <w:t>(</w:t>
      </w:r>
      <w:r w:rsidRPr="003C1E49">
        <w:rPr>
          <w:rFonts w:ascii="Times New Roman" w:hAnsi="Times New Roman" w:cs="Times New Roman"/>
        </w:rPr>
        <w:t>2008</w:t>
      </w:r>
      <w:r w:rsidRPr="00F56DE0">
        <w:rPr>
          <w:rFonts w:ascii="Times New Roman" w:hAnsi="Times New Roman" w:cs="Times New Roman"/>
        </w:rPr>
        <w:t>)</w:t>
      </w:r>
      <w:r w:rsidRPr="003C1E49">
        <w:rPr>
          <w:rFonts w:ascii="Times New Roman" w:hAnsi="Times New Roman" w:cs="Times New Roman"/>
        </w:rPr>
        <w:t>, where the High Court held that letters of wishes are generally confidential but may be disclosed where fairness requires.</w:t>
      </w:r>
    </w:p>
    <w:p w14:paraId="134489D5" w14:textId="77777777" w:rsidR="0010752D" w:rsidRPr="00F56DE0" w:rsidRDefault="0010752D" w:rsidP="0010752D">
      <w:pPr>
        <w:rPr>
          <w:rFonts w:ascii="Times New Roman" w:hAnsi="Times New Roman" w:cs="Times New Roman"/>
          <w:b/>
          <w:bCs/>
          <w:u w:val="single"/>
        </w:rPr>
      </w:pPr>
      <w:r w:rsidRPr="00F56DE0">
        <w:rPr>
          <w:rFonts w:ascii="Times New Roman" w:hAnsi="Times New Roman" w:cs="Times New Roman"/>
          <w:b/>
          <w:bCs/>
          <w:u w:val="single"/>
        </w:rPr>
        <w:t>Current Challenges</w:t>
      </w:r>
    </w:p>
    <w:p w14:paraId="646EDBFF" w14:textId="77777777" w:rsidR="008B4E14" w:rsidRPr="008B4E14" w:rsidRDefault="008B4E14" w:rsidP="008B4E14">
      <w:pPr>
        <w:rPr>
          <w:rFonts w:ascii="Times New Roman" w:hAnsi="Times New Roman" w:cs="Times New Roman"/>
        </w:rPr>
      </w:pPr>
      <w:r w:rsidRPr="008B4E14">
        <w:rPr>
          <w:rFonts w:ascii="Times New Roman" w:hAnsi="Times New Roman" w:cs="Times New Roman"/>
        </w:rPr>
        <w:t>While the modern approach emphasises flexibility, it has generated significant uncertainty. First, the reliance on judicial discretion provides limited ex ante clarity. Trustees may be unsure what they are obliged to disclose, while beneficiaries may be uncertain about the extent of their entitlement. This uncertainty often necessitates litigation, increasing costs that are typically borne by the trust fund itself.</w:t>
      </w:r>
    </w:p>
    <w:p w14:paraId="0BFAABC4" w14:textId="6C5E1C4B" w:rsidR="008B4E14" w:rsidRPr="008B4E14" w:rsidRDefault="008B4E14" w:rsidP="008B4E14">
      <w:pPr>
        <w:rPr>
          <w:rFonts w:ascii="Times New Roman" w:hAnsi="Times New Roman" w:cs="Times New Roman"/>
        </w:rPr>
      </w:pPr>
      <w:r w:rsidRPr="008B4E14">
        <w:rPr>
          <w:rFonts w:ascii="Times New Roman" w:hAnsi="Times New Roman" w:cs="Times New Roman"/>
        </w:rPr>
        <w:t xml:space="preserve">Secondly, the discretionary framework may undermine the principle of accountability. Equity developed, in part, to restrain abuse of legal ownership through the intervention of </w:t>
      </w:r>
      <w:r w:rsidR="00A911E9" w:rsidRPr="00F56DE0">
        <w:rPr>
          <w:rFonts w:ascii="Times New Roman" w:hAnsi="Times New Roman" w:cs="Times New Roman"/>
        </w:rPr>
        <w:t>conscience. Trustees</w:t>
      </w:r>
      <w:r w:rsidR="00A911E9" w:rsidRPr="00F56DE0">
        <w:rPr>
          <w:rFonts w:ascii="Times New Roman" w:hAnsi="Times New Roman" w:cs="Times New Roman"/>
        </w:rPr>
        <w:t xml:space="preserve">, as fiduciaries, are therefore required to act in good faith and for proper purposes. The importance of enforcing these duties was emphasised in Target Holdings Ltd v Redferns </w:t>
      </w:r>
      <w:r w:rsidR="00A911E9" w:rsidRPr="00F56DE0">
        <w:rPr>
          <w:rFonts w:ascii="Times New Roman" w:hAnsi="Times New Roman" w:cs="Times New Roman"/>
        </w:rPr>
        <w:t>(</w:t>
      </w:r>
      <w:r w:rsidR="00A911E9" w:rsidRPr="00F56DE0">
        <w:rPr>
          <w:rFonts w:ascii="Times New Roman" w:hAnsi="Times New Roman" w:cs="Times New Roman"/>
        </w:rPr>
        <w:t>1996</w:t>
      </w:r>
      <w:r w:rsidR="00A911E9" w:rsidRPr="00F56DE0">
        <w:rPr>
          <w:rFonts w:ascii="Times New Roman" w:hAnsi="Times New Roman" w:cs="Times New Roman"/>
        </w:rPr>
        <w:t>)</w:t>
      </w:r>
      <w:r w:rsidR="00A911E9" w:rsidRPr="00F56DE0">
        <w:rPr>
          <w:rFonts w:ascii="Times New Roman" w:hAnsi="Times New Roman" w:cs="Times New Roman"/>
        </w:rPr>
        <w:t>, where the House of Lords confirmed that trustees may be held liable for breaches of trust where they fail to administer the trust in accordance with their fiduciary obligations</w:t>
      </w:r>
      <w:r w:rsidR="00A911E9" w:rsidRPr="00F56DE0">
        <w:rPr>
          <w:rFonts w:ascii="Times New Roman" w:hAnsi="Times New Roman" w:cs="Times New Roman"/>
          <w:b/>
          <w:bCs/>
        </w:rPr>
        <w:t>.</w:t>
      </w:r>
      <w:r w:rsidR="00A911E9" w:rsidRPr="00F56DE0">
        <w:rPr>
          <w:rFonts w:ascii="Times New Roman" w:hAnsi="Times New Roman" w:cs="Times New Roman"/>
        </w:rPr>
        <w:t xml:space="preserve"> </w:t>
      </w:r>
      <w:r w:rsidRPr="008B4E14">
        <w:rPr>
          <w:rFonts w:ascii="Times New Roman" w:hAnsi="Times New Roman" w:cs="Times New Roman"/>
        </w:rPr>
        <w:t>However, without meaningful access to information, beneficiaries may struggle to monitor whether trustees are complying with these obligations.</w:t>
      </w:r>
      <w:r w:rsidR="00C2743E" w:rsidRPr="00F56DE0">
        <w:rPr>
          <w:rFonts w:ascii="Times New Roman" w:hAnsi="Times New Roman" w:cs="Times New Roman"/>
        </w:rPr>
        <w:t xml:space="preserve"> </w:t>
      </w:r>
      <w:r w:rsidR="00C2743E" w:rsidRPr="00F56DE0">
        <w:rPr>
          <w:rFonts w:ascii="Times New Roman" w:hAnsi="Times New Roman" w:cs="Times New Roman"/>
        </w:rPr>
        <w:t>Without adequate access to information, beneficiaries may also be unable to detect breaches of trust, rendering fiduciary duties difficult to enforce in practice.</w:t>
      </w:r>
      <w:r w:rsidR="00C2743E" w:rsidRPr="00F56DE0">
        <w:rPr>
          <w:rFonts w:ascii="Times New Roman" w:hAnsi="Times New Roman" w:cs="Times New Roman"/>
        </w:rPr>
        <w:t xml:space="preserve"> </w:t>
      </w:r>
      <w:r w:rsidRPr="008B4E14">
        <w:rPr>
          <w:rFonts w:ascii="Times New Roman" w:hAnsi="Times New Roman" w:cs="Times New Roman"/>
        </w:rPr>
        <w:t>If trustees retain broad control over disclosure in the absence of judicial intervention, effective oversight is significantly weakened.</w:t>
      </w:r>
    </w:p>
    <w:p w14:paraId="2A9C47C9" w14:textId="77777777" w:rsidR="008B4E14" w:rsidRPr="00F56DE0" w:rsidRDefault="008B4E14" w:rsidP="008B4E14">
      <w:pPr>
        <w:rPr>
          <w:rFonts w:ascii="Times New Roman" w:hAnsi="Times New Roman" w:cs="Times New Roman"/>
        </w:rPr>
      </w:pPr>
      <w:r w:rsidRPr="008B4E14">
        <w:rPr>
          <w:rFonts w:ascii="Times New Roman" w:hAnsi="Times New Roman" w:cs="Times New Roman"/>
        </w:rPr>
        <w:t>Thirdly, the protection afforded to trustees’ deliberations, particularly under Re Londonderry’s Settlement (1965), has been criticised as excessively protective. While confidentiality may preserve candid decision-making, it may also shield questionable conduct from scrutiny. In modern commercial and family trust contexts, where assets can be substantial and complex, beneficiaries may reasonably expect a greater degree of transparency.</w:t>
      </w:r>
    </w:p>
    <w:p w14:paraId="68BE25DB" w14:textId="79963DF9" w:rsidR="008B4E14" w:rsidRPr="00F56DE0" w:rsidRDefault="00076FF6" w:rsidP="0010752D">
      <w:pPr>
        <w:rPr>
          <w:rFonts w:ascii="Times New Roman" w:hAnsi="Times New Roman" w:cs="Times New Roman"/>
        </w:rPr>
      </w:pPr>
      <w:r w:rsidRPr="00F56DE0">
        <w:rPr>
          <w:rFonts w:ascii="Times New Roman" w:hAnsi="Times New Roman" w:cs="Times New Roman"/>
        </w:rPr>
        <w:t xml:space="preserve">Nonetheless, the current law is not without justification. Judicial discretion enables courts to tailor disclosure to the circumstances of the trust. This avoids rigid rules that might interfere with sensitive commercial arrangements or impose excessive administrative burdens. It also respects settlor intention, especially in discretionary trusts designed to grant trustees considerable latitude. The central tension therefore lies between flexibility and certainty. Although equity traditionally favours flexibility, excessive uncertainty may itself conflict with equitable principles. A system in which beneficiaries must resort to costly litigation </w:t>
      </w:r>
      <w:r w:rsidRPr="00F56DE0">
        <w:rPr>
          <w:rFonts w:ascii="Times New Roman" w:hAnsi="Times New Roman" w:cs="Times New Roman"/>
        </w:rPr>
        <w:lastRenderedPageBreak/>
        <w:t>simply to obtain basic information arguably undermines fairness and access to justice. The perceived need for reform thus arises from a desire to restore coherence between trustee accountability and practical enforceability. While confidentiality preserves trustee discretion, excessive secrecy may undermine equity’s supervisory function by limiting beneficiaries’ ability to enforce their equitable rights. Academic commentators have similarly argued that reliance on judicial discretion following Schmidt v Rosewood Trust Ltd leaves both trustees and beneficiaries without sufficient guidance (Pettit, 2012).</w:t>
      </w:r>
    </w:p>
    <w:p w14:paraId="3BBC932D" w14:textId="1B4A547D" w:rsidR="0010752D" w:rsidRPr="00F56DE0" w:rsidRDefault="0010752D" w:rsidP="0010752D">
      <w:pPr>
        <w:rPr>
          <w:rFonts w:ascii="Times New Roman" w:hAnsi="Times New Roman" w:cs="Times New Roman"/>
          <w:b/>
          <w:bCs/>
          <w:u w:val="single"/>
        </w:rPr>
      </w:pPr>
      <w:r w:rsidRPr="00F56DE0">
        <w:rPr>
          <w:rFonts w:ascii="Times New Roman" w:hAnsi="Times New Roman" w:cs="Times New Roman"/>
          <w:b/>
          <w:bCs/>
          <w:u w:val="single"/>
        </w:rPr>
        <w:t>Proposals for Reform</w:t>
      </w:r>
    </w:p>
    <w:p w14:paraId="40EC228C" w14:textId="3DF62B2D" w:rsidR="00BC0173" w:rsidRPr="00F56DE0" w:rsidRDefault="00BC0173" w:rsidP="007D77BA">
      <w:pPr>
        <w:rPr>
          <w:rFonts w:ascii="Times New Roman" w:hAnsi="Times New Roman" w:cs="Times New Roman"/>
        </w:rPr>
      </w:pPr>
      <w:r w:rsidRPr="00F56DE0">
        <w:rPr>
          <w:rFonts w:ascii="Times New Roman" w:hAnsi="Times New Roman" w:cs="Times New Roman"/>
        </w:rPr>
        <w:t xml:space="preserve">To address the challenges identified above, the group proposes the following statutory reform: </w:t>
      </w:r>
    </w:p>
    <w:p w14:paraId="2B26D181" w14:textId="76920329" w:rsidR="007D77BA" w:rsidRPr="00F56DE0" w:rsidRDefault="007D77BA" w:rsidP="007D77BA">
      <w:pPr>
        <w:rPr>
          <w:rFonts w:ascii="Times New Roman" w:hAnsi="Times New Roman" w:cs="Times New Roman"/>
        </w:rPr>
      </w:pPr>
      <w:r w:rsidRPr="00F56DE0">
        <w:rPr>
          <w:rFonts w:ascii="Times New Roman" w:hAnsi="Times New Roman" w:cs="Times New Roman"/>
          <w:b/>
          <w:bCs/>
          <w:u w:val="single"/>
        </w:rPr>
        <w:t>TRUSTEE DISCLOSURE AND BENEFICIARY INFORMATION ACT 2026.</w:t>
      </w:r>
      <w:r w:rsidRPr="00F56DE0">
        <w:rPr>
          <w:rFonts w:ascii="Times New Roman" w:hAnsi="Times New Roman" w:cs="Times New Roman"/>
        </w:rPr>
        <w:t>  </w:t>
      </w:r>
    </w:p>
    <w:p w14:paraId="0B3FFB7D" w14:textId="77777777" w:rsidR="007D77BA" w:rsidRPr="00F56DE0" w:rsidRDefault="007D77BA" w:rsidP="007D77BA">
      <w:pPr>
        <w:rPr>
          <w:rFonts w:ascii="Times New Roman" w:hAnsi="Times New Roman" w:cs="Times New Roman"/>
        </w:rPr>
      </w:pPr>
      <w:r w:rsidRPr="00F56DE0">
        <w:rPr>
          <w:rFonts w:ascii="Times New Roman" w:hAnsi="Times New Roman" w:cs="Times New Roman"/>
          <w:b/>
          <w:bCs/>
          <w:u w:val="single"/>
        </w:rPr>
        <w:t>Long Title &amp; Summary – </w:t>
      </w:r>
      <w:r w:rsidRPr="00F56DE0">
        <w:rPr>
          <w:rFonts w:ascii="Times New Roman" w:hAnsi="Times New Roman" w:cs="Times New Roman"/>
        </w:rPr>
        <w:t>An Act to clarify and regulate trustees' duties to provide information to beneficiaries, to define categories of trust documents subject to disclosure and to establish principles governing trustee discretion and for connected purposes.  </w:t>
      </w:r>
    </w:p>
    <w:p w14:paraId="309F91AD" w14:textId="319172F2" w:rsidR="007D77BA" w:rsidRPr="00F56DE0" w:rsidRDefault="007D77BA" w:rsidP="007D77BA">
      <w:pPr>
        <w:rPr>
          <w:rFonts w:ascii="Times New Roman" w:hAnsi="Times New Roman" w:cs="Times New Roman"/>
        </w:rPr>
      </w:pPr>
      <w:r w:rsidRPr="00F56DE0">
        <w:rPr>
          <w:rFonts w:ascii="Times New Roman" w:hAnsi="Times New Roman" w:cs="Times New Roman"/>
          <w:b/>
          <w:bCs/>
          <w:u w:val="single"/>
        </w:rPr>
        <w:t>Clause 1 – Statutory Right to Core Information</w:t>
      </w:r>
      <w:r w:rsidRPr="00F56DE0">
        <w:rPr>
          <w:rFonts w:ascii="Times New Roman" w:hAnsi="Times New Roman" w:cs="Times New Roman"/>
        </w:rPr>
        <w:t> </w:t>
      </w:r>
      <w:r w:rsidRPr="00F56DE0">
        <w:rPr>
          <w:rFonts w:ascii="Times New Roman" w:hAnsi="Times New Roman" w:cs="Times New Roman"/>
        </w:rPr>
        <w:br/>
        <w:t>A trustee shall, upon reasonable request, provide a beneficiary with: (a) the trust instrument</w:t>
      </w:r>
      <w:r w:rsidR="00C2743E" w:rsidRPr="00F56DE0">
        <w:rPr>
          <w:rFonts w:ascii="Times New Roman" w:hAnsi="Times New Roman" w:cs="Times New Roman"/>
        </w:rPr>
        <w:t xml:space="preserve">, </w:t>
      </w:r>
      <w:r w:rsidRPr="00F56DE0">
        <w:rPr>
          <w:rFonts w:ascii="Times New Roman" w:hAnsi="Times New Roman" w:cs="Times New Roman"/>
        </w:rPr>
        <w:t>(b) annual trust accounts</w:t>
      </w:r>
      <w:r w:rsidR="00C2743E" w:rsidRPr="00F56DE0">
        <w:rPr>
          <w:rFonts w:ascii="Times New Roman" w:hAnsi="Times New Roman" w:cs="Times New Roman"/>
        </w:rPr>
        <w:t>,</w:t>
      </w:r>
      <w:r w:rsidRPr="00F56DE0">
        <w:rPr>
          <w:rFonts w:ascii="Times New Roman" w:hAnsi="Times New Roman" w:cs="Times New Roman"/>
        </w:rPr>
        <w:t xml:space="preserve"> (c) a summary of trust assets and liabilities and (d) details of distributions made to that beneficiary. Disclosure under this section shall not require a court order unless disputed. A trustee may refuse disclosure where the request is vexatious, manifestly unreasonable, or contrary to the proper administration of the trust. </w:t>
      </w:r>
    </w:p>
    <w:p w14:paraId="74A45437" w14:textId="77777777" w:rsidR="007D77BA" w:rsidRPr="00F56DE0" w:rsidRDefault="007D77BA" w:rsidP="007D77BA">
      <w:pPr>
        <w:rPr>
          <w:rFonts w:ascii="Times New Roman" w:hAnsi="Times New Roman" w:cs="Times New Roman"/>
        </w:rPr>
      </w:pPr>
      <w:r w:rsidRPr="00F56DE0">
        <w:rPr>
          <w:rFonts w:ascii="Times New Roman" w:hAnsi="Times New Roman" w:cs="Times New Roman"/>
          <w:b/>
          <w:bCs/>
          <w:u w:val="single"/>
        </w:rPr>
        <w:t>Clause 2 – Confidential and Deliberative Documents</w:t>
      </w:r>
      <w:r w:rsidRPr="00F56DE0">
        <w:rPr>
          <w:rFonts w:ascii="Times New Roman" w:hAnsi="Times New Roman" w:cs="Times New Roman"/>
        </w:rPr>
        <w:t> </w:t>
      </w:r>
      <w:r w:rsidRPr="00F56DE0">
        <w:rPr>
          <w:rFonts w:ascii="Times New Roman" w:hAnsi="Times New Roman" w:cs="Times New Roman"/>
        </w:rPr>
        <w:br/>
        <w:t>Trustees shall not be required to disclose documents recording their deliberations or reasons for discretionary decisions. Letters of wishes shall be presumed confidential. The court may order disclosure where necessary to ensure proper administration and where just and equitable in the circumstances. </w:t>
      </w:r>
    </w:p>
    <w:p w14:paraId="483CCAF2" w14:textId="216838B3" w:rsidR="0010752D" w:rsidRPr="00F56DE0" w:rsidRDefault="007D77BA" w:rsidP="0010752D">
      <w:pPr>
        <w:rPr>
          <w:rFonts w:ascii="Times New Roman" w:hAnsi="Times New Roman" w:cs="Times New Roman"/>
        </w:rPr>
      </w:pPr>
      <w:r w:rsidRPr="00F56DE0">
        <w:rPr>
          <w:rFonts w:ascii="Times New Roman" w:hAnsi="Times New Roman" w:cs="Times New Roman"/>
          <w:b/>
          <w:bCs/>
          <w:u w:val="single"/>
        </w:rPr>
        <w:t>Clause 3 – Alternative Dispute Resolution</w:t>
      </w:r>
      <w:r w:rsidRPr="00F56DE0">
        <w:rPr>
          <w:rFonts w:ascii="Times New Roman" w:hAnsi="Times New Roman" w:cs="Times New Roman"/>
        </w:rPr>
        <w:t> </w:t>
      </w:r>
      <w:r w:rsidRPr="00F56DE0">
        <w:rPr>
          <w:rFonts w:ascii="Times New Roman" w:hAnsi="Times New Roman" w:cs="Times New Roman"/>
        </w:rPr>
        <w:br/>
        <w:t>Before commencing court proceedings relating to disclosure under this Act, the parties shall attempt resolution through mediation or another recognised form of alternative dispute resolution. The court may consider non-compliance when determining costs. </w:t>
      </w:r>
    </w:p>
    <w:p w14:paraId="5F4291E3" w14:textId="77777777" w:rsidR="0010752D" w:rsidRPr="00F56DE0" w:rsidRDefault="0010752D" w:rsidP="0010752D">
      <w:pPr>
        <w:rPr>
          <w:rFonts w:ascii="Times New Roman" w:hAnsi="Times New Roman" w:cs="Times New Roman"/>
          <w:b/>
          <w:bCs/>
          <w:u w:val="single"/>
        </w:rPr>
      </w:pPr>
      <w:r w:rsidRPr="00F56DE0">
        <w:rPr>
          <w:rFonts w:ascii="Times New Roman" w:hAnsi="Times New Roman" w:cs="Times New Roman"/>
          <w:b/>
          <w:bCs/>
          <w:u w:val="single"/>
        </w:rPr>
        <w:t>Evaluation of the Reform Proposals</w:t>
      </w:r>
    </w:p>
    <w:p w14:paraId="621B1E14" w14:textId="3B6FAABE" w:rsidR="00E41248" w:rsidRPr="00E41248" w:rsidRDefault="00E41248" w:rsidP="00E41248">
      <w:pPr>
        <w:rPr>
          <w:rFonts w:ascii="Times New Roman" w:hAnsi="Times New Roman" w:cs="Times New Roman"/>
        </w:rPr>
      </w:pPr>
      <w:r w:rsidRPr="00F56DE0">
        <w:rPr>
          <w:rFonts w:ascii="Times New Roman" w:hAnsi="Times New Roman" w:cs="Times New Roman"/>
        </w:rPr>
        <w:t>The proposed reform addresses the uncertainty surrounding beneficiaries’ access to trust information by introducing a statutory obligation to disclose “core trust information.” This establishes a clear baseline expectation of entitlement to essential documents, reducing reliance on judicial discretion and potentially decreasing litigation, thereby preserving trust assets. At the same time,</w:t>
      </w:r>
      <w:r w:rsidR="0029615B" w:rsidRPr="00F56DE0">
        <w:t xml:space="preserve"> </w:t>
      </w:r>
      <w:r w:rsidR="0029615B" w:rsidRPr="00F56DE0">
        <w:rPr>
          <w:rFonts w:ascii="Times New Roman" w:hAnsi="Times New Roman" w:cs="Times New Roman"/>
        </w:rPr>
        <w:t xml:space="preserve">the reform reinforces the equitable principle that trustees must remain accountable to beneficiaries for the administration of trust property, reflecting the strict fiduciary standards emphasised in Boardman v Phipps </w:t>
      </w:r>
      <w:r w:rsidR="00076FF6" w:rsidRPr="00F56DE0">
        <w:rPr>
          <w:rFonts w:ascii="Times New Roman" w:hAnsi="Times New Roman" w:cs="Times New Roman"/>
        </w:rPr>
        <w:t>(</w:t>
      </w:r>
      <w:r w:rsidR="0029615B" w:rsidRPr="00F56DE0">
        <w:rPr>
          <w:rFonts w:ascii="Times New Roman" w:hAnsi="Times New Roman" w:cs="Times New Roman"/>
        </w:rPr>
        <w:t>196</w:t>
      </w:r>
      <w:r w:rsidR="0029615B" w:rsidRPr="00F56DE0">
        <w:rPr>
          <w:rFonts w:ascii="Times New Roman" w:hAnsi="Times New Roman" w:cs="Times New Roman"/>
        </w:rPr>
        <w:t>7</w:t>
      </w:r>
      <w:r w:rsidR="00076FF6" w:rsidRPr="00F56DE0">
        <w:rPr>
          <w:rFonts w:ascii="Times New Roman" w:hAnsi="Times New Roman" w:cs="Times New Roman"/>
        </w:rPr>
        <w:t>)</w:t>
      </w:r>
      <w:r w:rsidR="0029615B" w:rsidRPr="00F56DE0">
        <w:rPr>
          <w:rFonts w:ascii="Times New Roman" w:hAnsi="Times New Roman" w:cs="Times New Roman"/>
        </w:rPr>
        <w:t xml:space="preserve">, </w:t>
      </w:r>
      <w:r w:rsidRPr="00F56DE0">
        <w:rPr>
          <w:rFonts w:ascii="Times New Roman" w:hAnsi="Times New Roman" w:cs="Times New Roman"/>
        </w:rPr>
        <w:t>aligning with equity’s traditional concern for conscience and fiduciary supervision</w:t>
      </w:r>
      <w:r w:rsidR="003A7317" w:rsidRPr="00F56DE0">
        <w:rPr>
          <w:rFonts w:ascii="Times New Roman" w:hAnsi="Times New Roman" w:cs="Times New Roman"/>
        </w:rPr>
        <w:t xml:space="preserve">. </w:t>
      </w:r>
      <w:r w:rsidRPr="00F56DE0">
        <w:rPr>
          <w:rFonts w:ascii="Times New Roman" w:hAnsi="Times New Roman" w:cs="Times New Roman"/>
        </w:rPr>
        <w:t xml:space="preserve">A potential unintended consequence is that trustees may adopt a minimalistic approach, disclosing only the bare </w:t>
      </w:r>
      <w:r w:rsidRPr="00F56DE0">
        <w:rPr>
          <w:rFonts w:ascii="Times New Roman" w:hAnsi="Times New Roman" w:cs="Times New Roman"/>
        </w:rPr>
        <w:lastRenderedPageBreak/>
        <w:t xml:space="preserve">minimum to comply with the statutory duty. </w:t>
      </w:r>
      <w:r w:rsidR="00C2743E" w:rsidRPr="00F56DE0">
        <w:rPr>
          <w:rFonts w:ascii="Times New Roman" w:hAnsi="Times New Roman" w:cs="Times New Roman"/>
        </w:rPr>
        <w:t xml:space="preserve">Nevertheless, even a limited statutory disclosure obligation would provide beneficiaries with a clearer baseline entitlement than the current discretionary framework. </w:t>
      </w:r>
      <w:r w:rsidRPr="00F56DE0">
        <w:rPr>
          <w:rFonts w:ascii="Times New Roman" w:hAnsi="Times New Roman" w:cs="Times New Roman"/>
        </w:rPr>
        <w:t>Courts may therefore be required to interpret what constitutes “reasonable access,” which could shift disputes rather than fully resolve them. Nevertheless, such interpretative development is typical in statutory reform and may gradually establish clearer norms in practice (Hudson,</w:t>
      </w:r>
      <w:r w:rsidR="003A7317" w:rsidRPr="00F56DE0">
        <w:rPr>
          <w:rFonts w:ascii="Times New Roman" w:hAnsi="Times New Roman" w:cs="Times New Roman"/>
        </w:rPr>
        <w:t xml:space="preserve"> </w:t>
      </w:r>
      <w:r w:rsidRPr="00F56DE0">
        <w:rPr>
          <w:rFonts w:ascii="Times New Roman" w:hAnsi="Times New Roman" w:cs="Times New Roman"/>
        </w:rPr>
        <w:t>202</w:t>
      </w:r>
      <w:r w:rsidR="003A7317" w:rsidRPr="00F56DE0">
        <w:rPr>
          <w:rFonts w:ascii="Times New Roman" w:hAnsi="Times New Roman" w:cs="Times New Roman"/>
        </w:rPr>
        <w:t>2</w:t>
      </w:r>
      <w:r w:rsidRPr="00F56DE0">
        <w:rPr>
          <w:rFonts w:ascii="Times New Roman" w:hAnsi="Times New Roman" w:cs="Times New Roman"/>
        </w:rPr>
        <w:t>).</w:t>
      </w:r>
    </w:p>
    <w:p w14:paraId="455DD057" w14:textId="25022C45" w:rsidR="00E41248" w:rsidRPr="00E41248" w:rsidRDefault="00E41248" w:rsidP="00E41248">
      <w:pPr>
        <w:rPr>
          <w:rFonts w:ascii="Times New Roman" w:hAnsi="Times New Roman" w:cs="Times New Roman"/>
        </w:rPr>
      </w:pPr>
      <w:r w:rsidRPr="00E41248">
        <w:rPr>
          <w:rFonts w:ascii="Times New Roman" w:hAnsi="Times New Roman" w:cs="Times New Roman"/>
        </w:rPr>
        <w:t xml:space="preserve">The reform strengthens accountability by ensuring beneficiaries have access to sufficient information to assess whether trustees are fulfilling their fiduciary duties. By codifying a statutory right to core information, the proposal upholds the equitable principle of supervision over fiduciaries while still allowing courts to exercise discretion in exceptional circumstances. At the same time, the preservation of confidentiality for deliberative documents reflects the approach adopted in </w:t>
      </w:r>
      <w:r w:rsidRPr="003A7317">
        <w:rPr>
          <w:rFonts w:ascii="Times New Roman" w:hAnsi="Times New Roman" w:cs="Times New Roman"/>
        </w:rPr>
        <w:t xml:space="preserve">Re Londonderry’s Settlement </w:t>
      </w:r>
      <w:r w:rsidR="003A7317">
        <w:rPr>
          <w:rFonts w:ascii="Times New Roman" w:hAnsi="Times New Roman" w:cs="Times New Roman"/>
        </w:rPr>
        <w:t>(</w:t>
      </w:r>
      <w:r w:rsidRPr="003A7317">
        <w:rPr>
          <w:rFonts w:ascii="Times New Roman" w:hAnsi="Times New Roman" w:cs="Times New Roman"/>
        </w:rPr>
        <w:t>1965</w:t>
      </w:r>
      <w:r w:rsidR="003A7317">
        <w:rPr>
          <w:rFonts w:ascii="Times New Roman" w:hAnsi="Times New Roman" w:cs="Times New Roman"/>
        </w:rPr>
        <w:t>)</w:t>
      </w:r>
      <w:r w:rsidRPr="003A7317">
        <w:rPr>
          <w:rFonts w:ascii="Times New Roman" w:hAnsi="Times New Roman" w:cs="Times New Roman"/>
        </w:rPr>
        <w:t>,</w:t>
      </w:r>
      <w:r w:rsidRPr="00E41248">
        <w:rPr>
          <w:rFonts w:ascii="Times New Roman" w:hAnsi="Times New Roman" w:cs="Times New Roman"/>
        </w:rPr>
        <w:t xml:space="preserve"> which emphasised the importance of protecting trustees’ decision-making processes. Balancing disclosure and confidentiality </w:t>
      </w:r>
      <w:r w:rsidR="006031F6" w:rsidRPr="003D60FC">
        <w:rPr>
          <w:rFonts w:ascii="Times New Roman" w:hAnsi="Times New Roman" w:cs="Times New Roman"/>
        </w:rPr>
        <w:t>remain</w:t>
      </w:r>
      <w:r w:rsidRPr="00E41248">
        <w:rPr>
          <w:rFonts w:ascii="Times New Roman" w:hAnsi="Times New Roman" w:cs="Times New Roman"/>
        </w:rPr>
        <w:t xml:space="preserve"> delicate</w:t>
      </w:r>
      <w:r w:rsidR="006031F6">
        <w:rPr>
          <w:rFonts w:ascii="Times New Roman" w:hAnsi="Times New Roman" w:cs="Times New Roman"/>
        </w:rPr>
        <w:t>,</w:t>
      </w:r>
      <w:r w:rsidR="003D60FC" w:rsidRPr="003D60FC">
        <w:rPr>
          <w:rFonts w:ascii="Times New Roman" w:hAnsi="Times New Roman" w:cs="Times New Roman"/>
        </w:rPr>
        <w:t xml:space="preserve"> </w:t>
      </w:r>
      <w:r w:rsidRPr="00E41248">
        <w:rPr>
          <w:rFonts w:ascii="Times New Roman" w:hAnsi="Times New Roman" w:cs="Times New Roman"/>
        </w:rPr>
        <w:t>overly broad protections could shield maladministration, while excessive disclosure could impose administrative burdens or deter individuals from accepting trusteeship. The reform seeks a proportionate balance, and ongoing monitoring of implementation will be essential.</w:t>
      </w:r>
    </w:p>
    <w:p w14:paraId="3B0E62BC" w14:textId="73EAC841" w:rsidR="00E41248" w:rsidRPr="00E41248" w:rsidRDefault="003A7317" w:rsidP="00E41248">
      <w:pPr>
        <w:rPr>
          <w:rFonts w:ascii="Times New Roman" w:hAnsi="Times New Roman" w:cs="Times New Roman"/>
        </w:rPr>
      </w:pPr>
      <w:r>
        <w:rPr>
          <w:rFonts w:ascii="Times New Roman" w:hAnsi="Times New Roman" w:cs="Times New Roman"/>
        </w:rPr>
        <w:t>Furthermore, t</w:t>
      </w:r>
      <w:r w:rsidR="00E41248" w:rsidRPr="00E41248">
        <w:rPr>
          <w:rFonts w:ascii="Times New Roman" w:hAnsi="Times New Roman" w:cs="Times New Roman"/>
        </w:rPr>
        <w:t>he inclusion of limitations</w:t>
      </w:r>
      <w:r>
        <w:rPr>
          <w:rFonts w:ascii="Times New Roman" w:hAnsi="Times New Roman" w:cs="Times New Roman"/>
        </w:rPr>
        <w:t xml:space="preserve"> </w:t>
      </w:r>
      <w:r w:rsidR="00E41248" w:rsidRPr="00E41248">
        <w:rPr>
          <w:rFonts w:ascii="Times New Roman" w:hAnsi="Times New Roman" w:cs="Times New Roman"/>
        </w:rPr>
        <w:t>such as refusal where disclosure would prejudice proper administration or breach third-party confidentiality</w:t>
      </w:r>
      <w:r>
        <w:rPr>
          <w:rFonts w:ascii="Times New Roman" w:hAnsi="Times New Roman" w:cs="Times New Roman"/>
        </w:rPr>
        <w:t xml:space="preserve"> </w:t>
      </w:r>
      <w:r w:rsidR="00E41248" w:rsidRPr="00E41248">
        <w:rPr>
          <w:rFonts w:ascii="Times New Roman" w:hAnsi="Times New Roman" w:cs="Times New Roman"/>
        </w:rPr>
        <w:t xml:space="preserve">maintains equilibrium. Trustees retain protection against abusive or excessive requests, reflecting operational realities and settlor intentions. This approach is consistent with </w:t>
      </w:r>
      <w:r w:rsidR="00E41248" w:rsidRPr="003A7317">
        <w:rPr>
          <w:rFonts w:ascii="Times New Roman" w:hAnsi="Times New Roman" w:cs="Times New Roman"/>
        </w:rPr>
        <w:t xml:space="preserve">Breakspear v Ackland </w:t>
      </w:r>
      <w:r>
        <w:rPr>
          <w:rFonts w:ascii="Times New Roman" w:hAnsi="Times New Roman" w:cs="Times New Roman"/>
        </w:rPr>
        <w:t>(</w:t>
      </w:r>
      <w:r w:rsidR="00E41248" w:rsidRPr="003A7317">
        <w:rPr>
          <w:rFonts w:ascii="Times New Roman" w:hAnsi="Times New Roman" w:cs="Times New Roman"/>
        </w:rPr>
        <w:t>2008</w:t>
      </w:r>
      <w:r>
        <w:rPr>
          <w:rFonts w:ascii="Times New Roman" w:hAnsi="Times New Roman" w:cs="Times New Roman"/>
        </w:rPr>
        <w:t>)</w:t>
      </w:r>
      <w:r w:rsidR="00E41248" w:rsidRPr="003A7317">
        <w:rPr>
          <w:rFonts w:ascii="Times New Roman" w:hAnsi="Times New Roman" w:cs="Times New Roman"/>
        </w:rPr>
        <w:t>,</w:t>
      </w:r>
      <w:r w:rsidR="00E41248" w:rsidRPr="00E41248">
        <w:rPr>
          <w:rFonts w:ascii="Times New Roman" w:hAnsi="Times New Roman" w:cs="Times New Roman"/>
        </w:rPr>
        <w:t xml:space="preserve"> where the court recognised that letters of wishes and other sensitive documents may remain confidential to ensure effective trust administration.</w:t>
      </w:r>
    </w:p>
    <w:p w14:paraId="31EEAAED" w14:textId="633098AA" w:rsidR="00E41248" w:rsidRPr="00E41248" w:rsidRDefault="00E41248" w:rsidP="00E41248">
      <w:pPr>
        <w:rPr>
          <w:rFonts w:ascii="Times New Roman" w:hAnsi="Times New Roman" w:cs="Times New Roman"/>
        </w:rPr>
      </w:pPr>
      <w:r w:rsidRPr="00E41248">
        <w:rPr>
          <w:rFonts w:ascii="Times New Roman" w:hAnsi="Times New Roman" w:cs="Times New Roman"/>
        </w:rPr>
        <w:t xml:space="preserve">Potential challenges remain. The term “core trust information” may require judicial interpretation, and disputes could shift from entitlement to definitional arguments. Courts are likely to play an important role in clarifying the scope of these provisions, which is typical in statutory development. Interaction with existing case law, </w:t>
      </w:r>
      <w:r w:rsidRPr="003A7317">
        <w:rPr>
          <w:rFonts w:ascii="Times New Roman" w:hAnsi="Times New Roman" w:cs="Times New Roman"/>
        </w:rPr>
        <w:t xml:space="preserve">particularly Schmidt v Rosewood Trust Ltd </w:t>
      </w:r>
      <w:r w:rsidR="003A7317">
        <w:rPr>
          <w:rFonts w:ascii="Times New Roman" w:hAnsi="Times New Roman" w:cs="Times New Roman"/>
        </w:rPr>
        <w:t>(</w:t>
      </w:r>
      <w:r w:rsidRPr="003A7317">
        <w:rPr>
          <w:rFonts w:ascii="Times New Roman" w:hAnsi="Times New Roman" w:cs="Times New Roman"/>
        </w:rPr>
        <w:t>2003</w:t>
      </w:r>
      <w:r w:rsidR="003A7317">
        <w:rPr>
          <w:rFonts w:ascii="Times New Roman" w:hAnsi="Times New Roman" w:cs="Times New Roman"/>
        </w:rPr>
        <w:t>)</w:t>
      </w:r>
      <w:r w:rsidRPr="003A7317">
        <w:rPr>
          <w:rFonts w:ascii="Times New Roman" w:hAnsi="Times New Roman" w:cs="Times New Roman"/>
        </w:rPr>
        <w:t>, will also need consideration. The reform does not abolish judicial discretion but supplements it, preserving the equitable framework while modernising its</w:t>
      </w:r>
      <w:r w:rsidRPr="00E41248">
        <w:rPr>
          <w:rFonts w:ascii="Times New Roman" w:hAnsi="Times New Roman" w:cs="Times New Roman"/>
        </w:rPr>
        <w:t xml:space="preserve"> operation.</w:t>
      </w:r>
    </w:p>
    <w:p w14:paraId="6722AF9C" w14:textId="042986AB" w:rsidR="00E41248" w:rsidRPr="00E41248" w:rsidRDefault="006031F6" w:rsidP="00E41248">
      <w:pPr>
        <w:rPr>
          <w:rFonts w:ascii="Times New Roman" w:hAnsi="Times New Roman" w:cs="Times New Roman"/>
        </w:rPr>
      </w:pPr>
      <w:r w:rsidRPr="006031F6">
        <w:rPr>
          <w:rFonts w:ascii="Times New Roman" w:hAnsi="Times New Roman" w:cs="Times New Roman"/>
        </w:rPr>
        <w:t>During development, alternative approaches such as categorising confidential documents or introducing mandatory alternative dispute resolution were considered. While these ideas informed the proposal, the group prioritised statutory clarification of core disclosure obligations as the most practical and proportionate reform. Ultimately, the effectiveness of the proposed reform will depend not only on the statutory provisions themselves but also on how the courts interpret and apply them in practice, particularly through the continued exercise of equity’s supervisory jurisdiction over trusts. Overall, the reform enhances transparency and accountability while preserving necessary discretion, representing a balanced and measured improvement on current law.</w:t>
      </w:r>
    </w:p>
    <w:p w14:paraId="38B7D17C" w14:textId="3F5D1E88" w:rsidR="00E41248" w:rsidRPr="00E41248" w:rsidRDefault="00E41248" w:rsidP="00E41248">
      <w:pPr>
        <w:rPr>
          <w:rFonts w:ascii="Times New Roman" w:hAnsi="Times New Roman" w:cs="Times New Roman"/>
          <w:b/>
          <w:bCs/>
          <w:u w:val="single"/>
        </w:rPr>
      </w:pPr>
      <w:r w:rsidRPr="00E41248">
        <w:rPr>
          <w:rFonts w:ascii="Times New Roman" w:hAnsi="Times New Roman" w:cs="Times New Roman"/>
          <w:b/>
          <w:bCs/>
          <w:u w:val="single"/>
        </w:rPr>
        <w:t xml:space="preserve">Conclusion </w:t>
      </w:r>
    </w:p>
    <w:p w14:paraId="7660ADEC" w14:textId="77777777" w:rsidR="006031F6" w:rsidRDefault="00E41248" w:rsidP="00E41248">
      <w:pPr>
        <w:rPr>
          <w:rFonts w:ascii="Times New Roman" w:hAnsi="Times New Roman" w:cs="Times New Roman"/>
        </w:rPr>
      </w:pPr>
      <w:r w:rsidRPr="00E41248">
        <w:rPr>
          <w:rFonts w:ascii="Times New Roman" w:hAnsi="Times New Roman" w:cs="Times New Roman"/>
        </w:rPr>
        <w:lastRenderedPageBreak/>
        <w:t xml:space="preserve">The law governing trustees’ disclosure obligations has evolved from a proprietary entitlement model to a discretionary, court-supervised framework. While this flexibility reflects equitable traditions, it has produced uncertainty and practical barriers to beneficiary oversight. </w:t>
      </w:r>
      <w:r w:rsidR="006031F6" w:rsidRPr="006031F6">
        <w:rPr>
          <w:rFonts w:ascii="Times New Roman" w:hAnsi="Times New Roman" w:cs="Times New Roman"/>
        </w:rPr>
        <w:t>The perceived need for reform therefore arises from a desire to strengthen accountability and clarify expectations without undermining trustee autonomy.</w:t>
      </w:r>
    </w:p>
    <w:p w14:paraId="492F8BEF" w14:textId="09F425F4" w:rsidR="00E41248" w:rsidRPr="006031F6" w:rsidRDefault="00E41248" w:rsidP="00E41248">
      <w:pPr>
        <w:rPr>
          <w:rFonts w:ascii="Times New Roman" w:hAnsi="Times New Roman" w:cs="Times New Roman"/>
        </w:rPr>
      </w:pPr>
      <w:r w:rsidRPr="00E41248">
        <w:rPr>
          <w:rFonts w:ascii="Times New Roman" w:hAnsi="Times New Roman" w:cs="Times New Roman"/>
        </w:rPr>
        <w:t xml:space="preserve">The proposed reform introduces a statutory obligation to provide core trust information, subject to reasonable limitations, enhancing transparency and safeguarding equitable principles such as accountability, supervision of fiduciaries, and protection of beneficiaries’ interests. By codifying this obligation, the reform provides clarity, reduces the risk of costly litigation, and ensures a proportionate balance between </w:t>
      </w:r>
      <w:r w:rsidRPr="006031F6">
        <w:rPr>
          <w:rFonts w:ascii="Times New Roman" w:hAnsi="Times New Roman" w:cs="Times New Roman"/>
        </w:rPr>
        <w:t>disclosure and confidentiality.</w:t>
      </w:r>
    </w:p>
    <w:p w14:paraId="4018320E" w14:textId="5A29A0D3" w:rsidR="00E41248" w:rsidRPr="006031F6" w:rsidRDefault="00E41248" w:rsidP="00E41248">
      <w:pPr>
        <w:rPr>
          <w:rFonts w:ascii="Times New Roman" w:hAnsi="Times New Roman" w:cs="Times New Roman"/>
        </w:rPr>
      </w:pPr>
      <w:r w:rsidRPr="006031F6">
        <w:rPr>
          <w:rFonts w:ascii="Times New Roman" w:hAnsi="Times New Roman" w:cs="Times New Roman"/>
        </w:rPr>
        <w:t xml:space="preserve">Although interpretative and administrative challenges remain, </w:t>
      </w:r>
      <w:r w:rsidR="006031F6" w:rsidRPr="006031F6">
        <w:rPr>
          <w:rFonts w:ascii="Times New Roman" w:hAnsi="Times New Roman" w:cs="Times New Roman"/>
        </w:rPr>
        <w:t>the</w:t>
      </w:r>
      <w:r w:rsidR="006031F6" w:rsidRPr="006031F6">
        <w:rPr>
          <w:rFonts w:ascii="Times New Roman" w:hAnsi="Times New Roman" w:cs="Times New Roman"/>
        </w:rPr>
        <w:t xml:space="preserve"> reform represents a coherent and proportionate improvement on current law.</w:t>
      </w:r>
    </w:p>
    <w:p w14:paraId="5519AA7E" w14:textId="77777777" w:rsidR="00F3651F" w:rsidRDefault="00F3651F" w:rsidP="00E41248">
      <w:pPr>
        <w:rPr>
          <w:rFonts w:ascii="Times New Roman" w:hAnsi="Times New Roman" w:cs="Times New Roman"/>
        </w:rPr>
      </w:pPr>
    </w:p>
    <w:p w14:paraId="77A37FAA" w14:textId="2E7B8E95" w:rsidR="003D60FC" w:rsidRDefault="003D60FC" w:rsidP="00E41248">
      <w:pPr>
        <w:rPr>
          <w:rFonts w:ascii="Times New Roman" w:hAnsi="Times New Roman" w:cs="Times New Roman"/>
          <w:b/>
          <w:bCs/>
          <w:u w:val="single"/>
        </w:rPr>
      </w:pPr>
      <w:r w:rsidRPr="003D60FC">
        <w:rPr>
          <w:rFonts w:ascii="Times New Roman" w:hAnsi="Times New Roman" w:cs="Times New Roman"/>
          <w:b/>
          <w:bCs/>
          <w:u w:val="single"/>
        </w:rPr>
        <w:t>References</w:t>
      </w:r>
    </w:p>
    <w:p w14:paraId="1C2E5287" w14:textId="229ABF7F" w:rsidR="00F56DE0" w:rsidRDefault="00F56DE0" w:rsidP="00F56DE0">
      <w:pPr>
        <w:rPr>
          <w:rFonts w:ascii="Times New Roman" w:hAnsi="Times New Roman" w:cs="Times New Roman"/>
        </w:rPr>
      </w:pPr>
      <w:r>
        <w:rPr>
          <w:rFonts w:ascii="Times New Roman" w:hAnsi="Times New Roman" w:cs="Times New Roman"/>
        </w:rPr>
        <w:t>‘</w:t>
      </w:r>
      <w:r w:rsidRPr="00A911E9">
        <w:rPr>
          <w:rFonts w:ascii="Times New Roman" w:hAnsi="Times New Roman" w:cs="Times New Roman"/>
        </w:rPr>
        <w:t>Armitage v Nurse</w:t>
      </w:r>
      <w:r>
        <w:rPr>
          <w:rFonts w:ascii="Times New Roman" w:hAnsi="Times New Roman" w:cs="Times New Roman"/>
        </w:rPr>
        <w:t>’</w:t>
      </w:r>
      <w:r w:rsidRPr="00A911E9">
        <w:rPr>
          <w:rFonts w:ascii="Times New Roman" w:hAnsi="Times New Roman" w:cs="Times New Roman"/>
        </w:rPr>
        <w:t xml:space="preserve"> </w:t>
      </w:r>
      <w:r>
        <w:rPr>
          <w:rFonts w:ascii="Times New Roman" w:hAnsi="Times New Roman" w:cs="Times New Roman"/>
        </w:rPr>
        <w:t>(</w:t>
      </w:r>
      <w:r w:rsidRPr="00A911E9">
        <w:rPr>
          <w:rFonts w:ascii="Times New Roman" w:hAnsi="Times New Roman" w:cs="Times New Roman"/>
        </w:rPr>
        <w:t>1998</w:t>
      </w:r>
      <w:r>
        <w:rPr>
          <w:rFonts w:ascii="Times New Roman" w:hAnsi="Times New Roman" w:cs="Times New Roman"/>
        </w:rPr>
        <w:t>)</w:t>
      </w:r>
      <w:r>
        <w:rPr>
          <w:rFonts w:ascii="Times New Roman" w:hAnsi="Times New Roman" w:cs="Times New Roman"/>
        </w:rPr>
        <w:t xml:space="preserve"> 2 All ER 705.</w:t>
      </w:r>
    </w:p>
    <w:p w14:paraId="024A05B7" w14:textId="01561FAD" w:rsidR="0029615B" w:rsidRDefault="00F56DE0" w:rsidP="00E41248">
      <w:pPr>
        <w:rPr>
          <w:rFonts w:ascii="Times New Roman" w:hAnsi="Times New Roman" w:cs="Times New Roman"/>
        </w:rPr>
      </w:pPr>
      <w:r>
        <w:rPr>
          <w:rFonts w:ascii="Times New Roman" w:hAnsi="Times New Roman" w:cs="Times New Roman"/>
        </w:rPr>
        <w:t>‘</w:t>
      </w:r>
      <w:r w:rsidR="0029615B">
        <w:rPr>
          <w:rFonts w:ascii="Times New Roman" w:hAnsi="Times New Roman" w:cs="Times New Roman"/>
        </w:rPr>
        <w:t>Boardman v Phipps</w:t>
      </w:r>
      <w:r>
        <w:rPr>
          <w:rFonts w:ascii="Times New Roman" w:hAnsi="Times New Roman" w:cs="Times New Roman"/>
        </w:rPr>
        <w:t>’</w:t>
      </w:r>
      <w:r w:rsidR="0029615B">
        <w:rPr>
          <w:rFonts w:ascii="Times New Roman" w:hAnsi="Times New Roman" w:cs="Times New Roman"/>
        </w:rPr>
        <w:t xml:space="preserve"> (1967) 2 AC 46.</w:t>
      </w:r>
    </w:p>
    <w:p w14:paraId="45BDC180" w14:textId="486914A6" w:rsidR="003C1E49" w:rsidRDefault="003C1E49" w:rsidP="00E41248">
      <w:pPr>
        <w:rPr>
          <w:rFonts w:ascii="Times New Roman" w:hAnsi="Times New Roman" w:cs="Times New Roman"/>
        </w:rPr>
      </w:pPr>
      <w:r w:rsidRPr="00A52C8A">
        <w:rPr>
          <w:rFonts w:ascii="Times New Roman" w:hAnsi="Times New Roman" w:cs="Times New Roman"/>
        </w:rPr>
        <w:t>Breakspear v Ackland (2009) Ch 32</w:t>
      </w:r>
      <w:r w:rsidR="00A52C8A" w:rsidRPr="00A52C8A">
        <w:rPr>
          <w:rFonts w:ascii="Times New Roman" w:hAnsi="Times New Roman" w:cs="Times New Roman"/>
        </w:rPr>
        <w:t xml:space="preserve">. </w:t>
      </w:r>
      <w:r w:rsidR="00A52C8A" w:rsidRPr="00A52C8A">
        <w:rPr>
          <w:rFonts w:ascii="Times New Roman" w:hAnsi="Times New Roman" w:cs="Times New Roman"/>
          <w:i/>
          <w:iCs/>
        </w:rPr>
        <w:t>Lexis Plus UK.</w:t>
      </w:r>
      <w:r w:rsidR="00A52C8A" w:rsidRPr="00A52C8A">
        <w:rPr>
          <w:rFonts w:ascii="Times New Roman" w:hAnsi="Times New Roman" w:cs="Times New Roman"/>
        </w:rPr>
        <w:t xml:space="preserve"> Available at: </w:t>
      </w:r>
      <w:hyperlink r:id="rId4" w:history="1">
        <w:r w:rsidR="00A52C8A" w:rsidRPr="00A52C8A">
          <w:rPr>
            <w:rStyle w:val="Hyperlink"/>
            <w:rFonts w:ascii="Times New Roman" w:hAnsi="Times New Roman" w:cs="Times New Roman"/>
            <w:u w:val="none"/>
          </w:rPr>
          <w:t>h</w:t>
        </w:r>
        <w:r w:rsidR="00A52C8A" w:rsidRPr="00A52C8A">
          <w:rPr>
            <w:rStyle w:val="Hyperlink"/>
            <w:rFonts w:ascii="Times New Roman" w:hAnsi="Times New Roman" w:cs="Times New Roman"/>
            <w:u w:val="none"/>
          </w:rPr>
          <w:t>ttps://plus-lexis-com.uwtsd.idm.oclc.org/uk/cases-uk/breakspear-v-ackland/?crid=b7ad166d-17c7-4eaf-9f8f-640028b75139&amp;pddocumentnumber=1</w:t>
        </w:r>
      </w:hyperlink>
      <w:r w:rsidR="00A52C8A" w:rsidRPr="00A52C8A">
        <w:rPr>
          <w:rFonts w:ascii="Times New Roman" w:hAnsi="Times New Roman" w:cs="Times New Roman"/>
        </w:rPr>
        <w:t xml:space="preserve"> (Accessed: 27 Feb 2026).</w:t>
      </w:r>
    </w:p>
    <w:p w14:paraId="10D6E3A8" w14:textId="77777777" w:rsidR="00F56DE0" w:rsidRDefault="00F56DE0" w:rsidP="00F56DE0">
      <w:pPr>
        <w:rPr>
          <w:rFonts w:ascii="Times New Roman" w:hAnsi="Times New Roman" w:cs="Times New Roman"/>
        </w:rPr>
      </w:pPr>
      <w:r>
        <w:rPr>
          <w:rFonts w:ascii="Times New Roman" w:hAnsi="Times New Roman" w:cs="Times New Roman"/>
        </w:rPr>
        <w:t xml:space="preserve">Clements, R. and Abass, A. (2015) </w:t>
      </w:r>
      <w:r w:rsidRPr="007A2209">
        <w:rPr>
          <w:rFonts w:ascii="Times New Roman" w:hAnsi="Times New Roman" w:cs="Times New Roman"/>
          <w:i/>
          <w:iCs/>
        </w:rPr>
        <w:t>Complete Equity and Trusts Text, Cases, and Materials.</w:t>
      </w:r>
      <w:r>
        <w:rPr>
          <w:rFonts w:ascii="Times New Roman" w:hAnsi="Times New Roman" w:cs="Times New Roman"/>
        </w:rPr>
        <w:t xml:space="preserve"> 4</w:t>
      </w:r>
      <w:r w:rsidRPr="007A2209">
        <w:rPr>
          <w:rFonts w:ascii="Times New Roman" w:hAnsi="Times New Roman" w:cs="Times New Roman"/>
          <w:vertAlign w:val="superscript"/>
        </w:rPr>
        <w:t>th</w:t>
      </w:r>
      <w:r>
        <w:rPr>
          <w:rFonts w:ascii="Times New Roman" w:hAnsi="Times New Roman" w:cs="Times New Roman"/>
        </w:rPr>
        <w:t xml:space="preserve"> Edn. Oxford University Press.</w:t>
      </w:r>
    </w:p>
    <w:p w14:paraId="56AEEB4C" w14:textId="77777777" w:rsidR="00F56DE0" w:rsidRDefault="00F56DE0" w:rsidP="00F56DE0">
      <w:pPr>
        <w:rPr>
          <w:rFonts w:ascii="Times New Roman" w:hAnsi="Times New Roman" w:cs="Times New Roman"/>
        </w:rPr>
      </w:pPr>
      <w:r w:rsidRPr="003A7317">
        <w:rPr>
          <w:rFonts w:ascii="Times New Roman" w:hAnsi="Times New Roman" w:cs="Times New Roman"/>
        </w:rPr>
        <w:t>Hudson, A. (202</w:t>
      </w:r>
      <w:r>
        <w:rPr>
          <w:rFonts w:ascii="Times New Roman" w:hAnsi="Times New Roman" w:cs="Times New Roman"/>
        </w:rPr>
        <w:t>2</w:t>
      </w:r>
      <w:r w:rsidRPr="003A7317">
        <w:rPr>
          <w:rFonts w:ascii="Times New Roman" w:hAnsi="Times New Roman" w:cs="Times New Roman"/>
        </w:rPr>
        <w:t xml:space="preserve">) </w:t>
      </w:r>
      <w:r w:rsidRPr="003A7317">
        <w:rPr>
          <w:rFonts w:ascii="Times New Roman" w:hAnsi="Times New Roman" w:cs="Times New Roman"/>
          <w:i/>
          <w:iCs/>
        </w:rPr>
        <w:t>Equity and Trusts</w:t>
      </w:r>
      <w:r w:rsidRPr="003A7317">
        <w:rPr>
          <w:rFonts w:ascii="Times New Roman" w:hAnsi="Times New Roman" w:cs="Times New Roman"/>
        </w:rPr>
        <w:t xml:space="preserve">. 10th </w:t>
      </w:r>
      <w:r>
        <w:rPr>
          <w:rFonts w:ascii="Times New Roman" w:hAnsi="Times New Roman" w:cs="Times New Roman"/>
        </w:rPr>
        <w:t>E</w:t>
      </w:r>
      <w:r w:rsidRPr="003A7317">
        <w:rPr>
          <w:rFonts w:ascii="Times New Roman" w:hAnsi="Times New Roman" w:cs="Times New Roman"/>
        </w:rPr>
        <w:t>dn.</w:t>
      </w:r>
      <w:r>
        <w:rPr>
          <w:rFonts w:ascii="Times New Roman" w:hAnsi="Times New Roman" w:cs="Times New Roman"/>
        </w:rPr>
        <w:t xml:space="preserve"> </w:t>
      </w:r>
      <w:r w:rsidRPr="003A7317">
        <w:rPr>
          <w:rFonts w:ascii="Times New Roman" w:hAnsi="Times New Roman" w:cs="Times New Roman"/>
        </w:rPr>
        <w:t>Routledge.</w:t>
      </w:r>
    </w:p>
    <w:p w14:paraId="5901491A" w14:textId="77777777" w:rsidR="00F56DE0" w:rsidRDefault="00F56DE0" w:rsidP="00F56DE0">
      <w:pPr>
        <w:rPr>
          <w:rFonts w:ascii="Times New Roman" w:hAnsi="Times New Roman" w:cs="Times New Roman"/>
        </w:rPr>
      </w:pPr>
      <w:r w:rsidRPr="00A911E9">
        <w:rPr>
          <w:rFonts w:ascii="Times New Roman" w:hAnsi="Times New Roman" w:cs="Times New Roman"/>
        </w:rPr>
        <w:t>‘O’Rourke v Darbishire’ (1920) AC 817.</w:t>
      </w:r>
    </w:p>
    <w:p w14:paraId="0F3A2462" w14:textId="77777777" w:rsidR="00F56DE0" w:rsidRDefault="00F56DE0" w:rsidP="00F56DE0">
      <w:pPr>
        <w:rPr>
          <w:rFonts w:ascii="Times New Roman" w:hAnsi="Times New Roman" w:cs="Times New Roman"/>
        </w:rPr>
      </w:pPr>
      <w:r w:rsidRPr="00A52C8A">
        <w:rPr>
          <w:rFonts w:ascii="Times New Roman" w:hAnsi="Times New Roman" w:cs="Times New Roman"/>
          <w:i/>
          <w:iCs/>
        </w:rPr>
        <w:t>Public Trustee Act 1906, c. 55.</w:t>
      </w:r>
      <w:r w:rsidRPr="00A52C8A">
        <w:rPr>
          <w:rFonts w:ascii="Times New Roman" w:hAnsi="Times New Roman" w:cs="Times New Roman"/>
        </w:rPr>
        <w:t xml:space="preserve"> Available at: </w:t>
      </w:r>
      <w:hyperlink r:id="rId5" w:history="1">
        <w:r w:rsidRPr="00A52C8A">
          <w:rPr>
            <w:rStyle w:val="Hyperlink"/>
            <w:rFonts w:ascii="Times New Roman" w:hAnsi="Times New Roman" w:cs="Times New Roman"/>
          </w:rPr>
          <w:t>https://www.legislation.gov.uk/ukpga/Edw7/6/55/contents</w:t>
        </w:r>
      </w:hyperlink>
      <w:r w:rsidRPr="00A52C8A">
        <w:rPr>
          <w:rFonts w:ascii="Times New Roman" w:hAnsi="Times New Roman" w:cs="Times New Roman"/>
        </w:rPr>
        <w:t xml:space="preserve"> (Accessed: 27 Feb 2026).</w:t>
      </w:r>
    </w:p>
    <w:p w14:paraId="17FA0C07" w14:textId="1A505C94" w:rsidR="00F56DE0" w:rsidRDefault="00F56DE0" w:rsidP="00F56DE0">
      <w:pPr>
        <w:rPr>
          <w:rFonts w:ascii="Times New Roman" w:hAnsi="Times New Roman" w:cs="Times New Roman"/>
        </w:rPr>
      </w:pPr>
      <w:r>
        <w:rPr>
          <w:rFonts w:ascii="Times New Roman" w:hAnsi="Times New Roman" w:cs="Times New Roman"/>
        </w:rPr>
        <w:t>P</w:t>
      </w:r>
      <w:r>
        <w:rPr>
          <w:rFonts w:ascii="Times New Roman" w:hAnsi="Times New Roman" w:cs="Times New Roman"/>
        </w:rPr>
        <w:t>ettit</w:t>
      </w:r>
      <w:r>
        <w:rPr>
          <w:rFonts w:ascii="Times New Roman" w:hAnsi="Times New Roman" w:cs="Times New Roman"/>
        </w:rPr>
        <w:t>, P.H (2012) Equity and The Law of Trusts. 12</w:t>
      </w:r>
      <w:r w:rsidRPr="00076FF6">
        <w:rPr>
          <w:rFonts w:ascii="Times New Roman" w:hAnsi="Times New Roman" w:cs="Times New Roman"/>
          <w:vertAlign w:val="superscript"/>
        </w:rPr>
        <w:t>th</w:t>
      </w:r>
      <w:r>
        <w:rPr>
          <w:rFonts w:ascii="Times New Roman" w:hAnsi="Times New Roman" w:cs="Times New Roman"/>
        </w:rPr>
        <w:t xml:space="preserve"> Edn. Oxford University Press.</w:t>
      </w:r>
    </w:p>
    <w:p w14:paraId="5E05B945" w14:textId="77777777" w:rsidR="00F56DE0" w:rsidRDefault="00F56DE0">
      <w:pPr>
        <w:rPr>
          <w:rFonts w:ascii="Times New Roman" w:hAnsi="Times New Roman" w:cs="Times New Roman"/>
        </w:rPr>
      </w:pPr>
      <w:r w:rsidRPr="00A52C8A">
        <w:rPr>
          <w:rFonts w:ascii="Times New Roman" w:hAnsi="Times New Roman" w:cs="Times New Roman"/>
        </w:rPr>
        <w:t xml:space="preserve">‘RE Londonderry’s Settlement’ (1965) CH 918. </w:t>
      </w:r>
    </w:p>
    <w:p w14:paraId="09510476" w14:textId="08C08D9F" w:rsidR="00B14FB3" w:rsidRPr="00A52C8A" w:rsidRDefault="00255A89">
      <w:pPr>
        <w:rPr>
          <w:rFonts w:ascii="Times New Roman" w:hAnsi="Times New Roman" w:cs="Times New Roman"/>
        </w:rPr>
      </w:pPr>
      <w:r w:rsidRPr="00A52C8A">
        <w:rPr>
          <w:rFonts w:ascii="Times New Roman" w:hAnsi="Times New Roman" w:cs="Times New Roman"/>
        </w:rPr>
        <w:t xml:space="preserve">‘Schmidt v Rosewood Trust Ltd’ (2003) 2 AC 709. </w:t>
      </w:r>
      <w:r w:rsidRPr="00A52C8A">
        <w:rPr>
          <w:rFonts w:ascii="Times New Roman" w:hAnsi="Times New Roman" w:cs="Times New Roman"/>
          <w:i/>
          <w:iCs/>
        </w:rPr>
        <w:t>Lexis Plus UK</w:t>
      </w:r>
      <w:r w:rsidRPr="00A52C8A">
        <w:rPr>
          <w:rFonts w:ascii="Times New Roman" w:hAnsi="Times New Roman" w:cs="Times New Roman"/>
        </w:rPr>
        <w:t xml:space="preserve">. Available at: </w:t>
      </w:r>
      <w:hyperlink r:id="rId6" w:history="1">
        <w:r w:rsidRPr="00A52C8A">
          <w:rPr>
            <w:rStyle w:val="Hyperlink"/>
            <w:rFonts w:ascii="Times New Roman" w:hAnsi="Times New Roman" w:cs="Times New Roman"/>
          </w:rPr>
          <w:t>h</w:t>
        </w:r>
        <w:r w:rsidRPr="00A52C8A">
          <w:rPr>
            <w:rStyle w:val="Hyperlink"/>
            <w:rFonts w:ascii="Times New Roman" w:hAnsi="Times New Roman" w:cs="Times New Roman"/>
          </w:rPr>
          <w:t>ttps://plus-lexis-com.uwtsd.idm.oclc.org/uk/cases-uk/schmidt-v-rosewood-trust-ltd/?crid=98f3e8c9-5de6-4225-9b89-57d1e4990bf4&amp;pddocumentnumber=1</w:t>
        </w:r>
      </w:hyperlink>
      <w:r w:rsidRPr="00A52C8A">
        <w:rPr>
          <w:rFonts w:ascii="Times New Roman" w:hAnsi="Times New Roman" w:cs="Times New Roman"/>
        </w:rPr>
        <w:t xml:space="preserve"> (Accessed: 26 Feb 2026).</w:t>
      </w:r>
    </w:p>
    <w:p w14:paraId="5482492D" w14:textId="41481396" w:rsidR="0029615B" w:rsidRPr="00A911E9" w:rsidRDefault="0029615B">
      <w:pPr>
        <w:rPr>
          <w:rFonts w:ascii="Times New Roman" w:hAnsi="Times New Roman" w:cs="Times New Roman"/>
        </w:rPr>
      </w:pPr>
      <w:r>
        <w:rPr>
          <w:rFonts w:ascii="Times New Roman" w:hAnsi="Times New Roman" w:cs="Times New Roman"/>
        </w:rPr>
        <w:t>‘Target Holdings Ltd v Redferns’ (1996). 1 AC 421.</w:t>
      </w:r>
    </w:p>
    <w:p w14:paraId="75AB358E" w14:textId="1CF59FD7" w:rsidR="009212F1" w:rsidRPr="00A52C8A" w:rsidRDefault="006E4367">
      <w:pPr>
        <w:rPr>
          <w:rFonts w:ascii="Times New Roman" w:hAnsi="Times New Roman" w:cs="Times New Roman"/>
        </w:rPr>
      </w:pPr>
      <w:r w:rsidRPr="00A52C8A">
        <w:rPr>
          <w:rFonts w:ascii="Times New Roman" w:hAnsi="Times New Roman" w:cs="Times New Roman"/>
          <w:i/>
          <w:iCs/>
        </w:rPr>
        <w:t>Trustee Act 1925, c. 19</w:t>
      </w:r>
      <w:r w:rsidRPr="00A52C8A">
        <w:rPr>
          <w:rFonts w:ascii="Times New Roman" w:hAnsi="Times New Roman" w:cs="Times New Roman"/>
        </w:rPr>
        <w:t xml:space="preserve">. Available at: </w:t>
      </w:r>
      <w:hyperlink r:id="rId7" w:history="1">
        <w:r w:rsidRPr="00A52C8A">
          <w:rPr>
            <w:rStyle w:val="Hyperlink"/>
            <w:rFonts w:ascii="Times New Roman" w:hAnsi="Times New Roman" w:cs="Times New Roman"/>
          </w:rPr>
          <w:t>h</w:t>
        </w:r>
        <w:r w:rsidRPr="00A52C8A">
          <w:rPr>
            <w:rStyle w:val="Hyperlink"/>
            <w:rFonts w:ascii="Times New Roman" w:hAnsi="Times New Roman" w:cs="Times New Roman"/>
          </w:rPr>
          <w:t>ttps://www.legislation.gov.uk/ukpga/Geo5/15-16/19/section/22</w:t>
        </w:r>
      </w:hyperlink>
      <w:r w:rsidRPr="00A52C8A">
        <w:rPr>
          <w:rFonts w:ascii="Times New Roman" w:hAnsi="Times New Roman" w:cs="Times New Roman"/>
        </w:rPr>
        <w:t xml:space="preserve"> (Accessed: 27 Feb 2026).</w:t>
      </w:r>
    </w:p>
    <w:p w14:paraId="417071F4" w14:textId="17FC5111" w:rsidR="003A7317" w:rsidRPr="00A52C8A" w:rsidRDefault="000619DC">
      <w:pPr>
        <w:rPr>
          <w:rFonts w:ascii="Times New Roman" w:hAnsi="Times New Roman" w:cs="Times New Roman"/>
        </w:rPr>
      </w:pPr>
      <w:r>
        <w:rPr>
          <w:rFonts w:ascii="Times New Roman" w:hAnsi="Times New Roman" w:cs="Times New Roman"/>
        </w:rPr>
        <w:t xml:space="preserve">Virgo, G. (2023) </w:t>
      </w:r>
      <w:r w:rsidRPr="000619DC">
        <w:rPr>
          <w:rFonts w:ascii="Times New Roman" w:hAnsi="Times New Roman" w:cs="Times New Roman"/>
          <w:i/>
          <w:iCs/>
        </w:rPr>
        <w:t>The Principles of Equity &amp; Trusts.</w:t>
      </w:r>
      <w:r>
        <w:rPr>
          <w:rFonts w:ascii="Times New Roman" w:hAnsi="Times New Roman" w:cs="Times New Roman"/>
        </w:rPr>
        <w:t xml:space="preserve"> 5</w:t>
      </w:r>
      <w:r w:rsidRPr="000619DC">
        <w:rPr>
          <w:rFonts w:ascii="Times New Roman" w:hAnsi="Times New Roman" w:cs="Times New Roman"/>
          <w:vertAlign w:val="superscript"/>
        </w:rPr>
        <w:t>th</w:t>
      </w:r>
      <w:r>
        <w:rPr>
          <w:rFonts w:ascii="Times New Roman" w:hAnsi="Times New Roman" w:cs="Times New Roman"/>
        </w:rPr>
        <w:t xml:space="preserve"> Edn. Oxford University Press.</w:t>
      </w:r>
    </w:p>
    <w:sectPr w:rsidR="003A7317" w:rsidRPr="00A52C8A" w:rsidSect="003D60F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FB3"/>
    <w:rsid w:val="000619DC"/>
    <w:rsid w:val="00076FF6"/>
    <w:rsid w:val="0010752D"/>
    <w:rsid w:val="002422F3"/>
    <w:rsid w:val="00255A89"/>
    <w:rsid w:val="0029615B"/>
    <w:rsid w:val="002E64C6"/>
    <w:rsid w:val="003A7317"/>
    <w:rsid w:val="003C1E49"/>
    <w:rsid w:val="003D60FC"/>
    <w:rsid w:val="00426A1A"/>
    <w:rsid w:val="004E382E"/>
    <w:rsid w:val="006031F6"/>
    <w:rsid w:val="006E05CA"/>
    <w:rsid w:val="006E4367"/>
    <w:rsid w:val="007A2209"/>
    <w:rsid w:val="007C721A"/>
    <w:rsid w:val="007D77BA"/>
    <w:rsid w:val="008B4E14"/>
    <w:rsid w:val="008F4692"/>
    <w:rsid w:val="009212F1"/>
    <w:rsid w:val="00A52C8A"/>
    <w:rsid w:val="00A911E9"/>
    <w:rsid w:val="00B14FB3"/>
    <w:rsid w:val="00BC0173"/>
    <w:rsid w:val="00C2743E"/>
    <w:rsid w:val="00CA09C0"/>
    <w:rsid w:val="00D35BEF"/>
    <w:rsid w:val="00E41248"/>
    <w:rsid w:val="00F3651F"/>
    <w:rsid w:val="00F56D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A0D5E"/>
  <w15:chartTrackingRefBased/>
  <w15:docId w15:val="{AA28CECA-C8AE-4625-BE4C-798FC0A65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4F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4F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4F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4F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4F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4F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4F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4F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4F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F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4F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4F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4F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4F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4F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4F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4F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4FB3"/>
    <w:rPr>
      <w:rFonts w:eastAsiaTheme="majorEastAsia" w:cstheme="majorBidi"/>
      <w:color w:val="272727" w:themeColor="text1" w:themeTint="D8"/>
    </w:rPr>
  </w:style>
  <w:style w:type="paragraph" w:styleId="Title">
    <w:name w:val="Title"/>
    <w:basedOn w:val="Normal"/>
    <w:next w:val="Normal"/>
    <w:link w:val="TitleChar"/>
    <w:uiPriority w:val="10"/>
    <w:qFormat/>
    <w:rsid w:val="00B14F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4F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4F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4F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4FB3"/>
    <w:pPr>
      <w:spacing w:before="160"/>
      <w:jc w:val="center"/>
    </w:pPr>
    <w:rPr>
      <w:i/>
      <w:iCs/>
      <w:color w:val="404040" w:themeColor="text1" w:themeTint="BF"/>
    </w:rPr>
  </w:style>
  <w:style w:type="character" w:customStyle="1" w:styleId="QuoteChar">
    <w:name w:val="Quote Char"/>
    <w:basedOn w:val="DefaultParagraphFont"/>
    <w:link w:val="Quote"/>
    <w:uiPriority w:val="29"/>
    <w:rsid w:val="00B14FB3"/>
    <w:rPr>
      <w:i/>
      <w:iCs/>
      <w:color w:val="404040" w:themeColor="text1" w:themeTint="BF"/>
    </w:rPr>
  </w:style>
  <w:style w:type="paragraph" w:styleId="ListParagraph">
    <w:name w:val="List Paragraph"/>
    <w:basedOn w:val="Normal"/>
    <w:uiPriority w:val="34"/>
    <w:qFormat/>
    <w:rsid w:val="00B14FB3"/>
    <w:pPr>
      <w:ind w:left="720"/>
      <w:contextualSpacing/>
    </w:pPr>
  </w:style>
  <w:style w:type="character" w:styleId="IntenseEmphasis">
    <w:name w:val="Intense Emphasis"/>
    <w:basedOn w:val="DefaultParagraphFont"/>
    <w:uiPriority w:val="21"/>
    <w:qFormat/>
    <w:rsid w:val="00B14FB3"/>
    <w:rPr>
      <w:i/>
      <w:iCs/>
      <w:color w:val="0F4761" w:themeColor="accent1" w:themeShade="BF"/>
    </w:rPr>
  </w:style>
  <w:style w:type="paragraph" w:styleId="IntenseQuote">
    <w:name w:val="Intense Quote"/>
    <w:basedOn w:val="Normal"/>
    <w:next w:val="Normal"/>
    <w:link w:val="IntenseQuoteChar"/>
    <w:uiPriority w:val="30"/>
    <w:qFormat/>
    <w:rsid w:val="00B14F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4FB3"/>
    <w:rPr>
      <w:i/>
      <w:iCs/>
      <w:color w:val="0F4761" w:themeColor="accent1" w:themeShade="BF"/>
    </w:rPr>
  </w:style>
  <w:style w:type="character" w:styleId="IntenseReference">
    <w:name w:val="Intense Reference"/>
    <w:basedOn w:val="DefaultParagraphFont"/>
    <w:uiPriority w:val="32"/>
    <w:qFormat/>
    <w:rsid w:val="00B14FB3"/>
    <w:rPr>
      <w:b/>
      <w:bCs/>
      <w:smallCaps/>
      <w:color w:val="0F4761" w:themeColor="accent1" w:themeShade="BF"/>
      <w:spacing w:val="5"/>
    </w:rPr>
  </w:style>
  <w:style w:type="paragraph" w:styleId="NoSpacing">
    <w:name w:val="No Spacing"/>
    <w:link w:val="NoSpacingChar"/>
    <w:uiPriority w:val="1"/>
    <w:qFormat/>
    <w:rsid w:val="003D60F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D60FC"/>
    <w:rPr>
      <w:rFonts w:eastAsiaTheme="minorEastAsia"/>
      <w:kern w:val="0"/>
      <w:sz w:val="22"/>
      <w:szCs w:val="22"/>
      <w:lang w:val="en-US"/>
      <w14:ligatures w14:val="none"/>
    </w:rPr>
  </w:style>
  <w:style w:type="character" w:styleId="Hyperlink">
    <w:name w:val="Hyperlink"/>
    <w:basedOn w:val="DefaultParagraphFont"/>
    <w:uiPriority w:val="99"/>
    <w:unhideWhenUsed/>
    <w:rsid w:val="00255A89"/>
    <w:rPr>
      <w:color w:val="467886" w:themeColor="hyperlink"/>
      <w:u w:val="single"/>
    </w:rPr>
  </w:style>
  <w:style w:type="character" w:styleId="UnresolvedMention">
    <w:name w:val="Unresolved Mention"/>
    <w:basedOn w:val="DefaultParagraphFont"/>
    <w:uiPriority w:val="99"/>
    <w:semiHidden/>
    <w:unhideWhenUsed/>
    <w:rsid w:val="00255A89"/>
    <w:rPr>
      <w:color w:val="605E5C"/>
      <w:shd w:val="clear" w:color="auto" w:fill="E1DFDD"/>
    </w:rPr>
  </w:style>
  <w:style w:type="paragraph" w:styleId="NormalWeb">
    <w:name w:val="Normal (Web)"/>
    <w:basedOn w:val="Normal"/>
    <w:uiPriority w:val="99"/>
    <w:semiHidden/>
    <w:unhideWhenUsed/>
    <w:rsid w:val="009212F1"/>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legislation.gov.uk/ukpga/Geo5/15-16/19/section/2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lus-lexis-com.uwtsd.idm.oclc.org/uk/cases-uk/schmidt-v-rosewood-trust-ltd/?crid=98f3e8c9-5de6-4225-9b89-57d1e4990bf4&amp;pddocumentnumber=1" TargetMode="External"/><Relationship Id="rId5" Type="http://schemas.openxmlformats.org/officeDocument/2006/relationships/hyperlink" Target="https://www.legislation.gov.uk/ukpga/Edw7/6/55/contents" TargetMode="External"/><Relationship Id="rId4" Type="http://schemas.openxmlformats.org/officeDocument/2006/relationships/hyperlink" Target="https://plus-lexis-com.uwtsd.idm.oclc.org/uk/cases-uk/breakspear-v-ackland/?crid=b7ad166d-17c7-4eaf-9f8f-640028b75139&amp;pddocumentnumber=1"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2645</Words>
  <Characters>16796</Characters>
  <Application>Microsoft Office Word</Application>
  <DocSecurity>0</DocSecurity>
  <Lines>275</Lines>
  <Paragraphs>98</Paragraphs>
  <ScaleCrop>false</ScaleCrop>
  <HeadingPairs>
    <vt:vector size="2" baseType="variant">
      <vt:variant>
        <vt:lpstr>Title</vt:lpstr>
      </vt:variant>
      <vt:variant>
        <vt:i4>1</vt:i4>
      </vt:variant>
    </vt:vector>
  </HeadingPairs>
  <TitlesOfParts>
    <vt:vector size="1" baseType="lpstr">
      <vt:lpstr>law reform report</vt:lpstr>
    </vt:vector>
  </TitlesOfParts>
  <Company>equity and trusts</Company>
  <LinksUpToDate>false</LinksUpToDate>
  <CharactersWithSpaces>19343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law reform report</dc:title>
  <dc:subject/>
  <dc:creator>Jade Brown (2319007)</dc:creator>
  <cp:keywords/>
  <dc:description/>
  <cp:lastModifiedBy>Jade Brown (2319007)</cp:lastModifiedBy>
  <cp:revision>2</cp:revision>
  <dcterms:created xsi:type="dcterms:W3CDTF">2026-03-13T23:13:00Z</dcterms:created>
  <dcterms:modified xsi:type="dcterms:W3CDTF">2026-03-13T23:13:00Z</dcterms:modified>
</cp:coreProperties>
</file>