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BAD29" w14:textId="77777777" w:rsidR="00F2348F" w:rsidRPr="008B2FAF" w:rsidRDefault="00F2348F" w:rsidP="00F2348F">
      <w:pPr>
        <w:pStyle w:val="NormalWeb"/>
        <w:spacing w:line="360" w:lineRule="auto"/>
        <w:jc w:val="center"/>
        <w:rPr>
          <w:rFonts w:ascii="Arial" w:hAnsi="Arial" w:cs="Arial"/>
          <w:b/>
          <w:sz w:val="27"/>
          <w:szCs w:val="27"/>
          <w:lang w:val="en-GB"/>
        </w:rPr>
      </w:pPr>
    </w:p>
    <w:p w14:paraId="763EED29" w14:textId="77777777" w:rsidR="00F2348F" w:rsidRPr="008B2FAF" w:rsidRDefault="00F2348F" w:rsidP="00F2348F">
      <w:pPr>
        <w:pStyle w:val="NormalWeb"/>
        <w:spacing w:line="360" w:lineRule="auto"/>
        <w:jc w:val="center"/>
        <w:rPr>
          <w:rFonts w:ascii="Arial" w:hAnsi="Arial" w:cs="Arial"/>
          <w:b/>
          <w:sz w:val="27"/>
          <w:szCs w:val="27"/>
          <w:lang w:val="en-GB"/>
        </w:rPr>
      </w:pPr>
    </w:p>
    <w:p w14:paraId="671D33FB" w14:textId="77777777" w:rsidR="00A20F5B" w:rsidRPr="008B2FAF" w:rsidRDefault="00A20F5B" w:rsidP="00F2348F">
      <w:pPr>
        <w:pStyle w:val="NormalWeb"/>
        <w:spacing w:line="360" w:lineRule="auto"/>
        <w:jc w:val="center"/>
        <w:rPr>
          <w:rFonts w:ascii="Arial" w:hAnsi="Arial" w:cs="Arial"/>
          <w:b/>
          <w:sz w:val="27"/>
          <w:szCs w:val="27"/>
          <w:lang w:val="en-GB"/>
        </w:rPr>
      </w:pPr>
    </w:p>
    <w:p w14:paraId="66600836" w14:textId="77777777" w:rsidR="00F2348F" w:rsidRPr="008B2FAF" w:rsidRDefault="00F2348F" w:rsidP="00F2348F">
      <w:pPr>
        <w:pStyle w:val="NormalWeb"/>
        <w:spacing w:line="360" w:lineRule="auto"/>
        <w:jc w:val="center"/>
        <w:rPr>
          <w:rFonts w:ascii="Arial" w:hAnsi="Arial" w:cs="Arial"/>
          <w:b/>
          <w:sz w:val="27"/>
          <w:szCs w:val="27"/>
          <w:lang w:val="en-GB"/>
        </w:rPr>
      </w:pPr>
    </w:p>
    <w:p w14:paraId="0D27EC44" w14:textId="77777777" w:rsidR="00FE3A98" w:rsidRPr="008B2FAF" w:rsidRDefault="00FE3A98" w:rsidP="00F2348F">
      <w:pPr>
        <w:pStyle w:val="NormalWeb"/>
        <w:spacing w:line="360" w:lineRule="auto"/>
        <w:jc w:val="center"/>
        <w:rPr>
          <w:rFonts w:ascii="Arial" w:hAnsi="Arial" w:cs="Arial"/>
          <w:b/>
          <w:sz w:val="27"/>
          <w:szCs w:val="27"/>
          <w:lang w:val="en-GB"/>
        </w:rPr>
      </w:pPr>
      <w:r w:rsidRPr="008B2FAF">
        <w:rPr>
          <w:rFonts w:ascii="Arial" w:hAnsi="Arial" w:cs="Arial"/>
          <w:b/>
          <w:sz w:val="27"/>
          <w:szCs w:val="27"/>
          <w:lang w:val="en-GB"/>
        </w:rPr>
        <w:t>Su</w:t>
      </w:r>
      <w:r w:rsidR="00F2348F" w:rsidRPr="008B2FAF">
        <w:rPr>
          <w:rFonts w:ascii="Arial" w:hAnsi="Arial" w:cs="Arial"/>
          <w:b/>
          <w:sz w:val="27"/>
          <w:szCs w:val="27"/>
          <w:lang w:val="en-GB"/>
        </w:rPr>
        <w:t xml:space="preserve">stainable Hospitality &amp; Tourism </w:t>
      </w:r>
      <w:r w:rsidRPr="008B2FAF">
        <w:rPr>
          <w:rFonts w:ascii="Arial" w:hAnsi="Arial" w:cs="Arial"/>
          <w:b/>
          <w:sz w:val="27"/>
          <w:szCs w:val="27"/>
          <w:lang w:val="en-GB"/>
        </w:rPr>
        <w:t>Management</w:t>
      </w:r>
    </w:p>
    <w:p w14:paraId="4F9FAEB7" w14:textId="77777777" w:rsidR="00FE3A98" w:rsidRPr="008B2FAF" w:rsidRDefault="00F2348F" w:rsidP="00FE3A98">
      <w:pPr>
        <w:pStyle w:val="NormalWeb"/>
        <w:spacing w:line="360" w:lineRule="auto"/>
        <w:jc w:val="center"/>
        <w:rPr>
          <w:rFonts w:ascii="Arial" w:hAnsi="Arial" w:cs="Arial"/>
          <w:b/>
          <w:sz w:val="27"/>
          <w:szCs w:val="27"/>
          <w:lang w:val="en-GB"/>
        </w:rPr>
      </w:pPr>
      <w:r w:rsidRPr="008B2FAF">
        <w:rPr>
          <w:rFonts w:ascii="Arial" w:hAnsi="Arial" w:cs="Arial"/>
          <w:b/>
          <w:sz w:val="27"/>
          <w:szCs w:val="27"/>
          <w:lang w:val="en-GB"/>
        </w:rPr>
        <w:t>BMIH5006</w:t>
      </w:r>
    </w:p>
    <w:p w14:paraId="3BFE7D4B" w14:textId="2E8476E0" w:rsidR="00FE3A98" w:rsidRPr="008B2FAF" w:rsidRDefault="00F2348F" w:rsidP="00FE3A98">
      <w:pPr>
        <w:pStyle w:val="NormalWeb"/>
        <w:spacing w:line="360" w:lineRule="auto"/>
        <w:jc w:val="center"/>
        <w:rPr>
          <w:rFonts w:ascii="Arial" w:hAnsi="Arial" w:cs="Arial"/>
          <w:b/>
          <w:sz w:val="27"/>
          <w:szCs w:val="27"/>
          <w:lang w:val="en-GB"/>
        </w:rPr>
      </w:pPr>
      <w:r w:rsidRPr="008B2FAF">
        <w:rPr>
          <w:rFonts w:ascii="Arial" w:hAnsi="Arial" w:cs="Arial"/>
          <w:b/>
          <w:sz w:val="27"/>
          <w:szCs w:val="27"/>
          <w:lang w:val="en-GB"/>
        </w:rPr>
        <w:t>Student</w:t>
      </w:r>
      <w:r w:rsidR="00167E89">
        <w:rPr>
          <w:rFonts w:ascii="Arial" w:hAnsi="Arial" w:cs="Arial"/>
          <w:b/>
          <w:sz w:val="27"/>
          <w:szCs w:val="27"/>
          <w:lang w:val="en-GB"/>
        </w:rPr>
        <w:t xml:space="preserve"> </w:t>
      </w:r>
      <w:r w:rsidRPr="008B2FAF">
        <w:rPr>
          <w:rFonts w:ascii="Arial" w:hAnsi="Arial" w:cs="Arial"/>
          <w:b/>
          <w:sz w:val="27"/>
          <w:szCs w:val="27"/>
          <w:lang w:val="en-GB"/>
        </w:rPr>
        <w:t>Name:</w:t>
      </w:r>
      <w:r w:rsidR="00167E89">
        <w:rPr>
          <w:rFonts w:ascii="Arial" w:hAnsi="Arial" w:cs="Arial"/>
          <w:b/>
          <w:sz w:val="27"/>
          <w:szCs w:val="27"/>
          <w:lang w:val="en-GB"/>
        </w:rPr>
        <w:t xml:space="preserve"> Loredana Turner</w:t>
      </w:r>
    </w:p>
    <w:p w14:paraId="2D1985C8" w14:textId="08C43E43" w:rsidR="00F2348F" w:rsidRPr="008B2FAF" w:rsidRDefault="00F2348F" w:rsidP="00FE3A98">
      <w:pPr>
        <w:pStyle w:val="NormalWeb"/>
        <w:spacing w:line="360" w:lineRule="auto"/>
        <w:jc w:val="center"/>
        <w:rPr>
          <w:rFonts w:ascii="Arial" w:hAnsi="Arial" w:cs="Arial"/>
          <w:b/>
          <w:sz w:val="27"/>
          <w:szCs w:val="27"/>
          <w:lang w:val="en-GB"/>
        </w:rPr>
      </w:pPr>
      <w:r w:rsidRPr="008B2FAF">
        <w:rPr>
          <w:rFonts w:ascii="Arial" w:hAnsi="Arial" w:cs="Arial"/>
          <w:b/>
          <w:sz w:val="27"/>
          <w:szCs w:val="27"/>
          <w:lang w:val="en-GB"/>
        </w:rPr>
        <w:t>Student</w:t>
      </w:r>
      <w:r w:rsidR="00167E89">
        <w:rPr>
          <w:rFonts w:ascii="Arial" w:hAnsi="Arial" w:cs="Arial"/>
          <w:b/>
          <w:sz w:val="27"/>
          <w:szCs w:val="27"/>
          <w:lang w:val="en-GB"/>
        </w:rPr>
        <w:t xml:space="preserve"> </w:t>
      </w:r>
      <w:r w:rsidRPr="008B2FAF">
        <w:rPr>
          <w:rFonts w:ascii="Arial" w:hAnsi="Arial" w:cs="Arial"/>
          <w:b/>
          <w:sz w:val="27"/>
          <w:szCs w:val="27"/>
          <w:lang w:val="en-GB"/>
        </w:rPr>
        <w:t>ID:</w:t>
      </w:r>
      <w:r w:rsidR="00167E89">
        <w:rPr>
          <w:rFonts w:ascii="Arial" w:hAnsi="Arial" w:cs="Arial"/>
          <w:b/>
          <w:sz w:val="27"/>
          <w:szCs w:val="27"/>
          <w:lang w:val="en-GB"/>
        </w:rPr>
        <w:t xml:space="preserve"> 2242724</w:t>
      </w:r>
    </w:p>
    <w:p w14:paraId="472E13D6" w14:textId="40BD4BCA" w:rsidR="00FE3A98" w:rsidRPr="008B2FAF" w:rsidRDefault="00FE3A98" w:rsidP="00F2348F">
      <w:pPr>
        <w:pStyle w:val="NormalWeb"/>
        <w:spacing w:line="360" w:lineRule="auto"/>
        <w:jc w:val="center"/>
        <w:rPr>
          <w:rFonts w:ascii="Arial" w:hAnsi="Arial" w:cs="Arial"/>
          <w:b/>
          <w:sz w:val="27"/>
          <w:szCs w:val="27"/>
          <w:lang w:val="en-GB"/>
        </w:rPr>
      </w:pPr>
      <w:r w:rsidRPr="008B2FAF">
        <w:rPr>
          <w:rFonts w:ascii="Arial" w:hAnsi="Arial" w:cs="Arial"/>
          <w:b/>
          <w:sz w:val="27"/>
          <w:szCs w:val="27"/>
          <w:lang w:val="en-GB"/>
        </w:rPr>
        <w:t>Lecturer</w:t>
      </w:r>
      <w:r w:rsidR="00167E89">
        <w:rPr>
          <w:rFonts w:ascii="Arial" w:hAnsi="Arial" w:cs="Arial"/>
          <w:b/>
          <w:sz w:val="27"/>
          <w:szCs w:val="27"/>
          <w:lang w:val="en-GB"/>
        </w:rPr>
        <w:t xml:space="preserve"> </w:t>
      </w:r>
      <w:r w:rsidR="00F2348F" w:rsidRPr="008B2FAF">
        <w:rPr>
          <w:rFonts w:ascii="Arial" w:hAnsi="Arial" w:cs="Arial"/>
          <w:b/>
          <w:sz w:val="27"/>
          <w:szCs w:val="27"/>
          <w:lang w:val="en-GB"/>
        </w:rPr>
        <w:t>Name</w:t>
      </w:r>
      <w:r w:rsidRPr="008B2FAF">
        <w:rPr>
          <w:rFonts w:ascii="Arial" w:hAnsi="Arial" w:cs="Arial"/>
          <w:b/>
          <w:sz w:val="27"/>
          <w:szCs w:val="27"/>
          <w:lang w:val="en-GB"/>
        </w:rPr>
        <w:t xml:space="preserve">: </w:t>
      </w:r>
      <w:r w:rsidR="00167E89">
        <w:rPr>
          <w:rFonts w:ascii="Arial" w:hAnsi="Arial" w:cs="Arial"/>
          <w:b/>
          <w:sz w:val="27"/>
          <w:szCs w:val="27"/>
          <w:lang w:val="en-GB"/>
        </w:rPr>
        <w:t>Daniel Payne</w:t>
      </w:r>
    </w:p>
    <w:p w14:paraId="4DBBCBD6" w14:textId="5FE7B281" w:rsidR="00F2348F" w:rsidRDefault="00167E89" w:rsidP="00F2348F">
      <w:pPr>
        <w:pStyle w:val="NormalWeb"/>
        <w:spacing w:line="360" w:lineRule="auto"/>
        <w:jc w:val="center"/>
        <w:rPr>
          <w:rFonts w:ascii="Arial" w:hAnsi="Arial" w:cs="Arial"/>
          <w:b/>
          <w:sz w:val="27"/>
          <w:szCs w:val="27"/>
          <w:lang w:val="en-GB"/>
        </w:rPr>
      </w:pPr>
      <w:r>
        <w:rPr>
          <w:rFonts w:ascii="Arial" w:hAnsi="Arial" w:cs="Arial"/>
          <w:b/>
          <w:sz w:val="27"/>
          <w:szCs w:val="27"/>
          <w:lang w:val="en-GB"/>
        </w:rPr>
        <w:t>Word count: 2000</w:t>
      </w:r>
    </w:p>
    <w:p w14:paraId="32226A7A" w14:textId="77777777" w:rsidR="00167E89" w:rsidRDefault="00167E89" w:rsidP="00F2348F">
      <w:pPr>
        <w:pStyle w:val="NormalWeb"/>
        <w:spacing w:line="360" w:lineRule="auto"/>
        <w:jc w:val="center"/>
        <w:rPr>
          <w:rFonts w:ascii="Arial" w:hAnsi="Arial" w:cs="Arial"/>
          <w:b/>
          <w:sz w:val="27"/>
          <w:szCs w:val="27"/>
          <w:lang w:val="en-GB"/>
        </w:rPr>
      </w:pPr>
    </w:p>
    <w:p w14:paraId="6D2BE7CB" w14:textId="77777777" w:rsidR="00167E89" w:rsidRDefault="00167E89" w:rsidP="00F2348F">
      <w:pPr>
        <w:pStyle w:val="NormalWeb"/>
        <w:spacing w:line="360" w:lineRule="auto"/>
        <w:jc w:val="center"/>
        <w:rPr>
          <w:rFonts w:ascii="Arial" w:hAnsi="Arial" w:cs="Arial"/>
          <w:b/>
          <w:sz w:val="27"/>
          <w:szCs w:val="27"/>
          <w:lang w:val="en-GB"/>
        </w:rPr>
      </w:pPr>
    </w:p>
    <w:p w14:paraId="397B27B6" w14:textId="222561CA" w:rsidR="00167E89" w:rsidRPr="008B2FAF" w:rsidRDefault="00167E89" w:rsidP="00F2348F">
      <w:pPr>
        <w:pStyle w:val="NormalWeb"/>
        <w:spacing w:line="360" w:lineRule="auto"/>
        <w:jc w:val="center"/>
        <w:rPr>
          <w:rFonts w:ascii="Arial" w:hAnsi="Arial" w:cs="Arial"/>
          <w:b/>
          <w:sz w:val="27"/>
          <w:szCs w:val="27"/>
          <w:lang w:val="en-GB"/>
        </w:rPr>
      </w:pPr>
      <w:r>
        <w:t>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887BB71" w14:textId="77777777" w:rsidR="00FE3A98" w:rsidRPr="008B2FAF" w:rsidRDefault="00FE3A98" w:rsidP="00FE3A98">
      <w:pPr>
        <w:pStyle w:val="NormalWeb"/>
        <w:spacing w:line="360" w:lineRule="auto"/>
        <w:jc w:val="center"/>
        <w:rPr>
          <w:rFonts w:ascii="Arial" w:hAnsi="Arial" w:cs="Arial"/>
          <w:b/>
          <w:u w:val="single"/>
          <w:lang w:val="en-GB"/>
        </w:rPr>
      </w:pPr>
    </w:p>
    <w:p w14:paraId="4A2EAAB4" w14:textId="77777777" w:rsidR="00FE3A98" w:rsidRPr="008B2FAF" w:rsidRDefault="00FE3A98" w:rsidP="00FE3A98">
      <w:pPr>
        <w:pStyle w:val="NormalWeb"/>
        <w:spacing w:line="360" w:lineRule="auto"/>
        <w:jc w:val="center"/>
        <w:rPr>
          <w:rFonts w:ascii="Arial" w:hAnsi="Arial" w:cs="Arial"/>
          <w:b/>
          <w:u w:val="single"/>
          <w:lang w:val="en-GB"/>
        </w:rPr>
      </w:pPr>
    </w:p>
    <w:p w14:paraId="7B578E42" w14:textId="77777777" w:rsidR="00FE3A98" w:rsidRPr="008B2FAF" w:rsidRDefault="00FE3A98" w:rsidP="00FE3A98">
      <w:pPr>
        <w:pStyle w:val="NormalWeb"/>
        <w:spacing w:line="360" w:lineRule="auto"/>
        <w:jc w:val="center"/>
        <w:rPr>
          <w:rFonts w:ascii="Arial" w:hAnsi="Arial" w:cs="Arial"/>
          <w:b/>
          <w:u w:val="single"/>
          <w:lang w:val="en-GB"/>
        </w:rPr>
      </w:pPr>
    </w:p>
    <w:p w14:paraId="68F97621" w14:textId="77777777" w:rsidR="00FE3A98" w:rsidRPr="008B2FAF" w:rsidRDefault="00FE3A98" w:rsidP="00FE3A98">
      <w:pPr>
        <w:pStyle w:val="NormalWeb"/>
        <w:spacing w:line="360" w:lineRule="auto"/>
        <w:jc w:val="center"/>
        <w:rPr>
          <w:rFonts w:ascii="Arial" w:hAnsi="Arial" w:cs="Arial"/>
          <w:b/>
          <w:u w:val="single"/>
          <w:lang w:val="en-GB"/>
        </w:rPr>
      </w:pPr>
    </w:p>
    <w:p w14:paraId="4535CF71" w14:textId="77777777" w:rsidR="00FE3A98" w:rsidRPr="008B2FAF" w:rsidRDefault="00FE3A98" w:rsidP="00FE3A98">
      <w:pPr>
        <w:pStyle w:val="NormalWeb"/>
        <w:spacing w:line="360" w:lineRule="auto"/>
        <w:jc w:val="center"/>
        <w:rPr>
          <w:rFonts w:ascii="Arial" w:hAnsi="Arial" w:cs="Arial"/>
          <w:b/>
          <w:u w:val="single"/>
          <w:lang w:val="en-GB"/>
        </w:rPr>
      </w:pPr>
    </w:p>
    <w:p w14:paraId="3C63FAC4" w14:textId="77777777" w:rsidR="00FE3A98" w:rsidRPr="008B2FAF" w:rsidRDefault="00FE3A98" w:rsidP="00FE3A98">
      <w:pPr>
        <w:pStyle w:val="NormalWeb"/>
        <w:spacing w:line="360" w:lineRule="auto"/>
        <w:jc w:val="center"/>
        <w:rPr>
          <w:rFonts w:ascii="Arial" w:hAnsi="Arial" w:cs="Arial"/>
          <w:b/>
          <w:u w:val="single"/>
          <w:lang w:val="en-GB"/>
        </w:rPr>
      </w:pPr>
    </w:p>
    <w:p w14:paraId="62980D70" w14:textId="77777777" w:rsidR="00FE3A98" w:rsidRPr="008B2FAF" w:rsidRDefault="00FE3A98" w:rsidP="00FE3A98">
      <w:pPr>
        <w:pStyle w:val="NormalWeb"/>
        <w:spacing w:line="360" w:lineRule="auto"/>
        <w:jc w:val="center"/>
        <w:rPr>
          <w:rFonts w:ascii="Arial" w:hAnsi="Arial" w:cs="Arial"/>
          <w:b/>
          <w:u w:val="single"/>
          <w:lang w:val="en-GB"/>
        </w:rPr>
      </w:pPr>
    </w:p>
    <w:p w14:paraId="7E487287" w14:textId="77777777" w:rsidR="00F2348F" w:rsidRPr="008B2FAF" w:rsidRDefault="00F2348F" w:rsidP="00FE3A98">
      <w:pPr>
        <w:pStyle w:val="NormalWeb"/>
        <w:spacing w:line="360" w:lineRule="auto"/>
        <w:jc w:val="center"/>
        <w:rPr>
          <w:rFonts w:ascii="Arial" w:hAnsi="Arial" w:cs="Arial"/>
          <w:b/>
          <w:u w:val="single"/>
          <w:lang w:val="en-GB"/>
        </w:rPr>
      </w:pPr>
    </w:p>
    <w:p w14:paraId="3C5E9403" w14:textId="77777777" w:rsidR="00D60ACF" w:rsidRPr="008B2FAF" w:rsidRDefault="00FA0D3D" w:rsidP="00D60ACF">
      <w:pPr>
        <w:pStyle w:val="NormalWeb"/>
        <w:spacing w:line="360" w:lineRule="auto"/>
        <w:jc w:val="center"/>
        <w:rPr>
          <w:rFonts w:ascii="Arial" w:hAnsi="Arial" w:cs="Arial"/>
          <w:b/>
          <w:u w:val="single"/>
          <w:lang w:val="en-GB"/>
        </w:rPr>
      </w:pPr>
      <w:r w:rsidRPr="008B2FAF">
        <w:rPr>
          <w:rFonts w:ascii="Arial" w:hAnsi="Arial" w:cs="Arial"/>
          <w:b/>
          <w:u w:val="single"/>
          <w:lang w:val="en-GB"/>
        </w:rPr>
        <w:t>Bridging the Gap in Sustainable Hospitality: Implementing Refillable Dispensers at Hilton</w:t>
      </w:r>
    </w:p>
    <w:p w14:paraId="13611162" w14:textId="77777777" w:rsidR="00D60ACF" w:rsidRPr="008B2FAF" w:rsidRDefault="008B2FAF" w:rsidP="00D60ACF">
      <w:pPr>
        <w:pStyle w:val="NormalWeb"/>
        <w:spacing w:line="360" w:lineRule="auto"/>
        <w:jc w:val="both"/>
        <w:rPr>
          <w:rFonts w:ascii="Arial" w:hAnsi="Arial" w:cs="Arial"/>
          <w:lang w:val="en-GB"/>
        </w:rPr>
      </w:pPr>
      <w:r w:rsidRPr="008B2FAF">
        <w:rPr>
          <w:rFonts w:ascii="Arial" w:hAnsi="Arial" w:cs="Arial"/>
          <w:lang w:val="en-GB"/>
        </w:rPr>
        <w:t>Sustainable hospitality practices are gaining momentum as the tourism industry strives to lessen its ecological impact while meeting shifting consumer expectations. These practices typically include efforts to reduce waste, procure responsibly, and conserve energy and water, among other initiatives (Inkson and Minnaert, 2018). They help address urgent issues such as pollution, climate change, and resource scarcity (Edgell, 2020). Moreover, rising traveller preferences for eco-friendly establishments encourage hotels to adopt strategies that cut costs and enhance brand reputation (Jauhari, 2021). Despite commendable progress by prominent chains like Hilton, gaps persist in certain areas of sustainability. A particular shortfall involves the continued reliance on single-use plastic amenity bottles across Hilton’s global operations. Focusing on a specific property such as the Hilton London Bankside, renowned for its modern design and emphasis on efficiency, underscores how an innovative refillable dispenser system could address this shortcoming while benefiting both the hotel and the wider environment.</w:t>
      </w:r>
    </w:p>
    <w:p w14:paraId="0DE48B5C" w14:textId="77777777" w:rsidR="00D60ACF" w:rsidRPr="008B2FAF" w:rsidRDefault="00D60ACF" w:rsidP="00D60ACF">
      <w:pPr>
        <w:pStyle w:val="NormalWeb"/>
        <w:spacing w:line="360" w:lineRule="auto"/>
        <w:jc w:val="both"/>
        <w:rPr>
          <w:rFonts w:ascii="Arial" w:hAnsi="Arial" w:cs="Arial"/>
          <w:lang w:val="en-GB"/>
        </w:rPr>
      </w:pPr>
      <w:r w:rsidRPr="008B2FAF">
        <w:rPr>
          <w:rFonts w:ascii="Arial" w:hAnsi="Arial" w:cs="Arial"/>
          <w:lang w:val="en-GB"/>
        </w:rPr>
        <w:t>Greener hospitality practices refer to integrated approaches that hoteliers adopt to diminish their negative environmental footprint. These approaches involve deploying energy-efficient systems, implementing responsible waste-management procedures, and integrating fair labour and commun</w:t>
      </w:r>
      <w:r w:rsidR="000A47AE">
        <w:rPr>
          <w:rFonts w:ascii="Arial" w:hAnsi="Arial" w:cs="Arial"/>
          <w:lang w:val="en-GB"/>
        </w:rPr>
        <w:t>ity-engagement policies (Sloan et al.</w:t>
      </w:r>
      <w:r w:rsidRPr="008B2FAF">
        <w:rPr>
          <w:rFonts w:ascii="Arial" w:hAnsi="Arial" w:cs="Arial"/>
          <w:lang w:val="en-GB"/>
        </w:rPr>
        <w:t xml:space="preserve">, 2017). Examples include the use of LED lighting, installing advanced heating, ventilation, and air conditioning (HVAC) systems to reduce energy wastage, and adopting rigorous recycling </w:t>
      </w:r>
      <w:r w:rsidRPr="008B2FAF">
        <w:rPr>
          <w:rFonts w:ascii="Arial" w:hAnsi="Arial" w:cs="Arial"/>
          <w:lang w:val="en-GB"/>
        </w:rPr>
        <w:lastRenderedPageBreak/>
        <w:t>programmes to limit landfill contributions. According to the International Journal of Hospitality Management (2023), such sustainable measures also encompass conscientious sourcing of materials, including paper products from certified sustainably managed forests and food supplies from local farmers. When executed effectively, these initiatives can significantly minimise pollution levels, preserve biodiversity, and safeguard the socio-economic well-being of local and global communities (Costa and Costa, 2022).</w:t>
      </w:r>
    </w:p>
    <w:p w14:paraId="13C30917" w14:textId="77777777" w:rsidR="00D60ACF" w:rsidRPr="008B2FAF" w:rsidRDefault="00D60ACF" w:rsidP="00D60ACF">
      <w:pPr>
        <w:pStyle w:val="NormalWeb"/>
        <w:spacing w:line="360" w:lineRule="auto"/>
        <w:jc w:val="both"/>
        <w:rPr>
          <w:rFonts w:ascii="Arial" w:hAnsi="Arial" w:cs="Arial"/>
          <w:lang w:val="en-GB"/>
        </w:rPr>
      </w:pPr>
      <w:r w:rsidRPr="008B2FAF">
        <w:rPr>
          <w:rFonts w:ascii="Arial" w:hAnsi="Arial" w:cs="Arial"/>
          <w:lang w:val="en-GB"/>
        </w:rPr>
        <w:t>The benefits of embedding sustainability into daily hotel operations span environmental, economic, and social domains. From an environmental perspective, energy and water conservation reduce the depletion of finite resources, and waste-reduction policies help protect ecosystems (Haski-Leventhal, 2018). A property like the Hilton London Bankside can save on operating costs if it harnesses efficient lighting systems, invests in bulk-purchasing strategies for consumables, and reduces water consumption through low-flow fixtures. Cost savings from such initiatives can be channelled into further sustainability programmes or overall improvements to guest services. Furthermore, the proven link between strong corporate social responsibility (CSR) credentials and customer loyalty underscores a marketing advantage: travellers are likely to perceive the brand more positively and may be willing to pay premium rates for hotels demonstrating credible environmental stewardship (Management Association, 2018). Socially, sustainability initiatives can improve employee morale. Team members who recognise their employer’s commitment to responsible practices often exhibit higher job satisfaction due to pride in their workplace (Inkson and Minnaert, 2018). By engaging staff in sustainability-related training and inviting them to contribute ideas, hotels can also foster a cooperative culture that benefits day-to-day operations.</w:t>
      </w:r>
    </w:p>
    <w:p w14:paraId="3C406177"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 xml:space="preserve">Nonetheless, barriers hinder attempts to integrate sustainability. Significant capital expenditure may be required to update infrastructure, adding pressure on budgets (Batabyal, 2018). Replacing older systems with advanced technology—like greywater recycling or solar panel arrays—can make owners uncertain about immediate return on investment. Moreover, staff must learn new procedures, and management must merge brand standards with new practices (Edgell, 2020). This poses added complexity for large </w:t>
      </w:r>
      <w:r w:rsidRPr="008B2FAF">
        <w:rPr>
          <w:rFonts w:ascii="Arial" w:hAnsi="Arial" w:cs="Arial"/>
          <w:lang w:val="en-GB"/>
        </w:rPr>
        <w:lastRenderedPageBreak/>
        <w:t>multinational hotel groups such as Hilton, which may need to customise solutions for diverse markets with unique regulations or log</w:t>
      </w:r>
      <w:r w:rsidR="000A47AE">
        <w:rPr>
          <w:rFonts w:ascii="Arial" w:hAnsi="Arial" w:cs="Arial"/>
          <w:lang w:val="en-GB"/>
        </w:rPr>
        <w:t xml:space="preserve">istical constraints (Korstanje et al., </w:t>
      </w:r>
      <w:r w:rsidRPr="008B2FAF">
        <w:rPr>
          <w:rFonts w:ascii="Arial" w:hAnsi="Arial" w:cs="Arial"/>
          <w:lang w:val="en-GB"/>
        </w:rPr>
        <w:t>2020).</w:t>
      </w:r>
    </w:p>
    <w:p w14:paraId="0CE7EF38"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Hilton’s Travel with Purpose programme has prompted considerable progress at properties like the Hilton London Bankside, with energy-saving appliances, recycling programmes, and water conservation efforts (Hilton, 2023). Yet the continuing provision of single-use plastic bottles—a standard amenity item—represents a notable shortfall. Despite the chain’s pledge to halve its environmental footprint by 2030, many properties still supply guests with small plastic bottles for toiletries (Hilton, 2023). The disposal of these items strains already pressured landfill capacity. Local waste-processing facilities may not recycle some plastic packaging thoroughly, especially when residue is left in bottles (The Guardian, 2022). This issue is amplified worldwide: with thousands of Hilton properties, the cumulative impact of single-use plastics is huge.</w:t>
      </w:r>
    </w:p>
    <w:p w14:paraId="38D0FAC8"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A promising remedy is the installation of refillable dispenser systems. Dispensers with tamper-proof locks can replace throwaway bottles of shampoo, condi</w:t>
      </w:r>
      <w:r w:rsidR="000A47AE">
        <w:rPr>
          <w:rFonts w:ascii="Arial" w:hAnsi="Arial" w:cs="Arial"/>
          <w:lang w:val="en-GB"/>
        </w:rPr>
        <w:t>tioner, and body wash (Wickham et al.</w:t>
      </w:r>
      <w:r w:rsidRPr="008B2FAF">
        <w:rPr>
          <w:rFonts w:ascii="Arial" w:hAnsi="Arial" w:cs="Arial"/>
          <w:lang w:val="en-GB"/>
        </w:rPr>
        <w:t>, 2021). Aesthetically, these structures can align with upscale interiors and be discreetly mounted in showers or on vanities. Housekeepers would refill them with products from large recyclable containers. Some travellers once equated communal dispensers with budget hotels, but contemporary dispenser designs look sleek and luxurious. If the endeavour uses spa-grade products, hotels can present an enhanced guest experience, highlighting the sustainability benefits (Haski-Leventhal, 2018).</w:t>
      </w:r>
    </w:p>
    <w:p w14:paraId="4431906A"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The main environmental advantage of refillable dispensers is a sharp reduction in plastic consumption. Industry data shows that switching from single-use amenity bottles can slash plastic waste by up to 80% in a typical establishment (New Governance and Management in Touristic Destinations, 2022). This aligns with the United Nations Sustainable Development Goals (SDGs), specifically SDG 12 on responsible consumption and production, and SDG 14 focusing on marine conservation (TOURISM 4 SDGs, 2023). Given London’s dense population and challenging waste-management demands, the Hilton London Bankside’s switch to reusable dispensers could lower the quantity of plastic directed to landfills or waterways.</w:t>
      </w:r>
    </w:p>
    <w:p w14:paraId="3C7E1078"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lastRenderedPageBreak/>
        <w:t>Economically, hotels usually benefit when buying toiletries in bulk. Although staff must be trained to maintain the new systems, housekeeping tasks can ultimately scale down (Costa and Costa, 2022). Over the long term, purchasing large product containers can be cheaper per unit than single-use packaging (Management Association, 2018). The hotel’s brand image also stands to gain. Consumers who notice refillable dispensers might view the property as forward-thinking, supporting Hilton’s attempt to secure or retain loyalty among sustainability-conscious travellers (Haski-Leventhal, 2018). Additional corporate clients may prefer hotels that offer credible documentation of reduced plastic usage in line with corporate responsibility standards (World Travel &amp; Tourism Council, 2023).</w:t>
      </w:r>
    </w:p>
    <w:p w14:paraId="4B4A9CE4"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However, implementing refillable dispensers across Hilton’s global footprint requires considerable coordination. With thousands of employees, each region’s norms, local regulations, and supply chains demand dif</w:t>
      </w:r>
      <w:r w:rsidR="000A47AE">
        <w:rPr>
          <w:rFonts w:ascii="Arial" w:hAnsi="Arial" w:cs="Arial"/>
          <w:lang w:val="en-GB"/>
        </w:rPr>
        <w:t>ferent arrangements (Korstanje et al.,</w:t>
      </w:r>
      <w:r w:rsidRPr="008B2FAF">
        <w:rPr>
          <w:rFonts w:ascii="Arial" w:hAnsi="Arial" w:cs="Arial"/>
          <w:lang w:val="en-GB"/>
        </w:rPr>
        <w:t>2020). Supply reliability is crucial; if stock arrives late or in the wrong sizes, hotels risk running out of toiletries or failing to maintain uniform brand consistency. Additionally, staff acceptance is key: mismanagement of dispensers—through poor refilling or inadequate hygiene—could trigger guest complaints or tarnish th</w:t>
      </w:r>
      <w:r w:rsidR="000A47AE">
        <w:rPr>
          <w:rFonts w:ascii="Arial" w:hAnsi="Arial" w:cs="Arial"/>
          <w:lang w:val="en-GB"/>
        </w:rPr>
        <w:t>e property’s reputation (Sloan et al.</w:t>
      </w:r>
      <w:r w:rsidRPr="008B2FAF">
        <w:rPr>
          <w:rFonts w:ascii="Arial" w:hAnsi="Arial" w:cs="Arial"/>
          <w:lang w:val="en-GB"/>
        </w:rPr>
        <w:t>, 2017). Clear protocols supported by staff training are essential. This includes daily checks for cleanliness, re-locking dispensers, and verifying that proper levels of product remain for the next guest. Strategic partnerships with socially responsible suppliers, emphasising cruelty-free and ethically sourced materials, enable consistency in product quality (Hilton, 2023).</w:t>
      </w:r>
    </w:p>
    <w:p w14:paraId="0871B3BE"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 xml:space="preserve">Hilton London Bankside exemplifies a suitable launching point to test the system. London’s regulations and waste infrastructure generally encourage plastic reduction, and guests may be more accustomed to eco-friendly initiatives, having encountered them in other commercial settings (The Guardian, 2022). A thorough pilot would gather data on cost savings, housekeeping workflows, technical issues, and guest feedback before implementing the practice chain-wide (Management Association, 2018). Observations from this pilot could guide modifications for other Hilton properties, from suburban conference centres to island resorts, each with its own constraints. To reinforce success, marketing materials might explain the hotel’s sustainability approach at check-in, on the </w:t>
      </w:r>
      <w:r w:rsidRPr="008B2FAF">
        <w:rPr>
          <w:rFonts w:ascii="Arial" w:hAnsi="Arial" w:cs="Arial"/>
          <w:lang w:val="en-GB"/>
        </w:rPr>
        <w:lastRenderedPageBreak/>
        <w:t>Hilton app, or in in-room signage. Emphasising the premium nature of the dispenser products addresses any suspicion that refillable containers reflect cost-cutting.</w:t>
      </w:r>
    </w:p>
    <w:p w14:paraId="0D093C7E"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Some travellers might doubt dispenser cleanliness or perceive it as inferior to individua</w:t>
      </w:r>
      <w:r w:rsidR="000A47AE">
        <w:rPr>
          <w:rFonts w:ascii="Arial" w:hAnsi="Arial" w:cs="Arial"/>
          <w:lang w:val="en-GB"/>
        </w:rPr>
        <w:t>lly packaged toiletries (Sloan et al.,</w:t>
      </w:r>
      <w:r w:rsidRPr="008B2FAF">
        <w:rPr>
          <w:rFonts w:ascii="Arial" w:hAnsi="Arial" w:cs="Arial"/>
          <w:lang w:val="en-GB"/>
        </w:rPr>
        <w:t xml:space="preserve"> 2017). By sourcing high-calibre suppliers (e.g., local organic artisans or leading toiletry brands) and applying tamper-evident seals or premium packaging features, hotels can dispel concerns and show commitment to quality (Inkson and Minnaert, 2018). Appropriately trained front-desk and housekeeping staff can answer questions regarding dispensers’ eco-benefits, demonstrating that the shift is not purely for cost savings but part of a broader sustainability mission. Partnerships with local environmental groups or city authorities could also bolster credibility and help the hotel benefit from existing plastic-reduction campaigns (Edgell, 2020).</w:t>
      </w:r>
    </w:p>
    <w:p w14:paraId="366277A7"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Another advantage is the potential synergy with the city’s sustainability culture. Existing green initiatives in London can support the dispenser rollout, fostering positive media attention and local alliances with environmental advocates. Engaging nearby communities and charitable organisations can also help communicate the project’s broader significance (Haski-Leventhal, 2018). By positioning itself as a leader in reducing single-use plastic, Hilton London Bankside can influence best practices among other hotels or related businesses, eventually encouraging cross-industry collaboration.</w:t>
      </w:r>
    </w:p>
    <w:p w14:paraId="7A951F40"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From a business standpoint, the combination of reduced packaging, large-scale purchases, and streamlined housekeeping processes should yield a reasonable return on investment. Capital expenses to install new dispenser fixtures could be recovered through the cost savings on plastic bottles, plus potential marketing gains in environment-conscious market segments over the longer term (Costa and Costa, 2022). Additionally, Hilton’s brand recognition might sharpen if the chain widely broadcasts its success in minimising plastic waste, further aligning with United Nations environmental goals (TOURISM 4 SDGs, 2023).</w:t>
      </w:r>
    </w:p>
    <w:p w14:paraId="45DCD56F"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 xml:space="preserve">Meanwhile, thoughtful staff engagement is crucial. Employees who feel ownership of green initiatives often become ambassadors for the brand’s sustainability ethos, </w:t>
      </w:r>
      <w:r w:rsidRPr="008B2FAF">
        <w:rPr>
          <w:rFonts w:ascii="Arial" w:hAnsi="Arial" w:cs="Arial"/>
          <w:lang w:val="en-GB"/>
        </w:rPr>
        <w:lastRenderedPageBreak/>
        <w:t>improving guest experiences (Inkson and Minnaert, 2018). At the same time, strong support from management and departmental leaders should clarify each individual’s responsibilities, preventing the system from falling into disrepair over time. Emphasising that staff efforts are vital to the programme’s success can amplify morale and retention (Sloan, Legrand and Chen, 2017).</w:t>
      </w:r>
    </w:p>
    <w:p w14:paraId="43F4CE7A"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In implementing refillable amenities across different cultural settings, Hilton must respect architectural constraints and local consumer preferences (Edgell, 2020). An older building may have limited room for permanent fixtures, or local codes could require a specific dispenser style for hygienic or structural reasons. Installing dispensers in historically protected bathrooms must be done with minimal modifications to original tiling or fittings. All these complexities reveal the importance of a carefully documented rollout plan, underpinned by feasibility tests that weigh brand guidelines, local laws, and staff training capacity (Management Association, 2018).</w:t>
      </w:r>
    </w:p>
    <w:p w14:paraId="21A1FF48" w14:textId="77777777" w:rsidR="008B2FAF" w:rsidRPr="008B2FAF" w:rsidRDefault="000A47AE" w:rsidP="008B2FAF">
      <w:pPr>
        <w:pStyle w:val="NormalWeb"/>
        <w:spacing w:line="360" w:lineRule="auto"/>
        <w:jc w:val="both"/>
        <w:rPr>
          <w:rFonts w:ascii="Arial" w:hAnsi="Arial" w:cs="Arial"/>
          <w:lang w:val="en-GB"/>
        </w:rPr>
      </w:pPr>
      <w:r w:rsidRPr="008B2FAF">
        <w:rPr>
          <w:rFonts w:ascii="Arial" w:hAnsi="Arial" w:cs="Arial"/>
          <w:lang w:val="en-GB"/>
        </w:rPr>
        <w:t>S</w:t>
      </w:r>
      <w:r w:rsidR="008B2FAF" w:rsidRPr="008B2FAF">
        <w:rPr>
          <w:rFonts w:ascii="Arial" w:hAnsi="Arial" w:cs="Arial"/>
          <w:lang w:val="en-GB"/>
        </w:rPr>
        <w:t>witching to refillable bathroom dispensers at the Hilton London Bankside—instead of single-use plastics—significantly reduces waste while reinforcing the hotel’s existing sustainability credentials. Outside of bankside’s efforts, many Hilton properties remain reliant on plastic amenity bottles despite the chain’s goal of halving its environmental footprint by 2030 (Hilton, 2023). By installing well-designed dispensers stocked with premium, ethically sourced toiletries, the hotel can deliver measurable ecological benefits, cut supply expenses, and potentially boost brand appeal. Although initial costs, staff training demands, and guest perceptions pose definite challenges, strategic planning and communication strategies can greatly support acceptance a</w:t>
      </w:r>
      <w:r>
        <w:rPr>
          <w:rFonts w:ascii="Arial" w:hAnsi="Arial" w:cs="Arial"/>
          <w:lang w:val="en-GB"/>
        </w:rPr>
        <w:t>nd effective operations (Sloan et al.</w:t>
      </w:r>
      <w:r w:rsidR="008B2FAF" w:rsidRPr="008B2FAF">
        <w:rPr>
          <w:rFonts w:ascii="Arial" w:hAnsi="Arial" w:cs="Arial"/>
          <w:lang w:val="en-GB"/>
        </w:rPr>
        <w:t>, 2017).</w:t>
      </w:r>
    </w:p>
    <w:p w14:paraId="5ECB2247" w14:textId="77777777" w:rsidR="008B2FAF" w:rsidRPr="008B2FAF" w:rsidRDefault="008B2FAF" w:rsidP="008B2FAF">
      <w:pPr>
        <w:pStyle w:val="NormalWeb"/>
        <w:spacing w:line="360" w:lineRule="auto"/>
        <w:jc w:val="both"/>
        <w:rPr>
          <w:rFonts w:ascii="Arial" w:hAnsi="Arial" w:cs="Arial"/>
          <w:lang w:val="en-GB"/>
        </w:rPr>
      </w:pPr>
      <w:r w:rsidRPr="008B2FAF">
        <w:rPr>
          <w:rFonts w:ascii="Arial" w:hAnsi="Arial" w:cs="Arial"/>
          <w:lang w:val="en-GB"/>
        </w:rPr>
        <w:t xml:space="preserve">Introducing refillable </w:t>
      </w:r>
      <w:r w:rsidR="000A47AE" w:rsidRPr="008B2FAF">
        <w:rPr>
          <w:rFonts w:ascii="Arial" w:hAnsi="Arial" w:cs="Arial"/>
          <w:lang w:val="en-GB"/>
        </w:rPr>
        <w:t>dispensers’</w:t>
      </w:r>
      <w:r w:rsidRPr="008B2FAF">
        <w:rPr>
          <w:rFonts w:ascii="Arial" w:hAnsi="Arial" w:cs="Arial"/>
          <w:lang w:val="en-GB"/>
        </w:rPr>
        <w:t xml:space="preserve"> fosters brand loyalty and corporate bookings from organisations seeking verifiable sustainability practices. Partnerships with local and global toiletry providers further expand environmental responsibility, sometimes involving organic ingredients or cruelty-free supply chains (Haski-Leventhal, 2018). </w:t>
      </w:r>
      <w:r w:rsidR="00F230C0" w:rsidRPr="00F230C0">
        <w:rPr>
          <w:rFonts w:ascii="Arial" w:hAnsi="Arial" w:cs="Arial"/>
          <w:lang w:val="en-GB"/>
        </w:rPr>
        <w:t xml:space="preserve">On a larger scale, the initiative represents genuine commitment towards the aims of the United Nations’ Sustainable Development Goals like SDG 12 on Responsible Consumption and </w:t>
      </w:r>
      <w:r w:rsidR="00F230C0" w:rsidRPr="00F230C0">
        <w:rPr>
          <w:rFonts w:ascii="Arial" w:hAnsi="Arial" w:cs="Arial"/>
          <w:lang w:val="en-GB"/>
        </w:rPr>
        <w:lastRenderedPageBreak/>
        <w:t xml:space="preserve">Production and SDG 14 </w:t>
      </w:r>
      <w:r w:rsidRPr="008B2FAF">
        <w:rPr>
          <w:rFonts w:ascii="Arial" w:hAnsi="Arial" w:cs="Arial"/>
          <w:lang w:val="en-GB"/>
        </w:rPr>
        <w:t xml:space="preserve">on marine conservation (TOURISM 4 SDGs, 2023). </w:t>
      </w:r>
      <w:r w:rsidR="00F230C0" w:rsidRPr="00F230C0">
        <w:rPr>
          <w:rFonts w:ascii="Arial" w:hAnsi="Arial" w:cs="Arial"/>
          <w:lang w:val="en-GB"/>
        </w:rPr>
        <w:t>This is also in line with what the London city authorities are doing in their efforts to promote recycling, reuse and reduction. It is suggested by the research that social media, in-room displays, and staff engagement should inform customers about these initiatives as a way to encourage them to take care of the environment while using the hotel services (Inkson and Minnaert, 2018).</w:t>
      </w:r>
    </w:p>
    <w:p w14:paraId="31EEF5AE" w14:textId="77777777" w:rsidR="00F230C0" w:rsidRDefault="00F230C0" w:rsidP="00D60ACF">
      <w:pPr>
        <w:pStyle w:val="NormalWeb"/>
        <w:spacing w:line="360" w:lineRule="auto"/>
        <w:jc w:val="both"/>
        <w:rPr>
          <w:rFonts w:ascii="Arial" w:hAnsi="Arial" w:cs="Arial"/>
          <w:lang w:val="en-GB"/>
        </w:rPr>
      </w:pPr>
      <w:r w:rsidRPr="00F230C0">
        <w:rPr>
          <w:rFonts w:ascii="Arial" w:hAnsi="Arial" w:cs="Arial"/>
          <w:lang w:val="en-GB"/>
        </w:rPr>
        <w:t>In the context of sustainable tourism, the use of refillable dispensers may seem to some to be a minor innovation. But these changes, if replicated across thousands of rooms, can have a large combined impact. Such methods are particularly useful for worldwide brands like Hilton, as they becoming chains have a large environmental impact (Korstanje et al., 2020)</w:t>
      </w:r>
      <w:r>
        <w:rPr>
          <w:rFonts w:ascii="Arial" w:hAnsi="Arial" w:cs="Arial"/>
          <w:lang w:val="en-GB"/>
        </w:rPr>
        <w:t xml:space="preserve"> </w:t>
      </w:r>
      <w:r w:rsidR="008B2FAF" w:rsidRPr="008B2FAF">
        <w:rPr>
          <w:rFonts w:ascii="Arial" w:hAnsi="Arial" w:cs="Arial"/>
          <w:lang w:val="en-GB"/>
        </w:rPr>
        <w:t xml:space="preserve">Ultimately, it points to a shift away from token gestures and toward fundamental operational adjustments. </w:t>
      </w:r>
      <w:r w:rsidRPr="00F230C0">
        <w:rPr>
          <w:rFonts w:ascii="Arial" w:hAnsi="Arial" w:cs="Arial"/>
          <w:lang w:val="en-GB"/>
        </w:rPr>
        <w:t>Pursuing sustainability in hospitality means providing real outcomes and consistent actions in addition to simple verbal commitments (Sloan et al., 2017). The growing hospitality industry can achieve development alongside environmental stewardship through established proven practises. Companies can create their final service by integrating brand prestige alongside responsible resource usage and genuine social impact (Costa and Costa, 2022).</w:t>
      </w:r>
    </w:p>
    <w:p w14:paraId="3753DFAA" w14:textId="77777777" w:rsidR="00D60ACF" w:rsidRPr="008B2FAF" w:rsidRDefault="00D60ACF" w:rsidP="00D60ACF">
      <w:pPr>
        <w:pStyle w:val="NormalWeb"/>
        <w:spacing w:line="360" w:lineRule="auto"/>
        <w:jc w:val="both"/>
        <w:rPr>
          <w:rFonts w:ascii="Arial" w:hAnsi="Arial" w:cs="Arial"/>
          <w:b/>
          <w:u w:val="single"/>
          <w:lang w:val="en-GB"/>
        </w:rPr>
      </w:pPr>
      <w:r w:rsidRPr="008B2FAF">
        <w:rPr>
          <w:rFonts w:ascii="Arial" w:hAnsi="Arial" w:cs="Arial"/>
          <w:lang w:val="en-GB"/>
        </w:rPr>
        <w:t xml:space="preserve">In conclusion, </w:t>
      </w:r>
      <w:r w:rsidR="008B2FAF" w:rsidRPr="008B2FAF">
        <w:rPr>
          <w:rFonts w:ascii="Arial" w:hAnsi="Arial" w:cs="Arial"/>
          <w:lang w:val="en-GB"/>
        </w:rPr>
        <w:t>refillable dispensers present a targeted, tangible way for Hilton London Bankside (and the broader Hilton network) to bridge a persistent gap in sustainable practice. The system addresses plastics pollution, delivers cost savings, and bolsters brand identity. A phased pilot can illuminate obstacles, guiding a future rollout across various properties. Training staff to service dispensers accurately, along with framing the initiative as a premium green innovation, can overcome uncertainties. As an integral part of the Travel with Purpose programme, it exemplifies how a dedicated hospitality brand can turn broad sustainability commitments into daily operational reality. This not only meets growing consumer demand for greener travel options but also positions Hilton to influence industry standards. With a consistent approach to producing measurable results, refillable dispensers can help define a new norm in upscale lodging, while providing a blueprint for other hospitality actors to reduce single-use plastic waste worldwide.</w:t>
      </w:r>
    </w:p>
    <w:p w14:paraId="27B8533A" w14:textId="77777777" w:rsidR="00D60ACF" w:rsidRPr="008B2FAF" w:rsidRDefault="00D60ACF" w:rsidP="00D60ACF">
      <w:pPr>
        <w:spacing w:line="360" w:lineRule="auto"/>
        <w:ind w:left="720" w:hanging="720"/>
        <w:rPr>
          <w:rFonts w:ascii="Arial" w:hAnsi="Arial" w:cs="Arial"/>
          <w:sz w:val="24"/>
          <w:szCs w:val="24"/>
        </w:rPr>
      </w:pPr>
    </w:p>
    <w:p w14:paraId="655DA312" w14:textId="77777777" w:rsidR="00D60ACF" w:rsidRPr="008B2FAF" w:rsidRDefault="00D60ACF" w:rsidP="00D60ACF">
      <w:pPr>
        <w:spacing w:line="360" w:lineRule="auto"/>
        <w:ind w:left="720" w:hanging="720"/>
        <w:rPr>
          <w:rFonts w:ascii="Arial" w:hAnsi="Arial" w:cs="Arial"/>
          <w:sz w:val="24"/>
          <w:szCs w:val="24"/>
        </w:rPr>
      </w:pPr>
    </w:p>
    <w:p w14:paraId="5445E2EC" w14:textId="77777777" w:rsidR="008B2FAF" w:rsidRPr="008B2FAF" w:rsidRDefault="008B2FAF" w:rsidP="008B2FAF">
      <w:pPr>
        <w:spacing w:line="360" w:lineRule="auto"/>
        <w:rPr>
          <w:rFonts w:ascii="Arial" w:hAnsi="Arial" w:cs="Arial"/>
          <w:sz w:val="24"/>
          <w:szCs w:val="24"/>
        </w:rPr>
      </w:pPr>
    </w:p>
    <w:p w14:paraId="181F5B77" w14:textId="77777777" w:rsidR="008B2FAF" w:rsidRPr="008B2FAF" w:rsidRDefault="008B2FAF" w:rsidP="008B2FAF">
      <w:pPr>
        <w:spacing w:line="360" w:lineRule="auto"/>
        <w:rPr>
          <w:rFonts w:ascii="Arial" w:hAnsi="Arial" w:cs="Arial"/>
          <w:sz w:val="24"/>
          <w:szCs w:val="24"/>
        </w:rPr>
      </w:pPr>
    </w:p>
    <w:p w14:paraId="0604B502" w14:textId="77777777" w:rsidR="000A47AE" w:rsidRDefault="000A47AE" w:rsidP="008B2FAF">
      <w:pPr>
        <w:spacing w:line="360" w:lineRule="auto"/>
        <w:rPr>
          <w:rFonts w:ascii="Arial" w:hAnsi="Arial" w:cs="Arial"/>
          <w:b/>
          <w:sz w:val="24"/>
          <w:szCs w:val="24"/>
        </w:rPr>
      </w:pPr>
    </w:p>
    <w:p w14:paraId="7DA0B9DB" w14:textId="77777777" w:rsidR="00F230C0" w:rsidRDefault="00F230C0" w:rsidP="008B2FAF">
      <w:pPr>
        <w:spacing w:line="360" w:lineRule="auto"/>
        <w:rPr>
          <w:rFonts w:ascii="Arial" w:hAnsi="Arial" w:cs="Arial"/>
          <w:b/>
          <w:sz w:val="24"/>
          <w:szCs w:val="24"/>
        </w:rPr>
      </w:pPr>
    </w:p>
    <w:p w14:paraId="1A07063D" w14:textId="77777777" w:rsidR="00D60ACF" w:rsidRPr="008B2FAF" w:rsidRDefault="00D60ACF" w:rsidP="008B2FAF">
      <w:pPr>
        <w:spacing w:line="360" w:lineRule="auto"/>
        <w:rPr>
          <w:rFonts w:ascii="Arial" w:hAnsi="Arial" w:cs="Arial"/>
          <w:b/>
          <w:sz w:val="24"/>
          <w:szCs w:val="24"/>
        </w:rPr>
      </w:pPr>
      <w:r w:rsidRPr="008B2FAF">
        <w:rPr>
          <w:rFonts w:ascii="Arial" w:hAnsi="Arial" w:cs="Arial"/>
          <w:b/>
          <w:sz w:val="24"/>
          <w:szCs w:val="24"/>
        </w:rPr>
        <w:t>References</w:t>
      </w:r>
    </w:p>
    <w:p w14:paraId="1A87196B"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Batabyal, D. (2018) Managing Sustainable Tourism Resources. IGI Global.</w:t>
      </w:r>
    </w:p>
    <w:p w14:paraId="4BE6EDBF"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Cooper, C. (2021) Essentials of Tourism. 3rd edn. London: SAGE.</w:t>
      </w:r>
    </w:p>
    <w:p w14:paraId="753B83FD"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Costa, R. and Costa, C. (2022) Sustainability and Competitiveness in the Hospitality Industry. Hershey, PA: Business Science Reference.</w:t>
      </w:r>
    </w:p>
    <w:p w14:paraId="07436551"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Edgell, D. (2020) Managing Sustainable Tourism: A Legacy for the Future. 3rd edn. Abingdon: Routledge.</w:t>
      </w:r>
    </w:p>
    <w:p w14:paraId="3F929730"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Green Globe (2023) Green Globe. Available at: https://www.greenglobe.com (Accessed: 20 January 2025).</w:t>
      </w:r>
    </w:p>
    <w:p w14:paraId="75BEE034"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Haski-Leventhal, D. (2018) Strategic Corporate Social Responsibility: Tools &amp; Theories for Responsible Management. London: SAGE.</w:t>
      </w:r>
    </w:p>
    <w:p w14:paraId="36AC2DF1"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Hilton (2023) Travel with Purpose. Available at: https://esg.hilton.com (Accessed: 20 January 2025).</w:t>
      </w:r>
    </w:p>
    <w:p w14:paraId="066B448E"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Inkson, C. and Minnaert, L. (2018) Tourism Management: An Introduction. 2nd edn. London: SAGE.</w:t>
      </w:r>
    </w:p>
    <w:p w14:paraId="5C31B26F"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International Journal of Hospitality Management (2023) ‘Trends in Eco-Friendly Initiatives in Global Hospitality’, 106, p. 103307.</w:t>
      </w:r>
    </w:p>
    <w:p w14:paraId="799724A9"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lastRenderedPageBreak/>
        <w:t>Jauhari, V. (2021) Managing Sustainability in The Hospitality and Tourism Industry: Paradigms and Directions for the Future. 9th edn. Oakville, CA: Apple Academic Press, Inc.</w:t>
      </w:r>
    </w:p>
    <w:p w14:paraId="36666D84"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Korstanje, M., George, B. and Nedelea, A. (2020) Strategies for Promoting Sustainable Hospitality and Tourism Services. Pennsylvania: IGI Global.</w:t>
      </w:r>
    </w:p>
    <w:p w14:paraId="12844031"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Management Association (2018) Sustainable Tourism. Hershey, PA: IGI Global.</w:t>
      </w:r>
    </w:p>
    <w:p w14:paraId="769F461A"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New Governance and Management in Touristic Destinations (2022) Hershey, PA: IGI Global.</w:t>
      </w:r>
    </w:p>
    <w:p w14:paraId="57515D63"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Sloan, P., Legrand, W. and Chen, J. S. (2017) Sustainability in the Hospitality Industry: Principles of Sustainable Operations. 3rd edn. London: Butterworth-Heinemann.</w:t>
      </w:r>
    </w:p>
    <w:p w14:paraId="6778883D"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Sustainable Tourism: Breakthroughs in Research and Practice (2019) Hershey, PA: IGI Global.</w:t>
      </w:r>
    </w:p>
    <w:p w14:paraId="160F6DDF"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The Guardian (2022) ‘Hotel Sustainability Efforts Curb Plastic Usage.’ Available at: https://www.theguardian.com (Accessed: 20 January 2025).</w:t>
      </w:r>
    </w:p>
    <w:p w14:paraId="68F6B217"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TOURISM 4 SDGs (2023) UNWTO. Available at: https://tourism4sdgs.org (Accessed: 20 January 2025).</w:t>
      </w:r>
    </w:p>
    <w:p w14:paraId="5B1B1164"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UNWTO (2023) TOURISM 4 SDGs. Available at: https://tourism4sdgs.org (Accessed: 20 January 2025).</w:t>
      </w:r>
    </w:p>
    <w:p w14:paraId="38771EE4"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Wickham, B. M., Donnelly, T. and French, L. (2021) ‘Strategic Sustainability Management in the Event Sector’, Event Management, 25(3), pp. 279–296.</w:t>
      </w:r>
    </w:p>
    <w:p w14:paraId="4CE8EA71"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World Trade Organization (2023) World Trade Organization. Available at: https://www.wto.org (Accessed: 20 January 2025).</w:t>
      </w:r>
    </w:p>
    <w:p w14:paraId="1E76D42F" w14:textId="77777777" w:rsidR="00D60ACF" w:rsidRPr="008B2FAF" w:rsidRDefault="00D60ACF" w:rsidP="00D60ACF">
      <w:pPr>
        <w:spacing w:line="360" w:lineRule="auto"/>
        <w:ind w:left="720" w:hanging="720"/>
        <w:rPr>
          <w:rFonts w:ascii="Arial" w:hAnsi="Arial" w:cs="Arial"/>
          <w:sz w:val="24"/>
          <w:szCs w:val="24"/>
        </w:rPr>
      </w:pPr>
      <w:r w:rsidRPr="008B2FAF">
        <w:rPr>
          <w:rFonts w:ascii="Arial" w:hAnsi="Arial" w:cs="Arial"/>
          <w:sz w:val="24"/>
          <w:szCs w:val="24"/>
        </w:rPr>
        <w:t>World Travel &amp; Tourism Council (2023) ‘Environmental Guidelines for Hospitality.’ Available at: https://wttc.org (Accessed: 20 January 2025).</w:t>
      </w:r>
    </w:p>
    <w:sectPr w:rsidR="00D60ACF" w:rsidRPr="008B2FA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ECE21" w14:textId="77777777" w:rsidR="00D7080C" w:rsidRDefault="00D7080C" w:rsidP="00FE3A98">
      <w:pPr>
        <w:spacing w:after="0" w:line="240" w:lineRule="auto"/>
      </w:pPr>
      <w:r>
        <w:separator/>
      </w:r>
    </w:p>
  </w:endnote>
  <w:endnote w:type="continuationSeparator" w:id="0">
    <w:p w14:paraId="2939DA9E" w14:textId="77777777" w:rsidR="00D7080C" w:rsidRDefault="00D7080C" w:rsidP="00FE3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371A8" w14:textId="77777777" w:rsidR="00D7080C" w:rsidRDefault="00D7080C" w:rsidP="00FE3A98">
      <w:pPr>
        <w:spacing w:after="0" w:line="240" w:lineRule="auto"/>
      </w:pPr>
      <w:r>
        <w:separator/>
      </w:r>
    </w:p>
  </w:footnote>
  <w:footnote w:type="continuationSeparator" w:id="0">
    <w:p w14:paraId="3AA4164A" w14:textId="77777777" w:rsidR="00D7080C" w:rsidRDefault="00D7080C" w:rsidP="00FE3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3480779"/>
      <w:docPartObj>
        <w:docPartGallery w:val="Page Numbers (Top of Page)"/>
        <w:docPartUnique/>
      </w:docPartObj>
    </w:sdtPr>
    <w:sdtEndPr>
      <w:rPr>
        <w:noProof/>
      </w:rPr>
    </w:sdtEndPr>
    <w:sdtContent>
      <w:p w14:paraId="0E320B1E" w14:textId="77777777" w:rsidR="004B39FA" w:rsidRDefault="004B39FA">
        <w:pPr>
          <w:pStyle w:val="Header"/>
          <w:jc w:val="right"/>
        </w:pPr>
        <w:r>
          <w:fldChar w:fldCharType="begin"/>
        </w:r>
        <w:r>
          <w:instrText xml:space="preserve"> PAGE   \* MERGEFORMAT </w:instrText>
        </w:r>
        <w:r>
          <w:fldChar w:fldCharType="separate"/>
        </w:r>
        <w:r w:rsidR="00F230C0">
          <w:rPr>
            <w:noProof/>
          </w:rPr>
          <w:t>10</w:t>
        </w:r>
        <w:r>
          <w:rPr>
            <w:noProof/>
          </w:rPr>
          <w:fldChar w:fldCharType="end"/>
        </w:r>
      </w:p>
    </w:sdtContent>
  </w:sdt>
  <w:p w14:paraId="30E135A5" w14:textId="77777777" w:rsidR="004B39FA" w:rsidRDefault="004B39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AA01B0"/>
    <w:multiLevelType w:val="hybridMultilevel"/>
    <w:tmpl w:val="F9EA27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27651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048B"/>
    <w:rsid w:val="000A47AE"/>
    <w:rsid w:val="00167E89"/>
    <w:rsid w:val="00192E8A"/>
    <w:rsid w:val="001B14C1"/>
    <w:rsid w:val="001F4903"/>
    <w:rsid w:val="002E6CFC"/>
    <w:rsid w:val="004B16CB"/>
    <w:rsid w:val="004B39FA"/>
    <w:rsid w:val="004E048B"/>
    <w:rsid w:val="005F53ED"/>
    <w:rsid w:val="008100B4"/>
    <w:rsid w:val="00812FE0"/>
    <w:rsid w:val="008479C9"/>
    <w:rsid w:val="008B2FAF"/>
    <w:rsid w:val="0098076B"/>
    <w:rsid w:val="009C5758"/>
    <w:rsid w:val="00A20F5B"/>
    <w:rsid w:val="00B95A36"/>
    <w:rsid w:val="00D60ACF"/>
    <w:rsid w:val="00D7080C"/>
    <w:rsid w:val="00DC7362"/>
    <w:rsid w:val="00F230C0"/>
    <w:rsid w:val="00F2348F"/>
    <w:rsid w:val="00FA0D3D"/>
    <w:rsid w:val="00FD5169"/>
    <w:rsid w:val="00FE3A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B321A"/>
  <w15:chartTrackingRefBased/>
  <w15:docId w15:val="{CCD4823C-C4F9-494B-BD14-9399947D5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048B"/>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4E048B"/>
    <w:rPr>
      <w:color w:val="0000FF"/>
      <w:u w:val="single"/>
    </w:rPr>
  </w:style>
  <w:style w:type="paragraph" w:styleId="Header">
    <w:name w:val="header"/>
    <w:basedOn w:val="Normal"/>
    <w:link w:val="HeaderChar"/>
    <w:uiPriority w:val="99"/>
    <w:unhideWhenUsed/>
    <w:rsid w:val="00FE3A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3A98"/>
    <w:rPr>
      <w:lang w:val="en-GB"/>
    </w:rPr>
  </w:style>
  <w:style w:type="paragraph" w:styleId="Footer">
    <w:name w:val="footer"/>
    <w:basedOn w:val="Normal"/>
    <w:link w:val="FooterChar"/>
    <w:uiPriority w:val="99"/>
    <w:unhideWhenUsed/>
    <w:rsid w:val="00FE3A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3A9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2695611">
      <w:bodyDiv w:val="1"/>
      <w:marLeft w:val="0"/>
      <w:marRight w:val="0"/>
      <w:marTop w:val="0"/>
      <w:marBottom w:val="0"/>
      <w:divBdr>
        <w:top w:val="none" w:sz="0" w:space="0" w:color="auto"/>
        <w:left w:val="none" w:sz="0" w:space="0" w:color="auto"/>
        <w:bottom w:val="none" w:sz="0" w:space="0" w:color="auto"/>
        <w:right w:val="none" w:sz="0" w:space="0" w:color="auto"/>
      </w:divBdr>
    </w:div>
    <w:div w:id="1062480189">
      <w:bodyDiv w:val="1"/>
      <w:marLeft w:val="0"/>
      <w:marRight w:val="0"/>
      <w:marTop w:val="0"/>
      <w:marBottom w:val="0"/>
      <w:divBdr>
        <w:top w:val="none" w:sz="0" w:space="0" w:color="auto"/>
        <w:left w:val="none" w:sz="0" w:space="0" w:color="auto"/>
        <w:bottom w:val="none" w:sz="0" w:space="0" w:color="auto"/>
        <w:right w:val="none" w:sz="0" w:space="0" w:color="auto"/>
      </w:divBdr>
    </w:div>
    <w:div w:id="1469932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1</Pages>
  <Words>2857</Words>
  <Characters>16286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Loredana Turner (2242724)</cp:lastModifiedBy>
  <cp:revision>8</cp:revision>
  <dcterms:created xsi:type="dcterms:W3CDTF">2025-01-27T17:17:00Z</dcterms:created>
  <dcterms:modified xsi:type="dcterms:W3CDTF">2025-02-07T13:07:00Z</dcterms:modified>
</cp:coreProperties>
</file>