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sz w:val="24"/>
          <w:szCs w:val="24"/>
        </w:rPr>
      </w:pPr>
      <w:r>
        <w:rPr>
          <w:sz w:val="24"/>
          <w:szCs w:val="24"/>
          <w:rtl w:val="0"/>
          <w:lang w:val="en-US"/>
        </w:rPr>
        <w:t>Literature Review</w:t>
      </w:r>
    </w:p>
    <w:p>
      <w:pPr>
        <w:pStyle w:val="Body"/>
        <w:rPr>
          <w:sz w:val="24"/>
          <w:szCs w:val="24"/>
        </w:rPr>
      </w:pPr>
    </w:p>
    <w:p>
      <w:pPr>
        <w:pStyle w:val="Body"/>
        <w:rPr>
          <w:sz w:val="24"/>
          <w:szCs w:val="24"/>
        </w:rPr>
      </w:pPr>
      <w:r>
        <w:rPr>
          <w:sz w:val="24"/>
          <w:szCs w:val="24"/>
          <w:rtl w:val="0"/>
          <w:lang w:val="en-US"/>
        </w:rPr>
        <w:t>Having considered the theories presented by Dewey in the late 19th and early 20th Centuries, I have noted that many of his ideals stand today with the changes faced by education in Wales and the implementation of Donaldson</w:t>
      </w:r>
      <w:r>
        <w:rPr>
          <w:rFonts w:hAnsi="Helvetica" w:hint="default"/>
          <w:sz w:val="24"/>
          <w:szCs w:val="24"/>
          <w:rtl w:val="0"/>
          <w:lang w:val="en-US"/>
        </w:rPr>
        <w:t>’</w:t>
      </w:r>
      <w:r>
        <w:rPr>
          <w:sz w:val="24"/>
          <w:szCs w:val="24"/>
          <w:rtl w:val="0"/>
          <w:lang w:val="en-US"/>
        </w:rPr>
        <w:t>s Successful Futures recommendations on the horizon. I believe that Dewey</w:t>
      </w:r>
      <w:r>
        <w:rPr>
          <w:rFonts w:hAnsi="Helvetica" w:hint="default"/>
          <w:sz w:val="24"/>
          <w:szCs w:val="24"/>
          <w:rtl w:val="0"/>
          <w:lang w:val="en-US"/>
        </w:rPr>
        <w:t>’</w:t>
      </w:r>
      <w:r>
        <w:rPr>
          <w:sz w:val="24"/>
          <w:szCs w:val="24"/>
          <w:rtl w:val="0"/>
          <w:lang w:val="en-US"/>
        </w:rPr>
        <w:t>s findings that education is equally important as both a means of advancing knowledge academically as well as  gaining skills to learn how to live is still current today and, in my opinion, more important than ever. It is clear that his belief that education should not be solely based on development of classroom based skills, but rather on the application of skills for future life. I agree that this approach to education enables pupils to remain invested and realise their strengths, potential and areas for growth. This, when applied effectively, has the potential to create social change.</w:t>
      </w:r>
    </w:p>
    <w:p>
      <w:pPr>
        <w:pStyle w:val="Body"/>
        <w:rPr>
          <w:sz w:val="24"/>
          <w:szCs w:val="24"/>
        </w:rPr>
      </w:pPr>
    </w:p>
    <w:p>
      <w:pPr>
        <w:pStyle w:val="Body"/>
        <w:rPr>
          <w:sz w:val="24"/>
          <w:szCs w:val="24"/>
        </w:rPr>
      </w:pPr>
      <w:r>
        <w:rPr>
          <w:sz w:val="24"/>
          <w:szCs w:val="24"/>
          <w:rtl w:val="0"/>
          <w:lang w:val="en-US"/>
        </w:rPr>
        <w:t xml:space="preserve">Another study by Dewey focused on the pedagogical approach, for </w:t>
      </w:r>
      <w:r>
        <w:rPr>
          <w:sz w:val="24"/>
          <w:szCs w:val="24"/>
          <w:rtl w:val="0"/>
          <w:lang w:val="en-US"/>
        </w:rPr>
        <w:t>which</w:t>
      </w:r>
      <w:r>
        <w:rPr>
          <w:sz w:val="24"/>
          <w:szCs w:val="24"/>
          <w:rtl w:val="0"/>
          <w:lang w:val="en-US"/>
        </w:rPr>
        <w:t xml:space="preserve"> he considered the advantages of both a teacher led and pupil led curricula and the pedagogy that run alongside both. The modern day curriculum makes use of both approaches. In my experience, the fine balance mentioned over a century ago is one we are still striving to refine today. A curriculum for the future requires flexibility for learners to steer their learning in a way that will allow them to reach their potential and equip them with skills. The difficulty with this is the issue that learners limited life experience can hinder their understanding of what needs to come next in their learning journey. This is where the experience and professionalism of a teacher needs to be employed in order to asses current understanding and steer the next learning experience in the most appropriate direction. Opportunities for learning and curriculum content should be adaptable to suit the setting and the learners. I hold the view that delivery of skills should be presented such that learners can build on prior knowledge and skills in order to grow, thus strengthening understanding and purpose of the learning.</w:t>
      </w:r>
    </w:p>
    <w:p>
      <w:pPr>
        <w:pStyle w:val="Body"/>
        <w:rPr>
          <w:sz w:val="24"/>
          <w:szCs w:val="24"/>
        </w:rPr>
      </w:pPr>
    </w:p>
    <w:p>
      <w:pPr>
        <w:pStyle w:val="Body"/>
        <w:rPr>
          <w:sz w:val="24"/>
          <w:szCs w:val="24"/>
        </w:rPr>
      </w:pPr>
      <w:r>
        <w:rPr>
          <w:sz w:val="24"/>
          <w:szCs w:val="24"/>
          <w:rtl w:val="0"/>
          <w:lang w:val="en-US"/>
        </w:rPr>
        <w:t xml:space="preserve">A curriculum fit for life itself was considered by James A. Beane. Following his research he concluded that </w:t>
      </w:r>
      <w:r>
        <w:rPr>
          <w:rFonts w:hAnsi="Helvetica" w:hint="default"/>
          <w:sz w:val="24"/>
          <w:szCs w:val="24"/>
          <w:rtl w:val="0"/>
          <w:lang w:val="en-US"/>
        </w:rPr>
        <w:t>“</w:t>
      </w:r>
      <w:r>
        <w:rPr>
          <w:sz w:val="24"/>
          <w:szCs w:val="24"/>
          <w:rtl w:val="0"/>
          <w:lang w:val="en-US"/>
        </w:rPr>
        <w:t>The sources of curriculum ought to be problems, issues and concerns posed by life itself.</w:t>
      </w:r>
      <w:r>
        <w:rPr>
          <w:rFonts w:hAnsi="Helvetica" w:hint="default"/>
          <w:sz w:val="24"/>
          <w:szCs w:val="24"/>
          <w:rtl w:val="0"/>
          <w:lang w:val="en-US"/>
        </w:rPr>
        <w:t xml:space="preserve">” </w:t>
      </w:r>
      <w:r>
        <w:rPr>
          <w:sz w:val="24"/>
          <w:szCs w:val="24"/>
          <w:rtl w:val="0"/>
          <w:lang w:val="en-US"/>
        </w:rPr>
        <w:t>Although I fully support this belief, it is something that is inherently difficult to implement into our current practice due to curriculum constraints. The new curriculum that is being developed in Wales needs to consider this idea to be a cornerstone in forming the actual skills to be taught, and pedagogy that will be employed.</w:t>
      </w:r>
    </w:p>
    <w:p>
      <w:pPr>
        <w:pStyle w:val="Body"/>
        <w:rPr>
          <w:sz w:val="24"/>
          <w:szCs w:val="24"/>
        </w:rPr>
      </w:pPr>
    </w:p>
    <w:p>
      <w:pPr>
        <w:pStyle w:val="Body"/>
        <w:rPr>
          <w:sz w:val="24"/>
          <w:szCs w:val="24"/>
        </w:rPr>
      </w:pPr>
      <w:r>
        <w:rPr>
          <w:sz w:val="24"/>
          <w:szCs w:val="24"/>
          <w:rtl w:val="0"/>
          <w:lang w:val="en-US"/>
        </w:rPr>
        <w:t xml:space="preserve">Rarely in real life contexts are we required to use skills taught to us in our own education that is from one subject area alone. Beane was an advocate of the integrated approach to the curriculum, a curriculum that build on skills in subject areas but allows for fusion across the board. He prompted the consideration of the function of schools within society and the uses of knowledge gained whilst part of that system. His studies suggest that curriculum integration encourage a more holistic approach to problem solving and application of skills both on a personal level and when considering social, larger world issues. In 2002, Dr Mae Jemison, known as the first woman of colour to go into space, shared her opinion of this in a Ted Talk. She was of the belief that arts and sciences, intuition and logic, should run alongside each other to ensure creativity in engineering. She commented that </w:t>
      </w:r>
      <w:r>
        <w:rPr>
          <w:rFonts w:hAnsi="Helvetica" w:hint="default"/>
          <w:sz w:val="24"/>
          <w:szCs w:val="24"/>
          <w:rtl w:val="0"/>
          <w:lang w:val="en-US"/>
        </w:rPr>
        <w:t>“</w:t>
      </w:r>
      <w:r>
        <w:rPr>
          <w:sz w:val="24"/>
          <w:szCs w:val="24"/>
          <w:rtl w:val="0"/>
          <w:lang w:val="en-US"/>
        </w:rPr>
        <w:t>What we do today will be critically important in the year 2015</w:t>
      </w:r>
      <w:r>
        <w:rPr>
          <w:rFonts w:hAnsi="Helvetica" w:hint="default"/>
          <w:sz w:val="24"/>
          <w:szCs w:val="24"/>
          <w:rtl w:val="0"/>
          <w:lang w:val="en-US"/>
        </w:rPr>
        <w:t>”</w:t>
      </w:r>
      <w:r>
        <w:rPr>
          <w:sz w:val="24"/>
          <w:szCs w:val="24"/>
          <w:rtl w:val="0"/>
          <w:lang w:val="en-US"/>
        </w:rPr>
        <w:t>. I agree with her drive to revitalise and reintegrate the arts and sciences. Society has allowed itself to believe that the two should be standalone, one where creativity was celebrated and the other where problem solving was key. I have no objection to subject specialisms, however, broadening knowledge through integration of skills across areas we would not normally have considered to be related, allows for a fresh view and approach. This is something I wholeheartedly support in the 21st century education we are striving to provide.</w:t>
      </w:r>
    </w:p>
    <w:p>
      <w:pPr>
        <w:pStyle w:val="Body"/>
        <w:rPr>
          <w:sz w:val="24"/>
          <w:szCs w:val="24"/>
        </w:rPr>
      </w:pPr>
    </w:p>
    <w:p>
      <w:pPr>
        <w:pStyle w:val="Body"/>
        <w:rPr>
          <w:sz w:val="24"/>
          <w:szCs w:val="24"/>
        </w:rPr>
      </w:pPr>
      <w:r>
        <w:rPr>
          <w:sz w:val="24"/>
          <w:szCs w:val="24"/>
          <w:rtl w:val="0"/>
          <w:lang w:val="en-US"/>
        </w:rPr>
        <w:t>I share the views of Beane and Jemison and feel they lie parallel to Donaldson</w:t>
      </w:r>
      <w:r>
        <w:rPr>
          <w:rFonts w:hAnsi="Helvetica" w:hint="default"/>
          <w:sz w:val="24"/>
          <w:szCs w:val="24"/>
          <w:rtl w:val="0"/>
          <w:lang w:val="en-US"/>
        </w:rPr>
        <w:t>’</w:t>
      </w:r>
      <w:r>
        <w:rPr>
          <w:sz w:val="24"/>
          <w:szCs w:val="24"/>
          <w:rtl w:val="0"/>
          <w:lang w:val="en-US"/>
        </w:rPr>
        <w:t>s recommendations to develop a curriculum that is child centred and provides meaningful, authentic experiences. The six areas of learning will be the driver for this approach. Beane</w:t>
      </w:r>
      <w:r>
        <w:rPr>
          <w:rFonts w:hAnsi="Helvetica" w:hint="default"/>
          <w:sz w:val="24"/>
          <w:szCs w:val="24"/>
          <w:rtl w:val="0"/>
          <w:lang w:val="en-US"/>
        </w:rPr>
        <w:t>’</w:t>
      </w:r>
      <w:r>
        <w:rPr>
          <w:sz w:val="24"/>
          <w:szCs w:val="24"/>
          <w:rtl w:val="0"/>
          <w:lang w:val="en-US"/>
        </w:rPr>
        <w:t>s findings suggest that life itself does not compartmentalise knowledge into specific subject areas. It can therefore be argued that it would be unwise to take that approach within a classroom. Integration of areas of learning in an organic manner would deepen knowledge across a wider spectrum. Although proven to be most effective, this integrated approach does not come without its difficulties. The structured timetabling within schools added with fact that the formal curriculum within the UK has been subject specific since it was formally implemented, means that not only will a time and logistical evaluation need to occur but also a shift in attitude and approaches. Teachers will no longer be expected to deliver knowledge within a narrow area, but rather themselves be dynamic, continuous learners that drive and deliver opportunities for skill development across broader areas of learning.</w:t>
      </w:r>
    </w:p>
    <w:p>
      <w:pPr>
        <w:pStyle w:val="Body"/>
        <w:rPr>
          <w:sz w:val="24"/>
          <w:szCs w:val="24"/>
        </w:rPr>
      </w:pPr>
    </w:p>
    <w:p>
      <w:pPr>
        <w:pStyle w:val="Body"/>
        <w:rPr>
          <w:sz w:val="24"/>
          <w:szCs w:val="24"/>
        </w:rPr>
      </w:pPr>
      <w:r>
        <w:rPr>
          <w:sz w:val="24"/>
          <w:szCs w:val="24"/>
          <w:rtl w:val="0"/>
          <w:lang w:val="en-US"/>
        </w:rPr>
        <w:t xml:space="preserve">In 2008 Easton acknowledged that educators need to know how to change and become more knowledgable and wise: </w:t>
      </w:r>
      <w:r>
        <w:rPr>
          <w:rFonts w:hAnsi="Helvetica" w:hint="default"/>
          <w:sz w:val="24"/>
          <w:szCs w:val="24"/>
          <w:rtl w:val="0"/>
          <w:lang w:val="en-US"/>
        </w:rPr>
        <w:t>“</w:t>
      </w:r>
      <w:r>
        <w:rPr>
          <w:sz w:val="24"/>
          <w:szCs w:val="24"/>
          <w:rtl w:val="0"/>
          <w:lang w:val="en-US"/>
        </w:rPr>
        <w:t>They must become learners [too]</w:t>
      </w:r>
      <w:r>
        <w:rPr>
          <w:rFonts w:hAnsi="Helvetica" w:hint="default"/>
          <w:sz w:val="24"/>
          <w:szCs w:val="24"/>
          <w:rtl w:val="0"/>
          <w:lang w:val="en-US"/>
        </w:rPr>
        <w:t>”</w:t>
      </w:r>
      <w:r>
        <w:rPr>
          <w:sz w:val="24"/>
          <w:szCs w:val="24"/>
          <w:rtl w:val="0"/>
          <w:lang w:val="en-US"/>
        </w:rPr>
        <w:t>. This expectation is reflected in the Successful Futures document where continued professional learning will be placed as a high priority for all school and academic staff. I would argue that there is a time and place for subject specialisms, but this change towards the 21st  century approach will enable and encourage practitioners to be current in their teaching. A survey carried out at the end of 2017 by the Welsh Government found that only 26% of practitioners felt they had full access to the professional development they needed. I believe that this needs addressing with immediate effect. For the Successful Futures document to be effectively implemented, teachers need to be at the forefront in terms of their skills, knowledge and pedagogy. There is a priority for professional learning which will ultimately prepare our learners for their ever changing future where science and arts, languages and music, mathematics and sports can be successfully taught alongside each other in a meaningful manner and one in which deepens learning and an inquisitive sense.</w:t>
      </w:r>
    </w:p>
    <w:p>
      <w:pPr>
        <w:pStyle w:val="Body"/>
        <w:rPr>
          <w:sz w:val="24"/>
          <w:szCs w:val="24"/>
        </w:rPr>
      </w:pPr>
    </w:p>
    <w:p>
      <w:pPr>
        <w:pStyle w:val="Body"/>
        <w:rPr>
          <w:sz w:val="24"/>
          <w:szCs w:val="24"/>
        </w:rPr>
      </w:pPr>
      <w:r>
        <w:rPr>
          <w:sz w:val="24"/>
          <w:szCs w:val="24"/>
          <w:rtl w:val="0"/>
          <w:lang w:val="en-US"/>
        </w:rPr>
        <w:t>Recent research, conducted in 2013 by Priestly and Minty, refers to the notable issues faced by the introduction of a new style of curriculum into a society that has become comfortable in addressing subjects as singular entities as opposed to a more holistic effort. The Curriculum for Excellence (CforE) has been implemented into the Scottish education system with varying degrees of success and their research focussed on the empirical research conducted in one Scottish local authority.</w:t>
      </w:r>
      <w:r>
        <w:rPr>
          <w:sz w:val="24"/>
          <w:szCs w:val="24"/>
          <w:rtl w:val="0"/>
        </w:rPr>
        <w:t xml:space="preserve"> </w:t>
      </w:r>
      <w:r>
        <w:rPr>
          <w:sz w:val="24"/>
          <w:szCs w:val="24"/>
          <w:rtl w:val="0"/>
          <w:lang w:val="en-US"/>
        </w:rPr>
        <w:t>The fact that their sample of evidence was based in one area of the country alone, may be considered too narrow to make a wider judgement but enables an insight into the reality for some practitioners on the ground.</w:t>
      </w:r>
    </w:p>
    <w:p>
      <w:pPr>
        <w:pStyle w:val="Body"/>
        <w:rPr>
          <w:sz w:val="24"/>
          <w:szCs w:val="24"/>
        </w:rPr>
      </w:pPr>
    </w:p>
    <w:p>
      <w:pPr>
        <w:pStyle w:val="Body"/>
        <w:rPr>
          <w:sz w:val="24"/>
          <w:szCs w:val="24"/>
        </w:rPr>
      </w:pPr>
      <w:r>
        <w:rPr>
          <w:sz w:val="24"/>
          <w:szCs w:val="24"/>
          <w:rtl w:val="0"/>
          <w:lang w:val="en-US"/>
        </w:rPr>
        <w:t xml:space="preserve">While it was initially </w:t>
      </w:r>
      <w:r>
        <w:rPr>
          <w:rFonts w:hAnsi="Helvetica" w:hint="default"/>
          <w:sz w:val="24"/>
          <w:szCs w:val="24"/>
          <w:rtl w:val="0"/>
          <w:lang w:val="en-US"/>
        </w:rPr>
        <w:t>‘</w:t>
      </w:r>
      <w:r>
        <w:rPr>
          <w:sz w:val="24"/>
          <w:szCs w:val="24"/>
          <w:rtl w:val="0"/>
          <w:lang w:val="en-US"/>
        </w:rPr>
        <w:t>marketed</w:t>
      </w:r>
      <w:r>
        <w:rPr>
          <w:rFonts w:hAnsi="Helvetica" w:hint="default"/>
          <w:sz w:val="24"/>
          <w:szCs w:val="24"/>
          <w:rtl w:val="0"/>
          <w:lang w:val="en-US"/>
        </w:rPr>
        <w:t xml:space="preserve">’ </w:t>
      </w:r>
      <w:r>
        <w:rPr>
          <w:sz w:val="24"/>
          <w:szCs w:val="24"/>
          <w:rtl w:val="0"/>
          <w:lang w:val="en-US"/>
        </w:rPr>
        <w:t xml:space="preserve">as unique and distinctive in its style, the theories on which its is based are becoming more common in curriculum policy and practice worldwide, most notably in English speaking societies. </w:t>
      </w:r>
      <w:r>
        <w:rPr>
          <w:rFonts w:hAnsi="Helvetica" w:hint="default"/>
          <w:sz w:val="24"/>
          <w:szCs w:val="24"/>
          <w:rtl w:val="0"/>
          <w:lang w:val="en-US"/>
        </w:rPr>
        <w:t>“</w:t>
      </w:r>
      <w:r>
        <w:rPr>
          <w:sz w:val="24"/>
          <w:szCs w:val="24"/>
          <w:rtl w:val="0"/>
          <w:lang w:val="en-US"/>
        </w:rPr>
        <w:t>A</w:t>
      </w:r>
      <w:r>
        <w:rPr>
          <w:sz w:val="24"/>
          <w:szCs w:val="24"/>
          <w:rtl w:val="0"/>
          <w:lang w:val="en-US"/>
        </w:rPr>
        <w:t xml:space="preserve"> major determinant of whether the new curriculum will be enacted meaningfully in a manner which is in keeping with the spirit of the policy</w:t>
      </w:r>
      <w:r>
        <w:rPr>
          <w:rFonts w:hAnsi="Helvetica" w:hint="default"/>
          <w:sz w:val="24"/>
          <w:szCs w:val="24"/>
          <w:rtl w:val="0"/>
          <w:lang w:val="en-US"/>
        </w:rPr>
        <w:t xml:space="preserve">” </w:t>
      </w:r>
      <w:r>
        <w:rPr>
          <w:sz w:val="24"/>
          <w:szCs w:val="24"/>
          <w:rtl w:val="0"/>
          <w:lang w:val="en-US"/>
        </w:rPr>
        <w:t xml:space="preserve">was their main aim when exploring how teachers made sense of the new curriculum. They considered the </w:t>
      </w:r>
      <w:r>
        <w:rPr>
          <w:rFonts w:hAnsi="Helvetica" w:hint="default"/>
          <w:sz w:val="24"/>
          <w:szCs w:val="24"/>
          <w:rtl w:val="0"/>
          <w:lang w:val="en-US"/>
        </w:rPr>
        <w:t>‘</w:t>
      </w:r>
      <w:r>
        <w:rPr>
          <w:sz w:val="24"/>
          <w:szCs w:val="24"/>
          <w:rtl w:val="0"/>
          <w:lang w:val="en-US"/>
        </w:rPr>
        <w:t>implementation gap</w:t>
      </w:r>
      <w:r>
        <w:rPr>
          <w:rFonts w:hAnsi="Helvetica" w:hint="default"/>
          <w:sz w:val="24"/>
          <w:szCs w:val="24"/>
          <w:rtl w:val="0"/>
          <w:lang w:val="en-US"/>
        </w:rPr>
        <w:t xml:space="preserve">’ </w:t>
      </w:r>
      <w:r>
        <w:rPr>
          <w:sz w:val="24"/>
          <w:szCs w:val="24"/>
          <w:rtl w:val="0"/>
          <w:lang w:val="en-US"/>
        </w:rPr>
        <w:t>which essentially mirrors concerns expressed by teachers and leaders in Pioneer Schools in Wales.</w:t>
      </w:r>
    </w:p>
    <w:p>
      <w:pPr>
        <w:pStyle w:val="Body"/>
        <w:rPr>
          <w:sz w:val="24"/>
          <w:szCs w:val="24"/>
        </w:rPr>
      </w:pPr>
    </w:p>
    <w:p>
      <w:pPr>
        <w:pStyle w:val="Body"/>
        <w:rPr>
          <w:sz w:val="24"/>
          <w:szCs w:val="24"/>
        </w:rPr>
      </w:pPr>
      <w:r>
        <w:rPr>
          <w:sz w:val="24"/>
          <w:szCs w:val="24"/>
          <w:rtl w:val="0"/>
          <w:lang w:val="en-US"/>
        </w:rPr>
        <w:t xml:space="preserve">The CforE is, in my understanding, dynamic and most certainly a curriculum that enhances learning and understanding through contextualisation. Teachers embraced this approach and, I believe, wanted to be successful in the change in education policy in Scotland. However, whether teachers had the capacity to navigate their way around the curriculum reform was something that was individual to each professional and dependent on support in terms of professional development. Teachers are typically flexible and multifaceted in their classroom practice but the shift to a curriculum less prescriptive in content in something unfamiliar. Priestly and Minty discuss the changes and state that </w:t>
      </w:r>
      <w:r>
        <w:rPr>
          <w:rFonts w:hAnsi="Helvetica" w:hint="default"/>
          <w:sz w:val="24"/>
          <w:szCs w:val="24"/>
          <w:rtl w:val="0"/>
          <w:lang w:val="en-US"/>
        </w:rPr>
        <w:t>“</w:t>
      </w:r>
      <w:r>
        <w:rPr>
          <w:sz w:val="24"/>
          <w:szCs w:val="24"/>
          <w:rtl w:val="0"/>
          <w:lang w:val="en-US"/>
        </w:rPr>
        <w:t>Such a shift has been criticised for over-simplifying and dichotomising the complex relationship between knowledge and skills</w:t>
      </w:r>
      <w:r>
        <w:rPr>
          <w:rFonts w:hAnsi="Helvetica" w:hint="default"/>
          <w:sz w:val="24"/>
          <w:szCs w:val="24"/>
          <w:rtl w:val="0"/>
          <w:lang w:val="en-US"/>
        </w:rPr>
        <w:t>”</w:t>
      </w:r>
      <w:r>
        <w:rPr>
          <w:sz w:val="24"/>
          <w:szCs w:val="24"/>
          <w:rtl w:val="0"/>
          <w:lang w:val="en-US"/>
        </w:rPr>
        <w:t>. They focused on the issue that teachers have different [mis]understandings of the purposes and philosophy of the new curriculum. I feel that there is still a requirement that the Scottish government clarify its policy, find ways of engaging teachers to become self aware of their practice and facilitate opportunities to broaden and up-skill themselves as practitioners. In light of these findings, the classroom implementation of Donaldson</w:t>
      </w:r>
      <w:r>
        <w:rPr>
          <w:rFonts w:hAnsi="Helvetica" w:hint="default"/>
          <w:sz w:val="24"/>
          <w:szCs w:val="24"/>
          <w:rtl w:val="0"/>
          <w:lang w:val="en-US"/>
        </w:rPr>
        <w:t>’</w:t>
      </w:r>
      <w:r>
        <w:rPr>
          <w:sz w:val="24"/>
          <w:szCs w:val="24"/>
          <w:rtl w:val="0"/>
          <w:lang w:val="en-US"/>
        </w:rPr>
        <w:t>s Successful Futures recommendations in Wales need to be paralleled by policy, effective school leadership and opportunities for substantial professional development that focuses on the roles of the teacher and learner.</w:t>
      </w:r>
    </w:p>
    <w:p>
      <w:pPr>
        <w:pStyle w:val="Body"/>
        <w:rPr>
          <w:sz w:val="24"/>
          <w:szCs w:val="24"/>
        </w:rPr>
      </w:pPr>
    </w:p>
    <w:p>
      <w:pPr>
        <w:pStyle w:val="Body"/>
        <w:rPr>
          <w:sz w:val="24"/>
          <w:szCs w:val="24"/>
        </w:rPr>
      </w:pPr>
      <w:r>
        <w:rPr>
          <w:sz w:val="24"/>
          <w:szCs w:val="24"/>
          <w:rtl w:val="0"/>
          <w:lang w:val="en-US"/>
        </w:rPr>
        <w:t xml:space="preserve">Stenhouse stated in 1975 that </w:t>
      </w:r>
      <w:r>
        <w:rPr>
          <w:rFonts w:hAnsi="Helvetica" w:hint="default"/>
          <w:sz w:val="24"/>
          <w:szCs w:val="24"/>
          <w:rtl w:val="0"/>
          <w:lang w:val="en-US"/>
        </w:rPr>
        <w:t>“</w:t>
      </w:r>
      <w:r>
        <w:rPr>
          <w:sz w:val="24"/>
          <w:szCs w:val="24"/>
          <w:rtl w:val="0"/>
          <w:lang w:val="en-US"/>
        </w:rPr>
        <w:t>There is no curriculum development without teacher development</w:t>
      </w:r>
      <w:r>
        <w:rPr>
          <w:rFonts w:hAnsi="Helvetica" w:hint="default"/>
          <w:sz w:val="24"/>
          <w:szCs w:val="24"/>
          <w:rtl w:val="0"/>
          <w:lang w:val="en-US"/>
        </w:rPr>
        <w:t xml:space="preserve">” </w:t>
      </w:r>
      <w:r>
        <w:rPr>
          <w:sz w:val="24"/>
          <w:szCs w:val="24"/>
          <w:rtl w:val="0"/>
          <w:lang w:val="en-US"/>
        </w:rPr>
        <w:t xml:space="preserve">thus emphasising the importance of the practitioner in the successful implementation of any new curriculum approach. Priestly and Minty finish their research with the following </w:t>
      </w:r>
      <w:r>
        <w:rPr>
          <w:rFonts w:hAnsi="Helvetica" w:hint="default"/>
          <w:sz w:val="24"/>
          <w:szCs w:val="24"/>
          <w:rtl w:val="0"/>
          <w:lang w:val="en-US"/>
        </w:rPr>
        <w:t>“</w:t>
      </w:r>
      <w:r>
        <w:rPr>
          <w:sz w:val="24"/>
          <w:szCs w:val="24"/>
          <w:rtl w:val="0"/>
          <w:lang w:val="en-US"/>
        </w:rPr>
        <w:t>In short, this is about creating a collegial culture where innovation is encouraged and where teachers are enabled to act as agents of change.</w:t>
      </w:r>
      <w:r>
        <w:rPr>
          <w:rFonts w:hAnsi="Helvetica" w:hint="default"/>
          <w:sz w:val="24"/>
          <w:szCs w:val="24"/>
          <w:rtl w:val="0"/>
          <w:lang w:val="en-US"/>
        </w:rPr>
        <w:t xml:space="preserve">” </w:t>
      </w:r>
      <w:r>
        <w:rPr>
          <w:sz w:val="24"/>
          <w:szCs w:val="24"/>
          <w:rtl w:val="0"/>
          <w:lang w:val="en-US"/>
        </w:rPr>
        <w:t>I believe that practitioners at the coalface need to believe in what they are delivering. They need to have confidence in their ability to enhance learning through real life opportunities outside of the classroom but most importantly, they need to be fully supported thought the implementation period and longer term. Just as education for the learners in dynamic, a teacher</w:t>
      </w:r>
      <w:r>
        <w:rPr>
          <w:rFonts w:hAnsi="Helvetica" w:hint="default"/>
          <w:sz w:val="24"/>
          <w:szCs w:val="24"/>
          <w:rtl w:val="0"/>
          <w:lang w:val="en-US"/>
        </w:rPr>
        <w:t>’</w:t>
      </w:r>
      <w:r>
        <w:rPr>
          <w:sz w:val="24"/>
          <w:szCs w:val="24"/>
          <w:rtl w:val="0"/>
          <w:lang w:val="en-US"/>
        </w:rPr>
        <w:t>s role and progression needs to be considered in the same vein.</w:t>
      </w:r>
    </w:p>
    <w:p>
      <w:pPr>
        <w:pStyle w:val="Body"/>
        <w:rPr>
          <w:sz w:val="24"/>
          <w:szCs w:val="24"/>
        </w:rPr>
      </w:pPr>
    </w:p>
    <w:p>
      <w:pPr>
        <w:pStyle w:val="Body"/>
        <w:rPr>
          <w:sz w:val="24"/>
          <w:szCs w:val="24"/>
        </w:rPr>
      </w:pPr>
      <w:r>
        <w:rPr>
          <w:sz w:val="24"/>
          <w:szCs w:val="24"/>
          <w:rtl w:val="0"/>
          <w:lang w:val="en-US"/>
        </w:rPr>
        <w:t>In addition to research conducted relating to education systems within the United Kingdom, consideration also needs to be given to international curricula that have been developed and undergone change or have proven highly successful through continued application.</w:t>
      </w:r>
    </w:p>
    <w:p>
      <w:pPr>
        <w:pStyle w:val="Body"/>
        <w:rPr>
          <w:sz w:val="24"/>
          <w:szCs w:val="24"/>
        </w:rPr>
      </w:pPr>
    </w:p>
    <w:p>
      <w:pPr>
        <w:pStyle w:val="Body"/>
        <w:rPr>
          <w:sz w:val="24"/>
          <w:szCs w:val="24"/>
        </w:rPr>
      </w:pPr>
      <w:r>
        <w:rPr>
          <w:sz w:val="24"/>
          <w:szCs w:val="24"/>
          <w:rtl w:val="0"/>
          <w:lang w:val="en-US"/>
        </w:rPr>
        <w:t xml:space="preserve">Singapore is widely recognised as a pillar of world education. It boasts a literacy rate of 94.6%, it was ranked first place in the recent PISA tests for English, Maths and Science, first place in the </w:t>
      </w:r>
      <w:r>
        <w:rPr>
          <w:sz w:val="24"/>
          <w:szCs w:val="24"/>
          <w:rtl w:val="0"/>
          <w:lang w:val="en-US"/>
        </w:rPr>
        <w:t>Trends in International Mathematics and Science Study</w:t>
      </w:r>
      <w:r>
        <w:rPr>
          <w:sz w:val="24"/>
          <w:szCs w:val="24"/>
          <w:rtl w:val="0"/>
          <w:lang w:val="en-US"/>
        </w:rPr>
        <w:t xml:space="preserve"> (TIMSS) in 1995</w:t>
      </w:r>
      <w:r>
        <w:rPr>
          <w:sz w:val="24"/>
          <w:szCs w:val="24"/>
          <w:rtl w:val="0"/>
          <w:lang w:val="en-US"/>
        </w:rPr>
        <w:t xml:space="preserve">, 1999 and 2003 </w:t>
      </w:r>
      <w:r>
        <w:rPr>
          <w:sz w:val="24"/>
          <w:szCs w:val="24"/>
          <w:rtl w:val="0"/>
          <w:lang w:val="en-US"/>
        </w:rPr>
        <w:t>and consistently outperforms other countries the world over in terms of examination results and achievements.</w:t>
      </w:r>
    </w:p>
    <w:p>
      <w:pPr>
        <w:pStyle w:val="Body"/>
        <w:rPr>
          <w:sz w:val="24"/>
          <w:szCs w:val="24"/>
        </w:rPr>
      </w:pPr>
    </w:p>
    <w:p>
      <w:pPr>
        <w:pStyle w:val="Body"/>
        <w:rPr>
          <w:sz w:val="24"/>
          <w:szCs w:val="24"/>
        </w:rPr>
      </w:pPr>
      <w:r>
        <w:rPr>
          <w:sz w:val="24"/>
          <w:szCs w:val="24"/>
          <w:rtl w:val="0"/>
          <w:lang w:val="en-US"/>
        </w:rPr>
        <w:t>Following its independence in 1965, education has featured predominantly as a core aspect of Singaporean society. With a lack of natural resources there was clearly a need to drive towards creating a knowledge based economy that would enable self survival as a new nation that could thrive on its own accord. I believe that this is becoming more common across smaller nations, even ones with an established society and workplace.</w:t>
      </w:r>
    </w:p>
    <w:p>
      <w:pPr>
        <w:pStyle w:val="Body"/>
        <w:rPr>
          <w:sz w:val="24"/>
          <w:szCs w:val="24"/>
        </w:rPr>
      </w:pPr>
    </w:p>
    <w:p>
      <w:pPr>
        <w:pStyle w:val="Body"/>
        <w:rPr>
          <w:sz w:val="24"/>
          <w:szCs w:val="24"/>
        </w:rPr>
      </w:pPr>
      <w:r>
        <w:rPr>
          <w:sz w:val="24"/>
          <w:szCs w:val="24"/>
          <w:rtl w:val="0"/>
          <w:lang w:val="en-US"/>
        </w:rPr>
        <w:t>The biggest change to the eduction system and curriculum in Singapore came in 1997 with the introduction of Prime Minister Goh Chok Tong</w:t>
      </w:r>
      <w:r>
        <w:rPr>
          <w:rFonts w:hAnsi="Helvetica" w:hint="default"/>
          <w:sz w:val="24"/>
          <w:szCs w:val="24"/>
          <w:rtl w:val="0"/>
          <w:lang w:val="en-US"/>
        </w:rPr>
        <w:t>’</w:t>
      </w:r>
      <w:r>
        <w:rPr>
          <w:sz w:val="24"/>
          <w:szCs w:val="24"/>
          <w:rtl w:val="0"/>
          <w:lang w:val="en-US"/>
        </w:rPr>
        <w:t xml:space="preserve">s </w:t>
      </w:r>
      <w:r>
        <w:rPr>
          <w:rFonts w:hAnsi="Helvetica" w:hint="default"/>
          <w:sz w:val="24"/>
          <w:szCs w:val="24"/>
          <w:rtl w:val="0"/>
          <w:lang w:val="en-US"/>
        </w:rPr>
        <w:t>‘</w:t>
      </w:r>
      <w:r>
        <w:rPr>
          <w:sz w:val="24"/>
          <w:szCs w:val="24"/>
          <w:rtl w:val="0"/>
          <w:lang w:val="en-US"/>
        </w:rPr>
        <w:t>Thinking Schools, Learning Nations</w:t>
      </w:r>
      <w:r>
        <w:rPr>
          <w:rFonts w:hAnsi="Helvetica" w:hint="default"/>
          <w:sz w:val="24"/>
          <w:szCs w:val="24"/>
          <w:rtl w:val="0"/>
          <w:lang w:val="en-US"/>
        </w:rPr>
        <w:t xml:space="preserve">’ </w:t>
      </w:r>
      <w:r>
        <w:rPr>
          <w:sz w:val="24"/>
          <w:szCs w:val="24"/>
          <w:rtl w:val="0"/>
          <w:lang w:val="en-US"/>
        </w:rPr>
        <w:t>vision. The result of this was a broader curriculum with focus on collaboration, creativity, thinking and, most significantly at the time, ICT competency. Establishments were encouraged to agree their own curriculum and given greater autonomy in specialising where appropriate. It it clear that although this change happened over 20 years ago, comparisons can be made to Successful Futures when considering the backbone of the new curriculum for them at the time.</w:t>
      </w:r>
    </w:p>
    <w:p>
      <w:pPr>
        <w:pStyle w:val="Body"/>
        <w:rPr>
          <w:sz w:val="24"/>
          <w:szCs w:val="24"/>
        </w:rPr>
      </w:pPr>
    </w:p>
    <w:p>
      <w:pPr>
        <w:pStyle w:val="Body"/>
        <w:rPr>
          <w:sz w:val="24"/>
          <w:szCs w:val="24"/>
        </w:rPr>
      </w:pPr>
      <w:r>
        <w:rPr>
          <w:sz w:val="24"/>
          <w:szCs w:val="24"/>
          <w:rtl w:val="0"/>
          <w:lang w:val="en-US"/>
        </w:rPr>
        <w:t>Despite the support of these educational ideas, the Singaporean system openly emphasises the credence it gives to academic performance. There have been criticisms of the nature of this in breeding academic elitism for the most privileged and creating a gap between those considered most able and their peers. I have no objection to celebrating achievements and creating a system that evidently supports the society for which it is preparing its learners, but to balance the academic achievements of students alongside a system that should be creative and collaborative is a difficulty I disapprove of.</w:t>
      </w:r>
    </w:p>
    <w:p>
      <w:pPr>
        <w:pStyle w:val="Body"/>
        <w:rPr>
          <w:sz w:val="24"/>
          <w:szCs w:val="24"/>
        </w:rPr>
      </w:pPr>
    </w:p>
    <w:p>
      <w:pPr>
        <w:pStyle w:val="Body"/>
        <w:rPr>
          <w:sz w:val="24"/>
          <w:szCs w:val="24"/>
        </w:rPr>
      </w:pPr>
      <w:r>
        <w:rPr>
          <w:sz w:val="24"/>
          <w:szCs w:val="24"/>
          <w:rtl w:val="0"/>
          <w:lang w:val="en-US"/>
        </w:rPr>
        <w:t>Streaming based on overall academic performance is widely adopted in classrooms in Singapore. Although I acknowledge the benefits to teaching to a group that is more similar in its abilities, I would argue that the most able learners would not be challenged and those with greatest need for support risk being failed as the teacher drives the standard for the majority. There is a known stigma attached to setting and streaming, I am therefore in support of the fact that these approaches are currently being reviews in Singapore.</w:t>
      </w:r>
    </w:p>
    <w:p>
      <w:pPr>
        <w:pStyle w:val="Body"/>
        <w:rPr>
          <w:sz w:val="24"/>
          <w:szCs w:val="24"/>
        </w:rPr>
      </w:pPr>
    </w:p>
    <w:p>
      <w:pPr>
        <w:pStyle w:val="Body"/>
        <w:rPr>
          <w:sz w:val="24"/>
          <w:szCs w:val="24"/>
        </w:rPr>
      </w:pPr>
      <w:r>
        <w:rPr>
          <w:sz w:val="24"/>
          <w:szCs w:val="24"/>
          <w:rtl w:val="0"/>
          <w:lang w:val="en-US"/>
        </w:rPr>
        <w:t xml:space="preserve">The country has inevitably proven itself. The education system is one of efficiency in excelling at high academic levels. I agree that this is well suited to the society it serves but in my opinion, its inability to truly follow the </w:t>
      </w:r>
      <w:r>
        <w:rPr>
          <w:rFonts w:hAnsi="Helvetica" w:hint="default"/>
          <w:sz w:val="24"/>
          <w:szCs w:val="24"/>
          <w:rtl w:val="0"/>
          <w:lang w:val="en-US"/>
        </w:rPr>
        <w:t>‘</w:t>
      </w:r>
      <w:r>
        <w:rPr>
          <w:sz w:val="24"/>
          <w:szCs w:val="24"/>
          <w:rtl w:val="0"/>
          <w:lang w:val="en-US"/>
        </w:rPr>
        <w:t>Thinking Schools, Learning Nations</w:t>
      </w:r>
      <w:r>
        <w:rPr>
          <w:rFonts w:hAnsi="Helvetica" w:hint="default"/>
          <w:sz w:val="24"/>
          <w:szCs w:val="24"/>
          <w:rtl w:val="0"/>
          <w:lang w:val="en-US"/>
        </w:rPr>
        <w:t xml:space="preserve">’ </w:t>
      </w:r>
      <w:r>
        <w:rPr>
          <w:sz w:val="24"/>
          <w:szCs w:val="24"/>
          <w:rtl w:val="0"/>
          <w:lang w:val="en-US"/>
        </w:rPr>
        <w:t>model and put more emphasis on holistic, broad skilled citizens, is one that would not suit our current position in Wales.</w:t>
      </w:r>
    </w:p>
    <w:p>
      <w:pPr>
        <w:pStyle w:val="Body"/>
        <w:rPr>
          <w:sz w:val="24"/>
          <w:szCs w:val="24"/>
        </w:rPr>
      </w:pPr>
    </w:p>
    <w:p>
      <w:pPr>
        <w:pStyle w:val="Default"/>
        <w:bidi w:val="0"/>
        <w:ind w:left="0" w:right="0" w:firstLine="0"/>
        <w:jc w:val="left"/>
        <w:rPr>
          <w:color w:val="222222"/>
          <w:sz w:val="24"/>
          <w:szCs w:val="24"/>
          <w:rtl w:val="0"/>
        </w:rPr>
      </w:pPr>
      <w:r>
        <w:rPr>
          <w:rFonts w:ascii="Helvetica"/>
          <w:color w:val="222222"/>
          <w:sz w:val="24"/>
          <w:szCs w:val="24"/>
          <w:rtl w:val="0"/>
          <w:lang w:val="en-US"/>
        </w:rPr>
        <w:t>The province of British Columbia (B.C.) in the west of Canada began their journey to transform their approach to education and ultimately adapt their curriculum in readiness for the 21st Century world their learners were entering. The program of change began in 2010 and it was agreed from the outset, that in order to be successful, time was to be spent to thoroughly scrutinise, trial and evaluate the most effective approaches.</w:t>
      </w:r>
    </w:p>
    <w:p>
      <w:pPr>
        <w:pStyle w:val="Body"/>
        <w:rPr>
          <w:sz w:val="24"/>
          <w:szCs w:val="24"/>
        </w:rPr>
      </w:pPr>
    </w:p>
    <w:p>
      <w:pPr>
        <w:pStyle w:val="Body"/>
        <w:rPr>
          <w:sz w:val="24"/>
          <w:szCs w:val="24"/>
        </w:rPr>
      </w:pPr>
      <w:r>
        <w:rPr>
          <w:rFonts w:hAnsi="Helvetica" w:hint="default"/>
          <w:sz w:val="24"/>
          <w:szCs w:val="24"/>
          <w:rtl w:val="0"/>
          <w:lang w:val="en-US"/>
        </w:rPr>
        <w:t>“</w:t>
      </w:r>
      <w:r>
        <w:rPr>
          <w:sz w:val="24"/>
          <w:szCs w:val="24"/>
          <w:rtl w:val="0"/>
          <w:lang w:val="en-US"/>
        </w:rPr>
        <w:t>T</w:t>
      </w:r>
      <w:r>
        <w:rPr>
          <w:sz w:val="24"/>
          <w:szCs w:val="24"/>
          <w:rtl w:val="0"/>
          <w:lang w:val="en-US"/>
        </w:rPr>
        <w:t>he Province used a variety of processes to consult broadly and gather advice about the best direction to take. There have been formal and informal consultations with provincial partners, school district-hosted sessions with local stakeholders, provincial and regional conferences and meetings, conversations with international experts, and online dialogue.</w:t>
      </w:r>
      <w:r>
        <w:rPr>
          <w:rFonts w:hAnsi="Helvetica" w:hint="default"/>
          <w:sz w:val="24"/>
          <w:szCs w:val="24"/>
          <w:rtl w:val="0"/>
          <w:lang w:val="en-US"/>
        </w:rPr>
        <w:t>”</w:t>
      </w:r>
    </w:p>
    <w:p>
      <w:pPr>
        <w:pStyle w:val="Body"/>
        <w:rPr>
          <w:sz w:val="24"/>
          <w:szCs w:val="24"/>
        </w:rPr>
      </w:pPr>
    </w:p>
    <w:p>
      <w:pPr>
        <w:pStyle w:val="Body"/>
        <w:rPr>
          <w:sz w:val="24"/>
          <w:szCs w:val="24"/>
        </w:rPr>
      </w:pPr>
      <w:r>
        <w:rPr>
          <w:sz w:val="24"/>
          <w:szCs w:val="24"/>
          <w:rtl w:val="0"/>
          <w:lang w:val="en-US"/>
        </w:rPr>
        <w:t>The developers of the new curriculum built on the best practices that were common in the province then further extended their inquiries into other parts of Canada and the wider world. By August 2012 12 regional working sessions had been organised as an opportunity for participants in the advisory group to feedback their findings so far. This is something I feel that Wales has yet to conduct effectively. B.C. did not simply take one piece of research on face value, but instead tasked those in charge of the planning and delivery of the curriculum at the coal face to be involved from the outset.</w:t>
      </w:r>
    </w:p>
    <w:p>
      <w:pPr>
        <w:pStyle w:val="Body"/>
        <w:rPr>
          <w:sz w:val="24"/>
          <w:szCs w:val="24"/>
        </w:rPr>
      </w:pPr>
    </w:p>
    <w:p>
      <w:pPr>
        <w:pStyle w:val="Body"/>
        <w:rPr>
          <w:sz w:val="24"/>
          <w:szCs w:val="24"/>
        </w:rPr>
      </w:pPr>
      <w:r>
        <w:rPr>
          <w:sz w:val="24"/>
          <w:szCs w:val="24"/>
          <w:rtl w:val="0"/>
          <w:lang w:val="en-US"/>
        </w:rPr>
        <w:t xml:space="preserve">The initial consultations led to an agreed draft of </w:t>
      </w:r>
      <w:r>
        <w:rPr>
          <w:rFonts w:hAnsi="Helvetica" w:hint="default"/>
          <w:sz w:val="24"/>
          <w:szCs w:val="24"/>
          <w:rtl w:val="0"/>
          <w:lang w:val="en-US"/>
        </w:rPr>
        <w:t>“</w:t>
      </w:r>
      <w:r>
        <w:rPr>
          <w:sz w:val="24"/>
          <w:szCs w:val="24"/>
          <w:rtl w:val="0"/>
          <w:lang w:val="en-US"/>
        </w:rPr>
        <w:t xml:space="preserve">guiding principles </w:t>
      </w:r>
      <w:r>
        <w:rPr>
          <w:sz w:val="24"/>
          <w:szCs w:val="24"/>
          <w:rtl w:val="0"/>
          <w:lang w:val="en-US"/>
        </w:rPr>
        <w:t>for the future development of provincial curricula designed to be concept-based and</w:t>
      </w:r>
      <w:r>
        <w:rPr>
          <w:sz w:val="24"/>
          <w:szCs w:val="24"/>
          <w:rtl w:val="0"/>
          <w:lang w:val="en-US"/>
        </w:rPr>
        <w:t xml:space="preserve"> competency driven.</w:t>
      </w:r>
      <w:r>
        <w:rPr>
          <w:rFonts w:hAnsi="Helvetica" w:hint="default"/>
          <w:sz w:val="24"/>
          <w:szCs w:val="24"/>
          <w:rtl w:val="0"/>
          <w:lang w:val="en-US"/>
        </w:rPr>
        <w:t xml:space="preserve">” </w:t>
      </w:r>
      <w:r>
        <w:rPr>
          <w:sz w:val="24"/>
          <w:szCs w:val="24"/>
          <w:rtl w:val="0"/>
          <w:lang w:val="en-US"/>
        </w:rPr>
        <w:t>(Exploring Curriculum Design, Ministry of Education Canada, 2013). I have noted many similarities in the initial list of principles that run parallel to the recommendations in Donaldson</w:t>
      </w:r>
      <w:r>
        <w:rPr>
          <w:rFonts w:hAnsi="Helvetica" w:hint="default"/>
          <w:sz w:val="24"/>
          <w:szCs w:val="24"/>
          <w:rtl w:val="0"/>
          <w:lang w:val="en-US"/>
        </w:rPr>
        <w:t>’</w:t>
      </w:r>
      <w:r>
        <w:rPr>
          <w:sz w:val="24"/>
          <w:szCs w:val="24"/>
          <w:rtl w:val="0"/>
          <w:lang w:val="en-US"/>
        </w:rPr>
        <w:t xml:space="preserve">s Successful Futures. There is mention of the need for a more flexible curriculum and the reduction of the prescriptive nature of standalone subjects. According to the article they agreed there should be an emphasis on the </w:t>
      </w:r>
      <w:r>
        <w:rPr>
          <w:rFonts w:hAnsi="Helvetica" w:hint="default"/>
          <w:sz w:val="24"/>
          <w:szCs w:val="24"/>
          <w:rtl w:val="0"/>
          <w:lang w:val="en-US"/>
        </w:rPr>
        <w:t>‘</w:t>
      </w:r>
      <w:r>
        <w:rPr>
          <w:sz w:val="24"/>
          <w:szCs w:val="24"/>
          <w:rtl w:val="0"/>
          <w:lang w:val="en-US"/>
        </w:rPr>
        <w:t>big ideas</w:t>
      </w:r>
      <w:r>
        <w:rPr>
          <w:rFonts w:hAnsi="Helvetica" w:hint="default"/>
          <w:sz w:val="24"/>
          <w:szCs w:val="24"/>
          <w:rtl w:val="0"/>
          <w:lang w:val="en-US"/>
        </w:rPr>
        <w:t xml:space="preserve">’ </w:t>
      </w:r>
      <w:r>
        <w:rPr>
          <w:sz w:val="24"/>
          <w:szCs w:val="24"/>
          <w:rtl w:val="0"/>
          <w:lang w:val="en-US"/>
        </w:rPr>
        <w:t>and higher order learning in addition to more cross curricula competencies. It is reassuring, I feel, that this type of thinking is becoming more common throughout the world of education. The parallels to the theories that we are striving to put into practice in Wales have been successfully realised in Canada and beyond.</w:t>
      </w:r>
    </w:p>
    <w:p>
      <w:pPr>
        <w:pStyle w:val="Body"/>
        <w:rPr>
          <w:sz w:val="24"/>
          <w:szCs w:val="24"/>
        </w:rPr>
      </w:pPr>
    </w:p>
    <w:p>
      <w:pPr>
        <w:pStyle w:val="Body"/>
        <w:rPr>
          <w:sz w:val="24"/>
          <w:szCs w:val="24"/>
        </w:rPr>
      </w:pPr>
      <w:r>
        <w:rPr>
          <w:sz w:val="24"/>
          <w:szCs w:val="24"/>
          <w:rtl w:val="0"/>
          <w:lang w:val="en-US"/>
        </w:rPr>
        <w:t>The development and trials of the new curriculum in B.C. were carried out at an early stage. The difficulty was when and how to best consider assessment and and reporting at a provincial level. This was acknowledged as a sticking point, and one I believe that Wales will face throughout the development of our new curriculum. In Wales, consideration of whether assessment will follow the formal levelling we have become anchored upon, or whether more emphasis will be put on smaller steps of achievement linked to skills as opposed to knowledge. Although all support documents indicate the need for this change, the reality of this happening overnight and with immediate effect of the Successful Futures being nationally implemented will remain to be seen.</w:t>
      </w:r>
    </w:p>
    <w:p>
      <w:pPr>
        <w:pStyle w:val="Body"/>
        <w:rPr>
          <w:sz w:val="24"/>
          <w:szCs w:val="24"/>
        </w:rPr>
      </w:pPr>
    </w:p>
    <w:p>
      <w:pPr>
        <w:pStyle w:val="Body"/>
        <w:rPr>
          <w:sz w:val="24"/>
          <w:szCs w:val="24"/>
        </w:rPr>
      </w:pPr>
      <w:r>
        <w:rPr>
          <w:sz w:val="24"/>
          <w:szCs w:val="24"/>
          <w:rtl w:val="0"/>
          <w:lang w:val="en-US"/>
        </w:rPr>
        <w:t xml:space="preserve">By the end of 2014 the Curriculum Redesign Update was published. In the short run there were many positives and a general acceptance of the new curriculum that was being trailed and developed, but I appreciate the realism in the document where longer term plans were indicated. This approach to openness of issues that had arisen during the trial ensured that all stakeholders could make moves to address them in their own setting. I believe the importance of </w:t>
      </w:r>
      <w:r>
        <w:rPr>
          <w:rFonts w:hAnsi="Helvetica" w:hint="default"/>
          <w:sz w:val="24"/>
          <w:szCs w:val="24"/>
          <w:rtl w:val="0"/>
          <w:lang w:val="en-US"/>
        </w:rPr>
        <w:t>‘</w:t>
      </w:r>
      <w:r>
        <w:rPr>
          <w:sz w:val="24"/>
          <w:szCs w:val="24"/>
          <w:rtl w:val="0"/>
          <w:lang w:val="en-US"/>
        </w:rPr>
        <w:t>buy in</w:t>
      </w:r>
      <w:r>
        <w:rPr>
          <w:rFonts w:hAnsi="Helvetica" w:hint="default"/>
          <w:sz w:val="24"/>
          <w:szCs w:val="24"/>
          <w:rtl w:val="0"/>
          <w:lang w:val="en-US"/>
        </w:rPr>
        <w:t xml:space="preserve">’ </w:t>
      </w:r>
      <w:r>
        <w:rPr>
          <w:sz w:val="24"/>
          <w:szCs w:val="24"/>
          <w:rtl w:val="0"/>
          <w:lang w:val="en-US"/>
        </w:rPr>
        <w:t>by professionals is paramount. Initial issues were similar to those mentioned by Pioneer schools in Wales over the past year, for example B.C set action points to:</w:t>
      </w:r>
    </w:p>
    <w:p>
      <w:pPr>
        <w:pStyle w:val="Body"/>
        <w:rPr>
          <w:sz w:val="24"/>
          <w:szCs w:val="24"/>
        </w:rPr>
      </w:pPr>
    </w:p>
    <w:p>
      <w:pPr>
        <w:pStyle w:val="Body"/>
        <w:numPr>
          <w:ilvl w:val="0"/>
          <w:numId w:val="2"/>
        </w:numPr>
        <w:ind w:left="196"/>
        <w:rPr>
          <w:position w:val="-2"/>
          <w:sz w:val="24"/>
          <w:szCs w:val="24"/>
        </w:rPr>
      </w:pPr>
      <w:r>
        <w:rPr>
          <w:rFonts w:hAnsi="Helvetica" w:hint="default"/>
          <w:sz w:val="24"/>
          <w:szCs w:val="24"/>
          <w:rtl w:val="0"/>
          <w:lang w:val="en-US"/>
        </w:rPr>
        <w:t>“</w:t>
      </w:r>
      <w:r>
        <w:rPr>
          <w:sz w:val="24"/>
          <w:szCs w:val="24"/>
          <w:rtl w:val="0"/>
          <w:lang w:val="en-US"/>
        </w:rPr>
        <w:t>Ensure that learning standards and/or their extensions and examples support place-based learning</w:t>
      </w:r>
      <w:r>
        <w:rPr>
          <w:sz w:val="24"/>
          <w:szCs w:val="24"/>
          <w:rtl w:val="0"/>
          <w:lang w:val="en-US"/>
        </w:rPr>
        <w:t>.</w:t>
      </w:r>
    </w:p>
    <w:p>
      <w:pPr>
        <w:pStyle w:val="Body"/>
        <w:numPr>
          <w:ilvl w:val="0"/>
          <w:numId w:val="3"/>
        </w:numPr>
        <w:ind w:left="196"/>
        <w:rPr>
          <w:position w:val="-2"/>
          <w:sz w:val="24"/>
          <w:szCs w:val="24"/>
        </w:rPr>
      </w:pPr>
      <w:r>
        <w:rPr>
          <w:sz w:val="24"/>
          <w:szCs w:val="24"/>
          <w:rtl w:val="0"/>
          <w:lang w:val="en-US"/>
        </w:rPr>
        <w:t>Ensure that learning standards and big ideas support active, experiential learning</w:t>
      </w:r>
      <w:r>
        <w:rPr>
          <w:sz w:val="24"/>
          <w:szCs w:val="24"/>
          <w:rtl w:val="0"/>
          <w:lang w:val="en-US"/>
        </w:rPr>
        <w:t>.</w:t>
      </w:r>
    </w:p>
    <w:p>
      <w:pPr>
        <w:pStyle w:val="Body"/>
        <w:numPr>
          <w:ilvl w:val="0"/>
          <w:numId w:val="4"/>
        </w:numPr>
        <w:ind w:left="196"/>
        <w:rPr>
          <w:position w:val="-2"/>
          <w:sz w:val="24"/>
          <w:szCs w:val="24"/>
        </w:rPr>
      </w:pPr>
      <w:r>
        <w:rPr>
          <w:sz w:val="24"/>
          <w:szCs w:val="24"/>
          <w:rtl w:val="0"/>
          <w:lang w:val="en-US"/>
        </w:rPr>
        <w:t xml:space="preserve">Ensure developmental appropriateness </w:t>
      </w:r>
    </w:p>
    <w:p>
      <w:pPr>
        <w:pStyle w:val="Body"/>
        <w:numPr>
          <w:ilvl w:val="0"/>
          <w:numId w:val="5"/>
        </w:numPr>
        <w:ind w:left="196"/>
        <w:rPr>
          <w:position w:val="-2"/>
          <w:sz w:val="24"/>
          <w:szCs w:val="24"/>
        </w:rPr>
      </w:pPr>
      <w:r>
        <w:rPr>
          <w:sz w:val="24"/>
          <w:szCs w:val="24"/>
          <w:rtl w:val="0"/>
          <w:lang w:val="en-US"/>
        </w:rPr>
        <w:t>Provide supports, including instructional and assessment-related examples and cross-curricular learning suggestions</w:t>
      </w:r>
      <w:r>
        <w:rPr>
          <w:sz w:val="24"/>
          <w:szCs w:val="24"/>
          <w:rtl w:val="0"/>
          <w:lang w:val="en-US"/>
        </w:rPr>
        <w:t>.</w:t>
      </w:r>
      <w:r>
        <w:rPr>
          <w:rFonts w:hAnsi="Helvetica" w:hint="default"/>
          <w:sz w:val="24"/>
          <w:szCs w:val="24"/>
          <w:rtl w:val="0"/>
          <w:lang w:val="en-US"/>
        </w:rPr>
        <w:t>”</w:t>
      </w:r>
    </w:p>
    <w:p>
      <w:pPr>
        <w:pStyle w:val="Body"/>
        <w:rPr>
          <w:sz w:val="24"/>
          <w:szCs w:val="24"/>
        </w:rPr>
      </w:pPr>
      <w:r>
        <w:rPr>
          <w:sz w:val="24"/>
          <w:szCs w:val="24"/>
          <w:rtl w:val="0"/>
        </w:rPr>
        <w:tab/>
        <w:tab/>
        <w:tab/>
        <w:t>(Curriculum Design Update, Ministry of Education B.C. 2014)</w:t>
      </w:r>
    </w:p>
    <w:p>
      <w:pPr>
        <w:pStyle w:val="Body"/>
        <w:rPr>
          <w:sz w:val="24"/>
          <w:szCs w:val="24"/>
        </w:rPr>
      </w:pPr>
    </w:p>
    <w:p>
      <w:pPr>
        <w:pStyle w:val="Body"/>
        <w:rPr>
          <w:sz w:val="24"/>
          <w:szCs w:val="24"/>
        </w:rPr>
      </w:pPr>
      <w:r>
        <w:rPr>
          <w:sz w:val="24"/>
          <w:szCs w:val="24"/>
          <w:rtl w:val="0"/>
          <w:lang w:val="en-US"/>
        </w:rPr>
        <w:t xml:space="preserve">Following this the curriculum was put into wider practice. The ethos of the curriculum is based around the </w:t>
      </w:r>
      <w:r>
        <w:rPr>
          <w:rFonts w:hAnsi="Helvetica" w:hint="default"/>
          <w:sz w:val="24"/>
          <w:szCs w:val="24"/>
          <w:rtl w:val="0"/>
          <w:lang w:val="en-US"/>
        </w:rPr>
        <w:t>“</w:t>
      </w:r>
      <w:r>
        <w:rPr>
          <w:sz w:val="24"/>
          <w:szCs w:val="24"/>
          <w:rtl w:val="0"/>
          <w:lang w:val="en-US"/>
        </w:rPr>
        <w:t>Know-Do-Undertand</w:t>
      </w:r>
      <w:r>
        <w:rPr>
          <w:rFonts w:hAnsi="Helvetica" w:hint="default"/>
          <w:sz w:val="24"/>
          <w:szCs w:val="24"/>
          <w:rtl w:val="0"/>
          <w:lang w:val="en-US"/>
        </w:rPr>
        <w:t xml:space="preserve">” </w:t>
      </w:r>
      <w:r>
        <w:rPr>
          <w:sz w:val="24"/>
          <w:szCs w:val="24"/>
          <w:rtl w:val="0"/>
          <w:lang w:val="en-US"/>
        </w:rPr>
        <w:t>concept. This essentially builds equally on knowledge of essential topics and ideas, skills and strategies to drive one</w:t>
      </w:r>
      <w:r>
        <w:rPr>
          <w:rFonts w:hAnsi="Helvetica" w:hint="default"/>
          <w:sz w:val="24"/>
          <w:szCs w:val="24"/>
          <w:rtl w:val="0"/>
          <w:lang w:val="en-US"/>
        </w:rPr>
        <w:t>’</w:t>
      </w:r>
      <w:r>
        <w:rPr>
          <w:sz w:val="24"/>
          <w:szCs w:val="24"/>
          <w:rtl w:val="0"/>
          <w:lang w:val="en-US"/>
        </w:rPr>
        <w:t xml:space="preserve">s own learning and development, and finally, the </w:t>
      </w:r>
      <w:r>
        <w:rPr>
          <w:rFonts w:hAnsi="Helvetica" w:hint="default"/>
          <w:sz w:val="24"/>
          <w:szCs w:val="24"/>
          <w:rtl w:val="0"/>
          <w:lang w:val="en-US"/>
        </w:rPr>
        <w:t>‘</w:t>
      </w:r>
      <w:r>
        <w:rPr>
          <w:sz w:val="24"/>
          <w:szCs w:val="24"/>
          <w:rtl w:val="0"/>
          <w:lang w:val="en-US"/>
        </w:rPr>
        <w:t>big ideas</w:t>
      </w:r>
      <w:r>
        <w:rPr>
          <w:rFonts w:hAnsi="Helvetica" w:hint="default"/>
          <w:sz w:val="24"/>
          <w:szCs w:val="24"/>
          <w:rtl w:val="0"/>
          <w:lang w:val="en-US"/>
        </w:rPr>
        <w:t xml:space="preserve">’ </w:t>
      </w:r>
      <w:r>
        <w:rPr>
          <w:sz w:val="24"/>
          <w:szCs w:val="24"/>
          <w:rtl w:val="0"/>
          <w:lang w:val="en-US"/>
        </w:rPr>
        <w:t>of realising how their knowledge and skills can be aligned for use in real world and situations that matter.</w:t>
      </w:r>
    </w:p>
    <w:p>
      <w:pPr>
        <w:pStyle w:val="Body"/>
        <w:rPr>
          <w:sz w:val="24"/>
          <w:szCs w:val="24"/>
        </w:rPr>
      </w:pPr>
    </w:p>
    <w:p>
      <w:pPr>
        <w:pStyle w:val="Body"/>
        <w:rPr>
          <w:sz w:val="24"/>
          <w:szCs w:val="24"/>
        </w:rPr>
      </w:pPr>
      <w:r>
        <w:rPr>
          <w:sz w:val="24"/>
          <w:szCs w:val="24"/>
          <w:rtl w:val="0"/>
          <w:lang w:val="en-US"/>
        </w:rPr>
        <w:t>The data collected along the journey of development for the B.C. curriculum has been heavily based on qualitative responses rather than quantitative. The difficulty with this is that interpretations can skew opinions of success. However, I realise that in a province that is striving to remove the attachment and dependency on formal assessment, the wider collection of data to prove if the curriculum works or not, for this purpose, would have been counteractive. Although not data specific, it is also worth noting that Canada spends 5.4% of its GDP on education compared to 4.4% in Wales, therefore funding differences should be considered when comparing the implementation of the new curriculum in B.C. and the changing face of education in Wales. Commendation must also be given to Canada for its 2015 PISA results that rank the country in the Top 10 in the world for Science, English and Maths. B.C. cannot take credit for the nationwide success but if the the attitude and ethos of education is similar across other provinces then it can be concluded that the redesigned, skills based curriculum may have impacted and will continue to support this success.</w:t>
      </w:r>
    </w:p>
    <w:p>
      <w:pPr>
        <w:pStyle w:val="Body"/>
        <w:rPr>
          <w:sz w:val="24"/>
          <w:szCs w:val="24"/>
        </w:rPr>
      </w:pPr>
    </w:p>
    <w:p>
      <w:pPr>
        <w:pStyle w:val="Body"/>
        <w:rPr>
          <w:sz w:val="24"/>
          <w:szCs w:val="24"/>
        </w:rPr>
      </w:pPr>
      <w:r>
        <w:rPr>
          <w:sz w:val="24"/>
          <w:szCs w:val="24"/>
          <w:rtl w:val="0"/>
          <w:lang w:val="en-US"/>
        </w:rPr>
        <w:t>In summary, I believe the strongest features of B.C.</w:t>
      </w:r>
      <w:r>
        <w:rPr>
          <w:rFonts w:hAnsi="Helvetica" w:hint="default"/>
          <w:sz w:val="24"/>
          <w:szCs w:val="24"/>
          <w:rtl w:val="0"/>
          <w:lang w:val="en-US"/>
        </w:rPr>
        <w:t>’</w:t>
      </w:r>
      <w:r>
        <w:rPr>
          <w:sz w:val="24"/>
          <w:szCs w:val="24"/>
          <w:rtl w:val="0"/>
          <w:lang w:val="en-US"/>
        </w:rPr>
        <w:t>s new curriculum is the belief that learners will become educated citizens. From a practitioner</w:t>
      </w:r>
      <w:r>
        <w:rPr>
          <w:rFonts w:hAnsi="Helvetica" w:hint="default"/>
          <w:sz w:val="24"/>
          <w:szCs w:val="24"/>
          <w:rtl w:val="0"/>
          <w:lang w:val="en-US"/>
        </w:rPr>
        <w:t>’</w:t>
      </w:r>
      <w:r>
        <w:rPr>
          <w:sz w:val="24"/>
          <w:szCs w:val="24"/>
          <w:rtl w:val="0"/>
          <w:lang w:val="en-US"/>
        </w:rPr>
        <w:t xml:space="preserve">s point of view, the flexibility and opportunity to teach real life skills is refreshing but somewhat daunting. Teachers are tasked with </w:t>
      </w:r>
      <w:r>
        <w:rPr>
          <w:sz w:val="24"/>
          <w:szCs w:val="24"/>
          <w:rtl w:val="0"/>
          <w:lang w:val="en-US"/>
        </w:rPr>
        <w:t>develop</w:t>
      </w:r>
      <w:r>
        <w:rPr>
          <w:sz w:val="24"/>
          <w:szCs w:val="24"/>
          <w:rtl w:val="0"/>
          <w:lang w:val="en-US"/>
        </w:rPr>
        <w:t xml:space="preserve">ing </w:t>
      </w:r>
      <w:r>
        <w:rPr>
          <w:sz w:val="24"/>
          <w:szCs w:val="24"/>
          <w:rtl w:val="0"/>
        </w:rPr>
        <w:t>co</w:t>
      </w:r>
      <w:r>
        <w:rPr>
          <w:sz w:val="24"/>
          <w:szCs w:val="24"/>
          <w:rtl w:val="0"/>
          <w:lang w:val="en-US"/>
        </w:rPr>
        <w:t>mpetencies and skills that</w:t>
      </w:r>
      <w:r>
        <w:rPr>
          <w:sz w:val="24"/>
          <w:szCs w:val="24"/>
          <w:rtl w:val="0"/>
        </w:rPr>
        <w:t xml:space="preserve"> </w:t>
      </w:r>
      <w:r>
        <w:rPr>
          <w:sz w:val="24"/>
          <w:szCs w:val="24"/>
          <w:rtl w:val="0"/>
          <w:lang w:val="en-US"/>
        </w:rPr>
        <w:t>f</w:t>
      </w:r>
      <w:r>
        <w:rPr>
          <w:sz w:val="24"/>
          <w:szCs w:val="24"/>
          <w:rtl w:val="0"/>
          <w:lang w:val="nl-NL"/>
        </w:rPr>
        <w:t>oster deeper</w:t>
      </w:r>
      <w:r>
        <w:rPr>
          <w:sz w:val="24"/>
          <w:szCs w:val="24"/>
          <w:rtl w:val="0"/>
          <w:lang w:val="en-US"/>
        </w:rPr>
        <w:t>,</w:t>
      </w:r>
      <w:r>
        <w:rPr>
          <w:sz w:val="24"/>
          <w:szCs w:val="24"/>
          <w:rtl w:val="0"/>
          <w:lang w:val="en-US"/>
        </w:rPr>
        <w:t xml:space="preserve"> transferable learning</w:t>
      </w:r>
      <w:r>
        <w:rPr>
          <w:sz w:val="24"/>
          <w:szCs w:val="24"/>
          <w:rtl w:val="0"/>
          <w:lang w:val="en-US"/>
        </w:rPr>
        <w:t>. It is likely that Wales can succeed in a similar way to B.C. if the curriculum we implement is one of dynamism and has relevance to the group of learners we are delivering to. Teachers in Wales have the important role of championing learning inside and outside of the classroom in preparation for the real world as has been realised in B.C.</w:t>
      </w:r>
    </w:p>
    <w:p>
      <w:pPr>
        <w:pStyle w:val="Body"/>
        <w:rPr>
          <w:sz w:val="24"/>
          <w:szCs w:val="24"/>
        </w:rPr>
      </w:pPr>
    </w:p>
    <w:p>
      <w:pPr>
        <w:pStyle w:val="Body"/>
        <w:rPr>
          <w:sz w:val="24"/>
          <w:szCs w:val="24"/>
        </w:rPr>
      </w:pPr>
      <w:r>
        <w:rPr>
          <w:sz w:val="24"/>
          <w:szCs w:val="24"/>
          <w:rtl w:val="0"/>
          <w:lang w:val="en-US"/>
        </w:rPr>
        <w:t xml:space="preserve">Consideration has been shown to changing curricula on a national and international basis, however, priority must be given to the reality of Successful Futures and its implementation from 2019. Mentioned previously, professional learning and development is part of the </w:t>
      </w:r>
      <w:r>
        <w:rPr>
          <w:rFonts w:hAnsi="Helvetica" w:hint="default"/>
          <w:sz w:val="24"/>
          <w:szCs w:val="24"/>
          <w:rtl w:val="0"/>
          <w:lang w:val="en-US"/>
        </w:rPr>
        <w:t>‘</w:t>
      </w:r>
      <w:r>
        <w:rPr>
          <w:sz w:val="24"/>
          <w:szCs w:val="24"/>
          <w:rtl w:val="0"/>
          <w:lang w:val="en-US"/>
        </w:rPr>
        <w:t>New Deal</w:t>
      </w:r>
      <w:r>
        <w:rPr>
          <w:rFonts w:hAnsi="Helvetica" w:hint="default"/>
          <w:sz w:val="24"/>
          <w:szCs w:val="24"/>
          <w:rtl w:val="0"/>
          <w:lang w:val="en-US"/>
        </w:rPr>
        <w:t xml:space="preserve">’ </w:t>
      </w:r>
      <w:r>
        <w:rPr>
          <w:sz w:val="24"/>
          <w:szCs w:val="24"/>
          <w:rtl w:val="0"/>
          <w:lang w:val="en-US"/>
        </w:rPr>
        <w:t xml:space="preserve">yet alarmingly an online survey in 2017 discovered that less than 50% of the 837 educational practitioners questioned felt fully aware of the ongoing and upcoming changes to the curriculum. The research conducted so far has indicated the need to revise Initial Teacher Training approaches in order for them to meet the needs of 21st century establishments and learners. The new professional standards are being implemented to aid teacher professionalism for career-long professional learning. Michael Young shared his expertise in his 2014 publication of </w:t>
      </w:r>
      <w:r>
        <w:rPr>
          <w:rFonts w:hAnsi="Helvetica" w:hint="default"/>
          <w:sz w:val="24"/>
          <w:szCs w:val="24"/>
          <w:rtl w:val="0"/>
          <w:lang w:val="en-US"/>
        </w:rPr>
        <w:t>‘</w:t>
      </w:r>
      <w:r>
        <w:rPr>
          <w:sz w:val="24"/>
          <w:szCs w:val="24"/>
          <w:rtl w:val="0"/>
          <w:lang w:val="en-US"/>
        </w:rPr>
        <w:t>Knowledge and the Future School</w:t>
      </w:r>
      <w:r>
        <w:rPr>
          <w:rFonts w:hAnsi="Helvetica" w:hint="default"/>
          <w:sz w:val="24"/>
          <w:szCs w:val="24"/>
          <w:rtl w:val="0"/>
          <w:lang w:val="en-US"/>
        </w:rPr>
        <w:t>’</w:t>
      </w:r>
      <w:r>
        <w:rPr>
          <w:sz w:val="24"/>
          <w:szCs w:val="24"/>
          <w:rtl w:val="0"/>
          <w:lang w:val="en-US"/>
        </w:rPr>
        <w:t xml:space="preserve">. It highlights the importance of powerful knowledge as a principle element of education. His ideas and questions allow for teachers to engage and consider the </w:t>
      </w:r>
      <w:r>
        <w:rPr>
          <w:rFonts w:hAnsi="Helvetica" w:hint="default"/>
          <w:sz w:val="24"/>
          <w:szCs w:val="24"/>
          <w:rtl w:val="0"/>
          <w:lang w:val="en-US"/>
        </w:rPr>
        <w:t>‘</w:t>
      </w:r>
      <w:r>
        <w:rPr>
          <w:sz w:val="24"/>
          <w:szCs w:val="24"/>
          <w:rtl w:val="0"/>
          <w:lang w:val="en-US"/>
        </w:rPr>
        <w:t>why</w:t>
      </w:r>
      <w:r>
        <w:rPr>
          <w:rFonts w:hAnsi="Helvetica" w:hint="default"/>
          <w:sz w:val="24"/>
          <w:szCs w:val="24"/>
          <w:rtl w:val="0"/>
          <w:lang w:val="en-US"/>
        </w:rPr>
        <w:t xml:space="preserve">’ </w:t>
      </w:r>
      <w:r>
        <w:rPr>
          <w:sz w:val="24"/>
          <w:szCs w:val="24"/>
          <w:rtl w:val="0"/>
          <w:lang w:val="en-US"/>
        </w:rPr>
        <w:t>and how</w:t>
      </w:r>
      <w:r>
        <w:rPr>
          <w:rFonts w:hAnsi="Helvetica" w:hint="default"/>
          <w:sz w:val="24"/>
          <w:szCs w:val="24"/>
          <w:rtl w:val="0"/>
          <w:lang w:val="en-US"/>
        </w:rPr>
        <w:t xml:space="preserve">’ </w:t>
      </w:r>
      <w:r>
        <w:rPr>
          <w:sz w:val="24"/>
          <w:szCs w:val="24"/>
          <w:rtl w:val="0"/>
          <w:lang w:val="en-US"/>
        </w:rPr>
        <w:t xml:space="preserve">of their practice. I also support and applaud that his suggestion that the teacher, as a practitioner, puts themselves as a learner through collaboration with other professionals and alongside their pupils. There are many points mentioned by Young that can be compared to the </w:t>
      </w:r>
      <w:r>
        <w:rPr>
          <w:rFonts w:hAnsi="Helvetica" w:hint="default"/>
          <w:sz w:val="24"/>
          <w:szCs w:val="24"/>
          <w:rtl w:val="0"/>
          <w:lang w:val="en-US"/>
        </w:rPr>
        <w:t>‘</w:t>
      </w:r>
      <w:r>
        <w:rPr>
          <w:sz w:val="24"/>
          <w:szCs w:val="24"/>
          <w:rtl w:val="0"/>
          <w:lang w:val="en-US"/>
        </w:rPr>
        <w:t>New Deal</w:t>
      </w:r>
      <w:r>
        <w:rPr>
          <w:rFonts w:hAnsi="Helvetica" w:hint="default"/>
          <w:sz w:val="24"/>
          <w:szCs w:val="24"/>
          <w:rtl w:val="0"/>
          <w:lang w:val="en-US"/>
        </w:rPr>
        <w:t xml:space="preserve">’ </w:t>
      </w:r>
      <w:r>
        <w:rPr>
          <w:sz w:val="24"/>
          <w:szCs w:val="24"/>
          <w:rtl w:val="0"/>
          <w:lang w:val="en-US"/>
        </w:rPr>
        <w:t>developed from Donaldson</w:t>
      </w:r>
      <w:r>
        <w:rPr>
          <w:rFonts w:hAnsi="Helvetica" w:hint="default"/>
          <w:sz w:val="24"/>
          <w:szCs w:val="24"/>
          <w:rtl w:val="0"/>
          <w:lang w:val="en-US"/>
        </w:rPr>
        <w:t>’</w:t>
      </w:r>
      <w:r>
        <w:rPr>
          <w:sz w:val="24"/>
          <w:szCs w:val="24"/>
          <w:rtl w:val="0"/>
          <w:lang w:val="en-US"/>
        </w:rPr>
        <w:t>s recommendations. In addition, there is a stark difference when Young talks about the different futures where, for some, single subject specialism, in terms of deeper sense of knowledge, is considered paramount.</w:t>
      </w:r>
    </w:p>
    <w:p>
      <w:pPr>
        <w:pStyle w:val="Body"/>
        <w:rPr>
          <w:sz w:val="24"/>
          <w:szCs w:val="24"/>
        </w:rPr>
      </w:pPr>
    </w:p>
    <w:p>
      <w:pPr>
        <w:pStyle w:val="Body"/>
        <w:rPr>
          <w:sz w:val="24"/>
          <w:szCs w:val="24"/>
        </w:rPr>
      </w:pPr>
      <w:r>
        <w:rPr>
          <w:sz w:val="24"/>
          <w:szCs w:val="24"/>
          <w:rtl w:val="0"/>
          <w:lang w:val="en-US"/>
        </w:rPr>
        <w:t>I believe that if space and time is given, each of these aspects of professionalism and planning of the new curriculum will thrive in supporting the realisation of Successful Futures over the next 5-8 years. This process needs to be supported and embedded before further radical changes are employed. It is evident from countries who have succeeded in changing their curricula, that time to adapt and refine is imperative.</w:t>
      </w:r>
    </w:p>
    <w:p>
      <w:pPr>
        <w:pStyle w:val="Body"/>
        <w:rPr>
          <w:sz w:val="24"/>
          <w:szCs w:val="24"/>
        </w:rPr>
      </w:pPr>
    </w:p>
    <w:p>
      <w:pPr>
        <w:pStyle w:val="Body"/>
        <w:rPr>
          <w:sz w:val="24"/>
          <w:szCs w:val="24"/>
        </w:rPr>
      </w:pPr>
      <w:r>
        <w:rPr>
          <w:sz w:val="24"/>
          <w:szCs w:val="24"/>
          <w:rtl w:val="0"/>
          <w:lang w:val="en-US"/>
        </w:rPr>
        <w:t>Contextual Study</w:t>
      </w:r>
    </w:p>
    <w:p>
      <w:pPr>
        <w:pStyle w:val="Body"/>
        <w:rPr>
          <w:sz w:val="24"/>
          <w:szCs w:val="24"/>
        </w:rPr>
      </w:pPr>
    </w:p>
    <w:p>
      <w:pPr>
        <w:pStyle w:val="Body"/>
        <w:rPr>
          <w:sz w:val="24"/>
          <w:szCs w:val="24"/>
        </w:rPr>
      </w:pPr>
      <w:r>
        <w:rPr>
          <w:sz w:val="24"/>
          <w:szCs w:val="24"/>
          <w:rtl w:val="0"/>
          <w:lang w:val="en-US"/>
        </w:rPr>
        <w:t>In preparation for the changes that will be made in Wales, a number of establishments were recommended to be visited in order to gain an insight into how other schools have tackled a changing curriculum. I travelled to a primary school in Malvern (School A) with a number of my colleagues to capture their current state in how the curriculum is tailored to the learner</w:t>
      </w:r>
      <w:r>
        <w:rPr>
          <w:rFonts w:hAnsi="Helvetica" w:hint="default"/>
          <w:sz w:val="24"/>
          <w:szCs w:val="24"/>
          <w:rtl w:val="0"/>
          <w:lang w:val="en-US"/>
        </w:rPr>
        <w:t>’</w:t>
      </w:r>
      <w:r>
        <w:rPr>
          <w:sz w:val="24"/>
          <w:szCs w:val="24"/>
          <w:rtl w:val="0"/>
          <w:lang w:val="en-US"/>
        </w:rPr>
        <w:t>s needs and how their journey has proven to be a successful one. The school has just under 150 pupils and is served by 5 teachers and 3 learning support assistants. The area is considered affluent and the headteacher explained that there is strong parental support for the school.</w:t>
      </w:r>
    </w:p>
    <w:p>
      <w:pPr>
        <w:pStyle w:val="Body"/>
        <w:rPr>
          <w:sz w:val="24"/>
          <w:szCs w:val="24"/>
        </w:rPr>
      </w:pPr>
    </w:p>
    <w:p>
      <w:pPr>
        <w:pStyle w:val="Body"/>
        <w:rPr>
          <w:sz w:val="24"/>
          <w:szCs w:val="24"/>
        </w:rPr>
      </w:pPr>
      <w:r>
        <w:rPr>
          <w:sz w:val="24"/>
          <w:szCs w:val="24"/>
          <w:rtl w:val="0"/>
          <w:lang w:val="en-US"/>
        </w:rPr>
        <w:t xml:space="preserve">In 2007 School A gathered all steak holders and asked the question </w:t>
      </w:r>
      <w:r>
        <w:rPr>
          <w:rFonts w:hAnsi="Helvetica" w:hint="default"/>
          <w:sz w:val="24"/>
          <w:szCs w:val="24"/>
          <w:rtl w:val="0"/>
          <w:lang w:val="en-US"/>
        </w:rPr>
        <w:t>“</w:t>
      </w:r>
      <w:r>
        <w:rPr>
          <w:sz w:val="24"/>
          <w:szCs w:val="24"/>
          <w:rtl w:val="0"/>
          <w:lang w:val="en-US"/>
        </w:rPr>
        <w:t>What do we want children to leave with from their time at our school?</w:t>
      </w:r>
      <w:r>
        <w:rPr>
          <w:rFonts w:hAnsi="Helvetica" w:hint="default"/>
          <w:sz w:val="24"/>
          <w:szCs w:val="24"/>
          <w:rtl w:val="0"/>
          <w:lang w:val="en-US"/>
        </w:rPr>
        <w:t xml:space="preserve">” </w:t>
      </w:r>
      <w:r>
        <w:rPr>
          <w:sz w:val="24"/>
          <w:szCs w:val="24"/>
          <w:rtl w:val="0"/>
          <w:lang w:val="en-US"/>
        </w:rPr>
        <w:t xml:space="preserve">This enabled a broad conversation between, teachers, parents, governors and some learners and set about a radical and brave arrangement to develop a curriculum specific to their setting. The headteacher at the school, Jeff Rutherford, was clear in his belief and support of their curriculum. He stated </w:t>
      </w:r>
      <w:r>
        <w:rPr>
          <w:rFonts w:hAnsi="Helvetica" w:hint="default"/>
          <w:sz w:val="24"/>
          <w:szCs w:val="24"/>
          <w:rtl w:val="0"/>
          <w:lang w:val="en-US"/>
        </w:rPr>
        <w:t>“</w:t>
      </w:r>
      <w:r>
        <w:rPr>
          <w:sz w:val="24"/>
          <w:szCs w:val="24"/>
          <w:rtl w:val="0"/>
          <w:lang w:val="en-US"/>
        </w:rPr>
        <w:t>The curriculum, your curriculum, should be holistic and engender your values.</w:t>
      </w:r>
      <w:r>
        <w:rPr>
          <w:rFonts w:hAnsi="Helvetica" w:hint="default"/>
          <w:sz w:val="24"/>
          <w:szCs w:val="24"/>
          <w:rtl w:val="0"/>
          <w:lang w:val="en-US"/>
        </w:rPr>
        <w:t xml:space="preserve">” </w:t>
      </w:r>
      <w:r>
        <w:rPr>
          <w:sz w:val="24"/>
          <w:szCs w:val="24"/>
          <w:rtl w:val="0"/>
          <w:lang w:val="en-US"/>
        </w:rPr>
        <w:t xml:space="preserve">This approach focuses less on subject specific steps that can be measured through testing, but more on an enriched learning opportunity where children feel part of the process and understand the </w:t>
      </w:r>
      <w:r>
        <w:rPr>
          <w:rFonts w:hAnsi="Helvetica" w:hint="default"/>
          <w:sz w:val="24"/>
          <w:szCs w:val="24"/>
          <w:rtl w:val="0"/>
          <w:lang w:val="en-US"/>
        </w:rPr>
        <w:t>‘</w:t>
      </w:r>
      <w:r>
        <w:rPr>
          <w:sz w:val="24"/>
          <w:szCs w:val="24"/>
          <w:rtl w:val="0"/>
          <w:lang w:val="en-US"/>
        </w:rPr>
        <w:t>end goal</w:t>
      </w:r>
      <w:r>
        <w:rPr>
          <w:rFonts w:hAnsi="Helvetica" w:hint="default"/>
          <w:sz w:val="24"/>
          <w:szCs w:val="24"/>
          <w:rtl w:val="0"/>
          <w:lang w:val="en-US"/>
        </w:rPr>
        <w:t>’</w:t>
      </w:r>
      <w:r>
        <w:rPr>
          <w:sz w:val="24"/>
          <w:szCs w:val="24"/>
          <w:rtl w:val="0"/>
          <w:lang w:val="en-US"/>
        </w:rPr>
        <w:t>. Following trial periods in two classes of the new style approach through a vehicle of learning, the headteacher declared a moratorium on the National Curriculum in 2008. He explained that although the school is thriving now that there were evidently issues to be faced along the way. The biggest being that teachers had to be cleaved away from the National Curriculum document and schemes that had been used for many years. these have become the comfort blanked and essentially biblical in their status. To enable this shift to happen, the teachers were asked to consider carefully why they do what they do in their class for their children each day. All teachers had the same optimism and drive to make a change to a child</w:t>
      </w:r>
      <w:r>
        <w:rPr>
          <w:rFonts w:hAnsi="Helvetica" w:hint="default"/>
          <w:sz w:val="24"/>
          <w:szCs w:val="24"/>
          <w:rtl w:val="0"/>
          <w:lang w:val="en-US"/>
        </w:rPr>
        <w:t>’</w:t>
      </w:r>
      <w:r>
        <w:rPr>
          <w:sz w:val="24"/>
          <w:szCs w:val="24"/>
          <w:rtl w:val="0"/>
          <w:lang w:val="en-US"/>
        </w:rPr>
        <w:t xml:space="preserve">s understanding and leaning, but needed support from leadership to </w:t>
      </w:r>
      <w:r>
        <w:rPr>
          <w:rFonts w:hAnsi="Helvetica" w:hint="default"/>
          <w:sz w:val="24"/>
          <w:szCs w:val="24"/>
          <w:rtl w:val="0"/>
          <w:lang w:val="en-US"/>
        </w:rPr>
        <w:t>‘</w:t>
      </w:r>
      <w:r>
        <w:rPr>
          <w:sz w:val="24"/>
          <w:szCs w:val="24"/>
          <w:rtl w:val="0"/>
          <w:lang w:val="en-US"/>
        </w:rPr>
        <w:t>let go</w:t>
      </w:r>
      <w:r>
        <w:rPr>
          <w:rFonts w:hAnsi="Helvetica" w:hint="default"/>
          <w:sz w:val="24"/>
          <w:szCs w:val="24"/>
          <w:rtl w:val="0"/>
          <w:lang w:val="en-US"/>
        </w:rPr>
        <w:t xml:space="preserve">’ </w:t>
      </w:r>
      <w:r>
        <w:rPr>
          <w:sz w:val="24"/>
          <w:szCs w:val="24"/>
          <w:rtl w:val="0"/>
          <w:lang w:val="en-US"/>
        </w:rPr>
        <w:t>of the familiar and try something that , if successful, would truly set their learners up for the wider world.</w:t>
      </w:r>
    </w:p>
    <w:p>
      <w:pPr>
        <w:pStyle w:val="Body"/>
        <w:rPr>
          <w:sz w:val="24"/>
          <w:szCs w:val="24"/>
        </w:rPr>
      </w:pPr>
    </w:p>
    <w:p>
      <w:pPr>
        <w:pStyle w:val="Body"/>
        <w:rPr>
          <w:sz w:val="24"/>
          <w:szCs w:val="24"/>
        </w:rPr>
      </w:pPr>
      <w:r>
        <w:rPr>
          <w:sz w:val="24"/>
          <w:szCs w:val="24"/>
          <w:rtl w:val="0"/>
          <w:lang w:val="en-US"/>
        </w:rPr>
        <w:t>The headteacher referred to Jean Lanes</w:t>
      </w:r>
      <w:r>
        <w:rPr>
          <w:rFonts w:hAnsi="Helvetica" w:hint="default"/>
          <w:sz w:val="24"/>
          <w:szCs w:val="24"/>
          <w:rtl w:val="0"/>
          <w:lang w:val="en-US"/>
        </w:rPr>
        <w:t xml:space="preserve">’ </w:t>
      </w:r>
      <w:r>
        <w:rPr>
          <w:sz w:val="24"/>
          <w:szCs w:val="24"/>
          <w:rtl w:val="0"/>
          <w:lang w:val="en-US"/>
        </w:rPr>
        <w:t xml:space="preserve">Situated Learning </w:t>
      </w:r>
      <w:r>
        <w:rPr>
          <w:rFonts w:hAnsi="Helvetica" w:hint="default"/>
          <w:sz w:val="24"/>
          <w:szCs w:val="24"/>
          <w:rtl w:val="0"/>
          <w:lang w:val="en-US"/>
        </w:rPr>
        <w:t>“</w:t>
      </w:r>
      <w:r>
        <w:rPr>
          <w:sz w:val="24"/>
          <w:szCs w:val="24"/>
          <w:rtl w:val="0"/>
          <w:lang w:val="en-US"/>
        </w:rPr>
        <w:t>The learning we do we do in situ. We need to learn in a real world context.</w:t>
      </w:r>
      <w:r>
        <w:rPr>
          <w:rFonts w:hAnsi="Helvetica" w:hint="default"/>
          <w:sz w:val="24"/>
          <w:szCs w:val="24"/>
          <w:rtl w:val="0"/>
          <w:lang w:val="en-US"/>
        </w:rPr>
        <w:t xml:space="preserve">” </w:t>
      </w:r>
      <w:r>
        <w:rPr>
          <w:sz w:val="24"/>
          <w:szCs w:val="24"/>
          <w:rtl w:val="0"/>
          <w:lang w:val="en-US"/>
        </w:rPr>
        <w:t>He wholeheartedly believed that and as a result, he has driven the learning opportunities in School A that have allowed pupils to send a camera into space, build and race land yachts and even advertise and sell houses in the local area. My colleagues and I, although in high admiration of the ambitious nature of these activities, considered how we would implement a similar approach in our own settings where funding is a recognised concern.</w:t>
      </w:r>
    </w:p>
    <w:p>
      <w:pPr>
        <w:pStyle w:val="Body"/>
        <w:rPr>
          <w:sz w:val="24"/>
          <w:szCs w:val="24"/>
        </w:rPr>
      </w:pPr>
    </w:p>
    <w:p>
      <w:pPr>
        <w:pStyle w:val="Body"/>
        <w:rPr>
          <w:sz w:val="24"/>
          <w:szCs w:val="24"/>
        </w:rPr>
      </w:pPr>
      <w:r>
        <w:rPr>
          <w:sz w:val="24"/>
          <w:szCs w:val="24"/>
          <w:rtl w:val="0"/>
          <w:lang w:val="en-US"/>
        </w:rPr>
        <w:t>The school leaders supported teachers and governors in writing its own curriculum document. Although almost a decade ahead of Donaldson's</w:t>
      </w:r>
      <w:r>
        <w:rPr>
          <w:rFonts w:hAnsi="Helvetica" w:hint="default"/>
          <w:sz w:val="24"/>
          <w:szCs w:val="24"/>
          <w:rtl w:val="0"/>
          <w:lang w:val="en-US"/>
        </w:rPr>
        <w:t xml:space="preserve">’ </w:t>
      </w:r>
      <w:r>
        <w:rPr>
          <w:sz w:val="24"/>
          <w:szCs w:val="24"/>
          <w:rtl w:val="0"/>
          <w:lang w:val="en-US"/>
        </w:rPr>
        <w:t>recommendations for Wales</w:t>
      </w:r>
      <w:r>
        <w:rPr>
          <w:rFonts w:hAnsi="Helvetica" w:hint="default"/>
          <w:sz w:val="24"/>
          <w:szCs w:val="24"/>
          <w:rtl w:val="0"/>
          <w:lang w:val="en-US"/>
        </w:rPr>
        <w:t xml:space="preserve">’ </w:t>
      </w:r>
      <w:r>
        <w:rPr>
          <w:sz w:val="24"/>
          <w:szCs w:val="24"/>
          <w:rtl w:val="0"/>
          <w:lang w:val="en-US"/>
        </w:rPr>
        <w:t xml:space="preserve">Successful Futures document, there are similarities in the wording and ethos the new curriculum could achieve once established. Headings such as Relating to Self, Relating to Others, Managing Learning and Managing Others are a far cry away from the static, single subject skills that have underpinned the learning in most schools across the United Kingdom for a generation. Once these headings had been agreed, the teachers considered how to fit </w:t>
      </w:r>
      <w:r>
        <w:rPr>
          <w:rFonts w:hAnsi="Helvetica" w:hint="default"/>
          <w:sz w:val="24"/>
          <w:szCs w:val="24"/>
          <w:rtl w:val="0"/>
          <w:lang w:val="en-US"/>
        </w:rPr>
        <w:t>‘</w:t>
      </w:r>
      <w:r>
        <w:rPr>
          <w:sz w:val="24"/>
          <w:szCs w:val="24"/>
          <w:rtl w:val="0"/>
          <w:lang w:val="en-US"/>
        </w:rPr>
        <w:t>real life</w:t>
      </w:r>
      <w:r>
        <w:rPr>
          <w:rFonts w:hAnsi="Helvetica" w:hint="default"/>
          <w:sz w:val="24"/>
          <w:szCs w:val="24"/>
          <w:rtl w:val="0"/>
          <w:lang w:val="en-US"/>
        </w:rPr>
        <w:t xml:space="preserve">’ </w:t>
      </w:r>
      <w:r>
        <w:rPr>
          <w:sz w:val="24"/>
          <w:szCs w:val="24"/>
          <w:rtl w:val="0"/>
          <w:lang w:val="en-US"/>
        </w:rPr>
        <w:t>skills into these areas. It was not meant to be an exercise where tenuous nods were indicated towards the established curriculum documentation, but was indeed, as has now been proved, a well thought out and rich overview of skills that equip learners to achieve in a social sense and not merely academic.</w:t>
      </w:r>
    </w:p>
    <w:p>
      <w:pPr>
        <w:pStyle w:val="Body"/>
        <w:rPr>
          <w:sz w:val="24"/>
          <w:szCs w:val="24"/>
        </w:rPr>
      </w:pPr>
    </w:p>
    <w:p>
      <w:pPr>
        <w:pStyle w:val="Body"/>
        <w:rPr>
          <w:sz w:val="24"/>
          <w:szCs w:val="24"/>
        </w:rPr>
      </w:pPr>
      <w:r>
        <w:rPr>
          <w:sz w:val="24"/>
          <w:szCs w:val="24"/>
          <w:rtl w:val="0"/>
          <w:lang w:val="en-US"/>
        </w:rPr>
        <w:t xml:space="preserve">The school motto is </w:t>
      </w:r>
      <w:r>
        <w:rPr>
          <w:rFonts w:hAnsi="Helvetica" w:hint="default"/>
          <w:sz w:val="24"/>
          <w:szCs w:val="24"/>
          <w:rtl w:val="0"/>
          <w:lang w:val="en-US"/>
        </w:rPr>
        <w:t>“</w:t>
      </w:r>
      <w:r>
        <w:rPr>
          <w:sz w:val="24"/>
          <w:szCs w:val="24"/>
          <w:rtl w:val="0"/>
          <w:lang w:val="en-US"/>
        </w:rPr>
        <w:t>If it</w:t>
      </w:r>
      <w:r>
        <w:rPr>
          <w:rFonts w:hAnsi="Helvetica" w:hint="default"/>
          <w:sz w:val="24"/>
          <w:szCs w:val="24"/>
          <w:rtl w:val="0"/>
          <w:lang w:val="en-US"/>
        </w:rPr>
        <w:t>’</w:t>
      </w:r>
      <w:r>
        <w:rPr>
          <w:sz w:val="24"/>
          <w:szCs w:val="24"/>
          <w:rtl w:val="0"/>
          <w:lang w:val="en-US"/>
        </w:rPr>
        <w:t>s not fun, it</w:t>
      </w:r>
      <w:r>
        <w:rPr>
          <w:rFonts w:hAnsi="Helvetica" w:hint="default"/>
          <w:sz w:val="24"/>
          <w:szCs w:val="24"/>
          <w:rtl w:val="0"/>
          <w:lang w:val="en-US"/>
        </w:rPr>
        <w:t>’</w:t>
      </w:r>
      <w:r>
        <w:rPr>
          <w:sz w:val="24"/>
          <w:szCs w:val="24"/>
          <w:rtl w:val="0"/>
          <w:lang w:val="en-US"/>
        </w:rPr>
        <w:t>s not worth doing</w:t>
      </w:r>
      <w:r>
        <w:rPr>
          <w:rFonts w:hAnsi="Helvetica" w:hint="default"/>
          <w:sz w:val="24"/>
          <w:szCs w:val="24"/>
          <w:rtl w:val="0"/>
          <w:lang w:val="en-US"/>
        </w:rPr>
        <w:t xml:space="preserve">” </w:t>
      </w:r>
      <w:r>
        <w:rPr>
          <w:sz w:val="24"/>
          <w:szCs w:val="24"/>
          <w:rtl w:val="0"/>
          <w:lang w:val="en-US"/>
        </w:rPr>
        <w:t>and all teachers are instrumental in ensuring this is evident in all learning opportunities. To ensure School A</w:t>
      </w:r>
      <w:r>
        <w:rPr>
          <w:rFonts w:hAnsi="Helvetica" w:hint="default"/>
          <w:sz w:val="24"/>
          <w:szCs w:val="24"/>
          <w:rtl w:val="0"/>
          <w:lang w:val="en-US"/>
        </w:rPr>
        <w:t>’</w:t>
      </w:r>
      <w:r>
        <w:rPr>
          <w:sz w:val="24"/>
          <w:szCs w:val="24"/>
          <w:rtl w:val="0"/>
          <w:lang w:val="en-US"/>
        </w:rPr>
        <w:t>s curriculum is always current and best suited to each group of learners, a new vehicle for learning is used each time. The school does not allow for repetition and during our visit we discussed the advantages and difficulties posed by this arrangement. In the Year 6 class pupils were learning about the Tudors. The teacher had set tasks for pupils to research and each group had chosen how best to locate, understand and teacher their new found knowledge to their peers. This built on the creativity of the children and made the learning purposeful for them. There were wall displays created and models of houses built. None of which were driven by the teacher but solely by the learners. We discussed the task and were met with articulate responses from he children. Although there was little to no formal writing in a book, the knowledge and level of skill was overwhelming. This was something I discussed with my colleagues. With great onus put on evidencing work for end of key stage moderation in many of our local authorities in Wales, how could we provide similar learning opportunities in our own classrooms where writing was not the main focus yet learning and achievement was high on the agenda?</w:t>
      </w:r>
    </w:p>
    <w:p>
      <w:pPr>
        <w:pStyle w:val="Body"/>
        <w:rPr>
          <w:sz w:val="24"/>
          <w:szCs w:val="24"/>
        </w:rPr>
      </w:pPr>
    </w:p>
    <w:p>
      <w:pPr>
        <w:pStyle w:val="Body"/>
        <w:rPr>
          <w:sz w:val="24"/>
          <w:szCs w:val="24"/>
        </w:rPr>
      </w:pPr>
      <w:r>
        <w:rPr>
          <w:sz w:val="24"/>
          <w:szCs w:val="24"/>
          <w:rtl w:val="0"/>
          <w:lang w:val="en-US"/>
        </w:rPr>
        <w:t>As each vehicle is new for both learners and the teacher, this allows a refreshing outlook at delivering a lesson. The teacher is essentially learning with the children and this ensures that dynamic and relevant learning takes place alongside development of skills. My issue with this is that if you know that a certain project or vehicle has been highly successful, then why not try it again with another year group? I understand the need for change and individuality, however, no two lessons are ever identical and if a group of learners have proven to achieve then I feel that this could be replicated elsewhere with a slight change of focus to suit those learners.</w:t>
      </w:r>
    </w:p>
    <w:p>
      <w:pPr>
        <w:pStyle w:val="Body"/>
        <w:rPr>
          <w:sz w:val="24"/>
          <w:szCs w:val="24"/>
        </w:rPr>
      </w:pPr>
    </w:p>
    <w:p>
      <w:pPr>
        <w:pStyle w:val="Body"/>
        <w:rPr>
          <w:sz w:val="24"/>
          <w:szCs w:val="24"/>
        </w:rPr>
      </w:pPr>
      <w:r>
        <w:rPr>
          <w:sz w:val="24"/>
          <w:szCs w:val="24"/>
          <w:rtl w:val="0"/>
          <w:lang w:val="en-US"/>
        </w:rPr>
        <w:t>I was impressed with the courage and self belief shown by the school in creating its own curriculum. I feel it is something many would relish in attempting if the fear of assessment and accountability wasn</w:t>
      </w:r>
      <w:r>
        <w:rPr>
          <w:rFonts w:hAnsi="Helvetica" w:hint="default"/>
          <w:sz w:val="24"/>
          <w:szCs w:val="24"/>
          <w:rtl w:val="0"/>
          <w:lang w:val="en-US"/>
        </w:rPr>
        <w:t>’</w:t>
      </w:r>
      <w:r>
        <w:rPr>
          <w:sz w:val="24"/>
          <w:szCs w:val="24"/>
          <w:rtl w:val="0"/>
          <w:lang w:val="en-US"/>
        </w:rPr>
        <w:t>t something so many professionals are held in the grip of. On paper, the Successful Futures curriculum in Wales should give more opportunity for broader and more creative approaches to learning. The guidance on what assessment will look like over the next decade should allow for more trust to be given back to professionals. This is something I feel was a success in School A. The teaching and leadership team had a strong belief in their curriculum and the ethos of the school and, as a result, were able to build on one another</w:t>
      </w:r>
      <w:r>
        <w:rPr>
          <w:rFonts w:hAnsi="Helvetica" w:hint="default"/>
          <w:sz w:val="24"/>
          <w:szCs w:val="24"/>
          <w:rtl w:val="0"/>
          <w:lang w:val="en-US"/>
        </w:rPr>
        <w:t>’</w:t>
      </w:r>
      <w:r>
        <w:rPr>
          <w:sz w:val="24"/>
          <w:szCs w:val="24"/>
          <w:rtl w:val="0"/>
          <w:lang w:val="en-US"/>
        </w:rPr>
        <w:t>s strengths and abilities.</w:t>
      </w:r>
    </w:p>
    <w:p>
      <w:pPr>
        <w:pStyle w:val="Body"/>
        <w:rPr>
          <w:sz w:val="24"/>
          <w:szCs w:val="24"/>
        </w:rPr>
      </w:pPr>
      <w:r>
        <w:rPr>
          <w:sz w:val="24"/>
          <w:szCs w:val="24"/>
          <w:rtl w:val="0"/>
          <w:lang w:val="en-US"/>
        </w:rPr>
        <w:t>We discussed the reality of assessment with the headteacher at School A. Even in the most creative and idealistic of establishments, the National Testing in Wales and England is still on the current agenda. How do schools navigate their way around this? Teaching to Test is unproductive when looking at the bigger picture. It creates a community of Stepford Teachers that all deliver the same information to pupils that will be tested on a narrow range of mathematics and literacy. I am hopeful that this is something that will only happen for a brief period. School A acknowledged the status of National Testing and assessment but saw it merely as an addition. It was not the priority on any action plan in the school nor was it something pupils were allowed to feel anxious about. The school were so confident that their curriculum was equipping their learners in the best way, that tests were never a focus of lessons. To further support this, School A were graded as an Outstanding establishment by OFSTED and at 86% of pupils reaching expected level in reading, writing and maths, the school has consistently achieved well above national averages.</w:t>
      </w:r>
    </w:p>
    <w:p>
      <w:pPr>
        <w:pStyle w:val="Body"/>
        <w:rPr>
          <w:sz w:val="24"/>
          <w:szCs w:val="24"/>
        </w:rPr>
      </w:pPr>
    </w:p>
    <w:p>
      <w:pPr>
        <w:pStyle w:val="Body"/>
        <w:rPr>
          <w:sz w:val="24"/>
          <w:szCs w:val="24"/>
        </w:rPr>
      </w:pPr>
      <w:r>
        <w:rPr>
          <w:sz w:val="24"/>
          <w:szCs w:val="24"/>
          <w:rtl w:val="0"/>
          <w:lang w:val="en-US"/>
        </w:rPr>
        <w:t xml:space="preserve">During our trust group discussions we were able to consider learning visits of our colleagues. A primary school (School B) in West Wales was attended and recommended as a Pioneer school that is striving to meet the recommendations of Donaldson prior to the implementation of Successful Futures. </w:t>
      </w:r>
      <w:r>
        <w:rPr>
          <w:sz w:val="24"/>
          <w:szCs w:val="24"/>
          <w:rtl w:val="0"/>
          <w:lang w:val="en-US"/>
        </w:rPr>
        <w:t>The school serves just under 600 pupils but with 32% of pupils from socially deprived backgrounds the difficulties faced would inevitably be far different to School A.</w:t>
      </w:r>
      <w:r>
        <w:rPr>
          <w:sz w:val="24"/>
          <w:szCs w:val="24"/>
          <w:rtl w:val="0"/>
          <w:lang w:val="en-US"/>
        </w:rPr>
        <w:t xml:space="preserve"> School B has adopted the approach where visible learning should take place in all aspects of classroom based activities. Totally changing the school</w:t>
      </w:r>
      <w:r>
        <w:rPr>
          <w:rFonts w:hAnsi="Helvetica" w:hint="default"/>
          <w:sz w:val="24"/>
          <w:szCs w:val="24"/>
          <w:rtl w:val="0"/>
          <w:lang w:val="en-US"/>
        </w:rPr>
        <w:t>’</w:t>
      </w:r>
      <w:r>
        <w:rPr>
          <w:sz w:val="24"/>
          <w:szCs w:val="24"/>
          <w:rtl w:val="0"/>
          <w:lang w:val="en-US"/>
        </w:rPr>
        <w:t>s approach immediately would, in my opinion be foolish, so I admire the fact that they have researched well known and effective approaches that are now being tailored to their setting. The school has developed growth mindset and cooperative learning.</w:t>
      </w:r>
    </w:p>
    <w:p>
      <w:pPr>
        <w:pStyle w:val="Body"/>
        <w:rPr>
          <w:sz w:val="24"/>
          <w:szCs w:val="24"/>
        </w:rPr>
      </w:pPr>
    </w:p>
    <w:p>
      <w:pPr>
        <w:pStyle w:val="Body"/>
        <w:rPr>
          <w:sz w:val="24"/>
          <w:szCs w:val="24"/>
        </w:rPr>
      </w:pPr>
      <w:r>
        <w:rPr>
          <w:sz w:val="24"/>
          <w:szCs w:val="24"/>
          <w:rtl w:val="0"/>
          <w:lang w:val="en-US"/>
        </w:rPr>
        <w:t xml:space="preserve">Each week a </w:t>
      </w:r>
      <w:r>
        <w:rPr>
          <w:rFonts w:hAnsi="Helvetica" w:hint="default"/>
          <w:sz w:val="24"/>
          <w:szCs w:val="24"/>
          <w:rtl w:val="0"/>
          <w:lang w:val="en-US"/>
        </w:rPr>
        <w:t>‘</w:t>
      </w:r>
      <w:r>
        <w:rPr>
          <w:sz w:val="24"/>
          <w:szCs w:val="24"/>
          <w:rtl w:val="0"/>
          <w:lang w:val="en-US"/>
        </w:rPr>
        <w:t>Genius Hour</w:t>
      </w:r>
      <w:r>
        <w:rPr>
          <w:rFonts w:hAnsi="Helvetica" w:hint="default"/>
          <w:sz w:val="24"/>
          <w:szCs w:val="24"/>
          <w:rtl w:val="0"/>
          <w:lang w:val="en-US"/>
        </w:rPr>
        <w:t xml:space="preserve">’ </w:t>
      </w:r>
      <w:r>
        <w:rPr>
          <w:sz w:val="24"/>
          <w:szCs w:val="24"/>
          <w:rtl w:val="0"/>
          <w:lang w:val="en-US"/>
        </w:rPr>
        <w:t xml:space="preserve">takes place. This is an ongoing independely project for up to 6 weeks. Pupils are encouraged to </w:t>
      </w:r>
      <w:r>
        <w:rPr>
          <w:rFonts w:hAnsi="Helvetica" w:hint="default"/>
          <w:sz w:val="24"/>
          <w:szCs w:val="24"/>
          <w:rtl w:val="0"/>
          <w:lang w:val="en-US"/>
        </w:rPr>
        <w:t>‘</w:t>
      </w:r>
      <w:r>
        <w:rPr>
          <w:sz w:val="24"/>
          <w:szCs w:val="24"/>
          <w:rtl w:val="0"/>
          <w:lang w:val="en-US"/>
        </w:rPr>
        <w:t>wonder</w:t>
      </w:r>
      <w:r>
        <w:rPr>
          <w:rFonts w:hAnsi="Helvetica" w:hint="default"/>
          <w:sz w:val="24"/>
          <w:szCs w:val="24"/>
          <w:rtl w:val="0"/>
          <w:lang w:val="en-US"/>
        </w:rPr>
        <w:t xml:space="preserve">’ </w:t>
      </w:r>
      <w:r>
        <w:rPr>
          <w:sz w:val="24"/>
          <w:szCs w:val="24"/>
          <w:rtl w:val="0"/>
          <w:lang w:val="en-US"/>
        </w:rPr>
        <w:t xml:space="preserve">and research something of their own interest. They then share their learning during a presentation session at the end of the 6 weeks. This is something I know has been trailed in a similar manner in other schools. I believe that this style of learning is pupil centred and once equipped with the skills needed, this can enable them to open doors to new areas that are of their own interest. Alongside independent projects, learners also take part in </w:t>
      </w:r>
      <w:r>
        <w:rPr>
          <w:rFonts w:hAnsi="Helvetica" w:hint="default"/>
          <w:sz w:val="24"/>
          <w:szCs w:val="24"/>
          <w:rtl w:val="0"/>
          <w:lang w:val="en-US"/>
        </w:rPr>
        <w:t>‘</w:t>
      </w:r>
      <w:r>
        <w:rPr>
          <w:sz w:val="24"/>
          <w:szCs w:val="24"/>
          <w:rtl w:val="0"/>
          <w:lang w:val="en-US"/>
        </w:rPr>
        <w:t>flipped learning</w:t>
      </w:r>
      <w:r>
        <w:rPr>
          <w:rFonts w:hAnsi="Helvetica" w:hint="default"/>
          <w:sz w:val="24"/>
          <w:szCs w:val="24"/>
          <w:rtl w:val="0"/>
          <w:lang w:val="en-US"/>
        </w:rPr>
        <w:t xml:space="preserve">’ </w:t>
      </w:r>
      <w:r>
        <w:rPr>
          <w:sz w:val="24"/>
          <w:szCs w:val="24"/>
          <w:rtl w:val="0"/>
          <w:lang w:val="en-US"/>
        </w:rPr>
        <w:t>where they become the teacher. This approach will, once fully embedded, meet the recommendations of Donaldson where learners have a deed knowledge and skill base, hence confident in what they know, and are therefore able to become active participants in their learning journey. This approach also allows for collaboration and real life experience, both of which should be considered paramount. Although no specific curriculum has been developed for School B, they have adopted an ethos where it is acceptable to try, fail and succeed. My college who attended the school remarked that every member of staff believed in what they did and were confident that they are able to interpret Successful Futures and realise it effectively in their setting. There was an opportunity to relate this to ourselves as practitioners in our own setting and there was a consensus that practitioners want to succeed, they want the scope to adapt teaching and learning styles and they want to provide a curriculum that is current and pupil led.</w:t>
      </w:r>
    </w:p>
    <w:p>
      <w:pPr>
        <w:pStyle w:val="Body"/>
        <w:rPr>
          <w:sz w:val="24"/>
          <w:szCs w:val="24"/>
        </w:rPr>
      </w:pPr>
      <w:r>
        <w:rPr>
          <w:sz w:val="24"/>
          <w:szCs w:val="24"/>
        </w:rPr>
        <w:tab/>
      </w:r>
    </w:p>
    <w:p>
      <w:pPr>
        <w:pStyle w:val="Body"/>
        <w:rPr>
          <w:sz w:val="24"/>
          <w:szCs w:val="24"/>
        </w:rPr>
      </w:pPr>
      <w:r>
        <w:rPr>
          <w:sz w:val="24"/>
          <w:szCs w:val="24"/>
          <w:rtl w:val="0"/>
          <w:lang w:val="en-US"/>
        </w:rPr>
        <w:t>The difficulty with development of a curriculum specific to your school is the ambiguity of your skills and assessments compared to local and national standards. If learners are being taught through different vehicles or curricula, then how can skills and abilities be gauged against each other? Pioneer schools in Wales have been given free rein to trial and explore new curriculum approaches. There is a great need for the findings of these pioneer establishments to be shared honestly. The new curriculum is already being written and findings shared amongst professionals. There needs to be room in the new curriculum for schools to make it individual to them. There needs to be space for interpretation and for teachers to tailor the teaching and learning of skills in a way that best suits their group of learners.</w: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rPr>
          <w:sz w:val="24"/>
          <w:szCs w:val="24"/>
          <w:rtl w:val="0"/>
          <w:lang w:val="en-US"/>
        </w:rPr>
        <w:t>Force field analysis</w:t>
      </w:r>
    </w:p>
    <w:tbl>
      <w:tblPr>
        <w:tblW w:w="882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174"/>
        <w:gridCol w:w="650"/>
        <w:gridCol w:w="540"/>
        <w:gridCol w:w="1824"/>
        <w:gridCol w:w="550"/>
        <w:gridCol w:w="661"/>
        <w:gridCol w:w="2426"/>
      </w:tblGrid>
      <w:tr>
        <w:tblPrEx>
          <w:shd w:val="clear" w:color="auto" w:fill="auto"/>
        </w:tblPrEx>
        <w:trPr>
          <w:trHeight w:val="614"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left"/>
              <w:rPr>
                <w:rtl w:val="0"/>
              </w:rPr>
            </w:pPr>
            <w:r>
              <w:rPr>
                <w:rFonts w:ascii="Arial" w:cs="Calibri" w:hAnsi="Calibri" w:eastAsia="Calibri"/>
                <w:b w:val="1"/>
                <w:bCs w:val="1"/>
                <w:sz w:val="16"/>
                <w:szCs w:val="16"/>
                <w:u w:color="000000"/>
                <w:rtl w:val="0"/>
                <w:lang w:val="en-US"/>
              </w:rPr>
              <w:t>Forces FOR Change</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left"/>
              <w:rPr>
                <w:rtl w:val="0"/>
              </w:rPr>
            </w:pPr>
            <w:r>
              <w:rPr>
                <w:rFonts w:ascii="Arial" w:cs="Calibri" w:hAnsi="Calibri" w:eastAsia="Calibri"/>
                <w:b w:val="1"/>
                <w:bCs w:val="1"/>
                <w:sz w:val="16"/>
                <w:szCs w:val="16"/>
                <w:u w:color="000000"/>
                <w:rtl w:val="0"/>
                <w:lang w:val="en-US"/>
              </w:rPr>
              <w:t>Score</w:t>
            </w:r>
          </w:p>
        </w:tc>
        <w:tc>
          <w:tcPr>
            <w:tcW w:type="dxa" w:w="53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Mar>
              <w:top w:type="dxa" w:w="80"/>
              <w:left w:type="dxa" w:w="80"/>
              <w:bottom w:type="dxa" w:w="80"/>
              <w:right w:type="dxa" w:w="80"/>
            </w:tcMar>
            <w:vAlign w:val="center"/>
          </w:tcPr>
          <w:p/>
        </w:tc>
        <w:tc>
          <w:tcPr>
            <w:tcW w:type="dxa" w:w="1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left"/>
              <w:rPr>
                <w:rtl w:val="0"/>
              </w:rPr>
            </w:pPr>
            <w:r>
              <w:rPr>
                <w:rFonts w:ascii="Arial" w:cs="Calibri" w:hAnsi="Calibri" w:eastAsia="Calibri"/>
                <w:b w:val="1"/>
                <w:bCs w:val="1"/>
                <w:sz w:val="16"/>
                <w:szCs w:val="16"/>
                <w:u w:color="000000"/>
                <w:rtl w:val="0"/>
                <w:lang w:val="en-US"/>
              </w:rPr>
              <w:t>Change Proposal</w:t>
            </w:r>
          </w:p>
        </w:tc>
        <w:tc>
          <w:tcPr>
            <w:tcW w:type="dxa" w:w="55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Mar>
              <w:top w:type="dxa" w:w="80"/>
              <w:left w:type="dxa" w:w="80"/>
              <w:bottom w:type="dxa" w:w="80"/>
              <w:right w:type="dxa" w:w="80"/>
            </w:tcMar>
            <w:vAlign w:val="center"/>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left"/>
              <w:rPr>
                <w:rtl w:val="0"/>
              </w:rPr>
            </w:pPr>
            <w:r>
              <w:rPr>
                <w:rFonts w:ascii="Arial" w:cs="Calibri" w:hAnsi="Calibri" w:eastAsia="Calibri"/>
                <w:b w:val="1"/>
                <w:bCs w:val="1"/>
                <w:sz w:val="16"/>
                <w:szCs w:val="16"/>
                <w:u w:color="000000"/>
                <w:rtl w:val="0"/>
                <w:lang w:val="en-US"/>
              </w:rPr>
              <w:t>Score</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left"/>
              <w:rPr>
                <w:rtl w:val="0"/>
              </w:rPr>
            </w:pPr>
            <w:r>
              <w:rPr>
                <w:rFonts w:ascii="Arial" w:cs="Calibri" w:hAnsi="Calibri" w:eastAsia="Calibri"/>
                <w:b w:val="1"/>
                <w:bCs w:val="1"/>
                <w:sz w:val="16"/>
                <w:szCs w:val="16"/>
                <w:u w:color="000000"/>
                <w:rtl w:val="0"/>
                <w:lang w:val="en-US"/>
              </w:rPr>
              <w:t>Forces AGAINST Change</w:t>
            </w:r>
          </w:p>
        </w:tc>
      </w:tr>
      <w:tr>
        <w:tblPrEx>
          <w:shd w:val="clear" w:color="auto" w:fill="auto"/>
        </w:tblPrEx>
        <w:trPr>
          <w:trHeight w:val="60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LNF/DCF</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4</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Arial"/>
                <w:b w:val="1"/>
                <w:bCs w:val="1"/>
                <w:sz w:val="22"/>
                <w:szCs w:val="22"/>
                <w:u w:color="000000"/>
                <w:rtl w:val="0"/>
              </w:rPr>
              <w:t>The purpose led curriculum, Successful Futures, is realised in our school</w:t>
            </w:r>
          </w:p>
          <w:p>
            <w:pPr>
              <w:pStyle w:val="Body"/>
              <w:bidi w:val="0"/>
              <w:ind w:left="0" w:right="0" w:firstLine="0"/>
              <w:jc w:val="center"/>
              <w:rPr>
                <w:rtl w:val="0"/>
              </w:rPr>
            </w:pPr>
            <w:r>
              <w:rPr>
                <w:rFonts w:ascii="Arial"/>
                <w:b w:val="1"/>
                <w:bCs w:val="1"/>
                <w:sz w:val="22"/>
                <w:szCs w:val="22"/>
                <w:u w:color="000000"/>
                <w:rtl w:val="0"/>
              </w:rPr>
              <w:t>(AIM)</w:t>
            </w: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4</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End of phase/stage results</w:t>
            </w:r>
          </w:p>
        </w:tc>
      </w:tr>
      <w:tr>
        <w:tblPrEx>
          <w:shd w:val="clear" w:color="auto" w:fill="auto"/>
        </w:tblPrEx>
        <w:trPr>
          <w:trHeight w:val="60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Need for real life skills</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4</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4</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Possibility of a drop in standards</w:t>
            </w:r>
          </w:p>
        </w:tc>
      </w:tr>
      <w:tr>
        <w:tblPrEx>
          <w:shd w:val="clear" w:color="auto" w:fill="auto"/>
        </w:tblPrEx>
        <w:trPr>
          <w:trHeight w:val="842"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Successful Futures Document</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5</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3</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Reluctance or unwillingness to change</w:t>
            </w:r>
          </w:p>
        </w:tc>
      </w:tr>
      <w:tr>
        <w:tblPrEx>
          <w:shd w:val="clear" w:color="auto" w:fill="auto"/>
        </w:tblPrEx>
        <w:trPr>
          <w:trHeight w:val="60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Learning Environment</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3</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3</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Funding of new experiences</w:t>
            </w:r>
          </w:p>
        </w:tc>
      </w:tr>
      <w:tr>
        <w:tblPrEx>
          <w:shd w:val="clear" w:color="auto" w:fill="auto"/>
        </w:tblPrEx>
        <w:trPr>
          <w:trHeight w:val="60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CPD opportunities</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3</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2</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Cost and time of CPD</w:t>
            </w:r>
          </w:p>
        </w:tc>
      </w:tr>
      <w:tr>
        <w:tblPrEx>
          <w:shd w:val="clear" w:color="auto" w:fill="auto"/>
        </w:tblPrEx>
        <w:trPr>
          <w:trHeight w:val="60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Pupil interests and engagement</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5</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5</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Green School Status</w:t>
            </w:r>
          </w:p>
        </w:tc>
      </w:tr>
      <w:tr>
        <w:tblPrEx>
          <w:shd w:val="clear" w:color="auto" w:fill="auto"/>
        </w:tblPrEx>
        <w:trPr>
          <w:trHeight w:val="60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Staff interests and strengths</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4</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3</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Non pioneer school</w:t>
            </w:r>
          </w:p>
        </w:tc>
      </w:tr>
      <w:tr>
        <w:tblPrEx>
          <w:shd w:val="clear" w:color="auto" w:fill="auto"/>
        </w:tblPrEx>
        <w:trPr>
          <w:trHeight w:val="842"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Increasing wellbeing of staff and pupils</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5</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2</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Purchase or sharing of resources</w:t>
            </w:r>
          </w:p>
        </w:tc>
      </w:tr>
      <w:tr>
        <w:tblPrEx>
          <w:shd w:val="clear" w:color="auto" w:fill="auto"/>
        </w:tblPrEx>
        <w:trPr>
          <w:trHeight w:val="60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Strong Leadership</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4</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3</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Change of staff roles</w:t>
            </w:r>
          </w:p>
        </w:tc>
      </w:tr>
      <w:tr>
        <w:tblPrEx>
          <w:shd w:val="clear" w:color="auto" w:fill="auto"/>
        </w:tblPrEx>
        <w:trPr>
          <w:trHeight w:val="60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Change of accountability</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4</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3</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Collection of learning evidence</w:t>
            </w:r>
          </w:p>
        </w:tc>
      </w:tr>
      <w:tr>
        <w:tblPrEx>
          <w:shd w:val="clear" w:color="auto" w:fill="auto"/>
        </w:tblPrEx>
        <w:trPr>
          <w:trHeight w:val="1122"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Welshness and creation of an authentic identity</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3</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0"/>
                <w:szCs w:val="20"/>
                <w:u w:color="000000"/>
                <w:rtl w:val="0"/>
              </w:rPr>
              <w:t>4</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b w:val="1"/>
                <w:bCs w:val="1"/>
                <w:sz w:val="24"/>
                <w:szCs w:val="24"/>
                <w:u w:color="000000"/>
                <w:rtl w:val="0"/>
              </w:rPr>
              <w:t>Lack of experience or knowledge</w:t>
            </w:r>
          </w:p>
        </w:tc>
      </w:tr>
      <w:tr>
        <w:tblPrEx>
          <w:shd w:val="clear" w:color="auto" w:fill="auto"/>
        </w:tblPrEx>
        <w:trPr>
          <w:trHeight w:val="609" w:hRule="atLeast"/>
        </w:trPr>
        <w:tc>
          <w:tcPr>
            <w:tcW w:type="dxa" w:w="21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right"/>
              <w:rPr>
                <w:rtl w:val="0"/>
              </w:rPr>
            </w:pPr>
            <w:r>
              <w:rPr>
                <w:rFonts w:ascii="Arial" w:cs="Calibri" w:hAnsi="Calibri" w:eastAsia="Calibri"/>
                <w:b w:val="1"/>
                <w:bCs w:val="1"/>
                <w:sz w:val="16"/>
                <w:szCs w:val="16"/>
                <w:u w:color="000000"/>
                <w:rtl w:val="0"/>
                <w:lang w:val="en-US"/>
              </w:rPr>
              <w:t>TOTAL</w:t>
            </w:r>
          </w:p>
        </w:tc>
        <w:tc>
          <w:tcPr>
            <w:tcW w:type="dxa" w:w="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4"/>
                <w:szCs w:val="24"/>
                <w:u w:color="000000"/>
                <w:rtl w:val="0"/>
              </w:rPr>
              <w:t>44</w:t>
            </w:r>
          </w:p>
        </w:tc>
        <w:tc>
          <w:tcPr>
            <w:tcW w:type="dxa" w:w="53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182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5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efefe"/>
          </w:tcPr>
          <w:p/>
        </w:tc>
        <w:tc>
          <w:tcPr>
            <w:tcW w:type="dxa" w:w="6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bidi w:val="0"/>
              <w:ind w:left="0" w:right="0" w:firstLine="0"/>
              <w:jc w:val="center"/>
              <w:rPr>
                <w:rtl w:val="0"/>
              </w:rPr>
            </w:pPr>
            <w:r>
              <w:rPr>
                <w:rFonts w:ascii="Arial"/>
                <w:b w:val="1"/>
                <w:bCs w:val="1"/>
                <w:sz w:val="24"/>
                <w:szCs w:val="24"/>
                <w:u w:color="000000"/>
                <w:rtl w:val="0"/>
              </w:rPr>
              <w:t>36</w:t>
            </w:r>
          </w:p>
        </w:tc>
        <w:tc>
          <w:tcPr>
            <w:tcW w:type="dxa" w:w="2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left"/>
              <w:rPr>
                <w:rtl w:val="0"/>
              </w:rPr>
            </w:pPr>
            <w:r>
              <w:rPr>
                <w:rFonts w:ascii="Arial" w:cs="Calibri" w:hAnsi="Calibri" w:eastAsia="Calibri"/>
                <w:b w:val="1"/>
                <w:bCs w:val="1"/>
                <w:sz w:val="16"/>
                <w:szCs w:val="16"/>
                <w:u w:color="000000"/>
                <w:rtl w:val="0"/>
                <w:lang w:val="en-US"/>
              </w:rPr>
              <w:t>TOTAL</w:t>
            </w:r>
          </w:p>
        </w:tc>
      </w:tr>
    </w:tbl>
    <w:p>
      <w:pPr>
        <w:pStyle w:val="Body"/>
        <w:rPr>
          <w:sz w:val="24"/>
          <w:szCs w:val="24"/>
        </w:rPr>
      </w:pPr>
    </w:p>
    <w:p>
      <w:pPr>
        <w:pStyle w:val="Body"/>
        <w:rPr>
          <w:sz w:val="24"/>
          <w:szCs w:val="24"/>
        </w:rPr>
      </w:pPr>
      <w:r>
        <w:rPr>
          <w:sz w:val="24"/>
          <w:szCs w:val="24"/>
        </w:rPr>
        <mc:AlternateContent>
          <mc:Choice Requires="wpg">
            <w:drawing>
              <wp:anchor distT="152400" distB="152400" distL="152400" distR="152400" simplePos="0" relativeHeight="251659264" behindDoc="0" locked="0" layoutInCell="1" allowOverlap="1">
                <wp:simplePos x="0" y="0"/>
                <wp:positionH relativeFrom="margin">
                  <wp:posOffset>1789519</wp:posOffset>
                </wp:positionH>
                <wp:positionV relativeFrom="page">
                  <wp:posOffset>4180204</wp:posOffset>
                </wp:positionV>
                <wp:extent cx="1858963" cy="223520"/>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microsoft.com/office/word/2010/wordprocessingGroup">
                    <wpg:wgp>
                      <wpg:cNvGrpSpPr/>
                      <wpg:grpSpPr>
                        <a:xfrm>
                          <a:off x="0" y="0"/>
                          <a:ext cx="1858963" cy="223520"/>
                          <a:chOff x="0" y="0"/>
                          <a:chExt cx="1858962" cy="223519"/>
                        </a:xfrm>
                      </wpg:grpSpPr>
                      <wps:wsp>
                        <wps:cNvPr id="1073741825" name="Shape 1073741825"/>
                        <wps:cNvSpPr/>
                        <wps:spPr>
                          <a:xfrm>
                            <a:off x="0" y="2420"/>
                            <a:ext cx="354013" cy="221100"/>
                          </a:xfrm>
                          <a:prstGeom prst="rightArrow">
                            <a:avLst>
                              <a:gd name="adj1" fmla="val 32000"/>
                              <a:gd name="adj2" fmla="val 102474"/>
                            </a:avLst>
                          </a:prstGeom>
                          <a:gradFill flip="none" rotWithShape="1">
                            <a:gsLst>
                              <a:gs pos="0">
                                <a:srgbClr val="FF2D21"/>
                              </a:gs>
                              <a:gs pos="100000">
                                <a:srgbClr val="AE1916"/>
                              </a:gs>
                            </a:gsLst>
                            <a:lin ang="5400000" scaled="0"/>
                          </a:gradFill>
                          <a:ln w="12700" cap="flat">
                            <a:noFill/>
                            <a:miter lim="400000"/>
                          </a:ln>
                          <a:effectLst/>
                        </wps:spPr>
                        <wps:bodyPr/>
                      </wps:wsp>
                      <wps:wsp>
                        <wps:cNvPr id="1073741826" name="Shape 1073741826"/>
                        <wps:cNvSpPr/>
                        <wps:spPr>
                          <a:xfrm>
                            <a:off x="1509712" y="0"/>
                            <a:ext cx="349251" cy="2211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4013" y="14256"/>
                                </a:moveTo>
                                <a:lnTo>
                                  <a:pt x="14013" y="21600"/>
                                </a:lnTo>
                                <a:lnTo>
                                  <a:pt x="0" y="10800"/>
                                </a:lnTo>
                                <a:lnTo>
                                  <a:pt x="14013" y="0"/>
                                </a:lnTo>
                                <a:lnTo>
                                  <a:pt x="14013" y="7344"/>
                                </a:lnTo>
                                <a:lnTo>
                                  <a:pt x="21600" y="7344"/>
                                </a:lnTo>
                                <a:lnTo>
                                  <a:pt x="21600" y="14256"/>
                                </a:lnTo>
                                <a:close/>
                              </a:path>
                            </a:pathLst>
                          </a:custGeom>
                          <a:gradFill flip="none" rotWithShape="1">
                            <a:gsLst>
                              <a:gs pos="0">
                                <a:srgbClr val="FF2D21"/>
                              </a:gs>
                              <a:gs pos="100000">
                                <a:srgbClr val="AE1916"/>
                              </a:gs>
                            </a:gsLst>
                            <a:lin ang="5400000" scaled="0"/>
                          </a:gradFill>
                          <a:ln w="12700" cap="flat">
                            <a:noFill/>
                            <a:miter lim="400000"/>
                          </a:ln>
                          <a:effectLst/>
                        </wps:spPr>
                        <wps:bodyPr/>
                      </wps:wsp>
                    </wpg:wgp>
                  </a:graphicData>
                </a:graphic>
              </wp:anchor>
            </w:drawing>
          </mc:Choice>
          <mc:Fallback>
            <w:pict>
              <v:group id="_x0000_s1026" style="visibility:visible;position:absolute;margin-left:140.9pt;margin-top:329.1pt;width:146.4pt;height:17.6pt;z-index:251659264;mso-position-horizontal:absolute;mso-position-horizontal-relative:margin;mso-position-vertical:absolute;mso-position-vertical-relative:page;mso-wrap-distance-left:12.0pt;mso-wrap-distance-top:12.0pt;mso-wrap-distance-right:12.0pt;mso-wrap-distance-bottom:12.0pt;" coordorigin="0,0" coordsize="1858963,223520">
                <w10:wrap type="through" side="bothSides" anchorx="margin" anchory="page"/>
                <v:shape id="_x0000_s1027" type="#_x0000_t13" style="position:absolute;left:0;top:2421;width:354013;height:221099;" adj="7776,7344">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shape>
                <v:shape id="_x0000_s1028" style="position:absolute;left:1509713;top:0;width:349250;height:221099;" coordorigin="0,0" coordsize="21600,21600" path="M 14013,14256 L 14013,21600 L 0,10800 L 14013,0 L 14013,7344 L 21600,7344 L 21600,14256 X E">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shape>
              </v:group>
            </w:pict>
          </mc:Fallback>
        </mc:AlternateContent>
      </w:r>
    </w:p>
    <w:p>
      <w:pPr>
        <w:pStyle w:val="Body"/>
        <w:rPr>
          <w:sz w:val="24"/>
          <w:szCs w:val="24"/>
        </w:rPr>
      </w:pPr>
      <w:r>
        <w:rPr>
          <w:sz w:val="24"/>
          <w:szCs w:val="24"/>
          <w:rtl w:val="0"/>
          <w:lang w:val="en-US"/>
        </w:rPr>
        <w:t>Report to Governors</w:t>
      </w:r>
    </w:p>
    <w:p>
      <w:pPr>
        <w:pStyle w:val="Body"/>
        <w:rPr>
          <w:sz w:val="24"/>
          <w:szCs w:val="24"/>
        </w:rPr>
      </w:pPr>
    </w:p>
    <w:p>
      <w:pPr>
        <w:pStyle w:val="Body"/>
        <w:rPr>
          <w:sz w:val="24"/>
          <w:szCs w:val="24"/>
        </w:rPr>
      </w:pPr>
      <w:r>
        <w:rPr>
          <w:sz w:val="24"/>
          <w:szCs w:val="24"/>
          <w:rtl w:val="0"/>
          <w:lang w:val="en-US"/>
        </w:rPr>
        <w:t>Indicated in the Force Field Analysis conducted on behalf of our school, you will note that there are a number of factors that will enable a successful integration and implementation of Successful Futures into our establishment. Despite the supporting factors, consideration needs to be given with regards to the difficulties we may also face.</w:t>
      </w:r>
    </w:p>
    <w:p>
      <w:pPr>
        <w:pStyle w:val="Body"/>
        <w:rPr>
          <w:sz w:val="24"/>
          <w:szCs w:val="24"/>
        </w:rPr>
      </w:pPr>
    </w:p>
    <w:p>
      <w:pPr>
        <w:pStyle w:val="Body"/>
        <w:rPr>
          <w:sz w:val="24"/>
          <w:szCs w:val="24"/>
          <w:u w:val="single"/>
        </w:rPr>
      </w:pPr>
      <w:r>
        <w:rPr>
          <w:sz w:val="24"/>
          <w:szCs w:val="24"/>
          <w:u w:val="single"/>
          <w:rtl w:val="0"/>
          <w:lang w:val="en-US"/>
        </w:rPr>
        <w:t>Successful Futures Document vs Reluctance or unwillingness to change</w:t>
      </w:r>
    </w:p>
    <w:p>
      <w:pPr>
        <w:pStyle w:val="Body"/>
        <w:rPr>
          <w:sz w:val="24"/>
          <w:szCs w:val="24"/>
          <w:u w:val="single"/>
        </w:rPr>
      </w:pPr>
    </w:p>
    <w:p>
      <w:pPr>
        <w:pStyle w:val="Body"/>
        <w:rPr>
          <w:sz w:val="24"/>
          <w:szCs w:val="24"/>
        </w:rPr>
      </w:pPr>
      <w:r>
        <w:rPr>
          <w:sz w:val="24"/>
          <w:szCs w:val="24"/>
          <w:rtl w:val="0"/>
          <w:lang w:val="en-US"/>
        </w:rPr>
        <w:t>Although not a Pioneer School, we have made good use of the time since the publication of Donaldson</w:t>
      </w:r>
      <w:r>
        <w:rPr>
          <w:rFonts w:hAnsi="Helvetica" w:hint="default"/>
          <w:sz w:val="24"/>
          <w:szCs w:val="24"/>
          <w:rtl w:val="0"/>
          <w:lang w:val="en-US"/>
        </w:rPr>
        <w:t>’</w:t>
      </w:r>
      <w:r>
        <w:rPr>
          <w:sz w:val="24"/>
          <w:szCs w:val="24"/>
          <w:rtl w:val="0"/>
          <w:lang w:val="en-US"/>
        </w:rPr>
        <w:t>s findings to engage with Pioneer schools and familiarise ourselves with what the recommendations would look like in practice for us.</w:t>
      </w:r>
    </w:p>
    <w:p>
      <w:pPr>
        <w:pStyle w:val="Body"/>
        <w:rPr>
          <w:sz w:val="24"/>
          <w:szCs w:val="24"/>
        </w:rPr>
      </w:pPr>
    </w:p>
    <w:p>
      <w:pPr>
        <w:pStyle w:val="Body"/>
        <w:rPr>
          <w:sz w:val="24"/>
          <w:szCs w:val="24"/>
        </w:rPr>
      </w:pPr>
      <w:r>
        <w:rPr>
          <w:sz w:val="24"/>
          <w:szCs w:val="24"/>
          <w:rtl w:val="0"/>
          <w:lang w:val="en-US"/>
        </w:rPr>
        <w:t>The crux of Successful Futures has been explored during staff meetings and all stakeholders, including Governors, teachers and support staff have been updated periodically with feedback from Pioneers schools within our cluster. Since September 2016, a working party has been led by a member of SMT to conduct their own research into Successful Futures. They considered the shift from standalone subjects and devised a plan of how we could begin to pilot a more dynamic and holistic approach to teaching and learning across a broader spectra of skills that are more naturally related. The staff have shown an interest due to the continued research of the working party. This has ensured that teachers have a solid understanding of what the new curriculum is expecting of its facilitators. Despite this, through questionnaires and informal discussions, it is evident that not all teachers are confident in delivering the change we will face. There has been some pessimism and expression of reluctance to change. Often, the teacher or member of support staff has mentioned that this is due to a fear of the unknown. As a result of this, staff have had the opportunity to trial lessons and units of work, then share their findings in a triad setting. Effective pedagogical approaches, as mentioned by Donaldson, were scrutinised prior to this and staff were encouraged to take a risk. So far this has proven effective and is, I feel, a positive step towards implementation of the new curriculum within our school.</w:t>
      </w:r>
    </w:p>
    <w:p>
      <w:pPr>
        <w:pStyle w:val="Body"/>
        <w:rPr>
          <w:sz w:val="24"/>
          <w:szCs w:val="24"/>
        </w:rPr>
      </w:pPr>
    </w:p>
    <w:p>
      <w:pPr>
        <w:pStyle w:val="Body"/>
        <w:rPr>
          <w:sz w:val="24"/>
          <w:szCs w:val="24"/>
        </w:rPr>
      </w:pPr>
      <w:r>
        <w:rPr>
          <w:sz w:val="24"/>
          <w:szCs w:val="24"/>
          <w:rtl w:val="0"/>
          <w:lang w:val="en-US"/>
        </w:rPr>
        <w:t>ACTION: All staff to partake in triad lesson planning and observations in Summer Term 2018 in line with Successful Futures recommendations. Focus to be determined by SMT.</w:t>
      </w:r>
    </w:p>
    <w:p>
      <w:pPr>
        <w:pStyle w:val="Body"/>
        <w:rPr>
          <w:sz w:val="24"/>
          <w:szCs w:val="24"/>
        </w:rPr>
      </w:pPr>
    </w:p>
    <w:p>
      <w:pPr>
        <w:pStyle w:val="Body"/>
        <w:rPr>
          <w:sz w:val="24"/>
          <w:szCs w:val="24"/>
          <w:u w:val="single"/>
        </w:rPr>
      </w:pPr>
      <w:r>
        <w:rPr>
          <w:sz w:val="24"/>
          <w:szCs w:val="24"/>
          <w:u w:val="single"/>
          <w:rtl w:val="0"/>
          <w:lang w:val="en-US"/>
        </w:rPr>
        <w:t>Continued Professional Development Opportunities vs Cost and Time of CPD</w:t>
      </w:r>
    </w:p>
    <w:p>
      <w:pPr>
        <w:pStyle w:val="Body"/>
        <w:rPr>
          <w:sz w:val="24"/>
          <w:szCs w:val="24"/>
        </w:rPr>
      </w:pPr>
    </w:p>
    <w:p>
      <w:pPr>
        <w:pStyle w:val="Body"/>
        <w:rPr>
          <w:sz w:val="24"/>
          <w:szCs w:val="24"/>
        </w:rPr>
      </w:pPr>
      <w:r>
        <w:rPr>
          <w:sz w:val="24"/>
          <w:szCs w:val="24"/>
          <w:rtl w:val="0"/>
          <w:lang w:val="en-US"/>
        </w:rPr>
        <w:t>To further support staff in the effective realisation of Successful Futures, Continued Professional Development is a key driver in ensuring teachers and support staff are confident and able to deliver lessons and units of work that broaden learners skills in a real life context. This is something that is continually addressed through in school training, sharing of good practice and attendance at courses delivered by external providers. Teachers have a duty to take charge of their own professional development and an opportunity to discuss this with members of SMT is encouraged during performance management meetings and termly reviews. To date the majority of teachers have attended training with external providers in preparation for Successful Futures, but as Governors it is imperative that further training and collaboration is supported both prior and during the implementation stage of the document. There is currently one member of staff who is participating in the PG Cert programme. The staff member has shared the process during staff meetings and as a result, it has been agreed that all staff will conduct some form of educational research as part of their role from September 2018. This will provide the focus for meeting performance management targets and it anticipated to broaden understanding and improve collaboration between practitioners and phases.</w:t>
      </w:r>
      <w:r>
        <w:rPr>
          <w:sz w:val="24"/>
          <w:szCs w:val="24"/>
          <w:rtl w:val="0"/>
          <w:lang w:val="en-US"/>
        </w:rPr>
        <w:t xml:space="preserve"> Staff have shown a willingness and readiness to ensure they are fully prepared for the implementation of Successful Futures, however Governors are asked to consider the unavoidable costs and time away from their role that further teacher training will inevitably bring about. Despite budgets being tight, the initial outlay for CPD to ensure teachers are effectively prepared will result in greater enthusiasm and aptitude in practice and pedagogy. </w:t>
      </w:r>
    </w:p>
    <w:p>
      <w:pPr>
        <w:pStyle w:val="Body"/>
        <w:rPr>
          <w:sz w:val="24"/>
          <w:szCs w:val="24"/>
        </w:rPr>
      </w:pPr>
    </w:p>
    <w:p>
      <w:pPr>
        <w:pStyle w:val="Body"/>
        <w:rPr>
          <w:sz w:val="24"/>
          <w:szCs w:val="24"/>
        </w:rPr>
      </w:pPr>
      <w:r>
        <w:rPr>
          <w:sz w:val="24"/>
          <w:szCs w:val="24"/>
          <w:rtl w:val="0"/>
          <w:lang w:val="en-US"/>
        </w:rPr>
        <w:t>ACTION: Ensure all staff are engaged in Professional Learning opportunities (formal academic recognition, informal research and training).</w:t>
      </w:r>
    </w:p>
    <w:p>
      <w:pPr>
        <w:pStyle w:val="Body"/>
        <w:rPr>
          <w:sz w:val="24"/>
          <w:szCs w:val="24"/>
        </w:rPr>
      </w:pPr>
    </w:p>
    <w:p>
      <w:pPr>
        <w:pStyle w:val="Body"/>
        <w:rPr>
          <w:sz w:val="24"/>
          <w:szCs w:val="24"/>
        </w:rPr>
      </w:pPr>
      <w:r>
        <w:rPr>
          <w:sz w:val="24"/>
          <w:szCs w:val="24"/>
          <w:rtl w:val="0"/>
          <w:lang w:val="en-US"/>
        </w:rPr>
        <w:t>ACTION: New curriculum updates at the beginning of every staff meeting.</w:t>
      </w:r>
    </w:p>
    <w:p>
      <w:pPr>
        <w:pStyle w:val="Body"/>
        <w:rPr>
          <w:sz w:val="24"/>
          <w:szCs w:val="24"/>
        </w:rPr>
      </w:pPr>
    </w:p>
    <w:p>
      <w:pPr>
        <w:pStyle w:val="Body"/>
        <w:rPr>
          <w:sz w:val="24"/>
          <w:szCs w:val="24"/>
          <w:u w:val="single"/>
        </w:rPr>
      </w:pPr>
      <w:r>
        <w:rPr>
          <w:sz w:val="24"/>
          <w:szCs w:val="24"/>
          <w:u w:val="single"/>
          <w:rtl w:val="0"/>
          <w:lang w:val="en-US"/>
        </w:rPr>
        <w:t>Need for real life skills vs Possibility of a drop in standards</w:t>
      </w:r>
    </w:p>
    <w:p>
      <w:pPr>
        <w:pStyle w:val="Body"/>
        <w:rPr>
          <w:sz w:val="24"/>
          <w:szCs w:val="24"/>
        </w:rPr>
      </w:pPr>
    </w:p>
    <w:p>
      <w:pPr>
        <w:pStyle w:val="Body"/>
        <w:rPr>
          <w:sz w:val="24"/>
          <w:szCs w:val="24"/>
        </w:rPr>
      </w:pPr>
      <w:r>
        <w:rPr>
          <w:sz w:val="24"/>
          <w:szCs w:val="24"/>
          <w:rtl w:val="0"/>
          <w:lang w:val="en-US"/>
        </w:rPr>
        <w:t>A questionnaire was conducted at the beginning of this academic year. This was lead by SMT and was conducted in order to gauge opinion of how staff felt about the current curriculum and what they were expecting from Successful Futures when it is fully adopted into all schools. There was a consensus that our current curriculum is wholesome in subject skill application yet dated in reality due to teachers remaining anchored to typical standalone subjects when end of key stage portfolios and national testing and assessment looms.</w:t>
      </w:r>
    </w:p>
    <w:p>
      <w:pPr>
        <w:pStyle w:val="Body"/>
        <w:rPr>
          <w:sz w:val="24"/>
          <w:szCs w:val="24"/>
        </w:rPr>
      </w:pPr>
    </w:p>
    <w:p>
      <w:pPr>
        <w:pStyle w:val="Body"/>
        <w:rPr>
          <w:sz w:val="24"/>
          <w:szCs w:val="24"/>
        </w:rPr>
      </w:pPr>
      <w:r>
        <w:rPr>
          <w:sz w:val="24"/>
          <w:szCs w:val="24"/>
          <w:rtl w:val="0"/>
          <w:lang w:val="en-US"/>
        </w:rPr>
        <w:t>All staff are of the opinion that lessons and learning is most effective when placed in a real life context or activities are conducted for a purpose learners can relate to. The advantage of this style is that teachers are the drivers and can steer learning in a way most suitable to their class. They can also build on the needs and interests of their learners in a way that is current and relevant to local and national issues and workplace requirements. In an area such as ours, one that can be considered socially deprived due to over 20% of our pupils being entitled for Free School Meals (above national average), we serve more of a purpose than just delivering lessons within the confines of a classroom. We realise the importance of equipping our learners with skills to thrive independently in the outside world. We have more recently been focusing on financial literacy and developing skills in the realms of engineering and creative design. These sessions have proven successful but teachers have commented on how they have struggled to link these to the standards and skills in our current curriculum document.</w:t>
      </w:r>
    </w:p>
    <w:p>
      <w:pPr>
        <w:pStyle w:val="Body"/>
        <w:rPr>
          <w:sz w:val="24"/>
          <w:szCs w:val="24"/>
        </w:rPr>
      </w:pPr>
    </w:p>
    <w:p>
      <w:pPr>
        <w:pStyle w:val="Body"/>
        <w:rPr>
          <w:sz w:val="24"/>
          <w:szCs w:val="24"/>
        </w:rPr>
      </w:pPr>
      <w:r>
        <w:rPr>
          <w:sz w:val="24"/>
          <w:szCs w:val="24"/>
          <w:rtl w:val="0"/>
          <w:lang w:val="en-US"/>
        </w:rPr>
        <w:t>The disadvantage if we, as a school, implement the Successful Futures document without steady and careful integration with what we currently consider to be our best practice, is that we risk losing the proven approaches that we know works for our learners. we must be realistic and accepting that the journey of the new curriculum may be difficult and may result in a drop in academic standards, but I am confident that our strong performance over the past three years has equipped us with the confidence and ability to address that issue should it arise. During Head Teachers meetings and cluster lead sessions, up to date information about he development of the new skill areas have been shared. We are then further scrutinising these on a whole school basis and considering how we can be prepared for the change in teaching and assessment.</w:t>
      </w:r>
    </w:p>
    <w:p>
      <w:pPr>
        <w:pStyle w:val="Body"/>
        <w:rPr>
          <w:sz w:val="24"/>
          <w:szCs w:val="24"/>
        </w:rPr>
      </w:pPr>
    </w:p>
    <w:p>
      <w:pPr>
        <w:pStyle w:val="Body"/>
        <w:rPr>
          <w:sz w:val="24"/>
          <w:szCs w:val="24"/>
        </w:rPr>
      </w:pPr>
      <w:r>
        <w:rPr>
          <w:sz w:val="24"/>
          <w:szCs w:val="24"/>
          <w:rtl w:val="0"/>
          <w:lang w:val="en-US"/>
        </w:rPr>
        <w:t>ACTION: SMT and Phase Leaders to work closely with other cluster leads to ensure Successful Futures updates are regular and fed back to staff.</w:t>
      </w:r>
    </w:p>
    <w:p>
      <w:pPr>
        <w:pStyle w:val="Body"/>
        <w:rPr>
          <w:sz w:val="24"/>
          <w:szCs w:val="24"/>
        </w:rPr>
      </w:pPr>
    </w:p>
    <w:p>
      <w:pPr>
        <w:pStyle w:val="Body"/>
        <w:rPr>
          <w:sz w:val="24"/>
          <w:szCs w:val="24"/>
        </w:rPr>
      </w:pPr>
      <w:r>
        <w:rPr>
          <w:sz w:val="24"/>
          <w:szCs w:val="24"/>
          <w:rtl w:val="0"/>
          <w:lang w:val="en-US"/>
        </w:rPr>
        <w:t>ACTION: Create portfolio of evidence for all year groups (in house standardisation) in order to provide all teaching staff of best practice and standardised examples of levels and outcomes. These can be adapted once new documentation is published.</w:t>
      </w:r>
    </w:p>
    <w:p>
      <w:pPr>
        <w:pStyle w:val="Body"/>
        <w:rPr>
          <w:sz w:val="24"/>
          <w:szCs w:val="24"/>
        </w:rPr>
      </w:pPr>
    </w:p>
    <w:p>
      <w:pPr>
        <w:pStyle w:val="Body"/>
        <w:rPr>
          <w:sz w:val="24"/>
          <w:szCs w:val="24"/>
        </w:rPr>
      </w:pPr>
    </w:p>
    <w:p>
      <w:pPr>
        <w:pStyle w:val="Body"/>
        <w:rPr>
          <w:sz w:val="24"/>
          <w:szCs w:val="24"/>
          <w:u w:val="single"/>
        </w:rPr>
      </w:pPr>
      <w:r>
        <w:rPr>
          <w:sz w:val="24"/>
          <w:szCs w:val="24"/>
          <w:u w:val="single"/>
          <w:rtl w:val="0"/>
          <w:lang w:val="en-US"/>
        </w:rPr>
        <w:t>Green School Status</w:t>
      </w:r>
    </w:p>
    <w:p>
      <w:pPr>
        <w:pStyle w:val="Body"/>
        <w:rPr>
          <w:sz w:val="24"/>
          <w:szCs w:val="24"/>
        </w:rPr>
      </w:pPr>
    </w:p>
    <w:p>
      <w:pPr>
        <w:pStyle w:val="Body"/>
        <w:rPr>
          <w:sz w:val="24"/>
          <w:szCs w:val="24"/>
        </w:rPr>
      </w:pPr>
      <w:r>
        <w:rPr>
          <w:sz w:val="24"/>
          <w:szCs w:val="24"/>
          <w:rtl w:val="0"/>
          <w:lang w:val="en-US"/>
        </w:rPr>
        <w:t>Aa school we are immensely proud of the journey we have traveled with regard to school categorisation. In 2014 the school was judged to be within the Amber category, this was disappointing but became the catalyst for change within our setting. By 2016 we were recategorised as Yellow. Strong leadership enabled staff and stakeholders to realise the need for change and a forward thinking approach. Priority was given to embed best practice across numeracy and literacy, and practitioners were involved at all levels of target setting, tracking development and overall academic achievement. End of Key stage results showed improvement and the rigorous moderation exercise completed within the cluster verified and supported these.</w:t>
      </w:r>
    </w:p>
    <w:p>
      <w:pPr>
        <w:pStyle w:val="Body"/>
        <w:rPr>
          <w:sz w:val="24"/>
          <w:szCs w:val="24"/>
        </w:rPr>
      </w:pPr>
    </w:p>
    <w:p>
      <w:pPr>
        <w:pStyle w:val="Body"/>
        <w:rPr>
          <w:sz w:val="24"/>
          <w:szCs w:val="24"/>
        </w:rPr>
      </w:pPr>
      <w:r>
        <w:rPr>
          <w:sz w:val="24"/>
          <w:szCs w:val="24"/>
          <w:rtl w:val="0"/>
          <w:lang w:val="en-US"/>
        </w:rPr>
        <w:t>Our ultimate aim has always been to provide the best opportunities for our learners but also for staff to be involved and engaged with the system. More focus was given to individual aspects of practice. Teachers were encouraged to share their most effective pedagogical approaches and examples of planning and work that best reflected our establishment. We are confident in our teacher buy in and the resulting achievements of our pupils and whole school initiatives are tantamount to the focus and continued hard work of all staff at our school.</w:t>
      </w:r>
    </w:p>
    <w:p>
      <w:pPr>
        <w:pStyle w:val="Body"/>
        <w:rPr>
          <w:sz w:val="24"/>
          <w:szCs w:val="24"/>
        </w:rPr>
      </w:pPr>
    </w:p>
    <w:p>
      <w:pPr>
        <w:pStyle w:val="Body"/>
        <w:rPr>
          <w:sz w:val="24"/>
          <w:szCs w:val="24"/>
        </w:rPr>
      </w:pPr>
      <w:r>
        <w:rPr>
          <w:sz w:val="24"/>
          <w:szCs w:val="24"/>
          <w:rtl w:val="0"/>
          <w:lang w:val="en-US"/>
        </w:rPr>
        <w:t>In 2017 the school was categorised as a green school. Policies are well understood and applied consistently, leadership is strong, opportunities for middle leadership to shape the school have been realised and end of key phase/stage results have been maintained or improved. For the academic year 2016-16 93.1% of pupils in Year 2 achieved the expected outcome in the Foundation Phase areas of learning and 94.7% of pupils in Year 6 reached the expected level in the Core Subject Indicator (CSI - for English, Maths and Science).</w:t>
      </w:r>
    </w:p>
    <w:p>
      <w:pPr>
        <w:pStyle w:val="Body"/>
        <w:rPr>
          <w:sz w:val="24"/>
          <w:szCs w:val="24"/>
        </w:rPr>
      </w:pPr>
    </w:p>
    <w:p>
      <w:pPr>
        <w:pStyle w:val="Body"/>
        <w:rPr>
          <w:sz w:val="24"/>
          <w:szCs w:val="24"/>
        </w:rPr>
      </w:pPr>
      <w:r>
        <w:rPr>
          <w:sz w:val="24"/>
          <w:szCs w:val="24"/>
          <w:rtl w:val="0"/>
          <w:lang w:val="en-US"/>
        </w:rPr>
        <w:t>In order to maintain our position as an establishment that has been commended for its excellent practice by the local authority and consortium, it is imperative that we ensure the effective day to day running of the school. We have a number of new staff that have joined the school this year. The SMT have made provisions for this and have paired new staff with existing, experienced practitioners. To this point in the year, there have been half termly opportunities to share classroom experiences and work as a staff. In addition to this, subject coordinators and Phase Leaders have monitored standards closely and conducted pupil progress meetings on a termly basis to ensure consistency and address issues immediately.</w:t>
      </w:r>
    </w:p>
    <w:p>
      <w:pPr>
        <w:pStyle w:val="Body"/>
        <w:rPr>
          <w:sz w:val="24"/>
          <w:szCs w:val="24"/>
        </w:rPr>
      </w:pPr>
    </w:p>
    <w:p>
      <w:pPr>
        <w:pStyle w:val="Body"/>
        <w:rPr>
          <w:sz w:val="24"/>
          <w:szCs w:val="24"/>
        </w:rPr>
      </w:pPr>
      <w:r>
        <w:rPr>
          <w:sz w:val="24"/>
          <w:szCs w:val="24"/>
          <w:rtl w:val="0"/>
          <w:lang w:val="en-US"/>
        </w:rPr>
        <w:t>We are confident in our ability as a school to continue in this vein, however once Successful Futures in introduced we will need to ensure that standards across all areas are still strong. This ties in to the professional learning and confidence of our practitioners to transition to a more skills based curriculum. Literacy and Numeracy will continue to remain as a priority and regular cluster meetings are held with cluster leads to ensure that, although we are not a Pioneer School, we are still fully up to date with current progress in the development of the new curriculum document.</w:t>
      </w:r>
    </w:p>
    <w:p>
      <w:pPr>
        <w:pStyle w:val="Body"/>
        <w:rPr>
          <w:sz w:val="24"/>
          <w:szCs w:val="24"/>
        </w:rPr>
      </w:pPr>
    </w:p>
    <w:p>
      <w:pPr>
        <w:pStyle w:val="Body"/>
        <w:rPr>
          <w:sz w:val="24"/>
          <w:szCs w:val="24"/>
        </w:rPr>
      </w:pPr>
      <w:r>
        <w:rPr>
          <w:sz w:val="24"/>
          <w:szCs w:val="24"/>
          <w:rtl w:val="0"/>
          <w:lang w:val="en-US"/>
        </w:rPr>
        <w:t>ACTION: SMT to continue pupil progress meetings with focus on cross curricular Literacy and Numeracy activities.</w:t>
      </w:r>
    </w:p>
    <w:p>
      <w:pPr>
        <w:pStyle w:val="Body"/>
        <w:rPr>
          <w:sz w:val="24"/>
          <w:szCs w:val="24"/>
        </w:rPr>
      </w:pPr>
      <w:r>
        <w:rPr>
          <w:sz w:val="24"/>
          <w:szCs w:val="24"/>
          <w:rtl w:val="0"/>
          <w:lang w:val="en-US"/>
        </w:rPr>
        <w:t>ACTION: Monitor implementation of policies and effective, current teaching and learning plans.</w:t>
      </w:r>
    </w:p>
    <w:p>
      <w:pPr>
        <w:pStyle w:val="Body"/>
      </w:pPr>
      <w:r>
        <w:rPr>
          <w:sz w:val="24"/>
          <w:szCs w:val="24"/>
          <w:rtl w:val="0"/>
          <w:lang w:val="en-US"/>
        </w:rPr>
        <w:t>ACTION: Devise a strategy and timetable of introduction of Succesful Futured to ensure standards are maintained over the next three years.</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1">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2">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3">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abstractNum w:abstractNumId="4">
    <w:multiLevelType w:val="multilevel"/>
    <w:styleLink w:val="Bullet"/>
    <w:lvl w:ilvl="0">
      <w:start w:val="0"/>
      <w:numFmt w:val="bullet"/>
      <w:suff w:val="tab"/>
      <w:lvlText w:val="•"/>
      <w:lvlJc w:val="left"/>
      <w:pPr>
        <w:tabs>
          <w:tab w:val="num" w:pos="196"/>
          <w:tab w:val="clear" w:pos="0"/>
        </w:tabs>
        <w:ind w:left="196" w:hanging="196"/>
      </w:pPr>
      <w:rPr>
        <w:position w:val="-2"/>
        <w:sz w:val="24"/>
        <w:szCs w:val="24"/>
      </w:rPr>
    </w:lvl>
    <w:lvl w:ilvl="1">
      <w:start w:val="1"/>
      <w:numFmt w:val="bullet"/>
      <w:suff w:val="tab"/>
      <w:lvlText w:val="•"/>
      <w:lvlJc w:val="left"/>
      <w:pPr>
        <w:tabs>
          <w:tab w:val="num" w:pos="376"/>
          <w:tab w:val="clear" w:pos="0"/>
        </w:tabs>
        <w:ind w:left="376" w:hanging="196"/>
      </w:pPr>
      <w:rPr>
        <w:position w:val="-2"/>
        <w:sz w:val="24"/>
        <w:szCs w:val="24"/>
      </w:rPr>
    </w:lvl>
    <w:lvl w:ilvl="2">
      <w:start w:val="1"/>
      <w:numFmt w:val="bullet"/>
      <w:suff w:val="tab"/>
      <w:lvlText w:val="•"/>
      <w:lvlJc w:val="left"/>
      <w:pPr>
        <w:tabs>
          <w:tab w:val="num" w:pos="556"/>
          <w:tab w:val="clear" w:pos="0"/>
        </w:tabs>
        <w:ind w:left="556" w:hanging="196"/>
      </w:pPr>
      <w:rPr>
        <w:position w:val="-2"/>
        <w:sz w:val="24"/>
        <w:szCs w:val="24"/>
      </w:rPr>
    </w:lvl>
    <w:lvl w:ilvl="3">
      <w:start w:val="1"/>
      <w:numFmt w:val="bullet"/>
      <w:suff w:val="tab"/>
      <w:lvlText w:val="•"/>
      <w:lvlJc w:val="left"/>
      <w:pPr>
        <w:tabs>
          <w:tab w:val="num" w:pos="736"/>
          <w:tab w:val="clear" w:pos="0"/>
        </w:tabs>
        <w:ind w:left="736" w:hanging="196"/>
      </w:pPr>
      <w:rPr>
        <w:position w:val="-2"/>
        <w:sz w:val="24"/>
        <w:szCs w:val="24"/>
      </w:rPr>
    </w:lvl>
    <w:lvl w:ilvl="4">
      <w:start w:val="1"/>
      <w:numFmt w:val="bullet"/>
      <w:suff w:val="tab"/>
      <w:lvlText w:val="•"/>
      <w:lvlJc w:val="left"/>
      <w:pPr>
        <w:tabs>
          <w:tab w:val="num" w:pos="916"/>
          <w:tab w:val="clear" w:pos="0"/>
        </w:tabs>
        <w:ind w:left="916" w:hanging="196"/>
      </w:pPr>
      <w:rPr>
        <w:position w:val="-2"/>
        <w:sz w:val="24"/>
        <w:szCs w:val="24"/>
      </w:rPr>
    </w:lvl>
    <w:lvl w:ilvl="5">
      <w:start w:val="1"/>
      <w:numFmt w:val="bullet"/>
      <w:suff w:val="tab"/>
      <w:lvlText w:val="•"/>
      <w:lvlJc w:val="left"/>
      <w:pPr>
        <w:tabs>
          <w:tab w:val="num" w:pos="1096"/>
          <w:tab w:val="clear" w:pos="0"/>
        </w:tabs>
        <w:ind w:left="1096" w:hanging="196"/>
      </w:pPr>
      <w:rPr>
        <w:position w:val="-2"/>
        <w:sz w:val="24"/>
        <w:szCs w:val="24"/>
      </w:rPr>
    </w:lvl>
    <w:lvl w:ilvl="6">
      <w:start w:val="1"/>
      <w:numFmt w:val="bullet"/>
      <w:suff w:val="tab"/>
      <w:lvlText w:val="•"/>
      <w:lvlJc w:val="left"/>
      <w:pPr>
        <w:tabs>
          <w:tab w:val="num" w:pos="1276"/>
          <w:tab w:val="clear" w:pos="0"/>
        </w:tabs>
        <w:ind w:left="1276" w:hanging="196"/>
      </w:pPr>
      <w:rPr>
        <w:position w:val="-2"/>
        <w:sz w:val="24"/>
        <w:szCs w:val="24"/>
      </w:rPr>
    </w:lvl>
    <w:lvl w:ilvl="7">
      <w:start w:val="1"/>
      <w:numFmt w:val="bullet"/>
      <w:suff w:val="tab"/>
      <w:lvlText w:val="•"/>
      <w:lvlJc w:val="left"/>
      <w:pPr>
        <w:tabs>
          <w:tab w:val="num" w:pos="1456"/>
          <w:tab w:val="clear" w:pos="0"/>
        </w:tabs>
        <w:ind w:left="1456" w:hanging="196"/>
      </w:pPr>
      <w:rPr>
        <w:position w:val="-2"/>
        <w:sz w:val="24"/>
        <w:szCs w:val="24"/>
      </w:rPr>
    </w:lvl>
    <w:lvl w:ilvl="8">
      <w:start w:val="1"/>
      <w:numFmt w:val="bullet"/>
      <w:suff w:val="tab"/>
      <w:lvlText w:val="•"/>
      <w:lvlJc w:val="left"/>
      <w:pPr>
        <w:tabs>
          <w:tab w:val="num" w:pos="1636"/>
          <w:tab w:val="clear" w:pos="0"/>
        </w:tabs>
        <w:ind w:left="1636" w:hanging="196"/>
      </w:pPr>
      <w:rPr>
        <w:position w:val="-2"/>
        <w:sz w:val="24"/>
        <w:szCs w:val="24"/>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next w:val="Bullet"/>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