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EDE39" w14:textId="77777777" w:rsidR="00743BF7" w:rsidRPr="00AC5D9F" w:rsidRDefault="00743BF7" w:rsidP="00743BF7">
      <w:pPr>
        <w:pStyle w:val="Title"/>
        <w:spacing w:line="360" w:lineRule="auto"/>
        <w:contextualSpacing w:val="0"/>
        <w:jc w:val="center"/>
        <w:rPr>
          <w:rFonts w:ascii="Times New Roman" w:hAnsi="Times New Roman" w:cs="Times New Roman"/>
          <w:b/>
          <w:bCs/>
          <w:sz w:val="56"/>
        </w:rPr>
      </w:pPr>
      <w:r w:rsidRPr="00AC5D9F">
        <w:rPr>
          <w:rFonts w:ascii="Times New Roman" w:hAnsi="Times New Roman" w:cs="Times New Roman"/>
          <w:b/>
          <w:bCs/>
          <w:sz w:val="56"/>
          <w:shd w:val="clear" w:color="auto" w:fill="FFFFFF"/>
        </w:rPr>
        <w:t>INTERNATIONAL FINANCIAL MANAGEMENT</w:t>
      </w:r>
    </w:p>
    <w:p w14:paraId="6C302E04" w14:textId="7E14AB8A" w:rsidR="00E562F8" w:rsidRDefault="00784D49" w:rsidP="00BA3C04">
      <w:pPr>
        <w:pStyle w:val="Title"/>
        <w:spacing w:line="360" w:lineRule="auto"/>
        <w:contextualSpacing w:val="0"/>
        <w:jc w:val="both"/>
        <w:rPr>
          <w:rFonts w:ascii="Times New Roman" w:hAnsi="Times New Roman" w:cs="Times New Roman"/>
          <w:b/>
          <w:bCs/>
          <w:shd w:val="clear" w:color="auto" w:fill="FFFFFF"/>
        </w:rPr>
      </w:pPr>
      <w:r>
        <w:rPr>
          <w:rFonts w:ascii="Times New Roman" w:hAnsi="Times New Roman" w:cs="Times New Roman"/>
          <w:b/>
          <w:bCs/>
          <w:shd w:val="clear" w:color="auto" w:fill="FFFFFF"/>
        </w:rPr>
        <w:t>ASSESSMENT  1</w:t>
      </w:r>
    </w:p>
    <w:p w14:paraId="18162792" w14:textId="77777777" w:rsidR="00E562F8" w:rsidRDefault="00E562F8" w:rsidP="00BA3C04">
      <w:pPr>
        <w:pStyle w:val="Title"/>
        <w:spacing w:line="360" w:lineRule="auto"/>
        <w:contextualSpacing w:val="0"/>
        <w:jc w:val="both"/>
        <w:rPr>
          <w:rFonts w:ascii="Times New Roman" w:hAnsi="Times New Roman" w:cs="Times New Roman"/>
          <w:b/>
          <w:bCs/>
          <w:shd w:val="clear" w:color="auto" w:fill="FFFFFF"/>
        </w:rPr>
      </w:pPr>
    </w:p>
    <w:p w14:paraId="1835C240" w14:textId="226321B0" w:rsidR="00E562F8" w:rsidRDefault="00945D7E" w:rsidP="00945D7E">
      <w:pPr>
        <w:pStyle w:val="Title"/>
      </w:pPr>
      <w:r>
        <w:t xml:space="preserve">STUDENT NAME: Ralitsa Yordanova </w:t>
      </w:r>
    </w:p>
    <w:p w14:paraId="33BDCD73" w14:textId="65B813D8" w:rsidR="00E562F8" w:rsidRDefault="00871400" w:rsidP="00871400">
      <w:pPr>
        <w:pStyle w:val="Title"/>
      </w:pPr>
      <w:r>
        <w:t>STUDENT ID: 2023562</w:t>
      </w:r>
    </w:p>
    <w:p w14:paraId="1B17088B" w14:textId="77777777" w:rsidR="00E562F8" w:rsidRDefault="00E562F8" w:rsidP="00BA3C04">
      <w:pPr>
        <w:spacing w:line="360" w:lineRule="auto"/>
        <w:jc w:val="both"/>
      </w:pPr>
    </w:p>
    <w:p w14:paraId="32ABC3FC" w14:textId="77777777" w:rsidR="00E562F8" w:rsidRDefault="00E562F8" w:rsidP="00BA3C04">
      <w:pPr>
        <w:spacing w:line="360" w:lineRule="auto"/>
        <w:jc w:val="both"/>
      </w:pPr>
    </w:p>
    <w:p w14:paraId="15970084" w14:textId="77777777" w:rsidR="00E562F8" w:rsidRDefault="00E562F8" w:rsidP="00BA3C04">
      <w:pPr>
        <w:spacing w:line="360" w:lineRule="auto"/>
        <w:jc w:val="both"/>
      </w:pPr>
    </w:p>
    <w:p w14:paraId="3B0AE1FA" w14:textId="77777777" w:rsidR="00E562F8" w:rsidRDefault="00E562F8" w:rsidP="00BA3C04">
      <w:pPr>
        <w:spacing w:line="360" w:lineRule="auto"/>
        <w:jc w:val="both"/>
      </w:pPr>
    </w:p>
    <w:p w14:paraId="3417DF0C" w14:textId="77777777" w:rsidR="00E562F8" w:rsidRDefault="00E562F8" w:rsidP="00BA3C04">
      <w:pPr>
        <w:spacing w:line="360" w:lineRule="auto"/>
        <w:jc w:val="both"/>
      </w:pPr>
    </w:p>
    <w:p w14:paraId="7FDCA431" w14:textId="77777777" w:rsidR="00E562F8" w:rsidRDefault="00E562F8" w:rsidP="00BA3C04">
      <w:pPr>
        <w:spacing w:line="360" w:lineRule="auto"/>
        <w:jc w:val="both"/>
      </w:pPr>
    </w:p>
    <w:p w14:paraId="1C0E1152" w14:textId="77777777" w:rsidR="00E562F8" w:rsidRDefault="00E562F8" w:rsidP="00BA3C04">
      <w:pPr>
        <w:spacing w:line="360" w:lineRule="auto"/>
        <w:jc w:val="both"/>
      </w:pPr>
    </w:p>
    <w:p w14:paraId="7794B5DB" w14:textId="77777777" w:rsidR="00945D7E" w:rsidRDefault="00945D7E" w:rsidP="00BA3C04">
      <w:pPr>
        <w:spacing w:line="360" w:lineRule="auto"/>
        <w:jc w:val="both"/>
      </w:pPr>
    </w:p>
    <w:p w14:paraId="458733E1" w14:textId="77777777" w:rsidR="00E562F8" w:rsidRDefault="00E562F8" w:rsidP="00BA3C04">
      <w:pPr>
        <w:spacing w:line="360" w:lineRule="auto"/>
        <w:jc w:val="both"/>
      </w:pPr>
    </w:p>
    <w:p w14:paraId="57AFAAF7" w14:textId="77777777" w:rsidR="00E562F8" w:rsidRDefault="00E562F8" w:rsidP="00BA3C04">
      <w:pPr>
        <w:spacing w:line="360" w:lineRule="auto"/>
        <w:jc w:val="both"/>
      </w:pPr>
    </w:p>
    <w:p w14:paraId="43B2E7BE" w14:textId="77777777" w:rsidR="00E562F8" w:rsidRDefault="00E562F8" w:rsidP="00BA3C04">
      <w:pPr>
        <w:spacing w:line="360" w:lineRule="auto"/>
        <w:jc w:val="both"/>
      </w:pPr>
    </w:p>
    <w:p w14:paraId="32983F5A" w14:textId="77777777" w:rsidR="00E562F8" w:rsidRDefault="00E562F8" w:rsidP="00BA3C04">
      <w:pPr>
        <w:spacing w:line="360" w:lineRule="auto"/>
        <w:jc w:val="both"/>
      </w:pPr>
    </w:p>
    <w:p w14:paraId="7BE52110" w14:textId="77777777" w:rsidR="00E562F8" w:rsidRDefault="00E562F8" w:rsidP="00BA3C04">
      <w:pPr>
        <w:spacing w:line="360" w:lineRule="auto"/>
        <w:jc w:val="both"/>
      </w:pPr>
    </w:p>
    <w:p w14:paraId="44EE4627" w14:textId="77777777" w:rsidR="00E562F8" w:rsidRDefault="00E562F8" w:rsidP="00BA3C04">
      <w:pPr>
        <w:spacing w:line="360" w:lineRule="auto"/>
        <w:jc w:val="both"/>
      </w:pPr>
    </w:p>
    <w:p w14:paraId="7A379C32" w14:textId="77777777" w:rsidR="00E562F8" w:rsidRDefault="00E562F8" w:rsidP="00BA3C04">
      <w:pPr>
        <w:spacing w:line="360" w:lineRule="auto"/>
        <w:jc w:val="both"/>
      </w:pPr>
    </w:p>
    <w:p w14:paraId="76A71A7A" w14:textId="77777777" w:rsidR="00E562F8" w:rsidRDefault="00E562F8" w:rsidP="00BA3C04">
      <w:pPr>
        <w:spacing w:line="360" w:lineRule="auto"/>
        <w:jc w:val="both"/>
      </w:pPr>
    </w:p>
    <w:p w14:paraId="3EAB87AA" w14:textId="1840F17E" w:rsidR="00E562F8" w:rsidRPr="00037A73" w:rsidRDefault="00E562F8" w:rsidP="00037A73">
      <w:pPr>
        <w:rPr>
          <w:b/>
        </w:rPr>
      </w:pPr>
      <w:r w:rsidRPr="00037A73">
        <w:rPr>
          <w:b/>
        </w:rPr>
        <w:lastRenderedPageBreak/>
        <w:t xml:space="preserve">Introduction – </w:t>
      </w:r>
    </w:p>
    <w:p w14:paraId="1DFB677C" w14:textId="3B41B411" w:rsidR="00E562F8" w:rsidRDefault="00E562F8" w:rsidP="00BA3C04">
      <w:pPr>
        <w:spacing w:line="360" w:lineRule="auto"/>
        <w:jc w:val="both"/>
      </w:pPr>
      <w:r>
        <w:t xml:space="preserve">The </w:t>
      </w:r>
      <w:r w:rsidR="00BA3C04">
        <w:t>essay</w:t>
      </w:r>
      <w:r>
        <w:t xml:space="preserve"> will contain an analysis of the international financial management of AstraZeneca</w:t>
      </w:r>
      <w:r w:rsidR="00AC5D9F">
        <w:t>,</w:t>
      </w:r>
      <w:r>
        <w:t xml:space="preserve"> the largest pharmaceutical company in the world based in the United Kingdom. The analysis will contain the importance of international financial management to the company and the challenges faced by the company in the international market. It contains the theory of international financial management. This </w:t>
      </w:r>
      <w:r w:rsidR="00BA3C04">
        <w:t>essay</w:t>
      </w:r>
      <w:r>
        <w:t xml:space="preserve"> will evaluate the dividend distribution policy of AstraZeneca and analyze the hypothesis market theory. The methods that were used by AstraZeneca </w:t>
      </w:r>
      <w:r w:rsidR="00AC5D9F">
        <w:t>for appraising the projects will also be described.</w:t>
      </w:r>
    </w:p>
    <w:p w14:paraId="7003E3A5" w14:textId="3D7E6638" w:rsidR="003A7887" w:rsidRPr="00037A73" w:rsidRDefault="003A7887" w:rsidP="00037A73">
      <w:pPr>
        <w:rPr>
          <w:b/>
        </w:rPr>
      </w:pPr>
      <w:r w:rsidRPr="00037A73">
        <w:rPr>
          <w:b/>
        </w:rPr>
        <w:t xml:space="preserve">International Financial Management- </w:t>
      </w:r>
    </w:p>
    <w:p w14:paraId="524E7BFA" w14:textId="19127213" w:rsidR="004D6885" w:rsidRPr="00AC5D9F" w:rsidRDefault="003A7887" w:rsidP="00BA3C04">
      <w:pPr>
        <w:spacing w:line="360" w:lineRule="auto"/>
        <w:jc w:val="both"/>
      </w:pPr>
      <w:r>
        <w:t>International Financial Management is a technique that helps the manager of international companies to take decisions related to investment or financing that helps in increasing the worth of the company. The main objective of IFM is to maximize the profit of the company which helps in achieving the goals and objectives of the company</w:t>
      </w:r>
      <w:r w:rsidR="00DC215B">
        <w:t xml:space="preserve"> and</w:t>
      </w:r>
      <w:r w:rsidR="009C0A8F">
        <w:t xml:space="preserve"> </w:t>
      </w:r>
      <w:r w:rsidR="00DC215B">
        <w:t>increasing the wealth of shareholders of the company (</w:t>
      </w:r>
      <w:r w:rsidR="00DC215B" w:rsidRPr="00E562F8">
        <w:t>Madura, 2020</w:t>
      </w:r>
      <w:r w:rsidR="009C0A8F">
        <w:t>, p. 3</w:t>
      </w:r>
      <w:r w:rsidR="00DC215B">
        <w:t xml:space="preserve">). IFM helps in fulfilling the goal of employees and creditors of the company. </w:t>
      </w:r>
      <w:r w:rsidR="009C0A8F">
        <w:t xml:space="preserve">IFM will help the organization in creating strategies related to hedging that covers </w:t>
      </w:r>
      <w:r w:rsidR="00AC5D9F">
        <w:t>the risk of currency exchanges.</w:t>
      </w:r>
    </w:p>
    <w:p w14:paraId="32165D93" w14:textId="3336F6BD" w:rsidR="009B0C76" w:rsidRDefault="009B0C76" w:rsidP="00BA3C04">
      <w:pPr>
        <w:shd w:val="clear" w:color="auto" w:fill="FFFFFF"/>
        <w:spacing w:after="0" w:line="360" w:lineRule="auto"/>
        <w:jc w:val="both"/>
        <w:rPr>
          <w:rFonts w:eastAsia="Times New Roman" w:cs="Times New Roman"/>
          <w:b/>
          <w:bCs/>
          <w:kern w:val="0"/>
          <w:szCs w:val="24"/>
          <w:lang w:eastAsia="en-IN"/>
          <w14:ligatures w14:val="none"/>
        </w:rPr>
      </w:pPr>
      <w:r>
        <w:rPr>
          <w:rFonts w:eastAsia="Times New Roman" w:cs="Times New Roman"/>
          <w:b/>
          <w:bCs/>
          <w:kern w:val="0"/>
          <w:szCs w:val="24"/>
          <w:lang w:eastAsia="en-IN"/>
          <w14:ligatures w14:val="none"/>
        </w:rPr>
        <w:t>Importance</w:t>
      </w:r>
      <w:r w:rsidRPr="009B0C76">
        <w:rPr>
          <w:rFonts w:eastAsia="Times New Roman" w:cs="Times New Roman"/>
          <w:b/>
          <w:bCs/>
          <w:kern w:val="0"/>
          <w:szCs w:val="24"/>
          <w:lang w:eastAsia="en-IN"/>
          <w14:ligatures w14:val="none"/>
        </w:rPr>
        <w:t xml:space="preserve"> of International Financial Management </w:t>
      </w:r>
      <w:r>
        <w:rPr>
          <w:rFonts w:eastAsia="Times New Roman" w:cs="Times New Roman"/>
          <w:b/>
          <w:bCs/>
          <w:kern w:val="0"/>
          <w:szCs w:val="24"/>
          <w:lang w:eastAsia="en-IN"/>
          <w14:ligatures w14:val="none"/>
        </w:rPr>
        <w:t xml:space="preserve">for AstraZeneca- </w:t>
      </w:r>
    </w:p>
    <w:p w14:paraId="22D39BBA" w14:textId="2E642FE5" w:rsidR="009B0C76" w:rsidRPr="009B0C76" w:rsidRDefault="009B0C76" w:rsidP="00BA3C04">
      <w:pPr>
        <w:shd w:val="clear" w:color="auto" w:fill="FFFFFF"/>
        <w:spacing w:after="0" w:line="360" w:lineRule="auto"/>
        <w:jc w:val="both"/>
        <w:rPr>
          <w:rFonts w:eastAsia="Times New Roman" w:cs="Times New Roman"/>
          <w:kern w:val="0"/>
          <w:szCs w:val="24"/>
          <w:lang w:eastAsia="en-IN"/>
          <w14:ligatures w14:val="none"/>
        </w:rPr>
      </w:pPr>
      <w:r>
        <w:rPr>
          <w:rFonts w:eastAsia="Times New Roman" w:cs="Times New Roman"/>
          <w:kern w:val="0"/>
          <w:szCs w:val="24"/>
          <w:lang w:eastAsia="en-IN"/>
          <w14:ligatures w14:val="none"/>
        </w:rPr>
        <w:t>International financial management helps the</w:t>
      </w:r>
      <w:r w:rsidR="001843A2">
        <w:rPr>
          <w:rFonts w:eastAsia="Times New Roman" w:cs="Times New Roman"/>
          <w:kern w:val="0"/>
          <w:szCs w:val="24"/>
          <w:lang w:eastAsia="en-IN"/>
          <w14:ligatures w14:val="none"/>
        </w:rPr>
        <w:t xml:space="preserve"> Astra Zeneca Plc</w:t>
      </w:r>
      <w:r>
        <w:rPr>
          <w:rFonts w:eastAsia="Times New Roman" w:cs="Times New Roman"/>
          <w:kern w:val="0"/>
          <w:szCs w:val="24"/>
          <w:lang w:eastAsia="en-IN"/>
          <w14:ligatures w14:val="none"/>
        </w:rPr>
        <w:t xml:space="preserve"> for fulfilling various purposes</w:t>
      </w:r>
      <w:r w:rsidR="00157754">
        <w:rPr>
          <w:rFonts w:eastAsia="Times New Roman" w:cs="Times New Roman"/>
          <w:kern w:val="0"/>
          <w:szCs w:val="24"/>
          <w:lang w:eastAsia="en-IN"/>
          <w14:ligatures w14:val="none"/>
        </w:rPr>
        <w:t xml:space="preserve">, </w:t>
      </w:r>
      <w:r>
        <w:rPr>
          <w:rFonts w:eastAsia="Times New Roman" w:cs="Times New Roman"/>
          <w:kern w:val="0"/>
          <w:szCs w:val="24"/>
          <w:lang w:eastAsia="en-IN"/>
          <w14:ligatures w14:val="none"/>
        </w:rPr>
        <w:t>goals</w:t>
      </w:r>
      <w:r w:rsidR="009C0A8F">
        <w:rPr>
          <w:rFonts w:eastAsia="Times New Roman" w:cs="Times New Roman"/>
          <w:kern w:val="0"/>
          <w:szCs w:val="24"/>
          <w:lang w:eastAsia="en-IN"/>
          <w14:ligatures w14:val="none"/>
        </w:rPr>
        <w:t>,</w:t>
      </w:r>
      <w:r>
        <w:rPr>
          <w:rFonts w:eastAsia="Times New Roman" w:cs="Times New Roman"/>
          <w:kern w:val="0"/>
          <w:szCs w:val="24"/>
          <w:lang w:eastAsia="en-IN"/>
          <w14:ligatures w14:val="none"/>
        </w:rPr>
        <w:t xml:space="preserve"> and objectives of the organization. </w:t>
      </w:r>
    </w:p>
    <w:p w14:paraId="5D3D5FBF" w14:textId="0A9E97FC" w:rsidR="009B0C76" w:rsidRDefault="009B0C76" w:rsidP="00BA3C04">
      <w:pPr>
        <w:shd w:val="clear" w:color="auto" w:fill="FFFFFF"/>
        <w:spacing w:before="100" w:beforeAutospacing="1" w:after="100" w:afterAutospacing="1" w:line="360" w:lineRule="auto"/>
        <w:jc w:val="both"/>
        <w:rPr>
          <w:rFonts w:eastAsia="Times New Roman" w:cs="Times New Roman"/>
          <w:kern w:val="0"/>
          <w:szCs w:val="24"/>
          <w:lang w:eastAsia="en-IN"/>
          <w14:ligatures w14:val="none"/>
        </w:rPr>
      </w:pPr>
      <w:r>
        <w:rPr>
          <w:rFonts w:eastAsia="Times New Roman" w:cs="Times New Roman"/>
          <w:b/>
          <w:bCs/>
          <w:kern w:val="0"/>
          <w:szCs w:val="24"/>
          <w:lang w:eastAsia="en-IN"/>
          <w14:ligatures w14:val="none"/>
        </w:rPr>
        <w:t>Covers</w:t>
      </w:r>
      <w:r w:rsidRPr="009B0C76">
        <w:rPr>
          <w:rFonts w:eastAsia="Times New Roman" w:cs="Times New Roman"/>
          <w:b/>
          <w:bCs/>
          <w:kern w:val="0"/>
          <w:szCs w:val="24"/>
          <w:lang w:eastAsia="en-IN"/>
          <w14:ligatures w14:val="none"/>
        </w:rPr>
        <w:t xml:space="preserve"> Risks</w:t>
      </w:r>
      <w:r>
        <w:rPr>
          <w:rFonts w:eastAsia="Times New Roman" w:cs="Times New Roman"/>
          <w:b/>
          <w:bCs/>
          <w:kern w:val="0"/>
          <w:szCs w:val="24"/>
          <w:lang w:eastAsia="en-IN"/>
          <w14:ligatures w14:val="none"/>
        </w:rPr>
        <w:t xml:space="preserve">- </w:t>
      </w:r>
      <w:r>
        <w:rPr>
          <w:rFonts w:eastAsia="Times New Roman" w:cs="Times New Roman"/>
          <w:kern w:val="0"/>
          <w:szCs w:val="24"/>
          <w:lang w:eastAsia="en-IN"/>
          <w14:ligatures w14:val="none"/>
        </w:rPr>
        <w:t xml:space="preserve">International Financial Management helps the </w:t>
      </w:r>
      <w:r w:rsidR="001843A2">
        <w:rPr>
          <w:rFonts w:eastAsia="Times New Roman" w:cs="Times New Roman"/>
          <w:kern w:val="0"/>
          <w:szCs w:val="24"/>
          <w:lang w:eastAsia="en-IN"/>
          <w14:ligatures w14:val="none"/>
        </w:rPr>
        <w:t xml:space="preserve">Astra Zeneca </w:t>
      </w:r>
      <w:r>
        <w:rPr>
          <w:rFonts w:eastAsia="Times New Roman" w:cs="Times New Roman"/>
          <w:kern w:val="0"/>
          <w:szCs w:val="24"/>
          <w:lang w:eastAsia="en-IN"/>
          <w14:ligatures w14:val="none"/>
        </w:rPr>
        <w:t>in covering the risk of exchanging the money or currency of the economy</w:t>
      </w:r>
      <w:r w:rsidR="00835183">
        <w:rPr>
          <w:rFonts w:eastAsia="Times New Roman" w:cs="Times New Roman"/>
          <w:kern w:val="0"/>
          <w:szCs w:val="24"/>
          <w:lang w:eastAsia="en-IN"/>
          <w14:ligatures w14:val="none"/>
        </w:rPr>
        <w:t xml:space="preserve"> because it is a multinational company that deals with various currencies of different countries</w:t>
      </w:r>
      <w:r w:rsidR="00157754">
        <w:rPr>
          <w:rFonts w:eastAsia="Times New Roman" w:cs="Times New Roman"/>
          <w:kern w:val="0"/>
          <w:szCs w:val="24"/>
          <w:lang w:eastAsia="en-IN"/>
          <w14:ligatures w14:val="none"/>
        </w:rPr>
        <w:t xml:space="preserve"> </w:t>
      </w:r>
      <w:r w:rsidR="00157754">
        <w:t>(</w:t>
      </w:r>
      <w:r w:rsidR="00157754" w:rsidRPr="00E562F8">
        <w:t>Madura, 2020</w:t>
      </w:r>
      <w:r w:rsidR="009C0A8F">
        <w:t>, p. 483</w:t>
      </w:r>
      <w:r w:rsidR="00157754">
        <w:t>)</w:t>
      </w:r>
      <w:r w:rsidR="00835183">
        <w:rPr>
          <w:rFonts w:eastAsia="Times New Roman" w:cs="Times New Roman"/>
          <w:kern w:val="0"/>
          <w:szCs w:val="24"/>
          <w:lang w:eastAsia="en-IN"/>
          <w14:ligatures w14:val="none"/>
        </w:rPr>
        <w:t xml:space="preserve">. </w:t>
      </w:r>
      <w:r>
        <w:rPr>
          <w:rFonts w:eastAsia="Times New Roman" w:cs="Times New Roman"/>
          <w:kern w:val="0"/>
          <w:szCs w:val="24"/>
          <w:lang w:eastAsia="en-IN"/>
          <w14:ligatures w14:val="none"/>
        </w:rPr>
        <w:t xml:space="preserve">It helps in implementing strategies for hedging that will cover the risk or reduce the risk of exchanging the currency. </w:t>
      </w:r>
    </w:p>
    <w:p w14:paraId="5705764A" w14:textId="7BD978B3" w:rsidR="00835183" w:rsidRDefault="00835183" w:rsidP="00BA3C04">
      <w:pPr>
        <w:shd w:val="clear" w:color="auto" w:fill="FFFFFF"/>
        <w:spacing w:before="100" w:beforeAutospacing="1" w:after="100" w:afterAutospacing="1" w:line="360" w:lineRule="auto"/>
        <w:jc w:val="both"/>
        <w:rPr>
          <w:rFonts w:eastAsia="Times New Roman" w:cs="Times New Roman"/>
          <w:kern w:val="0"/>
          <w:szCs w:val="24"/>
          <w:lang w:eastAsia="en-IN"/>
          <w14:ligatures w14:val="none"/>
        </w:rPr>
      </w:pPr>
      <w:r>
        <w:rPr>
          <w:rFonts w:eastAsia="Times New Roman" w:cs="Times New Roman"/>
          <w:b/>
          <w:bCs/>
          <w:kern w:val="0"/>
          <w:szCs w:val="24"/>
          <w:lang w:eastAsia="en-IN"/>
          <w14:ligatures w14:val="none"/>
        </w:rPr>
        <w:t>Helps in operating the business –</w:t>
      </w:r>
      <w:r>
        <w:rPr>
          <w:rFonts w:eastAsia="Times New Roman" w:cs="Times New Roman"/>
          <w:kern w:val="0"/>
          <w:szCs w:val="24"/>
          <w:lang w:eastAsia="en-IN"/>
          <w14:ligatures w14:val="none"/>
        </w:rPr>
        <w:t xml:space="preserve"> International financial management helps the company in operation from different countries as a country have its policies, law, and market conditions so IFM will help AstraZeneca in managing the operation related to finance from various countries. </w:t>
      </w:r>
    </w:p>
    <w:p w14:paraId="16C916A6" w14:textId="276A2522" w:rsidR="00835183" w:rsidRDefault="00835183" w:rsidP="00BA3C04">
      <w:pPr>
        <w:shd w:val="clear" w:color="auto" w:fill="FFFFFF"/>
        <w:spacing w:before="100" w:beforeAutospacing="1" w:after="100" w:afterAutospacing="1" w:line="360" w:lineRule="auto"/>
        <w:jc w:val="both"/>
        <w:rPr>
          <w:rFonts w:eastAsia="Times New Roman" w:cs="Times New Roman"/>
          <w:kern w:val="0"/>
          <w:szCs w:val="24"/>
          <w:lang w:eastAsia="en-IN"/>
          <w14:ligatures w14:val="none"/>
        </w:rPr>
      </w:pPr>
      <w:r>
        <w:rPr>
          <w:rFonts w:eastAsia="Times New Roman" w:cs="Times New Roman"/>
          <w:b/>
          <w:bCs/>
          <w:kern w:val="0"/>
          <w:szCs w:val="24"/>
          <w:lang w:eastAsia="en-IN"/>
          <w14:ligatures w14:val="none"/>
        </w:rPr>
        <w:t>Planning –</w:t>
      </w:r>
      <w:r w:rsidR="001843A2">
        <w:rPr>
          <w:rFonts w:eastAsia="Times New Roman" w:cs="Times New Roman"/>
          <w:kern w:val="0"/>
          <w:szCs w:val="24"/>
          <w:lang w:eastAsia="en-IN"/>
          <w14:ligatures w14:val="none"/>
        </w:rPr>
        <w:t xml:space="preserve"> IFM will assist Astra Zeneca </w:t>
      </w:r>
      <w:r>
        <w:rPr>
          <w:rFonts w:eastAsia="Times New Roman" w:cs="Times New Roman"/>
          <w:kern w:val="0"/>
          <w:szCs w:val="24"/>
          <w:lang w:eastAsia="en-IN"/>
          <w14:ligatures w14:val="none"/>
        </w:rPr>
        <w:t xml:space="preserve">in </w:t>
      </w:r>
      <w:r w:rsidR="00157754">
        <w:rPr>
          <w:rFonts w:eastAsia="Times New Roman" w:cs="Times New Roman"/>
          <w:kern w:val="0"/>
          <w:szCs w:val="24"/>
          <w:lang w:eastAsia="en-IN"/>
          <w14:ligatures w14:val="none"/>
        </w:rPr>
        <w:t xml:space="preserve">making a plan that helps in deciding in advance for financial activities, and tax planning for the future that helps in increasing the worth of the company and its shareholders. </w:t>
      </w:r>
    </w:p>
    <w:p w14:paraId="5EC6F7FE" w14:textId="374D610C" w:rsidR="009B0C76" w:rsidRPr="004D6885" w:rsidRDefault="00157754" w:rsidP="00BA3C04">
      <w:pPr>
        <w:shd w:val="clear" w:color="auto" w:fill="FFFFFF"/>
        <w:spacing w:before="100" w:beforeAutospacing="1" w:after="100" w:afterAutospacing="1" w:line="360" w:lineRule="auto"/>
        <w:jc w:val="both"/>
        <w:rPr>
          <w:rFonts w:eastAsia="Times New Roman" w:cs="Times New Roman"/>
          <w:kern w:val="0"/>
          <w:szCs w:val="24"/>
          <w:lang w:eastAsia="en-IN"/>
          <w14:ligatures w14:val="none"/>
        </w:rPr>
      </w:pPr>
      <w:r w:rsidRPr="004D6885">
        <w:rPr>
          <w:rFonts w:eastAsia="Times New Roman" w:cs="Times New Roman"/>
          <w:b/>
          <w:bCs/>
          <w:kern w:val="0"/>
          <w:szCs w:val="24"/>
          <w:lang w:eastAsia="en-IN"/>
          <w14:ligatures w14:val="none"/>
        </w:rPr>
        <w:lastRenderedPageBreak/>
        <w:t xml:space="preserve">Decisions for investment </w:t>
      </w:r>
      <w:r w:rsidRPr="004D6885">
        <w:rPr>
          <w:rFonts w:eastAsia="Times New Roman" w:cs="Times New Roman"/>
          <w:kern w:val="0"/>
          <w:szCs w:val="24"/>
          <w:lang w:eastAsia="en-IN"/>
          <w14:ligatures w14:val="none"/>
        </w:rPr>
        <w:t>– IFM will help AstraZeneca to take decisions related to the investment for a project like where to invest, when to invest, and return on investment with the help of techniques related to budgeting</w:t>
      </w:r>
      <w:r w:rsidR="004D6885" w:rsidRPr="004D6885">
        <w:rPr>
          <w:rFonts w:eastAsia="Times New Roman" w:cs="Times New Roman"/>
          <w:kern w:val="0"/>
          <w:szCs w:val="24"/>
          <w:lang w:eastAsia="en-IN"/>
          <w14:ligatures w14:val="none"/>
        </w:rPr>
        <w:t xml:space="preserve"> (</w:t>
      </w:r>
      <w:r w:rsidR="004D6885" w:rsidRPr="004D6885">
        <w:rPr>
          <w:rFonts w:cs="Times New Roman"/>
          <w:szCs w:val="24"/>
          <w:shd w:val="clear" w:color="auto" w:fill="FFFFFF"/>
        </w:rPr>
        <w:t>Shapiro and Hanouna, 2019, p. 43)</w:t>
      </w:r>
      <w:r w:rsidR="004D6885" w:rsidRPr="009B0C76">
        <w:rPr>
          <w:rFonts w:eastAsia="Times New Roman" w:cs="Times New Roman"/>
          <w:kern w:val="0"/>
          <w:szCs w:val="24"/>
          <w:lang w:eastAsia="en-IN"/>
          <w14:ligatures w14:val="none"/>
        </w:rPr>
        <w:t>.</w:t>
      </w:r>
      <w:r w:rsidRPr="004D6885">
        <w:rPr>
          <w:rFonts w:eastAsia="Times New Roman" w:cs="Times New Roman"/>
          <w:kern w:val="0"/>
          <w:szCs w:val="24"/>
          <w:lang w:eastAsia="en-IN"/>
          <w14:ligatures w14:val="none"/>
        </w:rPr>
        <w:t xml:space="preserve"> </w:t>
      </w:r>
    </w:p>
    <w:p w14:paraId="740546BC" w14:textId="3FEAD707" w:rsidR="009B0C76" w:rsidRPr="009B0C76" w:rsidRDefault="009B0C76" w:rsidP="00BA3C04">
      <w:pPr>
        <w:shd w:val="clear" w:color="auto" w:fill="FFFFFF"/>
        <w:spacing w:after="0" w:line="360" w:lineRule="auto"/>
        <w:jc w:val="both"/>
        <w:rPr>
          <w:rFonts w:eastAsia="Times New Roman" w:cs="Times New Roman"/>
          <w:b/>
          <w:bCs/>
          <w:kern w:val="0"/>
          <w:szCs w:val="24"/>
          <w:lang w:eastAsia="en-IN"/>
          <w14:ligatures w14:val="none"/>
        </w:rPr>
      </w:pPr>
      <w:r w:rsidRPr="009B0C76">
        <w:rPr>
          <w:rFonts w:eastAsia="Times New Roman" w:cs="Times New Roman"/>
          <w:b/>
          <w:bCs/>
          <w:kern w:val="0"/>
          <w:szCs w:val="24"/>
          <w:lang w:eastAsia="en-IN"/>
          <w14:ligatures w14:val="none"/>
        </w:rPr>
        <w:t xml:space="preserve">Challenges </w:t>
      </w:r>
      <w:r w:rsidR="00EB2B45">
        <w:rPr>
          <w:rFonts w:eastAsia="Times New Roman" w:cs="Times New Roman"/>
          <w:b/>
          <w:bCs/>
          <w:kern w:val="0"/>
          <w:szCs w:val="24"/>
          <w:lang w:eastAsia="en-IN"/>
          <w14:ligatures w14:val="none"/>
        </w:rPr>
        <w:t>Faced</w:t>
      </w:r>
      <w:r w:rsidR="004D6885">
        <w:rPr>
          <w:rFonts w:eastAsia="Times New Roman" w:cs="Times New Roman"/>
          <w:b/>
          <w:bCs/>
          <w:kern w:val="0"/>
          <w:szCs w:val="24"/>
          <w:lang w:eastAsia="en-IN"/>
          <w14:ligatures w14:val="none"/>
        </w:rPr>
        <w:t xml:space="preserve"> by AstraZeneca in</w:t>
      </w:r>
      <w:r w:rsidRPr="009B0C76">
        <w:rPr>
          <w:rFonts w:eastAsia="Times New Roman" w:cs="Times New Roman"/>
          <w:b/>
          <w:bCs/>
          <w:kern w:val="0"/>
          <w:szCs w:val="24"/>
          <w:lang w:eastAsia="en-IN"/>
          <w14:ligatures w14:val="none"/>
        </w:rPr>
        <w:t xml:space="preserve"> International Financial Markets</w:t>
      </w:r>
      <w:r w:rsidR="004D6885">
        <w:rPr>
          <w:rFonts w:eastAsia="Times New Roman" w:cs="Times New Roman"/>
          <w:b/>
          <w:bCs/>
          <w:kern w:val="0"/>
          <w:szCs w:val="24"/>
          <w:lang w:eastAsia="en-IN"/>
          <w14:ligatures w14:val="none"/>
        </w:rPr>
        <w:t>-</w:t>
      </w:r>
    </w:p>
    <w:p w14:paraId="0F63777C" w14:textId="57ECA8A8" w:rsidR="00E32F33" w:rsidRDefault="00E32F33" w:rsidP="00BA3C04">
      <w:pPr>
        <w:shd w:val="clear" w:color="auto" w:fill="FFFFFF"/>
        <w:spacing w:before="100" w:beforeAutospacing="1" w:after="100" w:afterAutospacing="1" w:line="360" w:lineRule="auto"/>
        <w:jc w:val="both"/>
        <w:rPr>
          <w:rFonts w:eastAsia="Times New Roman" w:cs="Times New Roman"/>
          <w:kern w:val="0"/>
          <w:szCs w:val="24"/>
          <w:lang w:eastAsia="en-IN"/>
          <w14:ligatures w14:val="none"/>
        </w:rPr>
      </w:pPr>
      <w:r>
        <w:rPr>
          <w:rFonts w:eastAsia="Times New Roman" w:cs="Times New Roman"/>
          <w:b/>
          <w:bCs/>
          <w:kern w:val="0"/>
          <w:szCs w:val="24"/>
          <w:lang w:eastAsia="en-IN"/>
          <w14:ligatures w14:val="none"/>
        </w:rPr>
        <w:t xml:space="preserve">Pricing system – </w:t>
      </w:r>
      <w:r>
        <w:rPr>
          <w:rFonts w:eastAsia="Times New Roman" w:cs="Times New Roman"/>
          <w:kern w:val="0"/>
          <w:szCs w:val="24"/>
          <w:lang w:eastAsia="en-IN"/>
          <w14:ligatures w14:val="none"/>
        </w:rPr>
        <w:t xml:space="preserve">AstraZeneca is doing its operations in more than 100 countries for which the pricing system for each country is different so the pressure for pricing affects the international markets as the pricing system for drugs has </w:t>
      </w:r>
      <w:r w:rsidR="00EB2B45">
        <w:rPr>
          <w:rFonts w:eastAsia="Times New Roman" w:cs="Times New Roman"/>
          <w:kern w:val="0"/>
          <w:szCs w:val="24"/>
          <w:lang w:eastAsia="en-IN"/>
          <w14:ligatures w14:val="none"/>
        </w:rPr>
        <w:t xml:space="preserve">been </w:t>
      </w:r>
      <w:r>
        <w:rPr>
          <w:rFonts w:eastAsia="Times New Roman" w:cs="Times New Roman"/>
          <w:kern w:val="0"/>
          <w:szCs w:val="24"/>
          <w:lang w:eastAsia="en-IN"/>
          <w14:ligatures w14:val="none"/>
        </w:rPr>
        <w:t>disturbed</w:t>
      </w:r>
      <w:r w:rsidR="00EB2B45">
        <w:rPr>
          <w:rFonts w:eastAsia="Times New Roman" w:cs="Times New Roman"/>
          <w:kern w:val="0"/>
          <w:szCs w:val="24"/>
          <w:lang w:eastAsia="en-IN"/>
          <w14:ligatures w14:val="none"/>
        </w:rPr>
        <w:t xml:space="preserve"> (</w:t>
      </w:r>
      <w:r w:rsidR="00EB2B45">
        <w:rPr>
          <w:rFonts w:cs="Times New Roman"/>
          <w:szCs w:val="24"/>
        </w:rPr>
        <w:t>AstraZeneca, 2021)</w:t>
      </w:r>
      <w:r>
        <w:rPr>
          <w:rFonts w:eastAsia="Times New Roman" w:cs="Times New Roman"/>
          <w:kern w:val="0"/>
          <w:szCs w:val="24"/>
          <w:lang w:eastAsia="en-IN"/>
          <w14:ligatures w14:val="none"/>
        </w:rPr>
        <w:t xml:space="preserve">. The pressure affects the firm for working in international financial markets. </w:t>
      </w:r>
    </w:p>
    <w:p w14:paraId="59F8D177" w14:textId="7264D45F" w:rsidR="006E51D3" w:rsidRDefault="006E51D3" w:rsidP="00BA3C04">
      <w:pPr>
        <w:shd w:val="clear" w:color="auto" w:fill="FFFFFF"/>
        <w:spacing w:before="100" w:beforeAutospacing="1" w:after="100" w:afterAutospacing="1" w:line="360" w:lineRule="auto"/>
        <w:jc w:val="both"/>
        <w:rPr>
          <w:rFonts w:eastAsia="Times New Roman" w:cs="Times New Roman"/>
          <w:kern w:val="0"/>
          <w:szCs w:val="24"/>
          <w:lang w:eastAsia="en-IN"/>
          <w14:ligatures w14:val="none"/>
        </w:rPr>
      </w:pPr>
      <w:r>
        <w:rPr>
          <w:rFonts w:eastAsia="Times New Roman" w:cs="Times New Roman"/>
          <w:b/>
          <w:bCs/>
          <w:kern w:val="0"/>
          <w:szCs w:val="24"/>
          <w:lang w:eastAsia="en-IN"/>
          <w14:ligatures w14:val="none"/>
        </w:rPr>
        <w:t xml:space="preserve">Fails to Supply Medicines – </w:t>
      </w:r>
      <w:r>
        <w:rPr>
          <w:rFonts w:eastAsia="Times New Roman" w:cs="Times New Roman"/>
          <w:kern w:val="0"/>
          <w:szCs w:val="24"/>
          <w:lang w:eastAsia="en-IN"/>
          <w14:ligatures w14:val="none"/>
        </w:rPr>
        <w:t xml:space="preserve">AstraZeneca failed to supply medicine in the international market due to the excess demand during the pandemic. </w:t>
      </w:r>
    </w:p>
    <w:p w14:paraId="285F0170" w14:textId="7053A4BB" w:rsidR="009B0C76" w:rsidRDefault="009B0C76" w:rsidP="00BA3C04">
      <w:pPr>
        <w:shd w:val="clear" w:color="auto" w:fill="FFFFFF"/>
        <w:spacing w:before="100" w:beforeAutospacing="1" w:after="100" w:afterAutospacing="1" w:line="360" w:lineRule="auto"/>
        <w:jc w:val="both"/>
        <w:rPr>
          <w:rFonts w:eastAsia="Times New Roman" w:cs="Times New Roman"/>
          <w:kern w:val="0"/>
          <w:szCs w:val="24"/>
          <w:lang w:eastAsia="en-IN"/>
          <w14:ligatures w14:val="none"/>
        </w:rPr>
      </w:pPr>
      <w:r w:rsidRPr="009B0C76">
        <w:rPr>
          <w:rFonts w:eastAsia="Times New Roman" w:cs="Times New Roman"/>
          <w:b/>
          <w:bCs/>
          <w:kern w:val="0"/>
          <w:szCs w:val="24"/>
          <w:lang w:eastAsia="en-IN"/>
          <w14:ligatures w14:val="none"/>
        </w:rPr>
        <w:t xml:space="preserve">Political </w:t>
      </w:r>
      <w:r w:rsidR="006E51D3">
        <w:rPr>
          <w:rFonts w:eastAsia="Times New Roman" w:cs="Times New Roman"/>
          <w:b/>
          <w:bCs/>
          <w:kern w:val="0"/>
          <w:szCs w:val="24"/>
          <w:lang w:eastAsia="en-IN"/>
          <w14:ligatures w14:val="none"/>
        </w:rPr>
        <w:t xml:space="preserve">Risk- </w:t>
      </w:r>
      <w:r w:rsidR="006E51D3">
        <w:rPr>
          <w:rFonts w:eastAsia="Times New Roman" w:cs="Times New Roman"/>
          <w:kern w:val="0"/>
          <w:szCs w:val="24"/>
          <w:lang w:eastAsia="en-IN"/>
          <w14:ligatures w14:val="none"/>
        </w:rPr>
        <w:t xml:space="preserve">The political risk of different countries affects the operations of AstraZeneca due to changes in the policy or procedures of governments of various countries, and economic inflation or deflation. </w:t>
      </w:r>
    </w:p>
    <w:p w14:paraId="5E40DB03" w14:textId="59E63C32" w:rsidR="006E51D3" w:rsidRPr="009B0C76" w:rsidRDefault="006E51D3" w:rsidP="00BA3C04">
      <w:pPr>
        <w:shd w:val="clear" w:color="auto" w:fill="FFFFFF"/>
        <w:spacing w:before="100" w:beforeAutospacing="1" w:after="100" w:afterAutospacing="1" w:line="360" w:lineRule="auto"/>
        <w:jc w:val="both"/>
        <w:rPr>
          <w:rFonts w:eastAsia="Times New Roman" w:cs="Times New Roman"/>
          <w:kern w:val="0"/>
          <w:szCs w:val="24"/>
          <w:lang w:eastAsia="en-IN"/>
          <w14:ligatures w14:val="none"/>
        </w:rPr>
      </w:pPr>
      <w:r>
        <w:rPr>
          <w:rFonts w:eastAsia="Times New Roman" w:cs="Times New Roman"/>
          <w:b/>
          <w:bCs/>
          <w:kern w:val="0"/>
          <w:szCs w:val="24"/>
          <w:lang w:eastAsia="en-IN"/>
          <w14:ligatures w14:val="none"/>
        </w:rPr>
        <w:t>Illegal Trade in the Market-</w:t>
      </w:r>
      <w:r>
        <w:rPr>
          <w:rFonts w:eastAsia="Times New Roman" w:cs="Times New Roman"/>
          <w:kern w:val="0"/>
          <w:szCs w:val="24"/>
          <w:lang w:eastAsia="en-IN"/>
          <w14:ligatures w14:val="none"/>
        </w:rPr>
        <w:t xml:space="preserve"> The illegal trading </w:t>
      </w:r>
      <w:r w:rsidR="00A767BB">
        <w:rPr>
          <w:rFonts w:eastAsia="Times New Roman" w:cs="Times New Roman"/>
          <w:kern w:val="0"/>
          <w:szCs w:val="24"/>
          <w:lang w:eastAsia="en-IN"/>
          <w14:ligatures w14:val="none"/>
        </w:rPr>
        <w:t>of</w:t>
      </w:r>
      <w:r>
        <w:rPr>
          <w:rFonts w:eastAsia="Times New Roman" w:cs="Times New Roman"/>
          <w:kern w:val="0"/>
          <w:szCs w:val="24"/>
          <w:lang w:eastAsia="en-IN"/>
          <w14:ligatures w14:val="none"/>
        </w:rPr>
        <w:t xml:space="preserve"> products related to pharmaceuticals by other companies leads </w:t>
      </w:r>
      <w:r w:rsidR="00A767BB">
        <w:rPr>
          <w:rFonts w:eastAsia="Times New Roman" w:cs="Times New Roman"/>
          <w:kern w:val="0"/>
          <w:szCs w:val="24"/>
          <w:lang w:eastAsia="en-IN"/>
          <w14:ligatures w14:val="none"/>
        </w:rPr>
        <w:t>to</w:t>
      </w:r>
      <w:r>
        <w:rPr>
          <w:rFonts w:eastAsia="Times New Roman" w:cs="Times New Roman"/>
          <w:kern w:val="0"/>
          <w:szCs w:val="24"/>
          <w:lang w:eastAsia="en-IN"/>
          <w14:ligatures w14:val="none"/>
        </w:rPr>
        <w:t xml:space="preserve"> tampering, </w:t>
      </w:r>
      <w:r w:rsidR="00A767BB">
        <w:rPr>
          <w:rFonts w:eastAsia="Times New Roman" w:cs="Times New Roman"/>
          <w:kern w:val="0"/>
          <w:szCs w:val="24"/>
          <w:lang w:eastAsia="en-IN"/>
          <w14:ligatures w14:val="none"/>
        </w:rPr>
        <w:t xml:space="preserve">and </w:t>
      </w:r>
      <w:r>
        <w:rPr>
          <w:rFonts w:eastAsia="Times New Roman" w:cs="Times New Roman"/>
          <w:kern w:val="0"/>
          <w:szCs w:val="24"/>
          <w:lang w:eastAsia="en-IN"/>
          <w14:ligatures w14:val="none"/>
        </w:rPr>
        <w:t xml:space="preserve">illegal diversion </w:t>
      </w:r>
      <w:r w:rsidR="00EB2B45">
        <w:rPr>
          <w:rFonts w:eastAsia="Times New Roman" w:cs="Times New Roman"/>
          <w:kern w:val="0"/>
          <w:szCs w:val="24"/>
          <w:lang w:eastAsia="en-IN"/>
          <w14:ligatures w14:val="none"/>
        </w:rPr>
        <w:t>which</w:t>
      </w:r>
      <w:r>
        <w:rPr>
          <w:rFonts w:eastAsia="Times New Roman" w:cs="Times New Roman"/>
          <w:kern w:val="0"/>
          <w:szCs w:val="24"/>
          <w:lang w:eastAsia="en-IN"/>
          <w14:ligatures w14:val="none"/>
        </w:rPr>
        <w:t xml:space="preserve"> affects AstraZeneca in the international market </w:t>
      </w:r>
      <w:r w:rsidR="00EB2B45">
        <w:rPr>
          <w:rFonts w:eastAsia="Times New Roman" w:cs="Times New Roman"/>
          <w:kern w:val="0"/>
          <w:szCs w:val="24"/>
          <w:lang w:eastAsia="en-IN"/>
          <w14:ligatures w14:val="none"/>
        </w:rPr>
        <w:t xml:space="preserve">due to loss of trust between the company and its customers in the market. </w:t>
      </w:r>
    </w:p>
    <w:p w14:paraId="5FC6FF9A" w14:textId="1AA56BBE" w:rsidR="009B0C76" w:rsidRDefault="00EB2B45" w:rsidP="00BA3C04">
      <w:pPr>
        <w:shd w:val="clear" w:color="auto" w:fill="FFFFFF"/>
        <w:spacing w:before="100" w:beforeAutospacing="1" w:after="100" w:afterAutospacing="1" w:line="360" w:lineRule="auto"/>
        <w:jc w:val="both"/>
        <w:rPr>
          <w:rFonts w:eastAsia="Times New Roman" w:cs="Times New Roman"/>
          <w:kern w:val="0"/>
          <w:szCs w:val="24"/>
          <w:lang w:eastAsia="en-IN"/>
          <w14:ligatures w14:val="none"/>
        </w:rPr>
      </w:pPr>
      <w:r>
        <w:rPr>
          <w:rFonts w:eastAsia="Times New Roman" w:cs="Times New Roman"/>
          <w:b/>
          <w:bCs/>
          <w:kern w:val="0"/>
          <w:szCs w:val="24"/>
          <w:lang w:eastAsia="en-IN"/>
          <w14:ligatures w14:val="none"/>
        </w:rPr>
        <w:t xml:space="preserve">Fluctuation in Interest Rates- </w:t>
      </w:r>
      <w:r>
        <w:rPr>
          <w:rFonts w:eastAsia="Times New Roman" w:cs="Times New Roman"/>
          <w:kern w:val="0"/>
          <w:szCs w:val="24"/>
          <w:lang w:eastAsia="en-IN"/>
          <w14:ligatures w14:val="none"/>
        </w:rPr>
        <w:t xml:space="preserve">Due to high fluctuations in the market the interest rates were affected which was a challenge for </w:t>
      </w:r>
      <w:r w:rsidR="009B0C76" w:rsidRPr="009B0C76">
        <w:rPr>
          <w:rFonts w:eastAsia="Times New Roman" w:cs="Times New Roman"/>
          <w:kern w:val="0"/>
          <w:szCs w:val="24"/>
          <w:lang w:eastAsia="en-IN"/>
          <w14:ligatures w14:val="none"/>
        </w:rPr>
        <w:t>AstraZeneca</w:t>
      </w:r>
      <w:r>
        <w:rPr>
          <w:rFonts w:eastAsia="Times New Roman" w:cs="Times New Roman"/>
          <w:kern w:val="0"/>
          <w:szCs w:val="24"/>
          <w:lang w:eastAsia="en-IN"/>
          <w14:ligatures w14:val="none"/>
        </w:rPr>
        <w:t xml:space="preserve"> as they borrow funds from different countries and the interest rates are different for each country </w:t>
      </w:r>
      <w:r w:rsidR="00A767BB">
        <w:rPr>
          <w:rFonts w:eastAsia="Times New Roman" w:cs="Times New Roman"/>
          <w:kern w:val="0"/>
          <w:szCs w:val="24"/>
          <w:lang w:eastAsia="en-IN"/>
          <w14:ligatures w14:val="none"/>
        </w:rPr>
        <w:t>which</w:t>
      </w:r>
      <w:r>
        <w:rPr>
          <w:rFonts w:eastAsia="Times New Roman" w:cs="Times New Roman"/>
          <w:kern w:val="0"/>
          <w:szCs w:val="24"/>
          <w:lang w:eastAsia="en-IN"/>
          <w14:ligatures w14:val="none"/>
        </w:rPr>
        <w:t xml:space="preserve"> affects the financial growth of the company and affects the debt cost (</w:t>
      </w:r>
      <w:r>
        <w:rPr>
          <w:rFonts w:cs="Times New Roman"/>
          <w:szCs w:val="24"/>
        </w:rPr>
        <w:t>AstraZeneca, 2021)</w:t>
      </w:r>
      <w:r>
        <w:rPr>
          <w:rFonts w:eastAsia="Times New Roman" w:cs="Times New Roman"/>
          <w:kern w:val="0"/>
          <w:szCs w:val="24"/>
          <w:lang w:eastAsia="en-IN"/>
          <w14:ligatures w14:val="none"/>
        </w:rPr>
        <w:t>.</w:t>
      </w:r>
    </w:p>
    <w:p w14:paraId="7DF2E38A" w14:textId="2EC0B82F" w:rsidR="003D7B8F" w:rsidRDefault="00EB2B45" w:rsidP="00BA3C04">
      <w:pPr>
        <w:shd w:val="clear" w:color="auto" w:fill="FFFFFF"/>
        <w:spacing w:before="100" w:beforeAutospacing="1" w:after="100" w:afterAutospacing="1" w:line="360" w:lineRule="auto"/>
        <w:jc w:val="both"/>
        <w:rPr>
          <w:rFonts w:eastAsia="Times New Roman" w:cs="Times New Roman"/>
          <w:b/>
          <w:bCs/>
          <w:kern w:val="0"/>
          <w:szCs w:val="24"/>
          <w:lang w:eastAsia="en-IN"/>
          <w14:ligatures w14:val="none"/>
        </w:rPr>
      </w:pPr>
      <w:r>
        <w:rPr>
          <w:rFonts w:eastAsia="Times New Roman" w:cs="Times New Roman"/>
          <w:b/>
          <w:bCs/>
          <w:kern w:val="0"/>
          <w:szCs w:val="24"/>
          <w:lang w:eastAsia="en-IN"/>
          <w14:ligatures w14:val="none"/>
        </w:rPr>
        <w:t>Theories of International Financ</w:t>
      </w:r>
      <w:r w:rsidR="00514E7E">
        <w:rPr>
          <w:rFonts w:eastAsia="Times New Roman" w:cs="Times New Roman"/>
          <w:b/>
          <w:bCs/>
          <w:kern w:val="0"/>
          <w:szCs w:val="24"/>
          <w:lang w:eastAsia="en-IN"/>
          <w14:ligatures w14:val="none"/>
        </w:rPr>
        <w:t>ial</w:t>
      </w:r>
      <w:r>
        <w:rPr>
          <w:rFonts w:eastAsia="Times New Roman" w:cs="Times New Roman"/>
          <w:b/>
          <w:bCs/>
          <w:kern w:val="0"/>
          <w:szCs w:val="24"/>
          <w:lang w:eastAsia="en-IN"/>
          <w14:ligatures w14:val="none"/>
        </w:rPr>
        <w:t xml:space="preserve"> Management- </w:t>
      </w:r>
    </w:p>
    <w:p w14:paraId="26BE38F9" w14:textId="54FA05EF" w:rsidR="00AF23B6" w:rsidRDefault="00A767BB" w:rsidP="00BA3C04">
      <w:pPr>
        <w:shd w:val="clear" w:color="auto" w:fill="FFFFFF"/>
        <w:spacing w:before="100" w:beforeAutospacing="1" w:after="100" w:afterAutospacing="1" w:line="360" w:lineRule="auto"/>
        <w:jc w:val="both"/>
        <w:rPr>
          <w:rFonts w:eastAsia="Times New Roman" w:cs="Times New Roman"/>
          <w:kern w:val="0"/>
          <w:szCs w:val="24"/>
          <w:lang w:eastAsia="en-IN"/>
          <w14:ligatures w14:val="none"/>
        </w:rPr>
      </w:pPr>
      <w:r w:rsidRPr="00A767BB">
        <w:rPr>
          <w:rFonts w:eastAsia="Times New Roman" w:cs="Times New Roman"/>
          <w:kern w:val="0"/>
          <w:szCs w:val="24"/>
          <w:lang w:eastAsia="en-IN"/>
          <w14:ligatures w14:val="none"/>
        </w:rPr>
        <w:t>Three types of theories of international financial management help</w:t>
      </w:r>
      <w:r w:rsidR="00AF23B6">
        <w:rPr>
          <w:rFonts w:eastAsia="Times New Roman" w:cs="Times New Roman"/>
          <w:kern w:val="0"/>
          <w:szCs w:val="24"/>
          <w:lang w:eastAsia="en-IN"/>
          <w14:ligatures w14:val="none"/>
        </w:rPr>
        <w:t xml:space="preserve"> in analyzing the exchange rates, financial system, and foreign trades. </w:t>
      </w:r>
    </w:p>
    <w:p w14:paraId="0CB15B92" w14:textId="029E26BC" w:rsidR="00AF23B6" w:rsidRPr="00BA3C04" w:rsidRDefault="00AF23B6" w:rsidP="00BA3C04">
      <w:pPr>
        <w:shd w:val="clear" w:color="auto" w:fill="FFFFFF"/>
        <w:spacing w:before="100" w:beforeAutospacing="1" w:after="100" w:afterAutospacing="1" w:line="360" w:lineRule="auto"/>
        <w:jc w:val="both"/>
        <w:rPr>
          <w:rFonts w:eastAsia="Times New Roman" w:cs="Times New Roman"/>
          <w:kern w:val="0"/>
          <w:szCs w:val="24"/>
          <w:lang w:eastAsia="en-IN"/>
          <w14:ligatures w14:val="none"/>
        </w:rPr>
      </w:pPr>
      <w:r w:rsidRPr="00BA3C04">
        <w:rPr>
          <w:rFonts w:eastAsia="Times New Roman" w:cs="Times New Roman"/>
          <w:b/>
          <w:bCs/>
          <w:kern w:val="0"/>
          <w:szCs w:val="24"/>
          <w:lang w:eastAsia="en-IN"/>
          <w14:ligatures w14:val="none"/>
        </w:rPr>
        <w:t xml:space="preserve">Mundell-Fleming </w:t>
      </w:r>
      <w:r w:rsidR="00B835E7" w:rsidRPr="00BA3C04">
        <w:rPr>
          <w:rFonts w:eastAsia="Times New Roman" w:cs="Times New Roman"/>
          <w:b/>
          <w:bCs/>
          <w:kern w:val="0"/>
          <w:szCs w:val="24"/>
          <w:lang w:eastAsia="en-IN"/>
          <w14:ligatures w14:val="none"/>
        </w:rPr>
        <w:t>T</w:t>
      </w:r>
      <w:r w:rsidRPr="00BA3C04">
        <w:rPr>
          <w:rFonts w:eastAsia="Times New Roman" w:cs="Times New Roman"/>
          <w:b/>
          <w:bCs/>
          <w:kern w:val="0"/>
          <w:szCs w:val="24"/>
          <w:lang w:eastAsia="en-IN"/>
          <w14:ligatures w14:val="none"/>
        </w:rPr>
        <w:t>heory</w:t>
      </w:r>
      <w:r w:rsidRPr="00BA3C04">
        <w:rPr>
          <w:rFonts w:eastAsia="Times New Roman" w:cs="Times New Roman"/>
          <w:kern w:val="0"/>
          <w:szCs w:val="24"/>
          <w:lang w:eastAsia="en-IN"/>
          <w14:ligatures w14:val="none"/>
        </w:rPr>
        <w:t xml:space="preserve">- </w:t>
      </w:r>
      <w:r w:rsidR="00B835E7" w:rsidRPr="00BA3C04">
        <w:rPr>
          <w:rFonts w:eastAsia="Times New Roman" w:cs="Times New Roman"/>
          <w:kern w:val="0"/>
          <w:szCs w:val="24"/>
          <w:lang w:eastAsia="en-IN"/>
          <w14:ligatures w14:val="none"/>
        </w:rPr>
        <w:t xml:space="preserve">The theory explains the assumptions of the price that are fixed and the interchange between the market of goods and the money market. This model helps in analyzing the reason for fluctuations in the market that affects the income of the economy. </w:t>
      </w:r>
      <w:r w:rsidR="00B835E7" w:rsidRPr="00BA3C04">
        <w:rPr>
          <w:rFonts w:eastAsia="Times New Roman" w:cs="Times New Roman"/>
          <w:kern w:val="0"/>
          <w:szCs w:val="24"/>
          <w:lang w:eastAsia="en-IN"/>
          <w14:ligatures w14:val="none"/>
        </w:rPr>
        <w:lastRenderedPageBreak/>
        <w:t xml:space="preserve">The assumption of this theory explains that the rate of interest of the domestic country will be equal to the rate of interest of another country. </w:t>
      </w:r>
    </w:p>
    <w:p w14:paraId="591A57AB" w14:textId="43CEA00C" w:rsidR="00B835E7" w:rsidRPr="00BA3C04" w:rsidRDefault="00B835E7" w:rsidP="00784D49">
      <w:pPr>
        <w:rPr>
          <w:lang w:eastAsia="en-IN"/>
        </w:rPr>
      </w:pPr>
      <w:r w:rsidRPr="00BA3C04">
        <w:rPr>
          <w:b/>
          <w:bCs/>
          <w:lang w:eastAsia="en-IN"/>
        </w:rPr>
        <w:t>Purchasing Power Parity</w:t>
      </w:r>
      <w:r w:rsidRPr="00BA3C04">
        <w:rPr>
          <w:lang w:eastAsia="en-IN"/>
        </w:rPr>
        <w:t xml:space="preserve">- The purchasing power parity theory of international financial management explains the relationship </w:t>
      </w:r>
      <w:r w:rsidR="00264EBD" w:rsidRPr="00BA3C04">
        <w:rPr>
          <w:lang w:eastAsia="en-IN"/>
        </w:rPr>
        <w:t>between</w:t>
      </w:r>
      <w:r w:rsidRPr="00BA3C04">
        <w:rPr>
          <w:lang w:eastAsia="en-IN"/>
        </w:rPr>
        <w:t xml:space="preserve"> </w:t>
      </w:r>
      <w:r w:rsidR="00264EBD" w:rsidRPr="00BA3C04">
        <w:rPr>
          <w:lang w:eastAsia="en-IN"/>
        </w:rPr>
        <w:t>the exchange</w:t>
      </w:r>
      <w:r w:rsidRPr="00BA3C04">
        <w:rPr>
          <w:lang w:eastAsia="en-IN"/>
        </w:rPr>
        <w:t xml:space="preserve"> rates of different countries. The assumption of this theory explains that the power of purchasing a </w:t>
      </w:r>
      <w:r w:rsidR="00264EBD" w:rsidRPr="00BA3C04">
        <w:rPr>
          <w:lang w:eastAsia="en-IN"/>
        </w:rPr>
        <w:t>particular</w:t>
      </w:r>
      <w:r w:rsidRPr="00BA3C04">
        <w:rPr>
          <w:lang w:eastAsia="en-IN"/>
        </w:rPr>
        <w:t xml:space="preserve"> unit</w:t>
      </w:r>
      <w:r w:rsidR="00264EBD" w:rsidRPr="00BA3C04">
        <w:rPr>
          <w:lang w:eastAsia="en-IN"/>
        </w:rPr>
        <w:t xml:space="preserve"> of the domestic currency should be the same of the foreign or other country (</w:t>
      </w:r>
      <w:r w:rsidR="00264EBD" w:rsidRPr="00BA3C04">
        <w:rPr>
          <w:shd w:val="clear" w:color="auto" w:fill="FFFFFF"/>
        </w:rPr>
        <w:t>Anisimova, 2018)</w:t>
      </w:r>
      <w:r w:rsidR="00264EBD" w:rsidRPr="00BA3C04">
        <w:rPr>
          <w:lang w:eastAsia="en-IN"/>
        </w:rPr>
        <w:t xml:space="preserve">. The theory gives clarity that the price or rate of one economy would be equal for another economy to purchase the same price of goods. </w:t>
      </w:r>
    </w:p>
    <w:p w14:paraId="5AA5CBDF" w14:textId="73AEF7E0" w:rsidR="00846BCF" w:rsidRDefault="00264EBD" w:rsidP="00BA3C04">
      <w:pPr>
        <w:shd w:val="clear" w:color="auto" w:fill="FFFFFF"/>
        <w:spacing w:before="100" w:beforeAutospacing="1" w:after="100" w:afterAutospacing="1" w:line="360" w:lineRule="auto"/>
        <w:jc w:val="both"/>
        <w:rPr>
          <w:rFonts w:eastAsia="Times New Roman" w:cs="Times New Roman"/>
          <w:kern w:val="0"/>
          <w:szCs w:val="24"/>
          <w:lang w:eastAsia="en-IN"/>
          <w14:ligatures w14:val="none"/>
        </w:rPr>
      </w:pPr>
      <w:r w:rsidRPr="00BA3C04">
        <w:rPr>
          <w:rFonts w:eastAsia="Times New Roman" w:cs="Times New Roman"/>
          <w:b/>
          <w:bCs/>
          <w:kern w:val="0"/>
          <w:szCs w:val="24"/>
          <w:lang w:eastAsia="en-IN"/>
          <w14:ligatures w14:val="none"/>
        </w:rPr>
        <w:t>The Optimum Currency Area</w:t>
      </w:r>
      <w:r w:rsidRPr="00BA3C04">
        <w:rPr>
          <w:rFonts w:eastAsia="Times New Roman" w:cs="Times New Roman"/>
          <w:kern w:val="0"/>
          <w:szCs w:val="24"/>
          <w:lang w:eastAsia="en-IN"/>
          <w14:ligatures w14:val="none"/>
        </w:rPr>
        <w:t xml:space="preserve">- </w:t>
      </w:r>
      <w:r w:rsidR="00690A76" w:rsidRPr="00BA3C04">
        <w:rPr>
          <w:rFonts w:eastAsia="Times New Roman" w:cs="Times New Roman"/>
          <w:kern w:val="0"/>
          <w:szCs w:val="24"/>
          <w:lang w:eastAsia="en-IN"/>
          <w14:ligatures w14:val="none"/>
        </w:rPr>
        <w:t>The theory helps in analyzing the factors that influence the government in deciding the currency authorities. It analyses the factors that affect the balance of payment costs</w:t>
      </w:r>
      <w:r w:rsidR="00846BCF" w:rsidRPr="00BA3C04">
        <w:rPr>
          <w:rFonts w:eastAsia="Times New Roman" w:cs="Times New Roman"/>
          <w:kern w:val="0"/>
          <w:szCs w:val="24"/>
          <w:lang w:eastAsia="en-IN"/>
          <w14:ligatures w14:val="none"/>
        </w:rPr>
        <w:t xml:space="preserve"> (</w:t>
      </w:r>
      <w:r w:rsidR="00846BCF" w:rsidRPr="00BA3C04">
        <w:rPr>
          <w:rFonts w:cs="Times New Roman"/>
          <w:szCs w:val="24"/>
          <w:shd w:val="clear" w:color="auto" w:fill="FFFFFF"/>
        </w:rPr>
        <w:t>Cohen, 2018)</w:t>
      </w:r>
      <w:r w:rsidR="00690A76" w:rsidRPr="00BA3C04">
        <w:rPr>
          <w:rFonts w:eastAsia="Times New Roman" w:cs="Times New Roman"/>
          <w:kern w:val="0"/>
          <w:szCs w:val="24"/>
          <w:lang w:eastAsia="en-IN"/>
          <w14:ligatures w14:val="none"/>
        </w:rPr>
        <w:t xml:space="preserve">. The factors the optimum theory helps in analyzing are mobility factors, changes or fluctuations in the price, and production factors. </w:t>
      </w:r>
    </w:p>
    <w:p w14:paraId="6327DC75" w14:textId="789E9476" w:rsidR="00846BCF" w:rsidRDefault="00846BCF" w:rsidP="00BA3C04">
      <w:pPr>
        <w:shd w:val="clear" w:color="auto" w:fill="FFFFFF"/>
        <w:spacing w:before="100" w:beforeAutospacing="1" w:after="100" w:afterAutospacing="1" w:line="360" w:lineRule="auto"/>
        <w:jc w:val="both"/>
        <w:rPr>
          <w:rFonts w:eastAsia="Times New Roman" w:cs="Times New Roman"/>
          <w:b/>
          <w:bCs/>
          <w:kern w:val="0"/>
          <w:szCs w:val="24"/>
          <w:lang w:eastAsia="en-IN"/>
          <w14:ligatures w14:val="none"/>
        </w:rPr>
      </w:pPr>
      <w:r w:rsidRPr="00846BCF">
        <w:rPr>
          <w:rFonts w:eastAsia="Times New Roman" w:cs="Times New Roman"/>
          <w:b/>
          <w:bCs/>
          <w:kern w:val="0"/>
          <w:szCs w:val="24"/>
          <w:lang w:eastAsia="en-IN"/>
          <w14:ligatures w14:val="none"/>
        </w:rPr>
        <w:t xml:space="preserve">Dividend Distribution Policy of AstraZeneca- </w:t>
      </w:r>
    </w:p>
    <w:p w14:paraId="79A3C109" w14:textId="75F41934" w:rsidR="006E6C14" w:rsidRDefault="006E6C14" w:rsidP="00BA3C04">
      <w:pPr>
        <w:shd w:val="clear" w:color="auto" w:fill="FFFFFF"/>
        <w:spacing w:before="100" w:beforeAutospacing="1" w:after="100" w:afterAutospacing="1" w:line="360" w:lineRule="auto"/>
        <w:jc w:val="both"/>
        <w:rPr>
          <w:rFonts w:eastAsia="Times New Roman" w:cs="Times New Roman"/>
          <w:kern w:val="0"/>
          <w:szCs w:val="24"/>
          <w:lang w:eastAsia="en-IN"/>
          <w14:ligatures w14:val="none"/>
        </w:rPr>
      </w:pPr>
      <w:r>
        <w:rPr>
          <w:rFonts w:eastAsia="Times New Roman" w:cs="Times New Roman"/>
          <w:noProof/>
          <w:kern w:val="0"/>
          <w:szCs w:val="24"/>
          <w:lang w:val="en-US"/>
        </w:rPr>
        <w:drawing>
          <wp:inline distT="0" distB="0" distL="0" distR="0" wp14:anchorId="3077C917" wp14:editId="46C99B94">
            <wp:extent cx="5734050" cy="1247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icrosoftTeams-image (3).png"/>
                    <pic:cNvPicPr/>
                  </pic:nvPicPr>
                  <pic:blipFill>
                    <a:blip r:embed="rId7">
                      <a:extLst>
                        <a:ext uri="{28A0092B-C50C-407E-A947-70E740481C1C}">
                          <a14:useLocalDpi xmlns:a14="http://schemas.microsoft.com/office/drawing/2010/main" val="0"/>
                        </a:ext>
                      </a:extLst>
                    </a:blip>
                    <a:stretch>
                      <a:fillRect/>
                    </a:stretch>
                  </pic:blipFill>
                  <pic:spPr>
                    <a:xfrm>
                      <a:off x="0" y="0"/>
                      <a:ext cx="5731510" cy="1247222"/>
                    </a:xfrm>
                    <a:prstGeom prst="rect">
                      <a:avLst/>
                    </a:prstGeom>
                  </pic:spPr>
                </pic:pic>
              </a:graphicData>
            </a:graphic>
          </wp:inline>
        </w:drawing>
      </w:r>
    </w:p>
    <w:p w14:paraId="58234CA3" w14:textId="77EAB6C3" w:rsidR="006E6C14" w:rsidRPr="006E6C14" w:rsidRDefault="006E6C14" w:rsidP="00BA3C04">
      <w:pPr>
        <w:shd w:val="clear" w:color="auto" w:fill="FFFFFF"/>
        <w:spacing w:before="100" w:beforeAutospacing="1" w:after="100" w:afterAutospacing="1" w:line="360" w:lineRule="auto"/>
        <w:jc w:val="both"/>
      </w:pPr>
      <w:r>
        <w:t>(Source – Annual Report, 2022).</w:t>
      </w:r>
    </w:p>
    <w:p w14:paraId="0496590B" w14:textId="77777777" w:rsidR="00A15992" w:rsidRDefault="00846BCF" w:rsidP="00BA3C04">
      <w:pPr>
        <w:shd w:val="clear" w:color="auto" w:fill="FFFFFF"/>
        <w:spacing w:before="100" w:beforeAutospacing="1" w:after="100" w:afterAutospacing="1" w:line="360" w:lineRule="auto"/>
        <w:jc w:val="both"/>
      </w:pPr>
      <w:r>
        <w:rPr>
          <w:rFonts w:eastAsia="Times New Roman" w:cs="Times New Roman"/>
          <w:kern w:val="0"/>
          <w:szCs w:val="24"/>
          <w:lang w:eastAsia="en-IN"/>
          <w14:ligatures w14:val="none"/>
        </w:rPr>
        <w:t xml:space="preserve">The dividend policy of AstraZeneca provides benefits to the shareholders. It is structured in a way so that the value or worth of the shareholders will increase. The directors of the company made a dividend policy to make a balance between the shareholders or creditors and business interests. The dividend policy of AstraZeneca explains that the dividend will be paid </w:t>
      </w:r>
      <w:r w:rsidR="007A19A2">
        <w:rPr>
          <w:rFonts w:eastAsia="Times New Roman" w:cs="Times New Roman"/>
          <w:kern w:val="0"/>
          <w:szCs w:val="24"/>
          <w:lang w:eastAsia="en-IN"/>
          <w14:ligatures w14:val="none"/>
        </w:rPr>
        <w:t>two times a year that is in the first interval or 2</w:t>
      </w:r>
      <w:r w:rsidR="007A19A2" w:rsidRPr="007A19A2">
        <w:rPr>
          <w:rFonts w:eastAsia="Times New Roman" w:cs="Times New Roman"/>
          <w:kern w:val="0"/>
          <w:szCs w:val="24"/>
          <w:vertAlign w:val="superscript"/>
          <w:lang w:eastAsia="en-IN"/>
          <w14:ligatures w14:val="none"/>
        </w:rPr>
        <w:t>nd</w:t>
      </w:r>
      <w:r w:rsidR="007A19A2">
        <w:rPr>
          <w:rFonts w:eastAsia="Times New Roman" w:cs="Times New Roman"/>
          <w:kern w:val="0"/>
          <w:szCs w:val="24"/>
          <w:lang w:eastAsia="en-IN"/>
          <w14:ligatures w14:val="none"/>
        </w:rPr>
        <w:t xml:space="preserve"> quarter and in the second interval which is in the 4</w:t>
      </w:r>
      <w:r w:rsidR="007A19A2" w:rsidRPr="007A19A2">
        <w:rPr>
          <w:rFonts w:eastAsia="Times New Roman" w:cs="Times New Roman"/>
          <w:kern w:val="0"/>
          <w:szCs w:val="24"/>
          <w:vertAlign w:val="superscript"/>
          <w:lang w:eastAsia="en-IN"/>
          <w14:ligatures w14:val="none"/>
        </w:rPr>
        <w:t>th</w:t>
      </w:r>
      <w:r w:rsidR="007A19A2">
        <w:rPr>
          <w:rFonts w:eastAsia="Times New Roman" w:cs="Times New Roman"/>
          <w:kern w:val="0"/>
          <w:szCs w:val="24"/>
          <w:lang w:eastAsia="en-IN"/>
          <w14:ligatures w14:val="none"/>
        </w:rPr>
        <w:t xml:space="preserve"> quarter (</w:t>
      </w:r>
      <w:r w:rsidR="007A19A2">
        <w:rPr>
          <w:rFonts w:cs="Times New Roman"/>
          <w:szCs w:val="24"/>
          <w:shd w:val="clear" w:color="auto" w:fill="FFFFFF"/>
        </w:rPr>
        <w:t>AstraZeneca, 2023)</w:t>
      </w:r>
      <w:r w:rsidR="007A19A2">
        <w:rPr>
          <w:rFonts w:eastAsia="Times New Roman" w:cs="Times New Roman"/>
          <w:kern w:val="0"/>
          <w:szCs w:val="24"/>
          <w:lang w:eastAsia="en-IN"/>
          <w14:ligatures w14:val="none"/>
        </w:rPr>
        <w:t xml:space="preserve">. The company declared a dividend to its shareholders in 2022 of </w:t>
      </w:r>
      <w:r w:rsidR="007A19A2">
        <w:t xml:space="preserve">$0.93 per share in the first interval and $1.97 per share in the second interval. </w:t>
      </w:r>
    </w:p>
    <w:p w14:paraId="3D8B812A" w14:textId="337B4633" w:rsidR="00846BCF" w:rsidRDefault="007A19A2" w:rsidP="00BA3C04">
      <w:pPr>
        <w:shd w:val="clear" w:color="auto" w:fill="FFFFFF"/>
        <w:spacing w:before="100" w:beforeAutospacing="1" w:after="100" w:afterAutospacing="1" w:line="360" w:lineRule="auto"/>
        <w:jc w:val="both"/>
      </w:pPr>
      <w:r>
        <w:t>The exchange rates in USD, SEK, and GBP were used to pay the dividends of the company</w:t>
      </w:r>
      <w:r w:rsidR="00BD2902">
        <w:t xml:space="preserve">. The dividend cover ratio of AstraZeneca in 2022 was 0.74:1 which indicates that it is moderate DCR. The ideal DCR of </w:t>
      </w:r>
      <w:r w:rsidR="00A15992">
        <w:t xml:space="preserve">the firm should be between 1-2 </w:t>
      </w:r>
      <w:r w:rsidR="00A15992">
        <w:rPr>
          <w:rFonts w:eastAsia="Times New Roman" w:cs="Times New Roman"/>
          <w:kern w:val="0"/>
          <w:szCs w:val="24"/>
          <w:lang w:eastAsia="en-IN"/>
          <w14:ligatures w14:val="none"/>
        </w:rPr>
        <w:t>(</w:t>
      </w:r>
      <w:r w:rsidR="00A15992">
        <w:rPr>
          <w:rFonts w:cs="Times New Roman"/>
          <w:szCs w:val="24"/>
          <w:shd w:val="clear" w:color="auto" w:fill="FFFFFF"/>
        </w:rPr>
        <w:t>AstraZeneca, 2023)</w:t>
      </w:r>
      <w:r w:rsidR="00A15992">
        <w:rPr>
          <w:rFonts w:eastAsia="Times New Roman" w:cs="Times New Roman"/>
          <w:kern w:val="0"/>
          <w:szCs w:val="24"/>
          <w:lang w:eastAsia="en-IN"/>
          <w14:ligatures w14:val="none"/>
        </w:rPr>
        <w:t xml:space="preserve">. </w:t>
      </w:r>
      <w:r w:rsidR="00BD2902">
        <w:t xml:space="preserve">The directors of the company have decided to pay the dividend each year and increase the </w:t>
      </w:r>
      <w:r w:rsidR="00BD2902">
        <w:lastRenderedPageBreak/>
        <w:t xml:space="preserve">dividend for each year. They daily revise the dividend distribution policy of the company so that they will maintain the balance between the growth of the organization and the interest of the creditors and shareholders. </w:t>
      </w:r>
    </w:p>
    <w:p w14:paraId="0F3FDE68" w14:textId="57EA66C4" w:rsidR="00BD2902" w:rsidRDefault="00BD2902" w:rsidP="00BA3C04">
      <w:pPr>
        <w:shd w:val="clear" w:color="auto" w:fill="FFFFFF"/>
        <w:spacing w:before="100" w:beforeAutospacing="1" w:after="100" w:afterAutospacing="1" w:line="360" w:lineRule="auto"/>
        <w:jc w:val="both"/>
        <w:rPr>
          <w:b/>
          <w:bCs/>
        </w:rPr>
      </w:pPr>
      <w:r w:rsidRPr="00BD2902">
        <w:rPr>
          <w:b/>
          <w:bCs/>
        </w:rPr>
        <w:t xml:space="preserve">Efficient Market Hypothesis </w:t>
      </w:r>
      <w:r>
        <w:rPr>
          <w:b/>
          <w:bCs/>
        </w:rPr>
        <w:t>–</w:t>
      </w:r>
      <w:r w:rsidRPr="00BD2902">
        <w:rPr>
          <w:b/>
          <w:bCs/>
        </w:rPr>
        <w:t xml:space="preserve"> </w:t>
      </w:r>
    </w:p>
    <w:p w14:paraId="460C8613" w14:textId="74B50B01" w:rsidR="00B82F3C" w:rsidRDefault="00BD2902" w:rsidP="00BA3C04">
      <w:pPr>
        <w:shd w:val="clear" w:color="auto" w:fill="FFFFFF"/>
        <w:spacing w:before="100" w:beforeAutospacing="1" w:after="100" w:afterAutospacing="1" w:line="360" w:lineRule="auto"/>
        <w:jc w:val="both"/>
      </w:pPr>
      <w:r>
        <w:t xml:space="preserve">The efficient market hypothesis explains the impact of the price of the stock on the information that is available in the market. </w:t>
      </w:r>
      <w:r w:rsidR="00BA3C04">
        <w:t xml:space="preserve">An increase </w:t>
      </w:r>
      <w:r w:rsidR="00A767BB">
        <w:t>or</w:t>
      </w:r>
      <w:r w:rsidR="00BA3C04">
        <w:t xml:space="preserve"> decrease in the stock prices will reflect the information which is available in the market. </w:t>
      </w:r>
      <w:r w:rsidR="00036100">
        <w:t>The assumption of this theory is to avail the market of the pricing of stock with all the competitors or participants in the market (</w:t>
      </w:r>
      <w:r w:rsidR="00036100">
        <w:rPr>
          <w:rFonts w:cs="Times New Roman"/>
          <w:szCs w:val="24"/>
          <w:shd w:val="clear" w:color="auto" w:fill="FFFFFF"/>
        </w:rPr>
        <w:t>Baldridge, 2022)</w:t>
      </w:r>
      <w:r w:rsidR="00036100">
        <w:t xml:space="preserve">. The theory maintains the balance between the price of the stock and its market valuation. </w:t>
      </w:r>
    </w:p>
    <w:p w14:paraId="1E7F2286" w14:textId="43A5ADE2" w:rsidR="006F5759" w:rsidRPr="00B82F3C" w:rsidRDefault="006F5759" w:rsidP="00BA3C04">
      <w:pPr>
        <w:shd w:val="clear" w:color="auto" w:fill="FFFFFF"/>
        <w:spacing w:before="100" w:beforeAutospacing="1" w:after="100" w:afterAutospacing="1" w:line="360" w:lineRule="auto"/>
        <w:jc w:val="both"/>
      </w:pPr>
      <w:r w:rsidRPr="006F5759">
        <w:rPr>
          <w:b/>
          <w:bCs/>
        </w:rPr>
        <w:t xml:space="preserve">Earnings per share of AstraZeneca- </w:t>
      </w:r>
    </w:p>
    <w:p w14:paraId="491C5C99" w14:textId="1704B58E" w:rsidR="00514E7E" w:rsidRPr="006F5759" w:rsidRDefault="006F5759" w:rsidP="00BA3C04">
      <w:pPr>
        <w:shd w:val="clear" w:color="auto" w:fill="FFFFFF"/>
        <w:spacing w:before="100" w:beforeAutospacing="1" w:after="100" w:afterAutospacing="1" w:line="360" w:lineRule="auto"/>
        <w:jc w:val="both"/>
      </w:pPr>
      <w:r>
        <w:rPr>
          <w:noProof/>
          <w:lang w:val="en-US"/>
        </w:rPr>
        <w:drawing>
          <wp:inline distT="0" distB="0" distL="0" distR="0" wp14:anchorId="10CB4A0D" wp14:editId="3BD6769D">
            <wp:extent cx="5033828" cy="1695450"/>
            <wp:effectExtent l="0" t="0" r="0" b="0"/>
            <wp:docPr id="2140527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527436" name="Picture 2140527436"/>
                    <pic:cNvPicPr/>
                  </pic:nvPicPr>
                  <pic:blipFill>
                    <a:blip r:embed="rId8">
                      <a:extLst>
                        <a:ext uri="{28A0092B-C50C-407E-A947-70E740481C1C}">
                          <a14:useLocalDpi xmlns:a14="http://schemas.microsoft.com/office/drawing/2010/main" val="0"/>
                        </a:ext>
                      </a:extLst>
                    </a:blip>
                    <a:stretch>
                      <a:fillRect/>
                    </a:stretch>
                  </pic:blipFill>
                  <pic:spPr>
                    <a:xfrm>
                      <a:off x="0" y="0"/>
                      <a:ext cx="5084772" cy="1712608"/>
                    </a:xfrm>
                    <a:prstGeom prst="rect">
                      <a:avLst/>
                    </a:prstGeom>
                  </pic:spPr>
                </pic:pic>
              </a:graphicData>
            </a:graphic>
          </wp:inline>
        </w:drawing>
      </w:r>
    </w:p>
    <w:p w14:paraId="2C8AC7D7" w14:textId="1C230604" w:rsidR="00B82F3C" w:rsidRDefault="00AC5D9F" w:rsidP="00BA3C04">
      <w:pPr>
        <w:shd w:val="clear" w:color="auto" w:fill="FFFFFF"/>
        <w:spacing w:before="100" w:beforeAutospacing="1" w:after="100" w:afterAutospacing="1" w:line="360" w:lineRule="auto"/>
        <w:jc w:val="both"/>
      </w:pPr>
      <w:r>
        <w:t xml:space="preserve">(Source – </w:t>
      </w:r>
      <w:r w:rsidR="006E6C14">
        <w:t>Annual Report,</w:t>
      </w:r>
      <w:r>
        <w:t xml:space="preserve"> 2022).</w:t>
      </w:r>
    </w:p>
    <w:p w14:paraId="444DF5BF" w14:textId="6A502ABC" w:rsidR="006F5759" w:rsidRDefault="006F5759" w:rsidP="00BA3C04">
      <w:pPr>
        <w:shd w:val="clear" w:color="auto" w:fill="FFFFFF"/>
        <w:spacing w:before="100" w:beforeAutospacing="1" w:after="100" w:afterAutospacing="1" w:line="360" w:lineRule="auto"/>
        <w:jc w:val="both"/>
      </w:pPr>
      <w:r>
        <w:t xml:space="preserve">The company has reflected on the information related to its share price, financial performance, and wealth of the shareholders. The Earning price share of the company is fluctuating. The earning price per share has </w:t>
      </w:r>
      <w:r w:rsidR="00B82F3C">
        <w:t xml:space="preserve">a </w:t>
      </w:r>
      <w:r>
        <w:t xml:space="preserve">33 percent </w:t>
      </w:r>
      <w:r w:rsidR="00B82F3C">
        <w:t>increase</w:t>
      </w:r>
      <w:r>
        <w:t xml:space="preserve"> to $6.66</w:t>
      </w:r>
      <w:r w:rsidR="00B82F3C">
        <w:t xml:space="preserve"> in 2022</w:t>
      </w:r>
      <w:r>
        <w:t xml:space="preserve">, </w:t>
      </w:r>
      <w:r w:rsidR="00B82F3C">
        <w:t>the dividend declared in the second interval was $1.97 per share. The EPS of the company in 2020 is $2.44 and $0.08 in 2021</w:t>
      </w:r>
      <w:r w:rsidR="00BA3C04">
        <w:t xml:space="preserve"> (AstraZeneca, 2022). </w:t>
      </w:r>
      <w:r w:rsidR="00B82F3C">
        <w:t xml:space="preserve">The efficient market hypothesis of AstraZeneca states that the share price fluctuated with this the available information in the market was also reflected. </w:t>
      </w:r>
    </w:p>
    <w:p w14:paraId="5757AEA8" w14:textId="11AB5B31" w:rsidR="00BA3C04" w:rsidRDefault="00BA3C04" w:rsidP="00BA3C04">
      <w:pPr>
        <w:shd w:val="clear" w:color="auto" w:fill="FFFFFF"/>
        <w:spacing w:before="100" w:beforeAutospacing="1" w:after="100" w:afterAutospacing="1" w:line="360" w:lineRule="auto"/>
        <w:jc w:val="both"/>
        <w:rPr>
          <w:b/>
          <w:bCs/>
        </w:rPr>
      </w:pPr>
      <w:r w:rsidRPr="00BA3C04">
        <w:rPr>
          <w:b/>
          <w:bCs/>
        </w:rPr>
        <w:t>Appraising Project Methods of AstraZeneca</w:t>
      </w:r>
      <w:r>
        <w:rPr>
          <w:b/>
          <w:bCs/>
        </w:rPr>
        <w:t xml:space="preserve">- </w:t>
      </w:r>
    </w:p>
    <w:p w14:paraId="153ACE24" w14:textId="131A03B2" w:rsidR="00E562F8" w:rsidRDefault="003E6132" w:rsidP="00AC5D9F">
      <w:pPr>
        <w:shd w:val="clear" w:color="auto" w:fill="FFFFFF"/>
        <w:spacing w:before="100" w:beforeAutospacing="1" w:after="100" w:afterAutospacing="1" w:line="360" w:lineRule="auto"/>
        <w:jc w:val="both"/>
      </w:pPr>
      <w:r>
        <w:lastRenderedPageBreak/>
        <w:t>Various appraising project mechanism was used by AstraZeneca to evaluate the efficiency of the project or investment. It helps in analyzing the potential of a project, and the returns of the project or investment. Net present value was used to analyze the capacity of the investment or analyze how much an investment or project is successful (Wilson, 2023). The company has invested in an artificial investment-enabled drug that increases the sales of the company</w:t>
      </w:r>
      <w:r w:rsidR="002E6938">
        <w:t xml:space="preserve"> and also invested the amount for the development and manufacturing of medicines.</w:t>
      </w:r>
      <w:r>
        <w:t xml:space="preserve"> </w:t>
      </w:r>
      <w:r w:rsidR="002E6938">
        <w:t>T</w:t>
      </w:r>
      <w:r>
        <w:t xml:space="preserve">hey used appraising project mechanisms like NPV, ARR, profitability index, and Payback period for analyzing the returns of the investment for the future. </w:t>
      </w:r>
    </w:p>
    <w:p w14:paraId="67DCCB60" w14:textId="6EFDA9C1" w:rsidR="00E562F8" w:rsidRDefault="002E6938" w:rsidP="00BA3C04">
      <w:pPr>
        <w:spacing w:line="360" w:lineRule="auto"/>
        <w:jc w:val="both"/>
        <w:rPr>
          <w:b/>
          <w:bCs/>
        </w:rPr>
      </w:pPr>
      <w:r w:rsidRPr="002E6938">
        <w:rPr>
          <w:b/>
          <w:bCs/>
        </w:rPr>
        <w:t xml:space="preserve">Conclusion- </w:t>
      </w:r>
    </w:p>
    <w:p w14:paraId="31A120E6" w14:textId="0672C418" w:rsidR="002E6938" w:rsidRPr="002E6938" w:rsidRDefault="002E6938" w:rsidP="00BA3C04">
      <w:pPr>
        <w:spacing w:line="360" w:lineRule="auto"/>
        <w:jc w:val="both"/>
      </w:pPr>
      <w:r>
        <w:t>The essay has analyzed the importance of international financial management in AstraZeneca it covers the risk of the organization and helps in better operation of the business. It is concluded that they faced many challenges in the international financial market like high rates of interest, risk of exchange rates, and different government policies. The theories of international financial management conclude that it managed and analyzed the risk of the market like deflation and inflation, and risk in the exchange rate for the business also makes the balance between different organizations. The essay contains the dividend distribution policy of AstraZeneca</w:t>
      </w:r>
      <w:r>
        <w:rPr>
          <w:rFonts w:eastAsia="Times New Roman" w:cs="Times New Roman"/>
          <w:kern w:val="0"/>
          <w:szCs w:val="24"/>
          <w:lang w:eastAsia="en-IN"/>
          <w14:ligatures w14:val="none"/>
        </w:rPr>
        <w:t xml:space="preserve"> directors of the company made a dividend policy to make a balance between the shareholders or creditors and business interests. The company follows the efficient market hypothesis also used various appraising project mechanisms in </w:t>
      </w:r>
      <w:r w:rsidR="00A767BB">
        <w:rPr>
          <w:rFonts w:eastAsia="Times New Roman" w:cs="Times New Roman"/>
          <w:kern w:val="0"/>
          <w:szCs w:val="24"/>
          <w:lang w:eastAsia="en-IN"/>
          <w14:ligatures w14:val="none"/>
        </w:rPr>
        <w:t>its</w:t>
      </w:r>
      <w:r>
        <w:rPr>
          <w:rFonts w:eastAsia="Times New Roman" w:cs="Times New Roman"/>
          <w:kern w:val="0"/>
          <w:szCs w:val="24"/>
          <w:lang w:eastAsia="en-IN"/>
          <w14:ligatures w14:val="none"/>
        </w:rPr>
        <w:t xml:space="preserve"> business to evaluate the success of the project. </w:t>
      </w:r>
    </w:p>
    <w:p w14:paraId="06963A76" w14:textId="77777777" w:rsidR="00E562F8" w:rsidRDefault="00E562F8" w:rsidP="00BA3C04">
      <w:pPr>
        <w:spacing w:line="360" w:lineRule="auto"/>
        <w:jc w:val="both"/>
      </w:pPr>
    </w:p>
    <w:p w14:paraId="51C2EDA8" w14:textId="77777777" w:rsidR="00E562F8" w:rsidRDefault="00E562F8" w:rsidP="00BA3C04">
      <w:pPr>
        <w:spacing w:line="360" w:lineRule="auto"/>
        <w:jc w:val="both"/>
      </w:pPr>
    </w:p>
    <w:p w14:paraId="0EA1D4C0" w14:textId="77777777" w:rsidR="00E562F8" w:rsidRDefault="00E562F8" w:rsidP="00BA3C04">
      <w:pPr>
        <w:spacing w:line="360" w:lineRule="auto"/>
        <w:jc w:val="both"/>
      </w:pPr>
    </w:p>
    <w:p w14:paraId="458D1646" w14:textId="77777777" w:rsidR="00E562F8" w:rsidRDefault="00E562F8" w:rsidP="00BA3C04">
      <w:pPr>
        <w:spacing w:line="360" w:lineRule="auto"/>
        <w:jc w:val="both"/>
      </w:pPr>
    </w:p>
    <w:p w14:paraId="1965FF65" w14:textId="77777777" w:rsidR="00E562F8" w:rsidRDefault="00E562F8" w:rsidP="00BA3C04">
      <w:pPr>
        <w:spacing w:line="360" w:lineRule="auto"/>
        <w:jc w:val="both"/>
      </w:pPr>
    </w:p>
    <w:p w14:paraId="1790DE2C" w14:textId="77777777" w:rsidR="00E562F8" w:rsidRDefault="00E562F8" w:rsidP="00BA3C04">
      <w:pPr>
        <w:spacing w:line="360" w:lineRule="auto"/>
        <w:jc w:val="both"/>
      </w:pPr>
    </w:p>
    <w:p w14:paraId="66907A66" w14:textId="77777777" w:rsidR="00E562F8" w:rsidRDefault="00E562F8" w:rsidP="00BA3C04">
      <w:pPr>
        <w:spacing w:line="360" w:lineRule="auto"/>
        <w:jc w:val="both"/>
      </w:pPr>
    </w:p>
    <w:p w14:paraId="7CDBF662" w14:textId="77777777" w:rsidR="00036100" w:rsidRDefault="00036100" w:rsidP="00BA3C04">
      <w:pPr>
        <w:spacing w:line="360" w:lineRule="auto"/>
        <w:jc w:val="both"/>
      </w:pPr>
    </w:p>
    <w:p w14:paraId="06258D5B" w14:textId="77777777" w:rsidR="00037A73" w:rsidRDefault="00037A73">
      <w:pPr>
        <w:rPr>
          <w:b/>
          <w:bCs/>
        </w:rPr>
      </w:pPr>
      <w:r>
        <w:rPr>
          <w:b/>
          <w:bCs/>
        </w:rPr>
        <w:br w:type="page"/>
      </w:r>
    </w:p>
    <w:p w14:paraId="18149CAF" w14:textId="5E1FD46F" w:rsidR="00036100" w:rsidRPr="00A767BB" w:rsidRDefault="00A767BB" w:rsidP="00BA3C04">
      <w:pPr>
        <w:spacing w:line="360" w:lineRule="auto"/>
        <w:jc w:val="both"/>
        <w:rPr>
          <w:b/>
          <w:bCs/>
        </w:rPr>
      </w:pPr>
      <w:r w:rsidRPr="00A767BB">
        <w:rPr>
          <w:b/>
          <w:bCs/>
        </w:rPr>
        <w:lastRenderedPageBreak/>
        <w:t>References</w:t>
      </w:r>
      <w:r>
        <w:rPr>
          <w:b/>
          <w:bCs/>
        </w:rPr>
        <w:t xml:space="preserve">- </w:t>
      </w:r>
    </w:p>
    <w:p w14:paraId="37DED2D2" w14:textId="77777777" w:rsidR="00037A73" w:rsidRPr="00846BCF" w:rsidRDefault="00037A73" w:rsidP="00BA3C04">
      <w:pPr>
        <w:spacing w:line="360" w:lineRule="auto"/>
        <w:jc w:val="both"/>
        <w:rPr>
          <w:rFonts w:cs="Times New Roman"/>
          <w:szCs w:val="24"/>
          <w:shd w:val="clear" w:color="auto" w:fill="FFFFFF"/>
        </w:rPr>
      </w:pPr>
      <w:r w:rsidRPr="00846BCF">
        <w:rPr>
          <w:rFonts w:cs="Times New Roman"/>
          <w:szCs w:val="24"/>
          <w:shd w:val="clear" w:color="auto" w:fill="FFFFFF"/>
        </w:rPr>
        <w:t>Anisimova, O. (2018) ‘</w:t>
      </w:r>
      <w:r>
        <w:rPr>
          <w:rFonts w:cs="Times New Roman"/>
          <w:szCs w:val="24"/>
          <w:shd w:val="clear" w:color="auto" w:fill="FFFFFF"/>
        </w:rPr>
        <w:t>International Financial Theories and G</w:t>
      </w:r>
      <w:r w:rsidRPr="00846BCF">
        <w:rPr>
          <w:rFonts w:cs="Times New Roman"/>
          <w:szCs w:val="24"/>
          <w:shd w:val="clear" w:color="auto" w:fill="FFFFFF"/>
        </w:rPr>
        <w:t xml:space="preserve">lobalization’, </w:t>
      </w:r>
      <w:r w:rsidRPr="00846BCF">
        <w:rPr>
          <w:rFonts w:cs="Times New Roman"/>
          <w:i/>
          <w:iCs/>
          <w:szCs w:val="24"/>
          <w:shd w:val="clear" w:color="auto" w:fill="FFFFFF"/>
        </w:rPr>
        <w:t>Journal of International Relations of KNU</w:t>
      </w:r>
      <w:r w:rsidRPr="00846BCF">
        <w:rPr>
          <w:rFonts w:cs="Times New Roman"/>
          <w:szCs w:val="24"/>
          <w:shd w:val="clear" w:color="auto" w:fill="FFFFFF"/>
        </w:rPr>
        <w:t>, (47-48).</w:t>
      </w:r>
    </w:p>
    <w:p w14:paraId="7A4A8DAA" w14:textId="77777777" w:rsidR="00037A73" w:rsidRDefault="00037A73" w:rsidP="00BA3C04">
      <w:pPr>
        <w:spacing w:line="360" w:lineRule="auto"/>
        <w:jc w:val="both"/>
        <w:rPr>
          <w:rFonts w:cs="Times New Roman"/>
          <w:szCs w:val="24"/>
          <w:shd w:val="clear" w:color="auto" w:fill="FFFFFF"/>
        </w:rPr>
      </w:pPr>
      <w:r>
        <w:rPr>
          <w:rFonts w:cs="Times New Roman"/>
          <w:szCs w:val="24"/>
          <w:shd w:val="clear" w:color="auto" w:fill="FFFFFF"/>
        </w:rPr>
        <w:t xml:space="preserve">AstraZeneca (2023) </w:t>
      </w:r>
      <w:r w:rsidRPr="007A19A2">
        <w:rPr>
          <w:rFonts w:cs="Times New Roman"/>
          <w:i/>
          <w:iCs/>
          <w:szCs w:val="24"/>
          <w:shd w:val="clear" w:color="auto" w:fill="FFFFFF"/>
        </w:rPr>
        <w:t>Dividend Policy</w:t>
      </w:r>
      <w:r>
        <w:rPr>
          <w:rFonts w:cs="Times New Roman"/>
          <w:szCs w:val="24"/>
          <w:shd w:val="clear" w:color="auto" w:fill="FFFFFF"/>
        </w:rPr>
        <w:t xml:space="preserve">. Available at: </w:t>
      </w:r>
      <w:r w:rsidRPr="007A19A2">
        <w:rPr>
          <w:rFonts w:cs="Times New Roman"/>
          <w:szCs w:val="24"/>
          <w:shd w:val="clear" w:color="auto" w:fill="FFFFFF"/>
        </w:rPr>
        <w:t>https://www.astrazeneca.com/investor-relations/dividend</w:t>
      </w:r>
      <w:r>
        <w:rPr>
          <w:rFonts w:cs="Times New Roman"/>
          <w:szCs w:val="24"/>
          <w:shd w:val="clear" w:color="auto" w:fill="FFFFFF"/>
        </w:rPr>
        <w:t xml:space="preserve"> </w:t>
      </w:r>
      <w:r w:rsidRPr="007A19A2">
        <w:rPr>
          <w:rFonts w:cs="Times New Roman"/>
          <w:szCs w:val="24"/>
          <w:shd w:val="clear" w:color="auto" w:fill="FFFFFF"/>
        </w:rPr>
        <w:t>policy.html#:~:text=The%20Board%20has%20adopted%20a,entirety%20of%20the%20investment%20cycle</w:t>
      </w:r>
      <w:r>
        <w:rPr>
          <w:rFonts w:cs="Times New Roman"/>
          <w:szCs w:val="24"/>
          <w:shd w:val="clear" w:color="auto" w:fill="FFFFFF"/>
        </w:rPr>
        <w:t xml:space="preserve"> (Accessed: 20 July 2023). </w:t>
      </w:r>
    </w:p>
    <w:p w14:paraId="1929A89F" w14:textId="77777777" w:rsidR="00037A73" w:rsidRPr="00846BCF" w:rsidRDefault="00037A73" w:rsidP="00BA3C04">
      <w:pPr>
        <w:spacing w:line="360" w:lineRule="auto"/>
        <w:jc w:val="both"/>
        <w:rPr>
          <w:rFonts w:cs="Times New Roman"/>
          <w:szCs w:val="24"/>
        </w:rPr>
      </w:pPr>
      <w:r w:rsidRPr="00846BCF">
        <w:rPr>
          <w:rFonts w:cs="Times New Roman"/>
          <w:szCs w:val="24"/>
        </w:rPr>
        <w:t xml:space="preserve">AstraZeneca. (2021) </w:t>
      </w:r>
      <w:r w:rsidRPr="00846BCF">
        <w:rPr>
          <w:rFonts w:cs="Times New Roman"/>
          <w:i/>
          <w:iCs/>
          <w:szCs w:val="24"/>
        </w:rPr>
        <w:t>Risk Supplement 2021</w:t>
      </w:r>
      <w:r w:rsidRPr="00846BCF">
        <w:rPr>
          <w:rFonts w:cs="Times New Roman"/>
          <w:szCs w:val="24"/>
        </w:rPr>
        <w:t>. Available at: https://www.astrazeneca.com/content/dam/az/Investor_Relations/annual-</w:t>
      </w:r>
      <w:r>
        <w:rPr>
          <w:rFonts w:cs="Times New Roman"/>
          <w:szCs w:val="24"/>
        </w:rPr>
        <w:t>essay</w:t>
      </w:r>
      <w:r w:rsidRPr="00846BCF">
        <w:rPr>
          <w:rFonts w:cs="Times New Roman"/>
          <w:szCs w:val="24"/>
        </w:rPr>
        <w:t xml:space="preserve">-2021/pdf/AstraZeneca_Risk_Supplement_2021.pdf (Accessed: 20 July 2023). </w:t>
      </w:r>
    </w:p>
    <w:p w14:paraId="6E36AAF5" w14:textId="77777777" w:rsidR="00037A73" w:rsidRDefault="00037A73" w:rsidP="00BA3C04">
      <w:pPr>
        <w:spacing w:line="360" w:lineRule="auto"/>
        <w:jc w:val="both"/>
        <w:rPr>
          <w:rFonts w:cs="Times New Roman"/>
          <w:szCs w:val="24"/>
          <w:shd w:val="clear" w:color="auto" w:fill="FFFFFF"/>
        </w:rPr>
      </w:pPr>
      <w:r>
        <w:t xml:space="preserve">AstraZeneca. (2022) </w:t>
      </w:r>
      <w:r w:rsidRPr="00A6710C">
        <w:rPr>
          <w:i/>
          <w:iCs/>
        </w:rPr>
        <w:t>Annual essay 2022</w:t>
      </w:r>
      <w:r>
        <w:t xml:space="preserve">. Available at: </w:t>
      </w:r>
      <w:r w:rsidRPr="00B82F3C">
        <w:t>https://www.astrazeneca.com/content/dam/az/Investor_Relations/annual-</w:t>
      </w:r>
      <w:r>
        <w:t>essay</w:t>
      </w:r>
      <w:r w:rsidRPr="00B82F3C">
        <w:t>-2022/pdf/AstraZeneca_AR_2022.pdf</w:t>
      </w:r>
      <w:r>
        <w:t xml:space="preserve"> </w:t>
      </w:r>
      <w:r>
        <w:rPr>
          <w:rFonts w:cs="Times New Roman"/>
          <w:szCs w:val="24"/>
          <w:shd w:val="clear" w:color="auto" w:fill="FFFFFF"/>
        </w:rPr>
        <w:t>(Accessed: 20 July 2023).</w:t>
      </w:r>
    </w:p>
    <w:p w14:paraId="424978FB" w14:textId="77777777" w:rsidR="00037A73" w:rsidRDefault="00037A73" w:rsidP="00BA3C04">
      <w:pPr>
        <w:spacing w:line="360" w:lineRule="auto"/>
        <w:jc w:val="both"/>
        <w:rPr>
          <w:rFonts w:cs="Times New Roman"/>
          <w:szCs w:val="24"/>
          <w:shd w:val="clear" w:color="auto" w:fill="FFFFFF"/>
        </w:rPr>
      </w:pPr>
      <w:r>
        <w:rPr>
          <w:rFonts w:cs="Times New Roman"/>
          <w:szCs w:val="24"/>
          <w:shd w:val="clear" w:color="auto" w:fill="FFFFFF"/>
        </w:rPr>
        <w:t xml:space="preserve">Baldridge, R. (2022) </w:t>
      </w:r>
      <w:r w:rsidRPr="00036100">
        <w:rPr>
          <w:i/>
          <w:iCs/>
        </w:rPr>
        <w:t>What Is the Efficient Market Hypothesis</w:t>
      </w:r>
      <w:r>
        <w:t xml:space="preserve">. </w:t>
      </w:r>
      <w:r>
        <w:rPr>
          <w:rFonts w:cs="Times New Roman"/>
          <w:szCs w:val="24"/>
          <w:shd w:val="clear" w:color="auto" w:fill="FFFFFF"/>
        </w:rPr>
        <w:t xml:space="preserve">Available at: </w:t>
      </w:r>
      <w:r w:rsidRPr="00036100">
        <w:rPr>
          <w:rFonts w:cs="Times New Roman"/>
          <w:szCs w:val="24"/>
          <w:shd w:val="clear" w:color="auto" w:fill="FFFFFF"/>
        </w:rPr>
        <w:t>https://www.forbes.com/advisor/investing/efficient-market-hypothesis/</w:t>
      </w:r>
      <w:r>
        <w:rPr>
          <w:rFonts w:cs="Times New Roman"/>
          <w:szCs w:val="24"/>
          <w:shd w:val="clear" w:color="auto" w:fill="FFFFFF"/>
        </w:rPr>
        <w:t xml:space="preserve"> (Accessed: 20 July 2023). </w:t>
      </w:r>
    </w:p>
    <w:p w14:paraId="17B31851" w14:textId="77777777" w:rsidR="00037A73" w:rsidRDefault="00037A73" w:rsidP="00BA3C04">
      <w:pPr>
        <w:spacing w:line="360" w:lineRule="auto"/>
        <w:jc w:val="both"/>
        <w:rPr>
          <w:rFonts w:cs="Times New Roman"/>
          <w:szCs w:val="24"/>
          <w:shd w:val="clear" w:color="auto" w:fill="FFFFFF"/>
        </w:rPr>
      </w:pPr>
      <w:r w:rsidRPr="00846BCF">
        <w:rPr>
          <w:rFonts w:cs="Times New Roman"/>
          <w:szCs w:val="24"/>
          <w:shd w:val="clear" w:color="auto" w:fill="FFFFFF"/>
        </w:rPr>
        <w:t xml:space="preserve">Cohen, B.J. (2018) Beyond EMU: </w:t>
      </w:r>
      <w:r w:rsidRPr="00846BCF">
        <w:rPr>
          <w:rFonts w:cs="Times New Roman"/>
          <w:i/>
          <w:iCs/>
          <w:szCs w:val="24"/>
          <w:shd w:val="clear" w:color="auto" w:fill="FFFFFF"/>
        </w:rPr>
        <w:t xml:space="preserve">the problem of sustainability. </w:t>
      </w:r>
      <w:r w:rsidRPr="00846BCF">
        <w:rPr>
          <w:rFonts w:cs="Times New Roman"/>
          <w:szCs w:val="24"/>
          <w:shd w:val="clear" w:color="auto" w:fill="FFFFFF"/>
        </w:rPr>
        <w:t>In The political economy of European monetary unification (pp. 179-204). Routledge.</w:t>
      </w:r>
    </w:p>
    <w:p w14:paraId="4CB89AD1" w14:textId="77777777" w:rsidR="00037A73" w:rsidRPr="00846BCF" w:rsidRDefault="00037A73" w:rsidP="00BA3C04">
      <w:pPr>
        <w:spacing w:line="360" w:lineRule="auto"/>
        <w:jc w:val="both"/>
        <w:rPr>
          <w:rFonts w:cs="Times New Roman"/>
          <w:szCs w:val="24"/>
        </w:rPr>
      </w:pPr>
      <w:r w:rsidRPr="00846BCF">
        <w:rPr>
          <w:rFonts w:cs="Times New Roman"/>
          <w:szCs w:val="24"/>
        </w:rPr>
        <w:t xml:space="preserve">Madura, J. (2020) </w:t>
      </w:r>
      <w:r w:rsidRPr="00846BCF">
        <w:rPr>
          <w:rFonts w:cs="Times New Roman"/>
          <w:i/>
          <w:iCs/>
          <w:szCs w:val="24"/>
        </w:rPr>
        <w:t>International financial management</w:t>
      </w:r>
      <w:r w:rsidRPr="00846BCF">
        <w:rPr>
          <w:rFonts w:cs="Times New Roman"/>
          <w:szCs w:val="24"/>
        </w:rPr>
        <w:t xml:space="preserve">. Cengage Learning. </w:t>
      </w:r>
    </w:p>
    <w:p w14:paraId="61181106" w14:textId="77777777" w:rsidR="00037A73" w:rsidRPr="00846BCF" w:rsidRDefault="00037A73" w:rsidP="00BA3C04">
      <w:pPr>
        <w:spacing w:line="360" w:lineRule="auto"/>
        <w:jc w:val="both"/>
        <w:rPr>
          <w:rFonts w:cs="Times New Roman"/>
          <w:szCs w:val="24"/>
          <w:shd w:val="clear" w:color="auto" w:fill="FFFFFF"/>
        </w:rPr>
      </w:pPr>
      <w:r w:rsidRPr="00846BCF">
        <w:rPr>
          <w:rFonts w:cs="Times New Roman"/>
          <w:szCs w:val="24"/>
          <w:shd w:val="clear" w:color="auto" w:fill="FFFFFF"/>
        </w:rPr>
        <w:t xml:space="preserve">Shapiro, A.C. and Hanouna, P. (2019) </w:t>
      </w:r>
      <w:r w:rsidRPr="00846BCF">
        <w:rPr>
          <w:rFonts w:cs="Times New Roman"/>
          <w:i/>
          <w:iCs/>
          <w:szCs w:val="24"/>
          <w:shd w:val="clear" w:color="auto" w:fill="FFFFFF"/>
        </w:rPr>
        <w:t>Multinational financial management</w:t>
      </w:r>
      <w:r w:rsidRPr="00846BCF">
        <w:rPr>
          <w:rFonts w:cs="Times New Roman"/>
          <w:szCs w:val="24"/>
          <w:shd w:val="clear" w:color="auto" w:fill="FFFFFF"/>
        </w:rPr>
        <w:t xml:space="preserve">. John Wiley &amp; Sons. </w:t>
      </w:r>
    </w:p>
    <w:p w14:paraId="73520FDC" w14:textId="77777777" w:rsidR="00037A73" w:rsidRDefault="00037A73" w:rsidP="00A767BB">
      <w:pPr>
        <w:spacing w:line="360" w:lineRule="auto"/>
        <w:jc w:val="both"/>
        <w:rPr>
          <w:rFonts w:cs="Times New Roman"/>
          <w:szCs w:val="24"/>
          <w:shd w:val="clear" w:color="auto" w:fill="FFFFFF"/>
        </w:rPr>
      </w:pPr>
      <w:r>
        <w:t xml:space="preserve">Wilson, S. (2023) </w:t>
      </w:r>
      <w:r w:rsidRPr="00A6710C">
        <w:rPr>
          <w:i/>
          <w:iCs/>
        </w:rPr>
        <w:t>What Are the Types of Project Appraisal Methodologies</w:t>
      </w:r>
      <w:r>
        <w:t xml:space="preserve">. Available at: </w:t>
      </w:r>
      <w:r w:rsidRPr="003E6132">
        <w:t>https://smallbusiness.chron.com/types-project-appraisal-methodologies-14716.html</w:t>
      </w:r>
      <w:r>
        <w:t xml:space="preserve"> </w:t>
      </w:r>
      <w:r>
        <w:rPr>
          <w:rFonts w:cs="Times New Roman"/>
          <w:szCs w:val="24"/>
          <w:shd w:val="clear" w:color="auto" w:fill="FFFFFF"/>
        </w:rPr>
        <w:t xml:space="preserve">(Accessed: 20 July 2023). </w:t>
      </w:r>
    </w:p>
    <w:p w14:paraId="546958EE" w14:textId="21A567C7" w:rsidR="00A767BB" w:rsidRDefault="00A767BB" w:rsidP="003E6132">
      <w:pPr>
        <w:rPr>
          <w:sz w:val="48"/>
        </w:rPr>
      </w:pPr>
    </w:p>
    <w:p w14:paraId="6F807D77" w14:textId="26994884" w:rsidR="003E6132" w:rsidRPr="00036100" w:rsidRDefault="003E6132" w:rsidP="00BA3C04">
      <w:pPr>
        <w:spacing w:line="360" w:lineRule="auto"/>
        <w:jc w:val="both"/>
      </w:pPr>
    </w:p>
    <w:p w14:paraId="7E742106" w14:textId="0EB6FAE3" w:rsidR="00690A76" w:rsidRPr="003D7B8F" w:rsidRDefault="00690A76" w:rsidP="00BA3C04">
      <w:pPr>
        <w:spacing w:line="360" w:lineRule="auto"/>
        <w:jc w:val="both"/>
        <w:rPr>
          <w:rFonts w:cs="Times New Roman"/>
          <w:szCs w:val="24"/>
        </w:rPr>
      </w:pPr>
    </w:p>
    <w:p w14:paraId="17EEC756" w14:textId="77777777" w:rsidR="006E6C14" w:rsidRPr="003D7B8F" w:rsidRDefault="006E6C14">
      <w:pPr>
        <w:spacing w:line="360" w:lineRule="auto"/>
        <w:jc w:val="both"/>
        <w:rPr>
          <w:rFonts w:cs="Times New Roman"/>
          <w:szCs w:val="24"/>
        </w:rPr>
      </w:pPr>
    </w:p>
    <w:sectPr w:rsidR="006E6C14" w:rsidRPr="003D7B8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05D93" w14:textId="77777777" w:rsidR="00D973BA" w:rsidRDefault="00D973BA" w:rsidP="00A767BB">
      <w:pPr>
        <w:spacing w:after="0" w:line="240" w:lineRule="auto"/>
      </w:pPr>
      <w:r>
        <w:separator/>
      </w:r>
    </w:p>
  </w:endnote>
  <w:endnote w:type="continuationSeparator" w:id="0">
    <w:p w14:paraId="5C6E691D" w14:textId="77777777" w:rsidR="00D973BA" w:rsidRDefault="00D973BA" w:rsidP="00A767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9633466"/>
      <w:docPartObj>
        <w:docPartGallery w:val="Page Numbers (Bottom of Page)"/>
        <w:docPartUnique/>
      </w:docPartObj>
    </w:sdtPr>
    <w:sdtEndPr>
      <w:rPr>
        <w:noProof/>
      </w:rPr>
    </w:sdtEndPr>
    <w:sdtContent>
      <w:p w14:paraId="5D070DAF" w14:textId="42593E18" w:rsidR="00A767BB" w:rsidRDefault="00A767BB">
        <w:pPr>
          <w:pStyle w:val="Footer"/>
          <w:jc w:val="right"/>
        </w:pPr>
        <w:r>
          <w:fldChar w:fldCharType="begin"/>
        </w:r>
        <w:r>
          <w:instrText xml:space="preserve"> PAGE   \* MERGEFORMAT </w:instrText>
        </w:r>
        <w:r>
          <w:fldChar w:fldCharType="separate"/>
        </w:r>
        <w:r w:rsidR="00037A73">
          <w:rPr>
            <w:noProof/>
          </w:rPr>
          <w:t>7</w:t>
        </w:r>
        <w:r>
          <w:rPr>
            <w:noProof/>
          </w:rPr>
          <w:fldChar w:fldCharType="end"/>
        </w:r>
      </w:p>
    </w:sdtContent>
  </w:sdt>
  <w:p w14:paraId="6A115B64" w14:textId="77777777" w:rsidR="00A767BB" w:rsidRDefault="00A767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A091F" w14:textId="77777777" w:rsidR="00D973BA" w:rsidRDefault="00D973BA" w:rsidP="00A767BB">
      <w:pPr>
        <w:spacing w:after="0" w:line="240" w:lineRule="auto"/>
      </w:pPr>
      <w:r>
        <w:separator/>
      </w:r>
    </w:p>
  </w:footnote>
  <w:footnote w:type="continuationSeparator" w:id="0">
    <w:p w14:paraId="3C72617A" w14:textId="77777777" w:rsidR="00D973BA" w:rsidRDefault="00D973BA" w:rsidP="00A767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C2650"/>
    <w:multiLevelType w:val="multilevel"/>
    <w:tmpl w:val="CB4A621A"/>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FB1E61"/>
    <w:multiLevelType w:val="multilevel"/>
    <w:tmpl w:val="2946F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52914BC"/>
    <w:multiLevelType w:val="hybridMultilevel"/>
    <w:tmpl w:val="CA2C8696"/>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33252135">
    <w:abstractNumId w:val="0"/>
  </w:num>
  <w:num w:numId="2" w16cid:durableId="763308184">
    <w:abstractNumId w:val="1"/>
  </w:num>
  <w:num w:numId="3" w16cid:durableId="8506812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562F8"/>
    <w:rsid w:val="00036100"/>
    <w:rsid w:val="00037A73"/>
    <w:rsid w:val="00042A1D"/>
    <w:rsid w:val="000E6AA6"/>
    <w:rsid w:val="00157754"/>
    <w:rsid w:val="001843A2"/>
    <w:rsid w:val="00264EBD"/>
    <w:rsid w:val="002E6938"/>
    <w:rsid w:val="003A7887"/>
    <w:rsid w:val="003D4436"/>
    <w:rsid w:val="003D7B8F"/>
    <w:rsid w:val="003E6132"/>
    <w:rsid w:val="00442E37"/>
    <w:rsid w:val="004C370A"/>
    <w:rsid w:val="004D6885"/>
    <w:rsid w:val="00514E7E"/>
    <w:rsid w:val="00690A76"/>
    <w:rsid w:val="006E51D3"/>
    <w:rsid w:val="006E6C14"/>
    <w:rsid w:val="006F5759"/>
    <w:rsid w:val="00743BF7"/>
    <w:rsid w:val="00784D49"/>
    <w:rsid w:val="007A19A2"/>
    <w:rsid w:val="00835183"/>
    <w:rsid w:val="00846BCF"/>
    <w:rsid w:val="00871400"/>
    <w:rsid w:val="00945D7E"/>
    <w:rsid w:val="009B0C76"/>
    <w:rsid w:val="009C0A8F"/>
    <w:rsid w:val="00A15992"/>
    <w:rsid w:val="00A6710C"/>
    <w:rsid w:val="00A767BB"/>
    <w:rsid w:val="00AC5D9F"/>
    <w:rsid w:val="00AF23B6"/>
    <w:rsid w:val="00B53651"/>
    <w:rsid w:val="00B82F3C"/>
    <w:rsid w:val="00B835E7"/>
    <w:rsid w:val="00BA3C04"/>
    <w:rsid w:val="00BD2902"/>
    <w:rsid w:val="00D42A60"/>
    <w:rsid w:val="00D973BA"/>
    <w:rsid w:val="00DC215B"/>
    <w:rsid w:val="00E32F33"/>
    <w:rsid w:val="00E562F8"/>
    <w:rsid w:val="00E82399"/>
    <w:rsid w:val="00EB2B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56D44"/>
  <w15:docId w15:val="{E1AD02C4-E970-4F3F-8649-AF63DE24D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2399"/>
    <w:rPr>
      <w:rFonts w:ascii="Times New Roman" w:hAnsi="Times New Roman"/>
      <w:sz w:val="24"/>
    </w:rPr>
  </w:style>
  <w:style w:type="paragraph" w:styleId="Heading1">
    <w:name w:val="heading 1"/>
    <w:basedOn w:val="Normal"/>
    <w:next w:val="Normal"/>
    <w:link w:val="Heading1Char"/>
    <w:uiPriority w:val="9"/>
    <w:qFormat/>
    <w:rsid w:val="00E8239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82399"/>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E562F8"/>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39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82399"/>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3D4436"/>
    <w:pPr>
      <w:spacing w:after="0" w:line="240" w:lineRule="auto"/>
      <w:contextualSpacing/>
    </w:pPr>
    <w:rPr>
      <w:rFonts w:asciiTheme="majorHAnsi" w:eastAsiaTheme="majorEastAsia" w:hAnsiTheme="majorHAnsi" w:cstheme="majorBidi"/>
      <w:spacing w:val="-10"/>
      <w:kern w:val="28"/>
      <w:sz w:val="48"/>
      <w:szCs w:val="56"/>
      <w:u w:val="single"/>
    </w:rPr>
  </w:style>
  <w:style w:type="character" w:customStyle="1" w:styleId="TitleChar">
    <w:name w:val="Title Char"/>
    <w:basedOn w:val="DefaultParagraphFont"/>
    <w:link w:val="Title"/>
    <w:uiPriority w:val="10"/>
    <w:rsid w:val="003D4436"/>
    <w:rPr>
      <w:rFonts w:asciiTheme="majorHAnsi" w:eastAsiaTheme="majorEastAsia" w:hAnsiTheme="majorHAnsi" w:cstheme="majorBidi"/>
      <w:spacing w:val="-10"/>
      <w:kern w:val="28"/>
      <w:sz w:val="48"/>
      <w:szCs w:val="56"/>
      <w:u w:val="single"/>
    </w:rPr>
  </w:style>
  <w:style w:type="character" w:customStyle="1" w:styleId="Heading3Char">
    <w:name w:val="Heading 3 Char"/>
    <w:basedOn w:val="DefaultParagraphFont"/>
    <w:link w:val="Heading3"/>
    <w:uiPriority w:val="9"/>
    <w:rsid w:val="00E562F8"/>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DC215B"/>
    <w:rPr>
      <w:color w:val="0563C1" w:themeColor="hyperlink"/>
      <w:u w:val="single"/>
    </w:rPr>
  </w:style>
  <w:style w:type="character" w:customStyle="1" w:styleId="UnresolvedMention1">
    <w:name w:val="Unresolved Mention1"/>
    <w:basedOn w:val="DefaultParagraphFont"/>
    <w:uiPriority w:val="99"/>
    <w:semiHidden/>
    <w:unhideWhenUsed/>
    <w:rsid w:val="00DC215B"/>
    <w:rPr>
      <w:color w:val="605E5C"/>
      <w:shd w:val="clear" w:color="auto" w:fill="E1DFDD"/>
    </w:rPr>
  </w:style>
  <w:style w:type="character" w:styleId="Strong">
    <w:name w:val="Strong"/>
    <w:basedOn w:val="DefaultParagraphFont"/>
    <w:uiPriority w:val="22"/>
    <w:qFormat/>
    <w:rsid w:val="009B0C76"/>
    <w:rPr>
      <w:b/>
      <w:bCs/>
    </w:rPr>
  </w:style>
  <w:style w:type="paragraph" w:customStyle="1" w:styleId="sc-1aslxm9-16">
    <w:name w:val="sc-1aslxm9-16"/>
    <w:basedOn w:val="Normal"/>
    <w:rsid w:val="009B0C76"/>
    <w:pPr>
      <w:spacing w:before="100" w:beforeAutospacing="1" w:after="100" w:afterAutospacing="1" w:line="240" w:lineRule="auto"/>
    </w:pPr>
    <w:rPr>
      <w:rFonts w:eastAsia="Times New Roman" w:cs="Times New Roman"/>
      <w:kern w:val="0"/>
      <w:szCs w:val="24"/>
      <w:lang w:eastAsia="en-IN"/>
      <w14:ligatures w14:val="none"/>
    </w:rPr>
  </w:style>
  <w:style w:type="paragraph" w:styleId="ListParagraph">
    <w:name w:val="List Paragraph"/>
    <w:basedOn w:val="Normal"/>
    <w:uiPriority w:val="34"/>
    <w:qFormat/>
    <w:rsid w:val="00AF23B6"/>
    <w:pPr>
      <w:ind w:left="720"/>
      <w:contextualSpacing/>
    </w:pPr>
  </w:style>
  <w:style w:type="paragraph" w:styleId="Header">
    <w:name w:val="header"/>
    <w:basedOn w:val="Normal"/>
    <w:link w:val="HeaderChar"/>
    <w:uiPriority w:val="99"/>
    <w:unhideWhenUsed/>
    <w:rsid w:val="00A767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7BB"/>
    <w:rPr>
      <w:rFonts w:ascii="Times New Roman" w:hAnsi="Times New Roman"/>
      <w:sz w:val="24"/>
    </w:rPr>
  </w:style>
  <w:style w:type="paragraph" w:styleId="Footer">
    <w:name w:val="footer"/>
    <w:basedOn w:val="Normal"/>
    <w:link w:val="FooterChar"/>
    <w:uiPriority w:val="99"/>
    <w:unhideWhenUsed/>
    <w:rsid w:val="00A767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7BB"/>
    <w:rPr>
      <w:rFonts w:ascii="Times New Roman" w:hAnsi="Times New Roman"/>
      <w:sz w:val="24"/>
    </w:rPr>
  </w:style>
  <w:style w:type="paragraph" w:styleId="BalloonText">
    <w:name w:val="Balloon Text"/>
    <w:basedOn w:val="Normal"/>
    <w:link w:val="BalloonTextChar"/>
    <w:uiPriority w:val="99"/>
    <w:semiHidden/>
    <w:unhideWhenUsed/>
    <w:rsid w:val="00AC5D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5D9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2838599">
      <w:bodyDiv w:val="1"/>
      <w:marLeft w:val="0"/>
      <w:marRight w:val="0"/>
      <w:marTop w:val="0"/>
      <w:marBottom w:val="0"/>
      <w:divBdr>
        <w:top w:val="none" w:sz="0" w:space="0" w:color="auto"/>
        <w:left w:val="none" w:sz="0" w:space="0" w:color="auto"/>
        <w:bottom w:val="none" w:sz="0" w:space="0" w:color="auto"/>
        <w:right w:val="none" w:sz="0" w:space="0" w:color="auto"/>
      </w:divBdr>
    </w:div>
    <w:div w:id="1001008847">
      <w:bodyDiv w:val="1"/>
      <w:marLeft w:val="0"/>
      <w:marRight w:val="0"/>
      <w:marTop w:val="0"/>
      <w:marBottom w:val="0"/>
      <w:divBdr>
        <w:top w:val="none" w:sz="0" w:space="0" w:color="auto"/>
        <w:left w:val="none" w:sz="0" w:space="0" w:color="auto"/>
        <w:bottom w:val="none" w:sz="0" w:space="0" w:color="auto"/>
        <w:right w:val="none" w:sz="0" w:space="0" w:color="auto"/>
      </w:divBdr>
      <w:divsChild>
        <w:div w:id="1670870500">
          <w:marLeft w:val="0"/>
          <w:marRight w:val="0"/>
          <w:marTop w:val="0"/>
          <w:marBottom w:val="0"/>
          <w:divBdr>
            <w:top w:val="none" w:sz="0" w:space="0" w:color="auto"/>
            <w:left w:val="none" w:sz="0" w:space="0" w:color="auto"/>
            <w:bottom w:val="none" w:sz="0" w:space="0" w:color="auto"/>
            <w:right w:val="none" w:sz="0" w:space="0" w:color="auto"/>
          </w:divBdr>
          <w:divsChild>
            <w:div w:id="1706438902">
              <w:marLeft w:val="0"/>
              <w:marRight w:val="0"/>
              <w:marTop w:val="0"/>
              <w:marBottom w:val="0"/>
              <w:divBdr>
                <w:top w:val="none" w:sz="0" w:space="0" w:color="auto"/>
                <w:left w:val="none" w:sz="0" w:space="0" w:color="auto"/>
                <w:bottom w:val="none" w:sz="0" w:space="0" w:color="auto"/>
                <w:right w:val="none" w:sz="0" w:space="0" w:color="auto"/>
              </w:divBdr>
              <w:divsChild>
                <w:div w:id="438961088">
                  <w:marLeft w:val="0"/>
                  <w:marRight w:val="0"/>
                  <w:marTop w:val="0"/>
                  <w:marBottom w:val="0"/>
                  <w:divBdr>
                    <w:top w:val="none" w:sz="0" w:space="0" w:color="auto"/>
                    <w:left w:val="none" w:sz="0" w:space="0" w:color="auto"/>
                    <w:bottom w:val="none" w:sz="0" w:space="0" w:color="auto"/>
                    <w:right w:val="none" w:sz="0" w:space="0" w:color="auto"/>
                  </w:divBdr>
                  <w:divsChild>
                    <w:div w:id="1791361261">
                      <w:marLeft w:val="0"/>
                      <w:marRight w:val="0"/>
                      <w:marTop w:val="0"/>
                      <w:marBottom w:val="0"/>
                      <w:divBdr>
                        <w:top w:val="none" w:sz="0" w:space="0" w:color="auto"/>
                        <w:left w:val="none" w:sz="0" w:space="0" w:color="auto"/>
                        <w:bottom w:val="none" w:sz="0" w:space="0" w:color="auto"/>
                        <w:right w:val="none" w:sz="0" w:space="0" w:color="auto"/>
                      </w:divBdr>
                      <w:divsChild>
                        <w:div w:id="277221405">
                          <w:marLeft w:val="0"/>
                          <w:marRight w:val="0"/>
                          <w:marTop w:val="0"/>
                          <w:marBottom w:val="0"/>
                          <w:divBdr>
                            <w:top w:val="none" w:sz="0" w:space="0" w:color="auto"/>
                            <w:left w:val="none" w:sz="0" w:space="0" w:color="auto"/>
                            <w:bottom w:val="none" w:sz="0" w:space="0" w:color="auto"/>
                            <w:right w:val="none" w:sz="0" w:space="0" w:color="auto"/>
                          </w:divBdr>
                        </w:div>
                        <w:div w:id="108576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9619752">
          <w:marLeft w:val="0"/>
          <w:marRight w:val="0"/>
          <w:marTop w:val="0"/>
          <w:marBottom w:val="0"/>
          <w:divBdr>
            <w:top w:val="none" w:sz="0" w:space="0" w:color="auto"/>
            <w:left w:val="none" w:sz="0" w:space="0" w:color="auto"/>
            <w:bottom w:val="none" w:sz="0" w:space="0" w:color="auto"/>
            <w:right w:val="none" w:sz="0" w:space="0" w:color="auto"/>
          </w:divBdr>
          <w:divsChild>
            <w:div w:id="1023821557">
              <w:marLeft w:val="0"/>
              <w:marRight w:val="0"/>
              <w:marTop w:val="0"/>
              <w:marBottom w:val="0"/>
              <w:divBdr>
                <w:top w:val="none" w:sz="0" w:space="0" w:color="auto"/>
                <w:left w:val="none" w:sz="0" w:space="0" w:color="auto"/>
                <w:bottom w:val="none" w:sz="0" w:space="0" w:color="auto"/>
                <w:right w:val="none" w:sz="0" w:space="0" w:color="auto"/>
              </w:divBdr>
              <w:divsChild>
                <w:div w:id="1384985874">
                  <w:marLeft w:val="0"/>
                  <w:marRight w:val="0"/>
                  <w:marTop w:val="0"/>
                  <w:marBottom w:val="0"/>
                  <w:divBdr>
                    <w:top w:val="none" w:sz="0" w:space="0" w:color="auto"/>
                    <w:left w:val="none" w:sz="0" w:space="0" w:color="auto"/>
                    <w:bottom w:val="none" w:sz="0" w:space="0" w:color="auto"/>
                    <w:right w:val="none" w:sz="0" w:space="0" w:color="auto"/>
                  </w:divBdr>
                </w:div>
                <w:div w:id="103547022">
                  <w:marLeft w:val="0"/>
                  <w:marRight w:val="0"/>
                  <w:marTop w:val="0"/>
                  <w:marBottom w:val="0"/>
                  <w:divBdr>
                    <w:top w:val="none" w:sz="0" w:space="0" w:color="auto"/>
                    <w:left w:val="none" w:sz="0" w:space="0" w:color="auto"/>
                    <w:bottom w:val="none" w:sz="0" w:space="0" w:color="auto"/>
                    <w:right w:val="none" w:sz="0" w:space="0" w:color="auto"/>
                  </w:divBdr>
                  <w:divsChild>
                    <w:div w:id="716708956">
                      <w:marLeft w:val="0"/>
                      <w:marRight w:val="0"/>
                      <w:marTop w:val="0"/>
                      <w:marBottom w:val="0"/>
                      <w:divBdr>
                        <w:top w:val="none" w:sz="0" w:space="0" w:color="auto"/>
                        <w:left w:val="none" w:sz="0" w:space="0" w:color="auto"/>
                        <w:bottom w:val="none" w:sz="0" w:space="0" w:color="auto"/>
                        <w:right w:val="none" w:sz="0" w:space="0" w:color="auto"/>
                      </w:divBdr>
                      <w:divsChild>
                        <w:div w:id="1712146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1503213">
      <w:bodyDiv w:val="1"/>
      <w:marLeft w:val="0"/>
      <w:marRight w:val="0"/>
      <w:marTop w:val="0"/>
      <w:marBottom w:val="0"/>
      <w:divBdr>
        <w:top w:val="none" w:sz="0" w:space="0" w:color="auto"/>
        <w:left w:val="none" w:sz="0" w:space="0" w:color="auto"/>
        <w:bottom w:val="none" w:sz="0" w:space="0" w:color="auto"/>
        <w:right w:val="none" w:sz="0" w:space="0" w:color="auto"/>
      </w:divBdr>
    </w:div>
    <w:div w:id="1862165376">
      <w:bodyDiv w:val="1"/>
      <w:marLeft w:val="0"/>
      <w:marRight w:val="0"/>
      <w:marTop w:val="0"/>
      <w:marBottom w:val="0"/>
      <w:divBdr>
        <w:top w:val="none" w:sz="0" w:space="0" w:color="auto"/>
        <w:left w:val="none" w:sz="0" w:space="0" w:color="auto"/>
        <w:bottom w:val="none" w:sz="0" w:space="0" w:color="auto"/>
        <w:right w:val="none" w:sz="0" w:space="0" w:color="auto"/>
      </w:divBdr>
      <w:divsChild>
        <w:div w:id="1641225366">
          <w:marLeft w:val="0"/>
          <w:marRight w:val="0"/>
          <w:marTop w:val="0"/>
          <w:marBottom w:val="0"/>
          <w:divBdr>
            <w:top w:val="none" w:sz="0" w:space="0" w:color="auto"/>
            <w:left w:val="none" w:sz="0" w:space="0" w:color="auto"/>
            <w:bottom w:val="none" w:sz="0" w:space="0" w:color="auto"/>
            <w:right w:val="none" w:sz="0" w:space="0" w:color="auto"/>
          </w:divBdr>
          <w:divsChild>
            <w:div w:id="884679375">
              <w:marLeft w:val="0"/>
              <w:marRight w:val="0"/>
              <w:marTop w:val="0"/>
              <w:marBottom w:val="0"/>
              <w:divBdr>
                <w:top w:val="none" w:sz="0" w:space="0" w:color="auto"/>
                <w:left w:val="none" w:sz="0" w:space="0" w:color="auto"/>
                <w:bottom w:val="none" w:sz="0" w:space="0" w:color="auto"/>
                <w:right w:val="none" w:sz="0" w:space="0" w:color="auto"/>
              </w:divBdr>
              <w:divsChild>
                <w:div w:id="68112618">
                  <w:marLeft w:val="0"/>
                  <w:marRight w:val="0"/>
                  <w:marTop w:val="0"/>
                  <w:marBottom w:val="0"/>
                  <w:divBdr>
                    <w:top w:val="none" w:sz="0" w:space="0" w:color="auto"/>
                    <w:left w:val="none" w:sz="0" w:space="0" w:color="auto"/>
                    <w:bottom w:val="none" w:sz="0" w:space="0" w:color="auto"/>
                    <w:right w:val="none" w:sz="0" w:space="0" w:color="auto"/>
                  </w:divBdr>
                  <w:divsChild>
                    <w:div w:id="605966922">
                      <w:marLeft w:val="0"/>
                      <w:marRight w:val="0"/>
                      <w:marTop w:val="0"/>
                      <w:marBottom w:val="0"/>
                      <w:divBdr>
                        <w:top w:val="none" w:sz="0" w:space="0" w:color="auto"/>
                        <w:left w:val="none" w:sz="0" w:space="0" w:color="auto"/>
                        <w:bottom w:val="none" w:sz="0" w:space="0" w:color="auto"/>
                        <w:right w:val="none" w:sz="0" w:space="0" w:color="auto"/>
                      </w:divBdr>
                      <w:divsChild>
                        <w:div w:id="1189442634">
                          <w:marLeft w:val="0"/>
                          <w:marRight w:val="0"/>
                          <w:marTop w:val="0"/>
                          <w:marBottom w:val="0"/>
                          <w:divBdr>
                            <w:top w:val="none" w:sz="0" w:space="0" w:color="auto"/>
                            <w:left w:val="none" w:sz="0" w:space="0" w:color="auto"/>
                            <w:bottom w:val="none" w:sz="0" w:space="0" w:color="auto"/>
                            <w:right w:val="none" w:sz="0" w:space="0" w:color="auto"/>
                          </w:divBdr>
                        </w:div>
                        <w:div w:id="1571958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2731928">
          <w:marLeft w:val="0"/>
          <w:marRight w:val="0"/>
          <w:marTop w:val="0"/>
          <w:marBottom w:val="0"/>
          <w:divBdr>
            <w:top w:val="none" w:sz="0" w:space="0" w:color="auto"/>
            <w:left w:val="none" w:sz="0" w:space="0" w:color="auto"/>
            <w:bottom w:val="none" w:sz="0" w:space="0" w:color="auto"/>
            <w:right w:val="none" w:sz="0" w:space="0" w:color="auto"/>
          </w:divBdr>
          <w:divsChild>
            <w:div w:id="2009752301">
              <w:marLeft w:val="0"/>
              <w:marRight w:val="0"/>
              <w:marTop w:val="0"/>
              <w:marBottom w:val="0"/>
              <w:divBdr>
                <w:top w:val="none" w:sz="0" w:space="0" w:color="auto"/>
                <w:left w:val="none" w:sz="0" w:space="0" w:color="auto"/>
                <w:bottom w:val="none" w:sz="0" w:space="0" w:color="auto"/>
                <w:right w:val="none" w:sz="0" w:space="0" w:color="auto"/>
              </w:divBdr>
              <w:divsChild>
                <w:div w:id="734205194">
                  <w:marLeft w:val="0"/>
                  <w:marRight w:val="0"/>
                  <w:marTop w:val="0"/>
                  <w:marBottom w:val="0"/>
                  <w:divBdr>
                    <w:top w:val="none" w:sz="0" w:space="0" w:color="auto"/>
                    <w:left w:val="none" w:sz="0" w:space="0" w:color="auto"/>
                    <w:bottom w:val="none" w:sz="0" w:space="0" w:color="auto"/>
                    <w:right w:val="none" w:sz="0" w:space="0" w:color="auto"/>
                  </w:divBdr>
                </w:div>
                <w:div w:id="1956061710">
                  <w:marLeft w:val="0"/>
                  <w:marRight w:val="0"/>
                  <w:marTop w:val="0"/>
                  <w:marBottom w:val="0"/>
                  <w:divBdr>
                    <w:top w:val="none" w:sz="0" w:space="0" w:color="auto"/>
                    <w:left w:val="none" w:sz="0" w:space="0" w:color="auto"/>
                    <w:bottom w:val="none" w:sz="0" w:space="0" w:color="auto"/>
                    <w:right w:val="none" w:sz="0" w:space="0" w:color="auto"/>
                  </w:divBdr>
                  <w:divsChild>
                    <w:div w:id="174926083">
                      <w:marLeft w:val="0"/>
                      <w:marRight w:val="0"/>
                      <w:marTop w:val="0"/>
                      <w:marBottom w:val="0"/>
                      <w:divBdr>
                        <w:top w:val="none" w:sz="0" w:space="0" w:color="auto"/>
                        <w:left w:val="none" w:sz="0" w:space="0" w:color="auto"/>
                        <w:bottom w:val="none" w:sz="0" w:space="0" w:color="auto"/>
                        <w:right w:val="none" w:sz="0" w:space="0" w:color="auto"/>
                      </w:divBdr>
                      <w:divsChild>
                        <w:div w:id="1246844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1667</Words>
  <Characters>9507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ralica7911@gmail.com</cp:lastModifiedBy>
  <cp:revision>9</cp:revision>
  <dcterms:created xsi:type="dcterms:W3CDTF">2023-07-20T09:47:00Z</dcterms:created>
  <dcterms:modified xsi:type="dcterms:W3CDTF">2023-08-24T16:55:00Z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4ee2f7d9-50f2-4f19-9568-20eac67c1cb4</vt:lpwstr>
  </property>
</Properties>
</file>