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473C6B" w14:textId="42CB7A81" w:rsidR="00D43A59" w:rsidRDefault="00D43A59" w:rsidP="00903806">
      <w:pPr>
        <w:spacing w:line="480" w:lineRule="auto"/>
        <w:rPr>
          <w:b/>
        </w:rPr>
      </w:pPr>
      <w:bookmarkStart w:id="0" w:name="_GoBack"/>
      <w:bookmarkEnd w:id="0"/>
      <w:r w:rsidRPr="00D43A59">
        <w:rPr>
          <w:b/>
        </w:rPr>
        <w:t>Evaluate the contribution of one multi agency initiative and critically discuss the challenges for partnership working.</w:t>
      </w:r>
    </w:p>
    <w:p w14:paraId="13276C06" w14:textId="4936F754" w:rsidR="00D43A59" w:rsidRPr="00D43A59" w:rsidRDefault="00D43A59" w:rsidP="00903806">
      <w:pPr>
        <w:spacing w:line="480" w:lineRule="auto"/>
      </w:pPr>
      <w:r>
        <w:t>In order to evaluate the contribution of a multi</w:t>
      </w:r>
      <w:r w:rsidR="00030EAD">
        <w:t>-</w:t>
      </w:r>
      <w:r>
        <w:t xml:space="preserve">agency initiative, </w:t>
      </w:r>
      <w:r w:rsidR="00CA7985">
        <w:t>this essay will set out to</w:t>
      </w:r>
      <w:r>
        <w:t xml:space="preserve"> define what multi agency working means and the reasons for its promotion with particular reference to agencies which work within education</w:t>
      </w:r>
      <w:r w:rsidR="00D55F0C">
        <w:t xml:space="preserve"> including </w:t>
      </w:r>
      <w:r w:rsidR="00CA7985">
        <w:t>government policies which promote multi agency working</w:t>
      </w:r>
      <w:r>
        <w:t>. The essay will identify what different models there are for multi</w:t>
      </w:r>
      <w:r w:rsidR="00030EAD">
        <w:t>-</w:t>
      </w:r>
      <w:r>
        <w:t>agency working and the significance of its development. This assignment will identify a range of multi</w:t>
      </w:r>
      <w:r w:rsidR="00030EAD">
        <w:t>-</w:t>
      </w:r>
      <w:r>
        <w:t>agency projects in the U.K.  and concentrate on one of these projects.</w:t>
      </w:r>
      <w:r w:rsidR="00D55F0C">
        <w:t xml:space="preserve"> The project which will be looked at in depth will be the team around the family project in Wales. </w:t>
      </w:r>
      <w:r>
        <w:t xml:space="preserve"> It will be necessary to identify the partners involved in the project and discuss the merits and possible barriers of multi</w:t>
      </w:r>
      <w:r w:rsidR="00030EAD">
        <w:t>-</w:t>
      </w:r>
      <w:r>
        <w:t xml:space="preserve">agency work within this project.  </w:t>
      </w:r>
      <w:r w:rsidR="00CA7985">
        <w:t>Finally</w:t>
      </w:r>
      <w:r w:rsidR="00D55F0C">
        <w:t>,</w:t>
      </w:r>
      <w:r w:rsidR="00CA7985">
        <w:t xml:space="preserve"> the conclusion will evaluate the processes involved in multi</w:t>
      </w:r>
      <w:r w:rsidR="008B4173">
        <w:t>-</w:t>
      </w:r>
      <w:r w:rsidR="00CA7985">
        <w:t>agency working</w:t>
      </w:r>
      <w:r w:rsidR="003335E4">
        <w:t>, with consideration to the advantages  and barriers faced by multi-agency working</w:t>
      </w:r>
      <w:r w:rsidR="00CA7985">
        <w:t xml:space="preserve">.  </w:t>
      </w:r>
    </w:p>
    <w:p w14:paraId="022B76BC" w14:textId="7B00B481" w:rsidR="0026152B" w:rsidRDefault="00624AC7" w:rsidP="00903806">
      <w:pPr>
        <w:spacing w:line="480" w:lineRule="auto"/>
      </w:pPr>
      <w:r>
        <w:t>Multi agency working refers to several agencies working in partnership. The key feature of multi</w:t>
      </w:r>
      <w:r w:rsidR="008B4173">
        <w:t>-</w:t>
      </w:r>
      <w:r>
        <w:t xml:space="preserve">agency working is that there are three or more agencies collaborating. If there are only two agencies working together it is referred to as inter agency work which has very different outcomes compared to multi agency working. Since there are several agencies involved then the need for good communication between all agencies concerned will be essential to success. </w:t>
      </w:r>
    </w:p>
    <w:p w14:paraId="55D0871E" w14:textId="77777777" w:rsidR="00EF3783" w:rsidRDefault="002E258B" w:rsidP="00903806">
      <w:pPr>
        <w:spacing w:after="136" w:line="480" w:lineRule="auto"/>
        <w:ind w:right="15"/>
      </w:pPr>
      <w:r>
        <w:t xml:space="preserve">In 2003 Lord Laming was responsible for the inquiry into the death of Victoria </w:t>
      </w:r>
      <w:r w:rsidR="008A3CE4">
        <w:t xml:space="preserve">Climbie. Victoria had been mistreated and abused by her carers and eventually died from her injuries. At the time there were several agencies working with the family, however it was evident that there had been little, if any communication between these agencies. At the time it was felt that the child’s death could have been prevented and Lord Laming was responsible for a full enquiry into the circumstances of the tragedy. As well as investigating what had gone wrong the aim of the enquiry was to recommend strategies which would ensure that similar circumstances would be repeated. The report ended up with more than a hundred recommendations for changes in child care, some of the </w:t>
      </w:r>
      <w:r w:rsidR="008A3CE4">
        <w:lastRenderedPageBreak/>
        <w:t>recommendations were to be implemented within three months of the enquiry</w:t>
      </w:r>
      <w:r w:rsidR="001671DB">
        <w:t xml:space="preserve">. The report recommended that each local authority should have a committee for children which would oversee the work of the management board for services to children and families. This board would be made up of senior members of the police, social services, health, education, housing and probation services, in other words multi agency working was a major recommendation. </w:t>
      </w:r>
    </w:p>
    <w:p w14:paraId="351F2EEB" w14:textId="4D102998" w:rsidR="004F2EFC" w:rsidRDefault="001671DB" w:rsidP="00903806">
      <w:pPr>
        <w:spacing w:after="136" w:line="480" w:lineRule="auto"/>
        <w:ind w:right="15"/>
      </w:pPr>
      <w:r>
        <w:t xml:space="preserve">As a response to </w:t>
      </w:r>
      <w:r w:rsidR="00E1001E">
        <w:t>Lord Laming’s report, the</w:t>
      </w:r>
      <w:r w:rsidR="00EF3783">
        <w:t xml:space="preserve"> U.K. </w:t>
      </w:r>
      <w:r w:rsidR="00E1001E">
        <w:t xml:space="preserve"> government presented the document ‘Every Child Matters’ to parliament in September 2003</w:t>
      </w:r>
      <w:r w:rsidR="006D63A4">
        <w:t>.</w:t>
      </w:r>
      <w:r w:rsidR="004F2EFC">
        <w:t xml:space="preserve"> The document set out a wide range of proposals by the government which intended to provide solutions to problems which were emerging regarding </w:t>
      </w:r>
      <w:r w:rsidR="00AB68C9">
        <w:t xml:space="preserve">children’s </w:t>
      </w:r>
      <w:r w:rsidR="004F2EFC">
        <w:t xml:space="preserve">safety and welfare in society. </w:t>
      </w:r>
      <w:r w:rsidR="00D33230">
        <w:t xml:space="preserve"> At the time the document was presented, it was clear that there had been a serious weakness in the support systems provided to children as in the case of Victoria Climb</w:t>
      </w:r>
      <w:r w:rsidR="00737CEA">
        <w:t>i</w:t>
      </w:r>
      <w:r w:rsidR="00D33230">
        <w:t>e. The following extract highlights a main concern</w:t>
      </w:r>
      <w:r w:rsidR="00AB68C9">
        <w:t>.</w:t>
      </w:r>
    </w:p>
    <w:p w14:paraId="5C7C48EB" w14:textId="5B364593" w:rsidR="00D33230" w:rsidRDefault="00D33230" w:rsidP="00903806">
      <w:pPr>
        <w:spacing w:line="240" w:lineRule="auto"/>
        <w:ind w:left="720" w:right="15"/>
        <w:rPr>
          <w:color w:val="000000" w:themeColor="text1"/>
        </w:rPr>
      </w:pPr>
      <w:r w:rsidRPr="00AB68C9">
        <w:rPr>
          <w:color w:val="000000" w:themeColor="text1"/>
        </w:rPr>
        <w:t>Children may be in contact with more than one specialist service at a time. For instance, a child may be truanting, offending, and suffering from abuse at home, and may have special educational needs. As a result, children can receive services that risk duplicating or cutting across each other.</w:t>
      </w:r>
    </w:p>
    <w:p w14:paraId="4C1810D0" w14:textId="1CC9AAAA" w:rsidR="00AB68C9" w:rsidRPr="00AB68C9" w:rsidRDefault="00AB68C9" w:rsidP="00903806">
      <w:pPr>
        <w:spacing w:line="480" w:lineRule="auto"/>
        <w:ind w:left="2160" w:right="15"/>
        <w:jc w:val="right"/>
        <w:rPr>
          <w:color w:val="000000" w:themeColor="text1"/>
        </w:rPr>
      </w:pPr>
      <w:r>
        <w:rPr>
          <w:color w:val="000000" w:themeColor="text1"/>
        </w:rPr>
        <w:t>Every Child Matters (2003)</w:t>
      </w:r>
      <w:r w:rsidR="003B28DE">
        <w:rPr>
          <w:color w:val="000000" w:themeColor="text1"/>
        </w:rPr>
        <w:t xml:space="preserve"> page 59 4.18</w:t>
      </w:r>
    </w:p>
    <w:p w14:paraId="23F94400" w14:textId="77777777" w:rsidR="00EF3783" w:rsidRDefault="00D33230" w:rsidP="00903806">
      <w:pPr>
        <w:spacing w:after="115" w:line="480" w:lineRule="auto"/>
        <w:ind w:right="15"/>
      </w:pPr>
      <w:r>
        <w:t xml:space="preserve">There was clearly a need to improve the sharing of information between support services and it was proposed that there would be a lead professional system. </w:t>
      </w:r>
      <w:r w:rsidR="00737CEA">
        <w:t>T</w:t>
      </w:r>
      <w:r>
        <w:t>he lead professional</w:t>
      </w:r>
      <w:r w:rsidR="00737CEA">
        <w:t>,</w:t>
      </w:r>
      <w:r>
        <w:t xml:space="preserve"> takes overall responsibility for the case.</w:t>
      </w:r>
      <w:r w:rsidR="00737CEA">
        <w:t xml:space="preserve"> In addition, multi-disciplinary teams were to be responsible for the care around the child and co-location of services was recommended. At the time (2003) there was little evidence of support services working in partnership and duplication of work without sharing resources and responsibilities led to the fact that no one person had the full picture of the child and the child’s family circumstances, for example in the Victoria Cli</w:t>
      </w:r>
      <w:r w:rsidR="00745C5D">
        <w:t>mbie case, her non</w:t>
      </w:r>
      <w:r w:rsidR="00506C1C">
        <w:t>-</w:t>
      </w:r>
      <w:r w:rsidR="00745C5D">
        <w:t>attendance to school was not shared with other agencies at the time.</w:t>
      </w:r>
    </w:p>
    <w:p w14:paraId="7DF0AB95" w14:textId="6A02776E" w:rsidR="00FA708A" w:rsidRDefault="00745C5D" w:rsidP="00903806">
      <w:pPr>
        <w:spacing w:after="115" w:line="480" w:lineRule="auto"/>
        <w:ind w:right="15"/>
      </w:pPr>
      <w:r>
        <w:t xml:space="preserve"> </w:t>
      </w:r>
      <w:r w:rsidR="00506C1C">
        <w:t xml:space="preserve">In 2004, The </w:t>
      </w:r>
      <w:r>
        <w:t xml:space="preserve">Welsh Assembly also responded by producing the document </w:t>
      </w:r>
      <w:r w:rsidR="00506C1C">
        <w:t>‘Children and Young People: Rights to Action’. The Welsh Government set out seven core aims for a child</w:t>
      </w:r>
      <w:r w:rsidR="00FA708A">
        <w:t>, which were based on the UN Convention on the Rights of the child, these core aims</w:t>
      </w:r>
      <w:r w:rsidR="00AB68C9">
        <w:t xml:space="preserve"> listed in the document</w:t>
      </w:r>
      <w:r w:rsidR="00FA708A">
        <w:t xml:space="preserve"> are:</w:t>
      </w:r>
    </w:p>
    <w:p w14:paraId="2BE17E1E" w14:textId="790CB0DF" w:rsidR="00FA708A" w:rsidRPr="00AB68C9" w:rsidRDefault="00FA708A" w:rsidP="00903806">
      <w:pPr>
        <w:numPr>
          <w:ilvl w:val="0"/>
          <w:numId w:val="4"/>
        </w:numPr>
        <w:spacing w:after="134" w:line="240" w:lineRule="auto"/>
        <w:ind w:hanging="283"/>
        <w:rPr>
          <w:color w:val="000000" w:themeColor="text1"/>
        </w:rPr>
      </w:pPr>
      <w:r w:rsidRPr="00AB68C9">
        <w:rPr>
          <w:color w:val="000000" w:themeColor="text1"/>
        </w:rPr>
        <w:lastRenderedPageBreak/>
        <w:t>have a flying start in life;</w:t>
      </w:r>
    </w:p>
    <w:p w14:paraId="04B02184" w14:textId="76EA6314" w:rsidR="00FA708A" w:rsidRPr="00AB68C9" w:rsidRDefault="00FA708A" w:rsidP="00903806">
      <w:pPr>
        <w:numPr>
          <w:ilvl w:val="0"/>
          <w:numId w:val="4"/>
        </w:numPr>
        <w:spacing w:after="134" w:line="240" w:lineRule="auto"/>
        <w:ind w:hanging="283"/>
        <w:rPr>
          <w:color w:val="000000" w:themeColor="text1"/>
        </w:rPr>
      </w:pPr>
      <w:r w:rsidRPr="00AB68C9">
        <w:rPr>
          <w:color w:val="000000" w:themeColor="text1"/>
        </w:rPr>
        <w:t>have a comprehensive range of education and learning opportunities;</w:t>
      </w:r>
    </w:p>
    <w:p w14:paraId="7402658B" w14:textId="18E7F113" w:rsidR="00FA708A" w:rsidRPr="00AB68C9" w:rsidRDefault="00FA708A" w:rsidP="00903806">
      <w:pPr>
        <w:numPr>
          <w:ilvl w:val="0"/>
          <w:numId w:val="4"/>
        </w:numPr>
        <w:spacing w:after="134" w:line="240" w:lineRule="auto"/>
        <w:ind w:hanging="283"/>
        <w:rPr>
          <w:color w:val="000000" w:themeColor="text1"/>
        </w:rPr>
      </w:pPr>
      <w:r w:rsidRPr="00AB68C9">
        <w:rPr>
          <w:color w:val="000000" w:themeColor="text1"/>
        </w:rPr>
        <w:t>enjoy the best possible health and are free from abuse, victimisation and exploitation;</w:t>
      </w:r>
    </w:p>
    <w:p w14:paraId="1AFE863A" w14:textId="151834A8" w:rsidR="00FA708A" w:rsidRPr="00AB68C9" w:rsidRDefault="00FA708A" w:rsidP="00903806">
      <w:pPr>
        <w:numPr>
          <w:ilvl w:val="0"/>
          <w:numId w:val="4"/>
        </w:numPr>
        <w:spacing w:after="134" w:line="240" w:lineRule="auto"/>
        <w:ind w:hanging="283"/>
        <w:rPr>
          <w:color w:val="000000" w:themeColor="text1"/>
        </w:rPr>
      </w:pPr>
      <w:r w:rsidRPr="00AB68C9">
        <w:rPr>
          <w:color w:val="000000" w:themeColor="text1"/>
        </w:rPr>
        <w:t>have access to play, leisure, sporting and cultural activities;</w:t>
      </w:r>
    </w:p>
    <w:p w14:paraId="317014F2" w14:textId="5CA8C0D6" w:rsidR="00FA708A" w:rsidRPr="00AB68C9" w:rsidRDefault="00FA708A" w:rsidP="00903806">
      <w:pPr>
        <w:numPr>
          <w:ilvl w:val="0"/>
          <w:numId w:val="4"/>
        </w:numPr>
        <w:spacing w:after="131" w:line="240" w:lineRule="auto"/>
        <w:ind w:hanging="283"/>
        <w:rPr>
          <w:color w:val="000000" w:themeColor="text1"/>
        </w:rPr>
      </w:pPr>
      <w:r w:rsidRPr="00AB68C9">
        <w:rPr>
          <w:color w:val="000000" w:themeColor="text1"/>
        </w:rPr>
        <w:t>are listened to, treated with respect, and have their race and cultural identity recognised;</w:t>
      </w:r>
    </w:p>
    <w:p w14:paraId="33E05265" w14:textId="4ED5E68D" w:rsidR="00FA708A" w:rsidRPr="00AB68C9" w:rsidRDefault="00FA708A" w:rsidP="00903806">
      <w:pPr>
        <w:numPr>
          <w:ilvl w:val="0"/>
          <w:numId w:val="4"/>
        </w:numPr>
        <w:spacing w:after="134" w:line="240" w:lineRule="auto"/>
        <w:ind w:hanging="283"/>
        <w:rPr>
          <w:color w:val="000000" w:themeColor="text1"/>
        </w:rPr>
      </w:pPr>
      <w:r w:rsidRPr="00AB68C9">
        <w:rPr>
          <w:color w:val="000000" w:themeColor="text1"/>
        </w:rPr>
        <w:t>have a safe home and a community which supports physical and emotional wellbeing;</w:t>
      </w:r>
    </w:p>
    <w:p w14:paraId="2173F863" w14:textId="3AEE8C4D" w:rsidR="00FA708A" w:rsidRPr="00AB68C9" w:rsidRDefault="00FA708A" w:rsidP="00903806">
      <w:pPr>
        <w:numPr>
          <w:ilvl w:val="0"/>
          <w:numId w:val="4"/>
        </w:numPr>
        <w:spacing w:after="111" w:line="240" w:lineRule="auto"/>
        <w:ind w:hanging="283"/>
        <w:rPr>
          <w:color w:val="000000" w:themeColor="text1"/>
        </w:rPr>
      </w:pPr>
      <w:r w:rsidRPr="00AB68C9">
        <w:rPr>
          <w:color w:val="000000" w:themeColor="text1"/>
        </w:rPr>
        <w:t>are not disadvantaged by poverty.</w:t>
      </w:r>
    </w:p>
    <w:p w14:paraId="3FC5B54C" w14:textId="2435C36F" w:rsidR="00FA708A" w:rsidRPr="00AB68C9" w:rsidRDefault="00FA708A" w:rsidP="00903806">
      <w:pPr>
        <w:spacing w:after="111" w:line="480" w:lineRule="auto"/>
        <w:ind w:left="1440"/>
        <w:jc w:val="right"/>
        <w:rPr>
          <w:color w:val="000000" w:themeColor="text1"/>
        </w:rPr>
      </w:pPr>
      <w:r w:rsidRPr="00AB68C9">
        <w:rPr>
          <w:color w:val="000000" w:themeColor="text1"/>
        </w:rPr>
        <w:t xml:space="preserve">  WAG (2004) Children and Young People: Rights to Action</w:t>
      </w:r>
      <w:r w:rsidR="000E0DAB">
        <w:rPr>
          <w:color w:val="000000" w:themeColor="text1"/>
        </w:rPr>
        <w:t xml:space="preserve"> page 1</w:t>
      </w:r>
    </w:p>
    <w:p w14:paraId="2F2509D0" w14:textId="1054D72B" w:rsidR="00950038" w:rsidRDefault="00F805FE" w:rsidP="00903806">
      <w:pPr>
        <w:spacing w:after="111" w:line="480" w:lineRule="auto"/>
        <w:ind w:left="10"/>
        <w:jc w:val="both"/>
      </w:pPr>
      <w:r w:rsidRPr="00F805FE">
        <w:t>E</w:t>
      </w:r>
      <w:r>
        <w:t>ach of the aims involve a range of agencies and cooperation between each. The first aim for each child to have a flying start in life starts before birth involving health services promoting healthy eating and providing screening services and support where necessary</w:t>
      </w:r>
      <w:r w:rsidR="00A64102">
        <w:t>. Sure</w:t>
      </w:r>
      <w:r w:rsidR="00D55F0C">
        <w:t xml:space="preserve"> </w:t>
      </w:r>
      <w:r w:rsidR="00A64102">
        <w:t>Start programs are concerned with the support of the child and family in the early years. This involves health, social services and education working together. The book</w:t>
      </w:r>
      <w:r w:rsidR="004A3B8B">
        <w:t xml:space="preserve"> </w:t>
      </w:r>
      <w:r w:rsidR="00A64102">
        <w:t>start program, to encourage the love of reading, is available in toddler groups, play groups, family centres, health clinics and schools.</w:t>
      </w:r>
      <w:r w:rsidR="00950038">
        <w:t xml:space="preserve"> In Wales the Sure Start program was amalgamated with the Children and Youth Partnership Fun and the Child</w:t>
      </w:r>
      <w:r w:rsidR="004A3B8B">
        <w:t xml:space="preserve"> </w:t>
      </w:r>
      <w:r w:rsidR="00950038">
        <w:t xml:space="preserve">care strategy to form Cymroth, the Children and Youth Support Fund. </w:t>
      </w:r>
    </w:p>
    <w:p w14:paraId="75B03404" w14:textId="2FD8AA7C" w:rsidR="00C75AD4" w:rsidRDefault="00A64102" w:rsidP="00903806">
      <w:pPr>
        <w:spacing w:after="111" w:line="480" w:lineRule="auto"/>
        <w:ind w:left="10"/>
        <w:jc w:val="both"/>
      </w:pPr>
      <w:r>
        <w:t xml:space="preserve"> The range of education and learning opportunities must be accessible to all, and where youngsters have difficulties in accessing education the report highlighted support measures which should be in place</w:t>
      </w:r>
      <w:r w:rsidR="0071313C">
        <w:t xml:space="preserve">. </w:t>
      </w:r>
      <w:r w:rsidR="00D55F0C">
        <w:t>F</w:t>
      </w:r>
      <w:r w:rsidR="009060EE">
        <w:t>or there to be a comprehensive range of education and learning opportunities, it is important that these</w:t>
      </w:r>
      <w:r w:rsidR="00766AFF">
        <w:t xml:space="preserve"> opportunities are available to all and there should be support to ensure that children who have special needs requirements, disabled children, young offenders and LAC (lo</w:t>
      </w:r>
      <w:r w:rsidR="00736730">
        <w:t xml:space="preserve">oked after children) all have support in place to ensure they can access the range of learning opportunities available.  Examples of other support in place are community projects working with the Princes Trust, which provides opportunities for excluded pupils and a range of youth projects which involve young people with tasks to improve their environment. Pupils should be able to remain in learning as long as necessary and relevant support and guidance is currently available by a range of agencies, to ensure </w:t>
      </w:r>
      <w:r w:rsidR="00736730">
        <w:lastRenderedPageBreak/>
        <w:t>the pupils do not end up as a NEET (not in education or training) statistic.</w:t>
      </w:r>
      <w:r w:rsidR="000E0DAB">
        <w:t xml:space="preserve"> The seven core aims were going to be achieved by all agencies communicating with each other and relevant agencies working together in specific cases. </w:t>
      </w:r>
    </w:p>
    <w:p w14:paraId="3C29021A" w14:textId="7060F02F" w:rsidR="0042335C" w:rsidRDefault="00950038" w:rsidP="00903806">
      <w:pPr>
        <w:spacing w:line="480" w:lineRule="auto"/>
        <w:ind w:right="573"/>
      </w:pPr>
      <w:r>
        <w:t>It is clear from the documents produced by both the Welsh and English governments</w:t>
      </w:r>
      <w:r w:rsidR="001F3F32">
        <w:t>,</w:t>
      </w:r>
      <w:r w:rsidR="00AB68C9">
        <w:t xml:space="preserve"> T</w:t>
      </w:r>
      <w:r>
        <w:t>he Laming</w:t>
      </w:r>
      <w:r w:rsidR="001F3F32">
        <w:t xml:space="preserve"> Report</w:t>
      </w:r>
      <w:r>
        <w:t xml:space="preserve"> </w:t>
      </w:r>
      <w:r w:rsidR="001F3F32">
        <w:t xml:space="preserve">highlighted one of the </w:t>
      </w:r>
      <w:r>
        <w:t>main failing</w:t>
      </w:r>
      <w:r w:rsidR="001F3F32">
        <w:t>s</w:t>
      </w:r>
      <w:r>
        <w:t xml:space="preserve"> in the case was the lack of communication between the various services involved with the family. This suggests that a multi</w:t>
      </w:r>
      <w:r w:rsidR="00C94E14">
        <w:t>-</w:t>
      </w:r>
      <w:r>
        <w:t>agency approach should be adopted</w:t>
      </w:r>
      <w:r w:rsidR="00AB68C9">
        <w:t xml:space="preserve">, </w:t>
      </w:r>
      <w:r>
        <w:t>to improve communication and avoid missing out action on all the information shared. Although a multi-agency approach sounds the perfect solution to the weaknesses in the current practices at the time of the Laming report, it is important to define what successful multi agency working entails. It is not enough to gather a panel together and meet up at case meetings only. The disadvantage of organising a panel of contributors from a range of agencies involves a substantial time to plan the meeting and it is also necessary to allow sufficient time for the panel members to prepare for the meeting. The advantage of setting up a panel is the fact that no new recruitment is needed as the members are employed by their source agency. The solution could be to set up multi agency teams where members are recruited or seconded into the team. Being a member of a team could ensure that they share a base and there is a dedicated team leader</w:t>
      </w:r>
      <w:r w:rsidR="0042335C">
        <w:t>.</w:t>
      </w:r>
    </w:p>
    <w:p w14:paraId="485F23C3" w14:textId="32A74E52" w:rsidR="000E0DAB" w:rsidRDefault="0042335C" w:rsidP="00903806">
      <w:pPr>
        <w:spacing w:line="480" w:lineRule="auto"/>
        <w:ind w:right="573"/>
      </w:pPr>
      <w:r>
        <w:t>There are a range multi agency projects in the U.K</w:t>
      </w:r>
      <w:r w:rsidR="00C94E14">
        <w:t>.</w:t>
      </w:r>
      <w:r>
        <w:t xml:space="preserve"> </w:t>
      </w:r>
      <w:r w:rsidR="00EC2188">
        <w:t>In July 2014</w:t>
      </w:r>
      <w:r w:rsidR="006B61C7">
        <w:t>, the Home Office produced a report on Multi Agency working and sharing projects in England. The aim of the report was</w:t>
      </w:r>
      <w:r w:rsidR="00C94E14">
        <w:t xml:space="preserve"> to </w:t>
      </w:r>
      <w:r w:rsidR="006B61C7">
        <w:t>understand the multi</w:t>
      </w:r>
      <w:r w:rsidR="00C94E14">
        <w:t>-</w:t>
      </w:r>
      <w:r w:rsidR="006B61C7">
        <w:t>agency sharing models in place. The most common model is referred to as a multi</w:t>
      </w:r>
      <w:r w:rsidR="00C94E14">
        <w:t>-</w:t>
      </w:r>
      <w:r w:rsidR="006B61C7">
        <w:t>agency safeguarding hub (MASH). At the time of the report 67% of the local authorities interviewed had a multi</w:t>
      </w:r>
      <w:r w:rsidR="00C94E14">
        <w:t>-</w:t>
      </w:r>
      <w:r w:rsidR="006B61C7">
        <w:t>agency approach in place and half of them used the term MASH to describe their model.</w:t>
      </w:r>
      <w:r w:rsidR="000E0DAB">
        <w:t xml:space="preserve"> The report identified the following core functions of a multi-agency hub</w:t>
      </w:r>
    </w:p>
    <w:p w14:paraId="72541DBE" w14:textId="77777777" w:rsidR="000E0DAB" w:rsidRPr="00977F2A" w:rsidRDefault="000E0DAB" w:rsidP="00903806">
      <w:pPr>
        <w:autoSpaceDE w:val="0"/>
        <w:autoSpaceDN w:val="0"/>
        <w:adjustRightInd w:val="0"/>
        <w:spacing w:after="0" w:line="480" w:lineRule="auto"/>
        <w:ind w:left="1440"/>
        <w:jc w:val="both"/>
        <w:rPr>
          <w:rFonts w:cs="Times New Roman"/>
        </w:rPr>
      </w:pPr>
      <w:r w:rsidRPr="00977F2A">
        <w:rPr>
          <w:rFonts w:cs="Arial"/>
          <w:color w:val="000000"/>
        </w:rPr>
        <w:t>The agreed core functions of a multi-agency hub were listed as:</w:t>
      </w:r>
    </w:p>
    <w:p w14:paraId="20060620" w14:textId="77777777" w:rsidR="000E0DAB" w:rsidRPr="00977F2A" w:rsidRDefault="000E0DAB" w:rsidP="00903806">
      <w:pPr>
        <w:autoSpaceDE w:val="0"/>
        <w:autoSpaceDN w:val="0"/>
        <w:adjustRightInd w:val="0"/>
        <w:spacing w:after="0" w:line="240" w:lineRule="auto"/>
        <w:ind w:left="1440"/>
        <w:jc w:val="both"/>
        <w:rPr>
          <w:rFonts w:eastAsia="Microsoft JhengHei Light" w:cs="Microsoft JhengHei Light"/>
          <w:color w:val="000000"/>
        </w:rPr>
      </w:pPr>
      <w:r w:rsidRPr="00977F2A">
        <w:rPr>
          <w:rFonts w:cs="Franklin Gothic Medium"/>
          <w:color w:val="000000"/>
        </w:rPr>
        <w:lastRenderedPageBreak/>
        <w:t>1. Acting as a single point of entry</w:t>
      </w:r>
      <w:r w:rsidRPr="00977F2A">
        <w:rPr>
          <w:rFonts w:eastAsia="Microsoft JhengHei Light" w:cs="Microsoft JhengHei Light"/>
          <w:color w:val="000000"/>
        </w:rPr>
        <w:t xml:space="preserve"> – gather all notifications related to safeguarding in one place.</w:t>
      </w:r>
    </w:p>
    <w:p w14:paraId="2225B618" w14:textId="77777777" w:rsidR="000E0DAB" w:rsidRPr="00977F2A" w:rsidRDefault="000E0DAB" w:rsidP="00903806">
      <w:pPr>
        <w:autoSpaceDE w:val="0"/>
        <w:autoSpaceDN w:val="0"/>
        <w:adjustRightInd w:val="0"/>
        <w:spacing w:after="0" w:line="240" w:lineRule="auto"/>
        <w:ind w:left="1440"/>
        <w:jc w:val="both"/>
        <w:rPr>
          <w:rFonts w:cs="Times New Roman"/>
        </w:rPr>
      </w:pPr>
      <w:r w:rsidRPr="00977F2A">
        <w:rPr>
          <w:rFonts w:cs="Franklin Gothic Medium"/>
          <w:color w:val="000000"/>
        </w:rPr>
        <w:t>2. Enabling thorough research of each case to identify potential risk</w:t>
      </w:r>
      <w:r w:rsidRPr="00977F2A">
        <w:rPr>
          <w:rFonts w:eastAsia="Microsoft JhengHei Light" w:cs="Microsoft JhengHei Light"/>
          <w:color w:val="000000"/>
        </w:rPr>
        <w:t xml:space="preserve"> (and therefore the </w:t>
      </w:r>
    </w:p>
    <w:p w14:paraId="1BC7809A" w14:textId="77777777" w:rsidR="000E0DAB" w:rsidRPr="00977F2A" w:rsidRDefault="000E0DAB" w:rsidP="00903806">
      <w:pPr>
        <w:autoSpaceDE w:val="0"/>
        <w:autoSpaceDN w:val="0"/>
        <w:adjustRightInd w:val="0"/>
        <w:spacing w:after="0" w:line="240" w:lineRule="auto"/>
        <w:ind w:left="1440"/>
        <w:jc w:val="both"/>
        <w:rPr>
          <w:rFonts w:eastAsia="Microsoft JhengHei Light" w:cs="Microsoft JhengHei Light"/>
          <w:color w:val="000000"/>
        </w:rPr>
      </w:pPr>
      <w:r w:rsidRPr="00977F2A">
        <w:rPr>
          <w:rFonts w:eastAsia="Microsoft JhengHei Light" w:cs="Microsoft JhengHei Light"/>
          <w:color w:val="000000"/>
        </w:rPr>
        <w:t>opportunity to address that risk)</w:t>
      </w:r>
    </w:p>
    <w:p w14:paraId="4F9D4B2B" w14:textId="77777777" w:rsidR="000E0DAB" w:rsidRPr="00977F2A" w:rsidRDefault="000E0DAB" w:rsidP="00903806">
      <w:pPr>
        <w:autoSpaceDE w:val="0"/>
        <w:autoSpaceDN w:val="0"/>
        <w:adjustRightInd w:val="0"/>
        <w:spacing w:after="0" w:line="240" w:lineRule="auto"/>
        <w:ind w:left="1440"/>
        <w:jc w:val="both"/>
        <w:rPr>
          <w:rFonts w:eastAsia="Microsoft JhengHei Light" w:cs="Microsoft JhengHei Light"/>
          <w:color w:val="000000"/>
        </w:rPr>
      </w:pPr>
      <w:r w:rsidRPr="00977F2A">
        <w:rPr>
          <w:rFonts w:cs="Franklin Gothic Medium"/>
          <w:color w:val="000000"/>
        </w:rPr>
        <w:t>3. Sharing information between agencies,</w:t>
      </w:r>
      <w:r w:rsidRPr="00977F2A">
        <w:rPr>
          <w:rFonts w:eastAsia="Microsoft JhengHei Light" w:cs="Microsoft JhengHei Light"/>
          <w:color w:val="000000"/>
        </w:rPr>
        <w:t xml:space="preserve"> supported by a joint information sharing protocol</w:t>
      </w:r>
    </w:p>
    <w:p w14:paraId="60598570" w14:textId="77777777" w:rsidR="000E0DAB" w:rsidRPr="00977F2A" w:rsidRDefault="000E0DAB" w:rsidP="00903806">
      <w:pPr>
        <w:autoSpaceDE w:val="0"/>
        <w:autoSpaceDN w:val="0"/>
        <w:adjustRightInd w:val="0"/>
        <w:spacing w:after="0" w:line="240" w:lineRule="auto"/>
        <w:ind w:left="1440"/>
        <w:jc w:val="both"/>
        <w:rPr>
          <w:rFonts w:eastAsia="Microsoft JhengHei Light" w:cs="Microsoft JhengHei Light"/>
          <w:color w:val="000000"/>
        </w:rPr>
      </w:pPr>
      <w:r w:rsidRPr="00977F2A">
        <w:rPr>
          <w:rFonts w:cs="Franklin Gothic Medium"/>
          <w:color w:val="000000"/>
        </w:rPr>
        <w:t>4. Triaging referrals,</w:t>
      </w:r>
      <w:r w:rsidRPr="00977F2A">
        <w:rPr>
          <w:rFonts w:eastAsia="Microsoft JhengHei Light" w:cs="Microsoft JhengHei Light"/>
          <w:color w:val="000000"/>
        </w:rPr>
        <w:t xml:space="preserve"> exemplified in the use of agreed risk ratings.</w:t>
      </w:r>
    </w:p>
    <w:p w14:paraId="65610B34" w14:textId="77777777" w:rsidR="000E0DAB" w:rsidRPr="00977F2A" w:rsidRDefault="000E0DAB" w:rsidP="00903806">
      <w:pPr>
        <w:autoSpaceDE w:val="0"/>
        <w:autoSpaceDN w:val="0"/>
        <w:adjustRightInd w:val="0"/>
        <w:spacing w:after="0" w:line="240" w:lineRule="auto"/>
        <w:ind w:left="1440"/>
        <w:jc w:val="both"/>
        <w:rPr>
          <w:rFonts w:eastAsia="Microsoft JhengHei Light" w:cs="Microsoft JhengHei Light"/>
          <w:color w:val="000000"/>
        </w:rPr>
      </w:pPr>
      <w:r w:rsidRPr="00977F2A">
        <w:rPr>
          <w:rFonts w:cs="Franklin Gothic Medium"/>
          <w:color w:val="000000"/>
        </w:rPr>
        <w:t>5. Facilitating early intervention</w:t>
      </w:r>
      <w:r w:rsidRPr="00977F2A">
        <w:rPr>
          <w:rFonts w:eastAsia="Microsoft JhengHei Light" w:cs="Microsoft JhengHei Light"/>
          <w:color w:val="000000"/>
        </w:rPr>
        <w:t xml:space="preserve"> to prevent the need for more intensive interventions at a later stage.</w:t>
      </w:r>
    </w:p>
    <w:p w14:paraId="67AA2718" w14:textId="4EA3E3C3" w:rsidR="000E0DAB" w:rsidRPr="00977F2A" w:rsidRDefault="000E0DAB" w:rsidP="00903806">
      <w:pPr>
        <w:spacing w:line="240" w:lineRule="auto"/>
        <w:ind w:left="1440" w:right="573"/>
        <w:jc w:val="both"/>
        <w:rPr>
          <w:rFonts w:cs="Franklin Gothic Medium"/>
          <w:color w:val="000000"/>
        </w:rPr>
      </w:pPr>
      <w:r w:rsidRPr="00977F2A">
        <w:rPr>
          <w:rFonts w:cs="Franklin Gothic Medium"/>
          <w:color w:val="000000"/>
        </w:rPr>
        <w:t>6. Managing cases through co-ordinated interventions.</w:t>
      </w:r>
    </w:p>
    <w:p w14:paraId="00659CDD" w14:textId="3C4B1DC6" w:rsidR="00977F2A" w:rsidRDefault="00977F2A" w:rsidP="00903806">
      <w:pPr>
        <w:spacing w:line="480" w:lineRule="auto"/>
        <w:ind w:right="573"/>
        <w:jc w:val="right"/>
      </w:pPr>
      <w:r>
        <w:t>Multi-agency Working and Information Sharing (The Home office) page 10</w:t>
      </w:r>
    </w:p>
    <w:p w14:paraId="2D45B527" w14:textId="51EB3BBA" w:rsidR="00950038" w:rsidRDefault="006B61C7" w:rsidP="00903806">
      <w:pPr>
        <w:spacing w:line="480" w:lineRule="auto"/>
        <w:ind w:right="573"/>
      </w:pPr>
      <w:r>
        <w:t xml:space="preserve"> In Wales in 2015, there were three main MASH projects. The Gwent Missing Children’s Team; Cwm </w:t>
      </w:r>
      <w:proofErr w:type="spellStart"/>
      <w:r>
        <w:t>Taf</w:t>
      </w:r>
      <w:proofErr w:type="spellEnd"/>
      <w:r>
        <w:t xml:space="preserve"> MASH and North Wales MASH. The common core of the MASH models </w:t>
      </w:r>
      <w:r w:rsidR="00C94E14">
        <w:t>is</w:t>
      </w:r>
      <w:r>
        <w:t xml:space="preserve"> based on information sharing, joint decision making and coordinated intervention. The improvements identified by the authorities using MASH, were a more accurate assessment of risk and need due to the wider range of source information, leads were followed up more efficiently and an improved understanding</w:t>
      </w:r>
      <w:r w:rsidR="00C94E14">
        <w:t xml:space="preserve"> between professionals all lead to greater efficiency. The agencies involved in MASH are children’s social care, police, education, probation, health, housing and youth offending services. </w:t>
      </w:r>
      <w:r w:rsidR="00950038">
        <w:t>Educational services have a role to play to ensure a child is safe from abuse, neglect and exploitation. In 2000, The National Assembly for Wales</w:t>
      </w:r>
      <w:r w:rsidR="00950038">
        <w:rPr>
          <w:rFonts w:ascii="Calibri" w:eastAsia="Calibri" w:hAnsi="Calibri" w:cs="Calibri"/>
          <w:i/>
        </w:rPr>
        <w:t xml:space="preserve"> </w:t>
      </w:r>
      <w:r w:rsidR="00950038">
        <w:rPr>
          <w:rFonts w:ascii="Calibri" w:eastAsia="Calibri" w:hAnsi="Calibri" w:cs="Calibri"/>
        </w:rPr>
        <w:t xml:space="preserve">in their document </w:t>
      </w:r>
      <w:r w:rsidR="00950038" w:rsidRPr="00803BB1">
        <w:rPr>
          <w:rFonts w:ascii="Calibri" w:eastAsia="Calibri" w:hAnsi="Calibri" w:cs="Calibri"/>
        </w:rPr>
        <w:t>Working Together to Safeguard Children</w:t>
      </w:r>
      <w:r w:rsidR="00950038">
        <w:rPr>
          <w:rFonts w:ascii="Calibri" w:eastAsia="Calibri" w:hAnsi="Calibri" w:cs="Calibri"/>
          <w:i/>
        </w:rPr>
        <w:t xml:space="preserve"> </w:t>
      </w:r>
      <w:r w:rsidR="00950038">
        <w:t>says that safeguarding children's welfare "requires professionals and others to share information: about a child's health and development and exposure to possible harm.   Often, it is only when information from a number of sources has been shared and is then put together that it becomes clear that a child is at risk of or is suffering harm." It is clear then that the importance of support services working together was identified even before the Laming report.  Since April 2013, Neath Port Talbot, Bridgend and Swansea Safeguarding Children boards became the Western Bay Safeguarding Children Board (WBSCB), this involves cooperation between the NSPCC, the Health service, Wales Probation Service, Bernardo</w:t>
      </w:r>
      <w:r w:rsidR="001F3F32">
        <w:t>’</w:t>
      </w:r>
      <w:r w:rsidR="00950038">
        <w:t xml:space="preserve">s, </w:t>
      </w:r>
      <w:r w:rsidR="001F3F32">
        <w:t>t</w:t>
      </w:r>
      <w:r w:rsidR="00950038">
        <w:t xml:space="preserve">he Prison service and </w:t>
      </w:r>
      <w:r w:rsidR="001F3F32">
        <w:t>t</w:t>
      </w:r>
      <w:r w:rsidR="00950038">
        <w:t xml:space="preserve">he </w:t>
      </w:r>
      <w:r w:rsidR="001F3F32">
        <w:t>p</w:t>
      </w:r>
      <w:r w:rsidR="00950038">
        <w:t xml:space="preserve">olice as well as the three local authorities. There are various routes where children can seek help, examples are </w:t>
      </w:r>
      <w:proofErr w:type="spellStart"/>
      <w:r w:rsidR="00950038">
        <w:t>Childline</w:t>
      </w:r>
      <w:proofErr w:type="spellEnd"/>
      <w:r w:rsidR="00950038">
        <w:t xml:space="preserve">, </w:t>
      </w:r>
      <w:proofErr w:type="spellStart"/>
      <w:r w:rsidR="00950038">
        <w:t>Childline</w:t>
      </w:r>
      <w:proofErr w:type="spellEnd"/>
      <w:r w:rsidR="00950038">
        <w:t xml:space="preserve"> </w:t>
      </w:r>
      <w:r w:rsidR="00950038">
        <w:lastRenderedPageBreak/>
        <w:t xml:space="preserve">Schools Service for primary school children, Info Nation, which gives advice and support for 11-25 year olds in Swansea, NSPCC, </w:t>
      </w:r>
      <w:proofErr w:type="spellStart"/>
      <w:r w:rsidR="00950038">
        <w:t>Bernardos</w:t>
      </w:r>
      <w:proofErr w:type="spellEnd"/>
      <w:r w:rsidR="00950038">
        <w:t xml:space="preserve">, CLIC this provides information on a range of topics such as health housing etc. </w:t>
      </w:r>
      <w:proofErr w:type="spellStart"/>
      <w:r w:rsidR="00950038">
        <w:t>Meic</w:t>
      </w:r>
      <w:proofErr w:type="spellEnd"/>
      <w:r w:rsidR="00950038">
        <w:t xml:space="preserve"> is a helpline for young people in Wales and Children and Young People Partnership. There are a range of groups which now take a multiagency approach in Swansea, for example The Youth justice and Early Intervention service, Swansea Community Green Spaces and safer Swansea Community Safety Partnership Strategy. </w:t>
      </w:r>
      <w:r w:rsidR="00C94E14">
        <w:t xml:space="preserve"> It is clear then that in addition to the three specific MASH projects referred to in Wales there multi agency projects in place right across Wales. </w:t>
      </w:r>
      <w:r w:rsidR="002F151A">
        <w:t>The families first program and the team around the family (TAF) are operational in all local authorities in Wales.</w:t>
      </w:r>
    </w:p>
    <w:p w14:paraId="646C0768" w14:textId="3EE7D5D1" w:rsidR="001C145C" w:rsidRDefault="002F151A" w:rsidP="00903806">
      <w:pPr>
        <w:spacing w:line="480" w:lineRule="auto"/>
        <w:ind w:left="10" w:right="573"/>
      </w:pPr>
      <w:r>
        <w:t>Concentrating on the TAF project in Wales</w:t>
      </w:r>
      <w:r w:rsidR="004A3B8B">
        <w:t>, this project is an element of the Families First programme in Wales and must be delivered by all local authorities. The families first programme is a Welsh Government program to fund the development o</w:t>
      </w:r>
      <w:r w:rsidR="009662B1">
        <w:t xml:space="preserve">f </w:t>
      </w:r>
      <w:r w:rsidR="004A3B8B">
        <w:t>mult</w:t>
      </w:r>
      <w:r w:rsidR="001F3F32">
        <w:t>i</w:t>
      </w:r>
      <w:r w:rsidR="004A3B8B">
        <w:t xml:space="preserve"> </w:t>
      </w:r>
      <w:r w:rsidR="009662B1">
        <w:t>-</w:t>
      </w:r>
      <w:r w:rsidR="004A3B8B">
        <w:t xml:space="preserve">agency systems. </w:t>
      </w:r>
      <w:r w:rsidR="009662B1">
        <w:t>TAF is a key element of the families first program and all local authorities must have TAF models.</w:t>
      </w:r>
      <w:r w:rsidR="000630A7">
        <w:t xml:space="preserve"> Families are often identified to have multiple needs which more than one service can address</w:t>
      </w:r>
      <w:r w:rsidR="0052406C">
        <w:t>.</w:t>
      </w:r>
      <w:r w:rsidR="009662B1">
        <w:t xml:space="preserve"> Different</w:t>
      </w:r>
      <w:r w:rsidR="0052406C">
        <w:t>,</w:t>
      </w:r>
      <w:r w:rsidR="009662B1">
        <w:t xml:space="preserve"> local partners can be involved in TAF and make use of a wide range of other specialised services</w:t>
      </w:r>
      <w:r w:rsidR="000630A7">
        <w:t>.</w:t>
      </w:r>
      <w:r w:rsidR="0052406C">
        <w:t xml:space="preserve"> </w:t>
      </w:r>
      <w:r w:rsidR="009662B1">
        <w:t xml:space="preserve">TAF </w:t>
      </w:r>
      <w:r w:rsidR="008F404E">
        <w:t>support</w:t>
      </w:r>
      <w:r w:rsidR="009662B1">
        <w:t xml:space="preserve"> can be </w:t>
      </w:r>
      <w:r w:rsidR="008F404E">
        <w:t>requested</w:t>
      </w:r>
      <w:r w:rsidR="009662B1">
        <w:t xml:space="preserve"> by any of the services in the authority or a family can self</w:t>
      </w:r>
      <w:r w:rsidR="0052406C">
        <w:t>-</w:t>
      </w:r>
      <w:r w:rsidR="009662B1">
        <w:t xml:space="preserve">refer. All local authorities provide information for families on their TAF services and support. </w:t>
      </w:r>
      <w:r w:rsidR="008F404E">
        <w:t xml:space="preserve"> In Swansea, Team Around the family in Schools (TIS) has been </w:t>
      </w:r>
      <w:r w:rsidR="0052406C">
        <w:t>major development over recent years</w:t>
      </w:r>
      <w:r w:rsidR="008F404E">
        <w:t xml:space="preserve">. </w:t>
      </w:r>
      <w:r w:rsidR="00CD2015">
        <w:t xml:space="preserve">TIS is designed to identify and support primary school pupils and their families with early intervention strategies of support. Primary teachers have been trained to identify those families who may benefit from early intervention and as a result the waiting list for TAF has been reduced to zero in 2018, from 120 in 2012 before TIS was commenced. Early support by TIS seems to be a successful strategy. </w:t>
      </w:r>
      <w:r w:rsidR="008C7285">
        <w:t>The advantage of TAF and TIF services is that the professionals in the multi</w:t>
      </w:r>
      <w:r w:rsidR="0052406C">
        <w:t>-</w:t>
      </w:r>
      <w:r w:rsidR="008C7285">
        <w:t>agency groups are aware of the wide range of support available and appropriate for a family’s needs or even an individual within the family who may have extra specific needs. For example</w:t>
      </w:r>
      <w:r w:rsidR="0052406C">
        <w:t>,</w:t>
      </w:r>
      <w:r w:rsidR="008C7285">
        <w:t xml:space="preserve"> since families using TAF often </w:t>
      </w:r>
      <w:r w:rsidR="008C7285">
        <w:lastRenderedPageBreak/>
        <w:t>have multiple needs they may need to make use of other outside agencies</w:t>
      </w:r>
      <w:r w:rsidR="000F0A87">
        <w:t xml:space="preserve"> such as Evolve and Exchange. Evolve is a young person</w:t>
      </w:r>
      <w:r w:rsidR="001F3F32">
        <w:t>’</w:t>
      </w:r>
      <w:r w:rsidR="000F0A87">
        <w:t xml:space="preserve">s counselling service which also has links to local youth clubs, info-nation an advice and support service for young people, and residential and outdoor facilities e.g. Gower activities centre. Exchange is a professional counselling service for young people in Swansea. The TAF group will set out a support plan for the family and identify who needs the support (it may be more than one family member), what support is needed and who is going to provide the support including </w:t>
      </w:r>
      <w:r w:rsidR="000630A7">
        <w:t>referrals to other agencies if necessary. Every few months the plan and support will be reviewed and changed as necessary to meet the family’s needs. The aim of the service is the early identification of a family’s needs, engage in communication between the families and appropriate professionals, promote multi-agency working and the sharing of information using WASPI (Wales Accord on the Sharing of personal Information) It was clear that the tragedy of the Climbie case may have been prevented if information held by different agencies had been shared. The WASPI framework ensures that such information can be shared across Local Authorities, NHS providers, Police, Fire, Schools and voluntary organisations while complying with the Data Protection Act. The TAF project uses this framework which means that more appropriate services are provided which focus on the families’ needs, there is also a reduced need for the family to repeat the same information to multiple agencies and the information is shared in a structured way.</w:t>
      </w:r>
      <w:r w:rsidR="005430B1">
        <w:t xml:space="preserve"> Multi agency meetings are held to formulate a family plan. </w:t>
      </w:r>
      <w:r w:rsidR="00030EAD">
        <w:t>To</w:t>
      </w:r>
      <w:r w:rsidR="005430B1">
        <w:t xml:space="preserve"> evaluate the success of this multi-agency approach it is interesting to review comments made by families who have accessed the service as well as reviewing the progress of the families after a few months. </w:t>
      </w:r>
      <w:r w:rsidR="001E4C43">
        <w:t>There are many positive comments from families who have used TAF services, the following are examples of some positive feedback from the Cardiff Team Around the family (CTAF)</w:t>
      </w:r>
      <w:r w:rsidR="00977F2A">
        <w:t xml:space="preserve"> available</w:t>
      </w:r>
      <w:r w:rsidR="00903806">
        <w:t xml:space="preserve"> on line.</w:t>
      </w:r>
    </w:p>
    <w:p w14:paraId="6A818EE0" w14:textId="12EA27DC" w:rsidR="001C145C" w:rsidRPr="001E4C43" w:rsidRDefault="001E4C43" w:rsidP="00903806">
      <w:pPr>
        <w:autoSpaceDE w:val="0"/>
        <w:autoSpaceDN w:val="0"/>
        <w:adjustRightInd w:val="0"/>
        <w:spacing w:after="0" w:line="240" w:lineRule="auto"/>
        <w:ind w:left="1440"/>
        <w:rPr>
          <w:rFonts w:ascii="Calibri" w:hAnsi="Calibri" w:cs="Calibri Light"/>
          <w:iCs/>
          <w:color w:val="000000"/>
        </w:rPr>
      </w:pPr>
      <w:r>
        <w:rPr>
          <w:rFonts w:ascii="Calibri" w:hAnsi="Calibri" w:cs="Calibri"/>
          <w:color w:val="000000"/>
          <w:sz w:val="20"/>
          <w:szCs w:val="20"/>
        </w:rPr>
        <w:t xml:space="preserve"> </w:t>
      </w:r>
      <w:r w:rsidR="001C145C">
        <w:rPr>
          <w:rFonts w:ascii="Calibri" w:hAnsi="Calibri" w:cs="Calibri"/>
          <w:color w:val="000000"/>
          <w:sz w:val="20"/>
          <w:szCs w:val="20"/>
        </w:rPr>
        <w:t>‘</w:t>
      </w:r>
      <w:r w:rsidR="001C145C" w:rsidRPr="001E4C43">
        <w:rPr>
          <w:rFonts w:ascii="Calibri" w:hAnsi="Calibri" w:cs="Calibri Light"/>
          <w:iCs/>
          <w:color w:val="000000"/>
        </w:rPr>
        <w:t>The workers were accessible, easy to work with, understanding very organised</w:t>
      </w:r>
      <w:r>
        <w:rPr>
          <w:rFonts w:ascii="Calibri" w:hAnsi="Calibri" w:cs="Calibri Light"/>
          <w:iCs/>
          <w:color w:val="000000"/>
        </w:rPr>
        <w:t xml:space="preserve"> </w:t>
      </w:r>
      <w:r w:rsidR="001C145C" w:rsidRPr="001E4C43">
        <w:rPr>
          <w:rFonts w:ascii="Calibri" w:hAnsi="Calibri" w:cs="Calibri Light"/>
          <w:iCs/>
          <w:color w:val="000000"/>
        </w:rPr>
        <w:t xml:space="preserve">and very efficient as well as diligent’. </w:t>
      </w:r>
    </w:p>
    <w:p w14:paraId="1B19B657" w14:textId="150089FC" w:rsidR="001C145C" w:rsidRPr="001E4C43" w:rsidRDefault="001C145C" w:rsidP="00903806">
      <w:pPr>
        <w:autoSpaceDE w:val="0"/>
        <w:autoSpaceDN w:val="0"/>
        <w:adjustRightInd w:val="0"/>
        <w:spacing w:after="0" w:line="240" w:lineRule="auto"/>
        <w:ind w:left="1440"/>
        <w:rPr>
          <w:rFonts w:ascii="Calibri" w:hAnsi="Calibri" w:cs="Calibri Light"/>
          <w:iCs/>
          <w:color w:val="000000"/>
        </w:rPr>
      </w:pPr>
      <w:r w:rsidRPr="001E4C43">
        <w:rPr>
          <w:rFonts w:ascii="Calibri" w:hAnsi="Calibri" w:cs="Calibri Light"/>
          <w:iCs/>
          <w:color w:val="000000"/>
        </w:rPr>
        <w:t>‘I felt that I was heard, definitely, I got my point across and the meeting went</w:t>
      </w:r>
      <w:r w:rsidR="001E4C43">
        <w:rPr>
          <w:rFonts w:ascii="Calibri" w:hAnsi="Calibri" w:cs="Calibri Light"/>
          <w:iCs/>
          <w:color w:val="000000"/>
        </w:rPr>
        <w:t xml:space="preserve"> </w:t>
      </w:r>
      <w:r w:rsidRPr="001E4C43">
        <w:rPr>
          <w:rFonts w:ascii="Calibri" w:hAnsi="Calibri" w:cs="Calibri Light"/>
          <w:iCs/>
          <w:color w:val="000000"/>
        </w:rPr>
        <w:t xml:space="preserve">really well’. </w:t>
      </w:r>
    </w:p>
    <w:p w14:paraId="5147CED6" w14:textId="17E1D2B6" w:rsidR="001C145C" w:rsidRPr="001E4C43" w:rsidRDefault="001C145C" w:rsidP="00903806">
      <w:pPr>
        <w:autoSpaceDE w:val="0"/>
        <w:autoSpaceDN w:val="0"/>
        <w:adjustRightInd w:val="0"/>
        <w:spacing w:after="0" w:line="240" w:lineRule="auto"/>
        <w:ind w:left="1440"/>
        <w:rPr>
          <w:rFonts w:ascii="Calibri" w:hAnsi="Calibri" w:cs="Calibri Light"/>
          <w:iCs/>
          <w:color w:val="000000"/>
        </w:rPr>
      </w:pPr>
      <w:r w:rsidRPr="001E4C43">
        <w:rPr>
          <w:rFonts w:ascii="Calibri" w:hAnsi="Calibri" w:cs="Calibri Light"/>
          <w:iCs/>
          <w:color w:val="000000"/>
        </w:rPr>
        <w:lastRenderedPageBreak/>
        <w:t>‘Our needs were definitely met, they ensured there were no males present and</w:t>
      </w:r>
      <w:r w:rsidR="001E4C43">
        <w:rPr>
          <w:rFonts w:ascii="Calibri" w:hAnsi="Calibri" w:cs="Calibri Light"/>
          <w:iCs/>
          <w:color w:val="000000"/>
        </w:rPr>
        <w:t xml:space="preserve"> </w:t>
      </w:r>
      <w:r w:rsidRPr="001E4C43">
        <w:rPr>
          <w:rFonts w:ascii="Calibri" w:hAnsi="Calibri" w:cs="Calibri Light"/>
          <w:iCs/>
          <w:color w:val="000000"/>
        </w:rPr>
        <w:t xml:space="preserve">our religious and cultural needs were met’. </w:t>
      </w:r>
    </w:p>
    <w:p w14:paraId="07DF319C" w14:textId="65AEE6A6" w:rsidR="001E4C43" w:rsidRDefault="001C145C" w:rsidP="00903806">
      <w:pPr>
        <w:spacing w:line="240" w:lineRule="auto"/>
        <w:ind w:left="1450" w:right="573"/>
        <w:rPr>
          <w:rFonts w:ascii="Calibri" w:hAnsi="Calibri" w:cs="Calibri Light"/>
          <w:iCs/>
          <w:color w:val="000000"/>
        </w:rPr>
      </w:pPr>
      <w:r w:rsidRPr="001E4C43">
        <w:rPr>
          <w:rFonts w:ascii="Calibri" w:hAnsi="Calibri" w:cs="Calibri Light"/>
          <w:iCs/>
          <w:color w:val="000000"/>
        </w:rPr>
        <w:t>‘Response has always been prompt and appropriate’</w:t>
      </w:r>
      <w:r w:rsidR="001E4C43">
        <w:rPr>
          <w:rFonts w:ascii="Calibri" w:hAnsi="Calibri" w:cs="Calibri Light"/>
          <w:iCs/>
          <w:color w:val="000000"/>
        </w:rPr>
        <w:t>.</w:t>
      </w:r>
    </w:p>
    <w:p w14:paraId="522946C7" w14:textId="148D32B6" w:rsidR="001E4C43" w:rsidRDefault="001C145C" w:rsidP="00903806">
      <w:pPr>
        <w:spacing w:line="240" w:lineRule="auto"/>
        <w:ind w:left="1450" w:right="573"/>
        <w:rPr>
          <w:rFonts w:ascii="Calibri" w:hAnsi="Calibri" w:cs="Calibri Light"/>
          <w:iCs/>
          <w:color w:val="000000"/>
        </w:rPr>
      </w:pPr>
      <w:r w:rsidRPr="001E4C43">
        <w:rPr>
          <w:rFonts w:ascii="Calibri" w:hAnsi="Calibri" w:cs="Calibri Light"/>
          <w:iCs/>
          <w:color w:val="000000"/>
        </w:rPr>
        <w:t>‘Our TAF worker got the right people involved right at the start, she managed to</w:t>
      </w:r>
      <w:r w:rsidR="001E4C43">
        <w:rPr>
          <w:rFonts w:ascii="Calibri" w:hAnsi="Calibri" w:cs="Calibri Light"/>
          <w:iCs/>
          <w:color w:val="000000"/>
        </w:rPr>
        <w:t xml:space="preserve"> </w:t>
      </w:r>
      <w:r w:rsidRPr="001E4C43">
        <w:rPr>
          <w:rFonts w:ascii="Calibri" w:hAnsi="Calibri" w:cs="Calibri Light"/>
          <w:iCs/>
          <w:color w:val="000000"/>
        </w:rPr>
        <w:t xml:space="preserve">get everything I asked for and it was tailored to our family needs’. </w:t>
      </w:r>
    </w:p>
    <w:p w14:paraId="046A5C74" w14:textId="5DC7B9A1" w:rsidR="001C145C" w:rsidRPr="001E4C43" w:rsidRDefault="001C145C" w:rsidP="00903806">
      <w:pPr>
        <w:spacing w:line="240" w:lineRule="auto"/>
        <w:ind w:left="1450" w:right="573"/>
        <w:rPr>
          <w:rFonts w:ascii="Calibri" w:hAnsi="Calibri" w:cs="Calibri Light"/>
          <w:iCs/>
          <w:color w:val="000000"/>
        </w:rPr>
      </w:pPr>
      <w:r w:rsidRPr="001E4C43">
        <w:rPr>
          <w:rFonts w:ascii="Calibri" w:hAnsi="Calibri" w:cs="Calibri Light"/>
          <w:iCs/>
          <w:color w:val="000000"/>
        </w:rPr>
        <w:t>‘This has given our family a way forward to achieve our goals’.</w:t>
      </w:r>
    </w:p>
    <w:p w14:paraId="3789177D" w14:textId="5F027862" w:rsidR="001C145C" w:rsidRDefault="001E4C43" w:rsidP="00903806">
      <w:pPr>
        <w:spacing w:line="480" w:lineRule="auto"/>
        <w:ind w:right="573"/>
        <w:jc w:val="right"/>
      </w:pPr>
      <w:r>
        <w:t xml:space="preserve">                                                                                                                                                                                                                        CTAF</w:t>
      </w:r>
      <w:r w:rsidR="00977F2A">
        <w:t xml:space="preserve"> Handbook</w:t>
      </w:r>
      <w:r>
        <w:t xml:space="preserve"> </w:t>
      </w:r>
      <w:r w:rsidR="00977F2A">
        <w:t>(page 9)</w:t>
      </w:r>
    </w:p>
    <w:p w14:paraId="3D95397E" w14:textId="6B990744" w:rsidR="000630A7" w:rsidRDefault="001C145C" w:rsidP="00903806">
      <w:pPr>
        <w:spacing w:line="480" w:lineRule="auto"/>
        <w:ind w:left="10" w:right="573"/>
      </w:pPr>
      <w:r>
        <w:rPr>
          <w:i/>
        </w:rPr>
        <w:t xml:space="preserve"> </w:t>
      </w:r>
      <w:r w:rsidR="005430B1">
        <w:t xml:space="preserve">The importance of early intervention has been shown to be successful and the availability of all round relevant support for families has prevented families getting to a crisis point where emergency intervention may be needed. The TIS program in Swansea is an example of success. </w:t>
      </w:r>
      <w:r w:rsidR="00A7504F">
        <w:t xml:space="preserve">The success of a TAF referral is clearly when a family has accessed the needed support and finally the review identifies that this support is no longer needed. The benefits of TAF are that the children and families can say what they want, and the professional staff can identify how the needs can be met accessing the appropriate agencies. In addition, all the collected information is stored securely so the organisations can have the full picture of the family and the support and progress being made. </w:t>
      </w:r>
    </w:p>
    <w:p w14:paraId="6B5D6BE9" w14:textId="4A9DEE56" w:rsidR="00A7504F" w:rsidRDefault="00380DA3" w:rsidP="00903806">
      <w:pPr>
        <w:spacing w:line="480" w:lineRule="auto"/>
        <w:ind w:left="10" w:right="573"/>
      </w:pPr>
      <w:r>
        <w:t>It seems apparent that multi-agency working will provide a solution for the issues which were identified in the Laming Report. A main issue being the lack of communication between the agencies and duplication of work where no one group had a full picture of a family’s or child’s circumstance and changes of circumstance. Therefore no one service took responsibility for the failings which occurred. There are however, many challenges and barriers which may cause multi-agency working to be difficult. The challenges can be funding issues, roles and responsibilities, competing priorities and communication. There may be a general lack of funding or even disputes between the agencies where some are considered cash rich compared with others. Roles and responsibilities</w:t>
      </w:r>
      <w:r w:rsidR="002249E1">
        <w:t xml:space="preserve"> </w:t>
      </w:r>
      <w:r>
        <w:t xml:space="preserve">can cause disputes, for example when </w:t>
      </w:r>
      <w:r w:rsidR="002249E1">
        <w:t xml:space="preserve">a decision from one service may have implications on another. A decision on housing may mean </w:t>
      </w:r>
      <w:r w:rsidR="002249E1">
        <w:lastRenderedPageBreak/>
        <w:t>that a child must move schools. Educationally, there may be a feeling that this is not the best for the child at that time especially if the child is happy at their school and making good progress. Multi-agency working can also be demanding of time as individuals may claim they take longer to work with multiple agencies than independently. Other challenges may include the need for efficient data collection, data sharing and staff training.</w:t>
      </w:r>
    </w:p>
    <w:p w14:paraId="298A49E0" w14:textId="24EF982F" w:rsidR="001E4C43" w:rsidRDefault="001E4C43" w:rsidP="00903806">
      <w:pPr>
        <w:spacing w:line="480" w:lineRule="auto"/>
        <w:ind w:right="573"/>
      </w:pPr>
      <w:r>
        <w:t>In conclusion, multi-agency working has been evident in the U.K. since the Laming report.</w:t>
      </w:r>
      <w:r w:rsidR="003703A0">
        <w:t xml:space="preserve"> Both the English and Welsh Government have produces follow up reports which require local authorities to have a multi-agency approach to promote the safeguarding of children and families. Although there are challenges and barriers to multi-agency working</w:t>
      </w:r>
      <w:r w:rsidR="0065009D">
        <w:t>,</w:t>
      </w:r>
      <w:r w:rsidR="003703A0">
        <w:t xml:space="preserve"> </w:t>
      </w:r>
      <w:r w:rsidR="0065009D">
        <w:t>m</w:t>
      </w:r>
      <w:r w:rsidR="003703A0">
        <w:t>any of the barriers will hopefully be resolved as the personnel involved get used to the requirements of multi-agency work. For multi-agency working to be successful, the authorities must be prepared to allocate enough funding for the processes to take place. When services are used to working with each other the disputes between role and responsibilities will be resolved. Professionals involved in multi-agency work are seeing the benefit from both the families and the service providers.</w:t>
      </w:r>
      <w:r w:rsidR="0065009D">
        <w:t xml:space="preserve">  Multi-agency working provides a wider range of services which are quicker to access. This early intervention means that individuals and families have better support with their needs addressed more appropriately as families will have one main point of contact who will identify their needs instead of being passed from one agency to another repeating their circumstances to many providers. Multi agency working centralises the information about the family which can be accessed by appropriate services. </w:t>
      </w:r>
      <w:r w:rsidR="001F3F32">
        <w:t xml:space="preserve">Education has a major role to contribute as one of these services and often the first sign of a problem within a family presents at school. For example, a child’s non-attendance, change in behaviour or even physical signs of harm are all indicators that must be acted on immediately. It is extremely important that appropriate support for these families and children in need is achieved by early intervention to the appropriate range of agencies who all have the full picture of the family’s </w:t>
      </w:r>
      <w:r w:rsidR="001F3F32">
        <w:lastRenderedPageBreak/>
        <w:t>circumstances. This multi-agency approach should reduce the chances of tragedies such as the Victoria Climbe case happening again.</w:t>
      </w:r>
      <w:r w:rsidR="005E6B30">
        <w:t xml:space="preserve"> </w:t>
      </w:r>
    </w:p>
    <w:p w14:paraId="16AE14C0" w14:textId="2F5EBCC7" w:rsidR="00903806" w:rsidRDefault="00903806" w:rsidP="00903806">
      <w:pPr>
        <w:spacing w:line="480" w:lineRule="auto"/>
        <w:ind w:right="573"/>
        <w:rPr>
          <w:rFonts w:ascii="Open Sans" w:hAnsi="Open Sans" w:cs="Arial"/>
          <w:color w:val="1C1D1E"/>
          <w:sz w:val="27"/>
          <w:szCs w:val="27"/>
          <w:lang w:val="en"/>
        </w:rPr>
      </w:pPr>
    </w:p>
    <w:p w14:paraId="607CEC84" w14:textId="338A7612" w:rsidR="00903806" w:rsidRDefault="00903806" w:rsidP="00903806">
      <w:pPr>
        <w:spacing w:line="480" w:lineRule="auto"/>
        <w:ind w:right="573"/>
        <w:rPr>
          <w:rFonts w:ascii="Open Sans" w:hAnsi="Open Sans" w:cs="Arial"/>
          <w:color w:val="1C1D1E"/>
          <w:sz w:val="27"/>
          <w:szCs w:val="27"/>
          <w:lang w:val="en"/>
        </w:rPr>
      </w:pPr>
    </w:p>
    <w:p w14:paraId="61E05C84" w14:textId="2E3A6DCB" w:rsidR="00903806" w:rsidRDefault="00903806" w:rsidP="00903806">
      <w:pPr>
        <w:ind w:right="573"/>
        <w:jc w:val="right"/>
        <w:rPr>
          <w:rFonts w:ascii="Open Sans" w:hAnsi="Open Sans" w:cs="Arial"/>
          <w:color w:val="1C1D1E"/>
          <w:sz w:val="27"/>
          <w:szCs w:val="27"/>
          <w:lang w:val="en"/>
        </w:rPr>
      </w:pPr>
      <w:r>
        <w:rPr>
          <w:rFonts w:ascii="Open Sans" w:hAnsi="Open Sans" w:cs="Arial"/>
          <w:color w:val="1C1D1E"/>
          <w:sz w:val="27"/>
          <w:szCs w:val="27"/>
          <w:lang w:val="en"/>
        </w:rPr>
        <w:t>2930 words</w:t>
      </w:r>
    </w:p>
    <w:p w14:paraId="045DB623" w14:textId="1A211D9B" w:rsidR="008B4173" w:rsidRDefault="008B4173" w:rsidP="00AB68C9">
      <w:pPr>
        <w:ind w:right="573"/>
      </w:pPr>
    </w:p>
    <w:p w14:paraId="03798254" w14:textId="67897AC6" w:rsidR="008B4173" w:rsidRDefault="008B4173" w:rsidP="00AB68C9">
      <w:pPr>
        <w:ind w:right="573"/>
      </w:pPr>
    </w:p>
    <w:p w14:paraId="2037E8DB" w14:textId="1BECD4C1" w:rsidR="008B4173" w:rsidRDefault="008B4173" w:rsidP="00AB68C9">
      <w:pPr>
        <w:ind w:right="573"/>
      </w:pPr>
    </w:p>
    <w:p w14:paraId="2328DA13" w14:textId="7142D4DB" w:rsidR="008B4173" w:rsidRDefault="008B4173" w:rsidP="00AB68C9">
      <w:pPr>
        <w:ind w:right="573"/>
      </w:pPr>
    </w:p>
    <w:p w14:paraId="2BECBA1D" w14:textId="33ACBB62" w:rsidR="008B4173" w:rsidRDefault="008B4173" w:rsidP="00AB68C9">
      <w:pPr>
        <w:ind w:right="573"/>
      </w:pPr>
    </w:p>
    <w:p w14:paraId="049D7812" w14:textId="2813F95F" w:rsidR="008B4173" w:rsidRDefault="008B4173" w:rsidP="00AB68C9">
      <w:pPr>
        <w:ind w:right="573"/>
      </w:pPr>
    </w:p>
    <w:p w14:paraId="21527925" w14:textId="73FE4CCA" w:rsidR="008B4173" w:rsidRDefault="008B4173" w:rsidP="00AB68C9">
      <w:pPr>
        <w:ind w:right="573"/>
      </w:pPr>
    </w:p>
    <w:p w14:paraId="7DD4E51A" w14:textId="6B66233C" w:rsidR="008B4173" w:rsidRDefault="008B4173" w:rsidP="00AB68C9">
      <w:pPr>
        <w:ind w:right="573"/>
      </w:pPr>
    </w:p>
    <w:p w14:paraId="48629A53" w14:textId="09C740CA" w:rsidR="008B4173" w:rsidRDefault="008B4173" w:rsidP="00AB68C9">
      <w:pPr>
        <w:ind w:right="573"/>
      </w:pPr>
    </w:p>
    <w:p w14:paraId="3C0D48AB" w14:textId="64A9A64E" w:rsidR="008B4173" w:rsidRDefault="008B4173" w:rsidP="00AB68C9">
      <w:pPr>
        <w:ind w:right="573"/>
      </w:pPr>
    </w:p>
    <w:p w14:paraId="5B5DE489" w14:textId="3C1552AE" w:rsidR="008B4173" w:rsidRDefault="008B4173" w:rsidP="00AB68C9">
      <w:pPr>
        <w:ind w:right="573"/>
      </w:pPr>
    </w:p>
    <w:p w14:paraId="1911C12B" w14:textId="592C4DEF" w:rsidR="008B4173" w:rsidRDefault="008B4173" w:rsidP="00AB68C9">
      <w:pPr>
        <w:ind w:right="573"/>
      </w:pPr>
    </w:p>
    <w:p w14:paraId="0DB7CEFC" w14:textId="77777777" w:rsidR="00D55F0C" w:rsidRDefault="00D55F0C" w:rsidP="00F71273">
      <w:pPr>
        <w:spacing w:after="115" w:line="480" w:lineRule="auto"/>
        <w:ind w:right="15"/>
      </w:pPr>
    </w:p>
    <w:p w14:paraId="002D4482" w14:textId="77777777" w:rsidR="00903806" w:rsidRDefault="00903806" w:rsidP="00F71273">
      <w:pPr>
        <w:spacing w:after="115" w:line="480" w:lineRule="auto"/>
        <w:ind w:right="15"/>
        <w:rPr>
          <w:u w:val="single"/>
        </w:rPr>
      </w:pPr>
    </w:p>
    <w:p w14:paraId="49575D57" w14:textId="77777777" w:rsidR="00903806" w:rsidRDefault="00903806" w:rsidP="00F71273">
      <w:pPr>
        <w:spacing w:after="115" w:line="480" w:lineRule="auto"/>
        <w:ind w:right="15"/>
        <w:rPr>
          <w:u w:val="single"/>
        </w:rPr>
      </w:pPr>
    </w:p>
    <w:p w14:paraId="44B1B4FD" w14:textId="77777777" w:rsidR="00903806" w:rsidRDefault="00903806" w:rsidP="00F71273">
      <w:pPr>
        <w:spacing w:after="115" w:line="480" w:lineRule="auto"/>
        <w:ind w:right="15"/>
        <w:rPr>
          <w:u w:val="single"/>
        </w:rPr>
      </w:pPr>
    </w:p>
    <w:p w14:paraId="7491CFED" w14:textId="77777777" w:rsidR="00903806" w:rsidRDefault="00903806" w:rsidP="00F71273">
      <w:pPr>
        <w:spacing w:after="115" w:line="480" w:lineRule="auto"/>
        <w:ind w:right="15"/>
        <w:rPr>
          <w:u w:val="single"/>
        </w:rPr>
      </w:pPr>
    </w:p>
    <w:p w14:paraId="4A7CAF4B" w14:textId="77777777" w:rsidR="00903806" w:rsidRDefault="00903806" w:rsidP="00F71273">
      <w:pPr>
        <w:spacing w:after="115" w:line="480" w:lineRule="auto"/>
        <w:ind w:right="15"/>
        <w:rPr>
          <w:u w:val="single"/>
        </w:rPr>
      </w:pPr>
    </w:p>
    <w:p w14:paraId="1DE8DB79" w14:textId="77777777" w:rsidR="00903806" w:rsidRDefault="00903806" w:rsidP="00F71273">
      <w:pPr>
        <w:spacing w:after="115" w:line="480" w:lineRule="auto"/>
        <w:ind w:right="15"/>
        <w:rPr>
          <w:u w:val="single"/>
        </w:rPr>
      </w:pPr>
    </w:p>
    <w:p w14:paraId="53ED626F" w14:textId="77777777" w:rsidR="00903806" w:rsidRDefault="00903806" w:rsidP="00F71273">
      <w:pPr>
        <w:spacing w:after="115" w:line="480" w:lineRule="auto"/>
        <w:ind w:right="15"/>
        <w:rPr>
          <w:u w:val="single"/>
        </w:rPr>
      </w:pPr>
    </w:p>
    <w:p w14:paraId="2104D3D2" w14:textId="093867A9" w:rsidR="00737CEA" w:rsidRPr="005B053E" w:rsidRDefault="00CE123E" w:rsidP="00F71273">
      <w:pPr>
        <w:spacing w:after="115" w:line="480" w:lineRule="auto"/>
        <w:ind w:right="15"/>
        <w:rPr>
          <w:u w:val="single"/>
        </w:rPr>
      </w:pPr>
      <w:r w:rsidRPr="005B053E">
        <w:rPr>
          <w:u w:val="single"/>
        </w:rPr>
        <w:lastRenderedPageBreak/>
        <w:t>References</w:t>
      </w:r>
    </w:p>
    <w:p w14:paraId="328C377B" w14:textId="556A8039" w:rsidR="00533F7E" w:rsidRDefault="00533F7E" w:rsidP="00F71273">
      <w:pPr>
        <w:spacing w:after="115" w:line="480" w:lineRule="auto"/>
        <w:ind w:right="15"/>
      </w:pPr>
      <w:r>
        <w:t xml:space="preserve">DfES. (2006) </w:t>
      </w:r>
      <w:r w:rsidRPr="00533F7E">
        <w:rPr>
          <w:i/>
        </w:rPr>
        <w:t>Every Child Matters; Change for Children</w:t>
      </w:r>
      <w:r>
        <w:t>, London: DfES</w:t>
      </w:r>
    </w:p>
    <w:p w14:paraId="71C5ED9C" w14:textId="183544DD" w:rsidR="00533F7E" w:rsidRDefault="00533F7E" w:rsidP="00F71273">
      <w:pPr>
        <w:spacing w:after="115" w:line="480" w:lineRule="auto"/>
        <w:ind w:right="15"/>
      </w:pPr>
      <w:r>
        <w:t xml:space="preserve">Welsh Assembly Government (2004) </w:t>
      </w:r>
      <w:r w:rsidRPr="00533F7E">
        <w:rPr>
          <w:i/>
        </w:rPr>
        <w:t>Children and Young People: Rights to Action</w:t>
      </w:r>
      <w:r>
        <w:t>. Cardiff: WAG</w:t>
      </w:r>
    </w:p>
    <w:p w14:paraId="595F9590" w14:textId="77777777" w:rsidR="00977F2A" w:rsidRDefault="00977F2A" w:rsidP="00F71273">
      <w:pPr>
        <w:spacing w:after="115" w:line="480" w:lineRule="auto"/>
        <w:ind w:right="15"/>
      </w:pPr>
      <w:r>
        <w:t xml:space="preserve">Home Office, (2014) </w:t>
      </w:r>
      <w:r w:rsidRPr="00533F7E">
        <w:rPr>
          <w:i/>
        </w:rPr>
        <w:t>Multi-Agency Working and Information Sharing Project, Final report</w:t>
      </w:r>
      <w:r>
        <w:t xml:space="preserve"> (July 2014), Crown Copyright</w:t>
      </w:r>
    </w:p>
    <w:p w14:paraId="4E9F8935" w14:textId="07AA2239" w:rsidR="00977F2A" w:rsidRDefault="0092533B" w:rsidP="00F71273">
      <w:pPr>
        <w:spacing w:after="115" w:line="480" w:lineRule="auto"/>
        <w:ind w:right="15"/>
      </w:pPr>
      <w:hyperlink r:id="rId6" w:history="1">
        <w:r w:rsidR="00977F2A" w:rsidRPr="00F71273">
          <w:rPr>
            <w:rStyle w:val="Hyperlink"/>
            <w:color w:val="000000" w:themeColor="text1"/>
            <w:u w:val="none"/>
          </w:rPr>
          <w:t>https://www.cardiffpartnership.co.uk/wp-content/uploads/CTAF_Handbook_V3.pdf</w:t>
        </w:r>
      </w:hyperlink>
      <w:r w:rsidR="00977F2A" w:rsidRPr="00F71273">
        <w:t xml:space="preserve"> </w:t>
      </w:r>
      <w:r w:rsidR="00977F2A">
        <w:t>(17/04/2014), Accessed 3/04/18</w:t>
      </w:r>
    </w:p>
    <w:p w14:paraId="1A5A160C" w14:textId="31B91940" w:rsidR="005E6B30" w:rsidRDefault="00677434" w:rsidP="00737CEA">
      <w:pPr>
        <w:spacing w:after="115" w:line="293" w:lineRule="auto"/>
        <w:ind w:right="15"/>
        <w:rPr>
          <w:u w:val="single"/>
        </w:rPr>
      </w:pPr>
      <w:r w:rsidRPr="005B053E">
        <w:rPr>
          <w:u w:val="single"/>
        </w:rPr>
        <w:t>Bibliography</w:t>
      </w:r>
    </w:p>
    <w:p w14:paraId="250A886A" w14:textId="77777777" w:rsidR="00F71273" w:rsidRDefault="00F71273" w:rsidP="00737CEA">
      <w:pPr>
        <w:spacing w:after="115" w:line="293" w:lineRule="auto"/>
        <w:ind w:right="15"/>
        <w:rPr>
          <w:u w:val="single"/>
        </w:rPr>
      </w:pPr>
    </w:p>
    <w:p w14:paraId="5777CE6A" w14:textId="42712F8A" w:rsidR="00B87DD4" w:rsidRPr="004E18CF" w:rsidRDefault="004E18CF" w:rsidP="00F71273">
      <w:pPr>
        <w:spacing w:after="115" w:line="480" w:lineRule="auto"/>
        <w:ind w:right="15"/>
        <w:rPr>
          <w:i/>
          <w:u w:val="single"/>
        </w:rPr>
      </w:pPr>
      <w:r w:rsidRPr="005B053E">
        <w:t>Atkinson, M</w:t>
      </w:r>
      <w:r>
        <w:t>. Jones,</w:t>
      </w:r>
      <w:r w:rsidR="00903806">
        <w:t xml:space="preserve"> </w:t>
      </w:r>
      <w:r>
        <w:t xml:space="preserve">M. Lamont, E. (July 2007) </w:t>
      </w:r>
      <w:r>
        <w:rPr>
          <w:i/>
        </w:rPr>
        <w:t>Multi-agency working and its implications for practice: A Review of the Literature,</w:t>
      </w:r>
      <w:r>
        <w:t xml:space="preserve"> LONDON: CfBT</w:t>
      </w:r>
      <w:r>
        <w:rPr>
          <w:i/>
        </w:rPr>
        <w:t xml:space="preserve"> </w:t>
      </w:r>
    </w:p>
    <w:p w14:paraId="407B221B" w14:textId="1E5F7FDB" w:rsidR="005B053E" w:rsidRPr="00B87DD4" w:rsidRDefault="005B053E" w:rsidP="00F71273">
      <w:pPr>
        <w:spacing w:after="115" w:line="480" w:lineRule="auto"/>
        <w:ind w:right="15"/>
      </w:pPr>
      <w:r w:rsidRPr="005B053E">
        <w:t>Atkinson, M</w:t>
      </w:r>
      <w:r>
        <w:t xml:space="preserve">. Wilkin, A. Stott, A. Doherty, P. and </w:t>
      </w:r>
      <w:r w:rsidR="00B87DD4">
        <w:t>Kinder, K. (2002)</w:t>
      </w:r>
      <w:r w:rsidR="00B87DD4">
        <w:rPr>
          <w:i/>
        </w:rPr>
        <w:t xml:space="preserve"> Multi-agency working: A detailed study, </w:t>
      </w:r>
      <w:r w:rsidR="00B87DD4" w:rsidRPr="00B87DD4">
        <w:t>London:</w:t>
      </w:r>
      <w:r w:rsidR="00B87DD4">
        <w:t xml:space="preserve"> </w:t>
      </w:r>
      <w:r w:rsidR="00B87DD4" w:rsidRPr="00B87DD4">
        <w:t>NFER</w:t>
      </w:r>
    </w:p>
    <w:p w14:paraId="32D43175" w14:textId="02EDD503" w:rsidR="005E6B30" w:rsidRDefault="00677434" w:rsidP="00F71273">
      <w:pPr>
        <w:spacing w:after="115" w:line="480" w:lineRule="auto"/>
        <w:ind w:right="15"/>
      </w:pPr>
      <w:r>
        <w:t>Cheminais, R. (2009</w:t>
      </w:r>
      <w:r w:rsidRPr="00677434">
        <w:rPr>
          <w:i/>
        </w:rPr>
        <w:t>) Effective Multi-Agency Partnerships: Putting Every Child Matters into Practice</w:t>
      </w:r>
      <w:r>
        <w:t>, London: Sage</w:t>
      </w:r>
    </w:p>
    <w:p w14:paraId="7911756E" w14:textId="2BDF950C" w:rsidR="005B053E" w:rsidRDefault="005B053E" w:rsidP="00F71273">
      <w:pPr>
        <w:spacing w:after="115" w:line="480" w:lineRule="auto"/>
        <w:ind w:right="15"/>
      </w:pPr>
      <w:r>
        <w:t xml:space="preserve">Department of Children Schools and family (2008) </w:t>
      </w:r>
      <w:r>
        <w:rPr>
          <w:i/>
        </w:rPr>
        <w:t>Children’s Trusts, Statutory Guidance on Inter agency co-operation to improve the well</w:t>
      </w:r>
      <w:r w:rsidR="00B87DD4">
        <w:rPr>
          <w:i/>
        </w:rPr>
        <w:t>-</w:t>
      </w:r>
      <w:r>
        <w:rPr>
          <w:i/>
        </w:rPr>
        <w:t xml:space="preserve">being of children young people and their families. </w:t>
      </w:r>
      <w:r w:rsidRPr="005B053E">
        <w:t>Crown Copyright</w:t>
      </w:r>
    </w:p>
    <w:p w14:paraId="255E3EF9" w14:textId="3B94948A" w:rsidR="00CE123E" w:rsidRDefault="00CE123E" w:rsidP="00F71273">
      <w:pPr>
        <w:spacing w:after="115" w:line="480" w:lineRule="auto"/>
        <w:ind w:right="15"/>
      </w:pPr>
      <w:r>
        <w:t xml:space="preserve">Lord Laming, (2003) </w:t>
      </w:r>
      <w:r w:rsidRPr="00533F7E">
        <w:rPr>
          <w:i/>
        </w:rPr>
        <w:t>The Victoria Climbe Inquiry</w:t>
      </w:r>
      <w:r>
        <w:t>, Crown Copyright</w:t>
      </w:r>
    </w:p>
    <w:p w14:paraId="7DA6CA88" w14:textId="63A9E459" w:rsidR="00737CEA" w:rsidRPr="00903806" w:rsidRDefault="001E4C43" w:rsidP="00737CEA">
      <w:pPr>
        <w:spacing w:after="115" w:line="293" w:lineRule="auto"/>
        <w:ind w:right="15"/>
        <w:rPr>
          <w:u w:val="single"/>
        </w:rPr>
      </w:pPr>
      <w:r w:rsidRPr="005B053E">
        <w:rPr>
          <w:u w:val="single"/>
        </w:rPr>
        <w:t xml:space="preserve">Web sites Accessed </w:t>
      </w:r>
    </w:p>
    <w:p w14:paraId="789A8F67" w14:textId="1C0C627D" w:rsidR="00D33230" w:rsidRDefault="0092533B" w:rsidP="00D33230">
      <w:pPr>
        <w:spacing w:after="136" w:line="293" w:lineRule="auto"/>
        <w:ind w:right="15"/>
        <w:rPr>
          <w:color w:val="000000" w:themeColor="text1"/>
        </w:rPr>
      </w:pPr>
      <w:hyperlink r:id="rId7" w:history="1">
        <w:r w:rsidR="00533F7E" w:rsidRPr="00F71273">
          <w:rPr>
            <w:rStyle w:val="Hyperlink"/>
            <w:color w:val="000000" w:themeColor="text1"/>
            <w:u w:val="none"/>
          </w:rPr>
          <w:t>http://www.durham.gov.uk/strongerfamilies</w:t>
        </w:r>
      </w:hyperlink>
      <w:r w:rsidR="00F71273">
        <w:rPr>
          <w:color w:val="000000" w:themeColor="text1"/>
        </w:rPr>
        <w:t>,  Accessed</w:t>
      </w:r>
      <w:r w:rsidR="00903806">
        <w:rPr>
          <w:color w:val="000000" w:themeColor="text1"/>
        </w:rPr>
        <w:t xml:space="preserve"> </w:t>
      </w:r>
      <w:r w:rsidR="00F71273">
        <w:rPr>
          <w:color w:val="000000" w:themeColor="text1"/>
        </w:rPr>
        <w:t>(14/04/18)</w:t>
      </w:r>
    </w:p>
    <w:p w14:paraId="66CF172D" w14:textId="77777777" w:rsidR="00F71273" w:rsidRDefault="00F71273" w:rsidP="00D33230">
      <w:pPr>
        <w:spacing w:after="136" w:line="293" w:lineRule="auto"/>
        <w:ind w:right="15"/>
        <w:rPr>
          <w:color w:val="000000" w:themeColor="text1"/>
        </w:rPr>
      </w:pPr>
    </w:p>
    <w:p w14:paraId="3AA6411C" w14:textId="54E62453" w:rsidR="00F71273" w:rsidRDefault="0092533B" w:rsidP="00F71273">
      <w:pPr>
        <w:spacing w:after="136" w:line="293" w:lineRule="auto"/>
        <w:ind w:right="15"/>
        <w:rPr>
          <w:color w:val="000000" w:themeColor="text1"/>
        </w:rPr>
      </w:pPr>
      <w:hyperlink r:id="rId8" w:history="1">
        <w:r w:rsidR="00F71273" w:rsidRPr="00F71273">
          <w:rPr>
            <w:rStyle w:val="Hyperlink"/>
            <w:color w:val="000000" w:themeColor="text1"/>
            <w:u w:val="none"/>
          </w:rPr>
          <w:t>https://www.pembrokeshire.gov.uk/childrens-services/team-around-the-family</w:t>
        </w:r>
      </w:hyperlink>
      <w:r w:rsidR="00F71273">
        <w:rPr>
          <w:color w:val="000000" w:themeColor="text1"/>
        </w:rPr>
        <w:t>,</w:t>
      </w:r>
      <w:r w:rsidR="00F71273" w:rsidRPr="00F71273">
        <w:rPr>
          <w:color w:val="000000" w:themeColor="text1"/>
        </w:rPr>
        <w:t xml:space="preserve"> </w:t>
      </w:r>
      <w:r w:rsidR="00F71273">
        <w:rPr>
          <w:color w:val="000000" w:themeColor="text1"/>
        </w:rPr>
        <w:t>Accessed</w:t>
      </w:r>
      <w:r w:rsidR="00903806">
        <w:rPr>
          <w:color w:val="000000" w:themeColor="text1"/>
        </w:rPr>
        <w:t xml:space="preserve"> </w:t>
      </w:r>
      <w:r w:rsidR="00F71273">
        <w:rPr>
          <w:color w:val="000000" w:themeColor="text1"/>
        </w:rPr>
        <w:t>(04/04/18)</w:t>
      </w:r>
    </w:p>
    <w:p w14:paraId="6186D640" w14:textId="7CE364FD" w:rsidR="00F71273" w:rsidRPr="00F71273" w:rsidRDefault="00F71273" w:rsidP="00D33230">
      <w:pPr>
        <w:spacing w:after="136" w:line="293" w:lineRule="auto"/>
        <w:ind w:right="15"/>
        <w:rPr>
          <w:color w:val="000000" w:themeColor="text1"/>
        </w:rPr>
      </w:pPr>
    </w:p>
    <w:p w14:paraId="5C0D0C2B" w14:textId="222B2330" w:rsidR="00F71273" w:rsidRDefault="0092533B" w:rsidP="00F71273">
      <w:pPr>
        <w:spacing w:after="136" w:line="293" w:lineRule="auto"/>
        <w:ind w:right="15"/>
        <w:rPr>
          <w:color w:val="000000" w:themeColor="text1"/>
        </w:rPr>
      </w:pPr>
      <w:hyperlink r:id="rId9" w:history="1">
        <w:r w:rsidR="00F71273" w:rsidRPr="00F71273">
          <w:rPr>
            <w:rStyle w:val="Hyperlink"/>
            <w:color w:val="000000" w:themeColor="text1"/>
            <w:u w:val="none"/>
          </w:rPr>
          <w:t>https://www.cardiffpartnership.co.uk/partnership-delivery/families-first/team-around-the-family</w:t>
        </w:r>
      </w:hyperlink>
      <w:r w:rsidR="00F71273">
        <w:rPr>
          <w:color w:val="000000" w:themeColor="text1"/>
        </w:rPr>
        <w:t>,</w:t>
      </w:r>
      <w:r w:rsidR="00F71273" w:rsidRPr="00F71273">
        <w:rPr>
          <w:color w:val="000000" w:themeColor="text1"/>
        </w:rPr>
        <w:t xml:space="preserve"> </w:t>
      </w:r>
      <w:r w:rsidR="00F71273">
        <w:rPr>
          <w:color w:val="000000" w:themeColor="text1"/>
        </w:rPr>
        <w:t>Accessed</w:t>
      </w:r>
      <w:r w:rsidR="00903806">
        <w:rPr>
          <w:color w:val="000000" w:themeColor="text1"/>
        </w:rPr>
        <w:t xml:space="preserve"> </w:t>
      </w:r>
      <w:r w:rsidR="00F71273">
        <w:rPr>
          <w:color w:val="000000" w:themeColor="text1"/>
        </w:rPr>
        <w:t>(01/04/18)</w:t>
      </w:r>
    </w:p>
    <w:p w14:paraId="11B19B04" w14:textId="41DD2624" w:rsidR="00F71273" w:rsidRDefault="00F71273" w:rsidP="00D33230">
      <w:pPr>
        <w:spacing w:after="136" w:line="293" w:lineRule="auto"/>
        <w:ind w:right="15"/>
        <w:rPr>
          <w:color w:val="000000" w:themeColor="text1"/>
        </w:rPr>
      </w:pPr>
    </w:p>
    <w:p w14:paraId="5D3BF23C" w14:textId="6BF1B0BE" w:rsidR="00F71273" w:rsidRDefault="00F71273" w:rsidP="00F71273">
      <w:pPr>
        <w:spacing w:after="136" w:line="293" w:lineRule="auto"/>
        <w:ind w:right="15"/>
        <w:rPr>
          <w:color w:val="000000" w:themeColor="text1"/>
        </w:rPr>
      </w:pPr>
      <w:r w:rsidRPr="00F71273">
        <w:rPr>
          <w:color w:val="000000" w:themeColor="text1"/>
        </w:rPr>
        <w:t>http://fis.carmarthenshire.gov.uk/eng/taf_e.htm</w:t>
      </w:r>
      <w:r>
        <w:rPr>
          <w:color w:val="000000" w:themeColor="text1"/>
        </w:rPr>
        <w:t>,</w:t>
      </w:r>
      <w:r w:rsidRPr="00F71273">
        <w:rPr>
          <w:color w:val="000000" w:themeColor="text1"/>
        </w:rPr>
        <w:t xml:space="preserve"> </w:t>
      </w:r>
      <w:r>
        <w:rPr>
          <w:color w:val="000000" w:themeColor="text1"/>
        </w:rPr>
        <w:t>Accessed</w:t>
      </w:r>
      <w:r w:rsidR="00903806">
        <w:rPr>
          <w:color w:val="000000" w:themeColor="text1"/>
        </w:rPr>
        <w:t xml:space="preserve"> </w:t>
      </w:r>
      <w:r>
        <w:rPr>
          <w:color w:val="000000" w:themeColor="text1"/>
        </w:rPr>
        <w:t>(25/03/18)</w:t>
      </w:r>
    </w:p>
    <w:p w14:paraId="4081B4C5" w14:textId="2A320D7B" w:rsidR="00F71273" w:rsidRPr="00F71273" w:rsidRDefault="00F71273" w:rsidP="00D33230">
      <w:pPr>
        <w:spacing w:after="136" w:line="293" w:lineRule="auto"/>
        <w:ind w:right="15"/>
        <w:rPr>
          <w:color w:val="000000" w:themeColor="text1"/>
        </w:rPr>
      </w:pPr>
    </w:p>
    <w:p w14:paraId="722C09DA" w14:textId="32164DBA" w:rsidR="00F71273" w:rsidRDefault="0092533B" w:rsidP="00F71273">
      <w:pPr>
        <w:spacing w:after="136" w:line="293" w:lineRule="auto"/>
        <w:ind w:right="15"/>
        <w:rPr>
          <w:color w:val="000000" w:themeColor="text1"/>
        </w:rPr>
      </w:pPr>
      <w:hyperlink r:id="rId10" w:history="1">
        <w:r w:rsidR="00F71273" w:rsidRPr="00F71273">
          <w:rPr>
            <w:rStyle w:val="Hyperlink"/>
            <w:color w:val="000000" w:themeColor="text1"/>
            <w:u w:val="none"/>
          </w:rPr>
          <w:t>http://swansea.gov.uk/taf</w:t>
        </w:r>
      </w:hyperlink>
      <w:r w:rsidR="00F71273">
        <w:rPr>
          <w:color w:val="000000" w:themeColor="text1"/>
        </w:rPr>
        <w:t>,</w:t>
      </w:r>
      <w:r w:rsidR="00F71273" w:rsidRPr="00F71273">
        <w:rPr>
          <w:color w:val="000000" w:themeColor="text1"/>
        </w:rPr>
        <w:t xml:space="preserve"> </w:t>
      </w:r>
      <w:r w:rsidR="00F71273">
        <w:rPr>
          <w:color w:val="000000" w:themeColor="text1"/>
        </w:rPr>
        <w:t>Accessed</w:t>
      </w:r>
      <w:r w:rsidR="00903806">
        <w:rPr>
          <w:color w:val="000000" w:themeColor="text1"/>
        </w:rPr>
        <w:t xml:space="preserve"> </w:t>
      </w:r>
      <w:r w:rsidR="00F71273">
        <w:rPr>
          <w:color w:val="000000" w:themeColor="text1"/>
        </w:rPr>
        <w:t>(25/03/18)</w:t>
      </w:r>
    </w:p>
    <w:p w14:paraId="7F78BAE2" w14:textId="37EF4B64" w:rsidR="00F71273" w:rsidRDefault="00F71273" w:rsidP="00D33230">
      <w:pPr>
        <w:spacing w:after="136" w:line="293" w:lineRule="auto"/>
        <w:ind w:right="15"/>
        <w:rPr>
          <w:color w:val="000000" w:themeColor="text1"/>
        </w:rPr>
      </w:pPr>
    </w:p>
    <w:p w14:paraId="7935F5E3" w14:textId="77777777" w:rsidR="00F71273" w:rsidRPr="00F71273" w:rsidRDefault="00F71273" w:rsidP="00D33230">
      <w:pPr>
        <w:spacing w:after="136" w:line="293" w:lineRule="auto"/>
        <w:ind w:right="15"/>
        <w:rPr>
          <w:color w:val="000000" w:themeColor="text1"/>
        </w:rPr>
      </w:pPr>
    </w:p>
    <w:p w14:paraId="40673E96" w14:textId="77777777" w:rsidR="00F71273" w:rsidRPr="00F71273" w:rsidRDefault="00F71273" w:rsidP="00D33230">
      <w:pPr>
        <w:spacing w:after="136" w:line="293" w:lineRule="auto"/>
        <w:ind w:right="15"/>
        <w:rPr>
          <w:color w:val="000000" w:themeColor="text1"/>
        </w:rPr>
      </w:pPr>
    </w:p>
    <w:p w14:paraId="0836006D" w14:textId="681E76F5" w:rsidR="00533F7E" w:rsidRDefault="00533F7E" w:rsidP="00D33230">
      <w:pPr>
        <w:spacing w:after="136" w:line="293" w:lineRule="auto"/>
        <w:ind w:right="15"/>
      </w:pPr>
    </w:p>
    <w:p w14:paraId="73C677FC" w14:textId="77777777" w:rsidR="00533F7E" w:rsidRDefault="00533F7E" w:rsidP="00D33230">
      <w:pPr>
        <w:spacing w:after="136" w:line="293" w:lineRule="auto"/>
        <w:ind w:right="15"/>
      </w:pPr>
    </w:p>
    <w:p w14:paraId="4190F097" w14:textId="77777777" w:rsidR="004F2EFC" w:rsidRDefault="004F2EFC" w:rsidP="00A46CDC"/>
    <w:p w14:paraId="3B20A33D" w14:textId="6E2320EA" w:rsidR="004F2EFC" w:rsidRDefault="004F2EFC" w:rsidP="00A46CDC"/>
    <w:p w14:paraId="54B2B555" w14:textId="77777777" w:rsidR="004F2EFC" w:rsidRDefault="004F2EFC" w:rsidP="00A46CDC"/>
    <w:p w14:paraId="29B95E99" w14:textId="77777777" w:rsidR="008A3CE4" w:rsidRDefault="008A3CE4"/>
    <w:sectPr w:rsidR="008A3C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Segoe UI Symbol">
    <w:charset w:val="00"/>
    <w:family w:val="swiss"/>
    <w:pitch w:val="variable"/>
    <w:sig w:usb0="800001E3" w:usb1="1200FFEF" w:usb2="0064C000" w:usb3="00000000" w:csb0="00000001"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Microsoft JhengHei Light">
    <w:charset w:val="80"/>
    <w:family w:val="swiss"/>
    <w:pitch w:val="variable"/>
    <w:sig w:usb0="A0000AEF" w:usb1="29CFFCFB" w:usb2="00000016" w:usb3="00000000" w:csb0="003E01BF" w:csb1="00000000"/>
  </w:font>
  <w:font w:name="Calibri Light">
    <w:panose1 w:val="020F0302020204030204"/>
    <w:charset w:val="00"/>
    <w:family w:val="swiss"/>
    <w:pitch w:val="variable"/>
    <w:sig w:usb0="A00002EF" w:usb1="4000207B" w:usb2="00000000" w:usb3="00000000" w:csb0="0000019F" w:csb1="00000000"/>
  </w:font>
  <w:font w:name="Open Sans">
    <w:altName w:val="Tahoma"/>
    <w:charset w:val="00"/>
    <w:family w:val="swiss"/>
    <w:pitch w:val="variable"/>
    <w:sig w:usb0="00000001" w:usb1="4000205B" w:usb2="00000028"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444DD8"/>
    <w:multiLevelType w:val="hybridMultilevel"/>
    <w:tmpl w:val="2B166492"/>
    <w:lvl w:ilvl="0" w:tplc="A4D62062">
      <w:start w:val="1"/>
      <w:numFmt w:val="bullet"/>
      <w:lvlText w:val="•"/>
      <w:lvlJc w:val="left"/>
      <w:pPr>
        <w:ind w:left="1723"/>
      </w:pPr>
      <w:rPr>
        <w:rFonts w:ascii="Calibri" w:eastAsia="Calibri" w:hAnsi="Calibri" w:cs="Calibri"/>
        <w:b w:val="0"/>
        <w:i w:val="0"/>
        <w:strike w:val="0"/>
        <w:dstrike w:val="0"/>
        <w:color w:val="8F2A7B"/>
        <w:sz w:val="24"/>
        <w:szCs w:val="24"/>
        <w:u w:val="none" w:color="000000"/>
        <w:bdr w:val="none" w:sz="0" w:space="0" w:color="auto"/>
        <w:shd w:val="clear" w:color="auto" w:fill="auto"/>
        <w:vertAlign w:val="baseline"/>
      </w:rPr>
    </w:lvl>
    <w:lvl w:ilvl="1" w:tplc="96A0ED88">
      <w:start w:val="1"/>
      <w:numFmt w:val="bullet"/>
      <w:lvlText w:val="o"/>
      <w:lvlJc w:val="left"/>
      <w:pPr>
        <w:ind w:left="1953"/>
      </w:pPr>
      <w:rPr>
        <w:rFonts w:ascii="Calibri" w:eastAsia="Calibri" w:hAnsi="Calibri" w:cs="Calibri"/>
        <w:b w:val="0"/>
        <w:i w:val="0"/>
        <w:strike w:val="0"/>
        <w:dstrike w:val="0"/>
        <w:color w:val="8F2A7B"/>
        <w:sz w:val="24"/>
        <w:szCs w:val="24"/>
        <w:u w:val="none" w:color="000000"/>
        <w:bdr w:val="none" w:sz="0" w:space="0" w:color="auto"/>
        <w:shd w:val="clear" w:color="auto" w:fill="auto"/>
        <w:vertAlign w:val="baseline"/>
      </w:rPr>
    </w:lvl>
    <w:lvl w:ilvl="2" w:tplc="01AA36D4">
      <w:start w:val="1"/>
      <w:numFmt w:val="bullet"/>
      <w:lvlText w:val="▪"/>
      <w:lvlJc w:val="left"/>
      <w:pPr>
        <w:ind w:left="2673"/>
      </w:pPr>
      <w:rPr>
        <w:rFonts w:ascii="Calibri" w:eastAsia="Calibri" w:hAnsi="Calibri" w:cs="Calibri"/>
        <w:b w:val="0"/>
        <w:i w:val="0"/>
        <w:strike w:val="0"/>
        <w:dstrike w:val="0"/>
        <w:color w:val="8F2A7B"/>
        <w:sz w:val="24"/>
        <w:szCs w:val="24"/>
        <w:u w:val="none" w:color="000000"/>
        <w:bdr w:val="none" w:sz="0" w:space="0" w:color="auto"/>
        <w:shd w:val="clear" w:color="auto" w:fill="auto"/>
        <w:vertAlign w:val="baseline"/>
      </w:rPr>
    </w:lvl>
    <w:lvl w:ilvl="3" w:tplc="F1B681E4">
      <w:start w:val="1"/>
      <w:numFmt w:val="bullet"/>
      <w:lvlText w:val="•"/>
      <w:lvlJc w:val="left"/>
      <w:pPr>
        <w:ind w:left="3393"/>
      </w:pPr>
      <w:rPr>
        <w:rFonts w:ascii="Calibri" w:eastAsia="Calibri" w:hAnsi="Calibri" w:cs="Calibri"/>
        <w:b w:val="0"/>
        <w:i w:val="0"/>
        <w:strike w:val="0"/>
        <w:dstrike w:val="0"/>
        <w:color w:val="8F2A7B"/>
        <w:sz w:val="24"/>
        <w:szCs w:val="24"/>
        <w:u w:val="none" w:color="000000"/>
        <w:bdr w:val="none" w:sz="0" w:space="0" w:color="auto"/>
        <w:shd w:val="clear" w:color="auto" w:fill="auto"/>
        <w:vertAlign w:val="baseline"/>
      </w:rPr>
    </w:lvl>
    <w:lvl w:ilvl="4" w:tplc="79DE9E10">
      <w:start w:val="1"/>
      <w:numFmt w:val="bullet"/>
      <w:lvlText w:val="o"/>
      <w:lvlJc w:val="left"/>
      <w:pPr>
        <w:ind w:left="4113"/>
      </w:pPr>
      <w:rPr>
        <w:rFonts w:ascii="Calibri" w:eastAsia="Calibri" w:hAnsi="Calibri" w:cs="Calibri"/>
        <w:b w:val="0"/>
        <w:i w:val="0"/>
        <w:strike w:val="0"/>
        <w:dstrike w:val="0"/>
        <w:color w:val="8F2A7B"/>
        <w:sz w:val="24"/>
        <w:szCs w:val="24"/>
        <w:u w:val="none" w:color="000000"/>
        <w:bdr w:val="none" w:sz="0" w:space="0" w:color="auto"/>
        <w:shd w:val="clear" w:color="auto" w:fill="auto"/>
        <w:vertAlign w:val="baseline"/>
      </w:rPr>
    </w:lvl>
    <w:lvl w:ilvl="5" w:tplc="73D4F9BC">
      <w:start w:val="1"/>
      <w:numFmt w:val="bullet"/>
      <w:lvlText w:val="▪"/>
      <w:lvlJc w:val="left"/>
      <w:pPr>
        <w:ind w:left="4833"/>
      </w:pPr>
      <w:rPr>
        <w:rFonts w:ascii="Calibri" w:eastAsia="Calibri" w:hAnsi="Calibri" w:cs="Calibri"/>
        <w:b w:val="0"/>
        <w:i w:val="0"/>
        <w:strike w:val="0"/>
        <w:dstrike w:val="0"/>
        <w:color w:val="8F2A7B"/>
        <w:sz w:val="24"/>
        <w:szCs w:val="24"/>
        <w:u w:val="none" w:color="000000"/>
        <w:bdr w:val="none" w:sz="0" w:space="0" w:color="auto"/>
        <w:shd w:val="clear" w:color="auto" w:fill="auto"/>
        <w:vertAlign w:val="baseline"/>
      </w:rPr>
    </w:lvl>
    <w:lvl w:ilvl="6" w:tplc="2DA0AAC8">
      <w:start w:val="1"/>
      <w:numFmt w:val="bullet"/>
      <w:lvlText w:val="•"/>
      <w:lvlJc w:val="left"/>
      <w:pPr>
        <w:ind w:left="5553"/>
      </w:pPr>
      <w:rPr>
        <w:rFonts w:ascii="Calibri" w:eastAsia="Calibri" w:hAnsi="Calibri" w:cs="Calibri"/>
        <w:b w:val="0"/>
        <w:i w:val="0"/>
        <w:strike w:val="0"/>
        <w:dstrike w:val="0"/>
        <w:color w:val="8F2A7B"/>
        <w:sz w:val="24"/>
        <w:szCs w:val="24"/>
        <w:u w:val="none" w:color="000000"/>
        <w:bdr w:val="none" w:sz="0" w:space="0" w:color="auto"/>
        <w:shd w:val="clear" w:color="auto" w:fill="auto"/>
        <w:vertAlign w:val="baseline"/>
      </w:rPr>
    </w:lvl>
    <w:lvl w:ilvl="7" w:tplc="54549B42">
      <w:start w:val="1"/>
      <w:numFmt w:val="bullet"/>
      <w:lvlText w:val="o"/>
      <w:lvlJc w:val="left"/>
      <w:pPr>
        <w:ind w:left="6273"/>
      </w:pPr>
      <w:rPr>
        <w:rFonts w:ascii="Calibri" w:eastAsia="Calibri" w:hAnsi="Calibri" w:cs="Calibri"/>
        <w:b w:val="0"/>
        <w:i w:val="0"/>
        <w:strike w:val="0"/>
        <w:dstrike w:val="0"/>
        <w:color w:val="8F2A7B"/>
        <w:sz w:val="24"/>
        <w:szCs w:val="24"/>
        <w:u w:val="none" w:color="000000"/>
        <w:bdr w:val="none" w:sz="0" w:space="0" w:color="auto"/>
        <w:shd w:val="clear" w:color="auto" w:fill="auto"/>
        <w:vertAlign w:val="baseline"/>
      </w:rPr>
    </w:lvl>
    <w:lvl w:ilvl="8" w:tplc="DC067136">
      <w:start w:val="1"/>
      <w:numFmt w:val="bullet"/>
      <w:lvlText w:val="▪"/>
      <w:lvlJc w:val="left"/>
      <w:pPr>
        <w:ind w:left="6993"/>
      </w:pPr>
      <w:rPr>
        <w:rFonts w:ascii="Calibri" w:eastAsia="Calibri" w:hAnsi="Calibri" w:cs="Calibri"/>
        <w:b w:val="0"/>
        <w:i w:val="0"/>
        <w:strike w:val="0"/>
        <w:dstrike w:val="0"/>
        <w:color w:val="8F2A7B"/>
        <w:sz w:val="24"/>
        <w:szCs w:val="24"/>
        <w:u w:val="none" w:color="000000"/>
        <w:bdr w:val="none" w:sz="0" w:space="0" w:color="auto"/>
        <w:shd w:val="clear" w:color="auto" w:fill="auto"/>
        <w:vertAlign w:val="baseline"/>
      </w:rPr>
    </w:lvl>
  </w:abstractNum>
  <w:abstractNum w:abstractNumId="1">
    <w:nsid w:val="7BB240C8"/>
    <w:multiLevelType w:val="hybridMultilevel"/>
    <w:tmpl w:val="D334270A"/>
    <w:lvl w:ilvl="0" w:tplc="315E55B6">
      <w:start w:val="9"/>
      <w:numFmt w:val="decimal"/>
      <w:lvlText w:val="%1"/>
      <w:lvlJc w:val="left"/>
      <w:pPr>
        <w:ind w:left="10"/>
      </w:pPr>
      <w:rPr>
        <w:rFonts w:ascii="Calibri" w:eastAsia="Calibri" w:hAnsi="Calibri" w:cs="Calibri"/>
        <w:b/>
        <w:bCs/>
        <w:i w:val="0"/>
        <w:strike w:val="0"/>
        <w:dstrike w:val="0"/>
        <w:color w:val="5390AA"/>
        <w:sz w:val="24"/>
        <w:szCs w:val="24"/>
        <w:u w:val="none" w:color="000000"/>
        <w:bdr w:val="none" w:sz="0" w:space="0" w:color="auto"/>
        <w:shd w:val="clear" w:color="auto" w:fill="auto"/>
        <w:vertAlign w:val="baseline"/>
      </w:rPr>
    </w:lvl>
    <w:lvl w:ilvl="1" w:tplc="83F601D0">
      <w:start w:val="1"/>
      <w:numFmt w:val="lowerLetter"/>
      <w:lvlText w:val="%2"/>
      <w:lvlJc w:val="left"/>
      <w:pPr>
        <w:ind w:left="1080"/>
      </w:pPr>
      <w:rPr>
        <w:rFonts w:ascii="Calibri" w:eastAsia="Calibri" w:hAnsi="Calibri" w:cs="Calibri"/>
        <w:b/>
        <w:bCs/>
        <w:i w:val="0"/>
        <w:strike w:val="0"/>
        <w:dstrike w:val="0"/>
        <w:color w:val="5390AA"/>
        <w:sz w:val="24"/>
        <w:szCs w:val="24"/>
        <w:u w:val="none" w:color="000000"/>
        <w:bdr w:val="none" w:sz="0" w:space="0" w:color="auto"/>
        <w:shd w:val="clear" w:color="auto" w:fill="auto"/>
        <w:vertAlign w:val="baseline"/>
      </w:rPr>
    </w:lvl>
    <w:lvl w:ilvl="2" w:tplc="E032A2A2">
      <w:start w:val="1"/>
      <w:numFmt w:val="lowerRoman"/>
      <w:lvlText w:val="%3"/>
      <w:lvlJc w:val="left"/>
      <w:pPr>
        <w:ind w:left="1800"/>
      </w:pPr>
      <w:rPr>
        <w:rFonts w:ascii="Calibri" w:eastAsia="Calibri" w:hAnsi="Calibri" w:cs="Calibri"/>
        <w:b/>
        <w:bCs/>
        <w:i w:val="0"/>
        <w:strike w:val="0"/>
        <w:dstrike w:val="0"/>
        <w:color w:val="5390AA"/>
        <w:sz w:val="24"/>
        <w:szCs w:val="24"/>
        <w:u w:val="none" w:color="000000"/>
        <w:bdr w:val="none" w:sz="0" w:space="0" w:color="auto"/>
        <w:shd w:val="clear" w:color="auto" w:fill="auto"/>
        <w:vertAlign w:val="baseline"/>
      </w:rPr>
    </w:lvl>
    <w:lvl w:ilvl="3" w:tplc="B21C6C00">
      <w:start w:val="1"/>
      <w:numFmt w:val="decimal"/>
      <w:lvlText w:val="%4"/>
      <w:lvlJc w:val="left"/>
      <w:pPr>
        <w:ind w:left="2520"/>
      </w:pPr>
      <w:rPr>
        <w:rFonts w:ascii="Calibri" w:eastAsia="Calibri" w:hAnsi="Calibri" w:cs="Calibri"/>
        <w:b/>
        <w:bCs/>
        <w:i w:val="0"/>
        <w:strike w:val="0"/>
        <w:dstrike w:val="0"/>
        <w:color w:val="5390AA"/>
        <w:sz w:val="24"/>
        <w:szCs w:val="24"/>
        <w:u w:val="none" w:color="000000"/>
        <w:bdr w:val="none" w:sz="0" w:space="0" w:color="auto"/>
        <w:shd w:val="clear" w:color="auto" w:fill="auto"/>
        <w:vertAlign w:val="baseline"/>
      </w:rPr>
    </w:lvl>
    <w:lvl w:ilvl="4" w:tplc="B986BF10">
      <w:start w:val="1"/>
      <w:numFmt w:val="lowerLetter"/>
      <w:lvlText w:val="%5"/>
      <w:lvlJc w:val="left"/>
      <w:pPr>
        <w:ind w:left="3240"/>
      </w:pPr>
      <w:rPr>
        <w:rFonts w:ascii="Calibri" w:eastAsia="Calibri" w:hAnsi="Calibri" w:cs="Calibri"/>
        <w:b/>
        <w:bCs/>
        <w:i w:val="0"/>
        <w:strike w:val="0"/>
        <w:dstrike w:val="0"/>
        <w:color w:val="5390AA"/>
        <w:sz w:val="24"/>
        <w:szCs w:val="24"/>
        <w:u w:val="none" w:color="000000"/>
        <w:bdr w:val="none" w:sz="0" w:space="0" w:color="auto"/>
        <w:shd w:val="clear" w:color="auto" w:fill="auto"/>
        <w:vertAlign w:val="baseline"/>
      </w:rPr>
    </w:lvl>
    <w:lvl w:ilvl="5" w:tplc="56600D50">
      <w:start w:val="1"/>
      <w:numFmt w:val="lowerRoman"/>
      <w:lvlText w:val="%6"/>
      <w:lvlJc w:val="left"/>
      <w:pPr>
        <w:ind w:left="3960"/>
      </w:pPr>
      <w:rPr>
        <w:rFonts w:ascii="Calibri" w:eastAsia="Calibri" w:hAnsi="Calibri" w:cs="Calibri"/>
        <w:b/>
        <w:bCs/>
        <w:i w:val="0"/>
        <w:strike w:val="0"/>
        <w:dstrike w:val="0"/>
        <w:color w:val="5390AA"/>
        <w:sz w:val="24"/>
        <w:szCs w:val="24"/>
        <w:u w:val="none" w:color="000000"/>
        <w:bdr w:val="none" w:sz="0" w:space="0" w:color="auto"/>
        <w:shd w:val="clear" w:color="auto" w:fill="auto"/>
        <w:vertAlign w:val="baseline"/>
      </w:rPr>
    </w:lvl>
    <w:lvl w:ilvl="6" w:tplc="1BF4C4F2">
      <w:start w:val="1"/>
      <w:numFmt w:val="decimal"/>
      <w:lvlText w:val="%7"/>
      <w:lvlJc w:val="left"/>
      <w:pPr>
        <w:ind w:left="4680"/>
      </w:pPr>
      <w:rPr>
        <w:rFonts w:ascii="Calibri" w:eastAsia="Calibri" w:hAnsi="Calibri" w:cs="Calibri"/>
        <w:b/>
        <w:bCs/>
        <w:i w:val="0"/>
        <w:strike w:val="0"/>
        <w:dstrike w:val="0"/>
        <w:color w:val="5390AA"/>
        <w:sz w:val="24"/>
        <w:szCs w:val="24"/>
        <w:u w:val="none" w:color="000000"/>
        <w:bdr w:val="none" w:sz="0" w:space="0" w:color="auto"/>
        <w:shd w:val="clear" w:color="auto" w:fill="auto"/>
        <w:vertAlign w:val="baseline"/>
      </w:rPr>
    </w:lvl>
    <w:lvl w:ilvl="7" w:tplc="054A35D6">
      <w:start w:val="1"/>
      <w:numFmt w:val="lowerLetter"/>
      <w:lvlText w:val="%8"/>
      <w:lvlJc w:val="left"/>
      <w:pPr>
        <w:ind w:left="5400"/>
      </w:pPr>
      <w:rPr>
        <w:rFonts w:ascii="Calibri" w:eastAsia="Calibri" w:hAnsi="Calibri" w:cs="Calibri"/>
        <w:b/>
        <w:bCs/>
        <w:i w:val="0"/>
        <w:strike w:val="0"/>
        <w:dstrike w:val="0"/>
        <w:color w:val="5390AA"/>
        <w:sz w:val="24"/>
        <w:szCs w:val="24"/>
        <w:u w:val="none" w:color="000000"/>
        <w:bdr w:val="none" w:sz="0" w:space="0" w:color="auto"/>
        <w:shd w:val="clear" w:color="auto" w:fill="auto"/>
        <w:vertAlign w:val="baseline"/>
      </w:rPr>
    </w:lvl>
    <w:lvl w:ilvl="8" w:tplc="9AB0B7CE">
      <w:start w:val="1"/>
      <w:numFmt w:val="lowerRoman"/>
      <w:lvlText w:val="%9"/>
      <w:lvlJc w:val="left"/>
      <w:pPr>
        <w:ind w:left="6120"/>
      </w:pPr>
      <w:rPr>
        <w:rFonts w:ascii="Calibri" w:eastAsia="Calibri" w:hAnsi="Calibri" w:cs="Calibri"/>
        <w:b/>
        <w:bCs/>
        <w:i w:val="0"/>
        <w:strike w:val="0"/>
        <w:dstrike w:val="0"/>
        <w:color w:val="5390AA"/>
        <w:sz w:val="24"/>
        <w:szCs w:val="24"/>
        <w:u w:val="none" w:color="000000"/>
        <w:bdr w:val="none" w:sz="0" w:space="0" w:color="auto"/>
        <w:shd w:val="clear" w:color="auto" w:fill="auto"/>
        <w:vertAlign w:val="baseline"/>
      </w:rPr>
    </w:lvl>
  </w:abstractNum>
  <w:abstractNum w:abstractNumId="2">
    <w:nsid w:val="7CE24B27"/>
    <w:multiLevelType w:val="hybridMultilevel"/>
    <w:tmpl w:val="AD94B06E"/>
    <w:lvl w:ilvl="0" w:tplc="DB36520E">
      <w:start w:val="1"/>
      <w:numFmt w:val="bullet"/>
      <w:lvlText w:val="●"/>
      <w:lvlJc w:val="left"/>
      <w:pPr>
        <w:ind w:left="340"/>
      </w:pPr>
      <w:rPr>
        <w:rFonts w:ascii="Segoe UI Symbol" w:eastAsia="Segoe UI Symbol" w:hAnsi="Segoe UI Symbol" w:cs="Segoe UI Symbol"/>
        <w:b w:val="0"/>
        <w:i w:val="0"/>
        <w:strike w:val="0"/>
        <w:dstrike w:val="0"/>
        <w:color w:val="5390AA"/>
        <w:sz w:val="24"/>
        <w:szCs w:val="24"/>
        <w:u w:val="none" w:color="000000"/>
        <w:bdr w:val="none" w:sz="0" w:space="0" w:color="auto"/>
        <w:shd w:val="clear" w:color="auto" w:fill="auto"/>
        <w:vertAlign w:val="baseline"/>
      </w:rPr>
    </w:lvl>
    <w:lvl w:ilvl="1" w:tplc="44BA05E0">
      <w:start w:val="1"/>
      <w:numFmt w:val="bullet"/>
      <w:lvlText w:val="o"/>
      <w:lvlJc w:val="left"/>
      <w:pPr>
        <w:ind w:left="1080"/>
      </w:pPr>
      <w:rPr>
        <w:rFonts w:ascii="Segoe UI Symbol" w:eastAsia="Segoe UI Symbol" w:hAnsi="Segoe UI Symbol" w:cs="Segoe UI Symbol"/>
        <w:b w:val="0"/>
        <w:i w:val="0"/>
        <w:strike w:val="0"/>
        <w:dstrike w:val="0"/>
        <w:color w:val="5390AA"/>
        <w:sz w:val="24"/>
        <w:szCs w:val="24"/>
        <w:u w:val="none" w:color="000000"/>
        <w:bdr w:val="none" w:sz="0" w:space="0" w:color="auto"/>
        <w:shd w:val="clear" w:color="auto" w:fill="auto"/>
        <w:vertAlign w:val="baseline"/>
      </w:rPr>
    </w:lvl>
    <w:lvl w:ilvl="2" w:tplc="AE7678D0">
      <w:start w:val="1"/>
      <w:numFmt w:val="bullet"/>
      <w:lvlText w:val="▪"/>
      <w:lvlJc w:val="left"/>
      <w:pPr>
        <w:ind w:left="1800"/>
      </w:pPr>
      <w:rPr>
        <w:rFonts w:ascii="Segoe UI Symbol" w:eastAsia="Segoe UI Symbol" w:hAnsi="Segoe UI Symbol" w:cs="Segoe UI Symbol"/>
        <w:b w:val="0"/>
        <w:i w:val="0"/>
        <w:strike w:val="0"/>
        <w:dstrike w:val="0"/>
        <w:color w:val="5390AA"/>
        <w:sz w:val="24"/>
        <w:szCs w:val="24"/>
        <w:u w:val="none" w:color="000000"/>
        <w:bdr w:val="none" w:sz="0" w:space="0" w:color="auto"/>
        <w:shd w:val="clear" w:color="auto" w:fill="auto"/>
        <w:vertAlign w:val="baseline"/>
      </w:rPr>
    </w:lvl>
    <w:lvl w:ilvl="3" w:tplc="5D760842">
      <w:start w:val="1"/>
      <w:numFmt w:val="bullet"/>
      <w:lvlText w:val="•"/>
      <w:lvlJc w:val="left"/>
      <w:pPr>
        <w:ind w:left="2520"/>
      </w:pPr>
      <w:rPr>
        <w:rFonts w:ascii="Arial" w:eastAsia="Arial" w:hAnsi="Arial" w:cs="Arial"/>
        <w:b w:val="0"/>
        <w:i w:val="0"/>
        <w:strike w:val="0"/>
        <w:dstrike w:val="0"/>
        <w:color w:val="5390AA"/>
        <w:sz w:val="24"/>
        <w:szCs w:val="24"/>
        <w:u w:val="none" w:color="000000"/>
        <w:bdr w:val="none" w:sz="0" w:space="0" w:color="auto"/>
        <w:shd w:val="clear" w:color="auto" w:fill="auto"/>
        <w:vertAlign w:val="baseline"/>
      </w:rPr>
    </w:lvl>
    <w:lvl w:ilvl="4" w:tplc="42B6C924">
      <w:start w:val="1"/>
      <w:numFmt w:val="bullet"/>
      <w:lvlText w:val="o"/>
      <w:lvlJc w:val="left"/>
      <w:pPr>
        <w:ind w:left="3240"/>
      </w:pPr>
      <w:rPr>
        <w:rFonts w:ascii="Segoe UI Symbol" w:eastAsia="Segoe UI Symbol" w:hAnsi="Segoe UI Symbol" w:cs="Segoe UI Symbol"/>
        <w:b w:val="0"/>
        <w:i w:val="0"/>
        <w:strike w:val="0"/>
        <w:dstrike w:val="0"/>
        <w:color w:val="5390AA"/>
        <w:sz w:val="24"/>
        <w:szCs w:val="24"/>
        <w:u w:val="none" w:color="000000"/>
        <w:bdr w:val="none" w:sz="0" w:space="0" w:color="auto"/>
        <w:shd w:val="clear" w:color="auto" w:fill="auto"/>
        <w:vertAlign w:val="baseline"/>
      </w:rPr>
    </w:lvl>
    <w:lvl w:ilvl="5" w:tplc="106E9EB4">
      <w:start w:val="1"/>
      <w:numFmt w:val="bullet"/>
      <w:lvlText w:val="▪"/>
      <w:lvlJc w:val="left"/>
      <w:pPr>
        <w:ind w:left="3960"/>
      </w:pPr>
      <w:rPr>
        <w:rFonts w:ascii="Segoe UI Symbol" w:eastAsia="Segoe UI Symbol" w:hAnsi="Segoe UI Symbol" w:cs="Segoe UI Symbol"/>
        <w:b w:val="0"/>
        <w:i w:val="0"/>
        <w:strike w:val="0"/>
        <w:dstrike w:val="0"/>
        <w:color w:val="5390AA"/>
        <w:sz w:val="24"/>
        <w:szCs w:val="24"/>
        <w:u w:val="none" w:color="000000"/>
        <w:bdr w:val="none" w:sz="0" w:space="0" w:color="auto"/>
        <w:shd w:val="clear" w:color="auto" w:fill="auto"/>
        <w:vertAlign w:val="baseline"/>
      </w:rPr>
    </w:lvl>
    <w:lvl w:ilvl="6" w:tplc="0804CDA0">
      <w:start w:val="1"/>
      <w:numFmt w:val="bullet"/>
      <w:lvlText w:val="•"/>
      <w:lvlJc w:val="left"/>
      <w:pPr>
        <w:ind w:left="4680"/>
      </w:pPr>
      <w:rPr>
        <w:rFonts w:ascii="Arial" w:eastAsia="Arial" w:hAnsi="Arial" w:cs="Arial"/>
        <w:b w:val="0"/>
        <w:i w:val="0"/>
        <w:strike w:val="0"/>
        <w:dstrike w:val="0"/>
        <w:color w:val="5390AA"/>
        <w:sz w:val="24"/>
        <w:szCs w:val="24"/>
        <w:u w:val="none" w:color="000000"/>
        <w:bdr w:val="none" w:sz="0" w:space="0" w:color="auto"/>
        <w:shd w:val="clear" w:color="auto" w:fill="auto"/>
        <w:vertAlign w:val="baseline"/>
      </w:rPr>
    </w:lvl>
    <w:lvl w:ilvl="7" w:tplc="FF9A4BA2">
      <w:start w:val="1"/>
      <w:numFmt w:val="bullet"/>
      <w:lvlText w:val="o"/>
      <w:lvlJc w:val="left"/>
      <w:pPr>
        <w:ind w:left="5400"/>
      </w:pPr>
      <w:rPr>
        <w:rFonts w:ascii="Segoe UI Symbol" w:eastAsia="Segoe UI Symbol" w:hAnsi="Segoe UI Symbol" w:cs="Segoe UI Symbol"/>
        <w:b w:val="0"/>
        <w:i w:val="0"/>
        <w:strike w:val="0"/>
        <w:dstrike w:val="0"/>
        <w:color w:val="5390AA"/>
        <w:sz w:val="24"/>
        <w:szCs w:val="24"/>
        <w:u w:val="none" w:color="000000"/>
        <w:bdr w:val="none" w:sz="0" w:space="0" w:color="auto"/>
        <w:shd w:val="clear" w:color="auto" w:fill="auto"/>
        <w:vertAlign w:val="baseline"/>
      </w:rPr>
    </w:lvl>
    <w:lvl w:ilvl="8" w:tplc="091E2082">
      <w:start w:val="1"/>
      <w:numFmt w:val="bullet"/>
      <w:lvlText w:val="▪"/>
      <w:lvlJc w:val="left"/>
      <w:pPr>
        <w:ind w:left="6120"/>
      </w:pPr>
      <w:rPr>
        <w:rFonts w:ascii="Segoe UI Symbol" w:eastAsia="Segoe UI Symbol" w:hAnsi="Segoe UI Symbol" w:cs="Segoe UI Symbol"/>
        <w:b w:val="0"/>
        <w:i w:val="0"/>
        <w:strike w:val="0"/>
        <w:dstrike w:val="0"/>
        <w:color w:val="5390AA"/>
        <w:sz w:val="24"/>
        <w:szCs w:val="24"/>
        <w:u w:val="none" w:color="000000"/>
        <w:bdr w:val="none" w:sz="0" w:space="0" w:color="auto"/>
        <w:shd w:val="clear" w:color="auto" w:fill="auto"/>
        <w:vertAlign w:val="baseline"/>
      </w:rPr>
    </w:lvl>
  </w:abstractNum>
  <w:abstractNum w:abstractNumId="3">
    <w:nsid w:val="7FC501A3"/>
    <w:multiLevelType w:val="hybridMultilevel"/>
    <w:tmpl w:val="0C14B890"/>
    <w:lvl w:ilvl="0" w:tplc="F920EAD6">
      <w:start w:val="1"/>
      <w:numFmt w:val="bullet"/>
      <w:lvlText w:val="●"/>
      <w:lvlJc w:val="left"/>
      <w:pPr>
        <w:ind w:left="340"/>
      </w:pPr>
      <w:rPr>
        <w:rFonts w:ascii="Segoe UI Symbol" w:eastAsia="Segoe UI Symbol" w:hAnsi="Segoe UI Symbol" w:cs="Segoe UI Symbol"/>
        <w:b w:val="0"/>
        <w:i w:val="0"/>
        <w:strike w:val="0"/>
        <w:dstrike w:val="0"/>
        <w:color w:val="5390AA"/>
        <w:sz w:val="24"/>
        <w:szCs w:val="24"/>
        <w:u w:val="none" w:color="000000"/>
        <w:bdr w:val="none" w:sz="0" w:space="0" w:color="auto"/>
        <w:shd w:val="clear" w:color="auto" w:fill="auto"/>
        <w:vertAlign w:val="baseline"/>
      </w:rPr>
    </w:lvl>
    <w:lvl w:ilvl="1" w:tplc="C1A69734">
      <w:start w:val="1"/>
      <w:numFmt w:val="bullet"/>
      <w:lvlText w:val="o"/>
      <w:lvlJc w:val="left"/>
      <w:pPr>
        <w:ind w:left="1080"/>
      </w:pPr>
      <w:rPr>
        <w:rFonts w:ascii="Segoe UI Symbol" w:eastAsia="Segoe UI Symbol" w:hAnsi="Segoe UI Symbol" w:cs="Segoe UI Symbol"/>
        <w:b w:val="0"/>
        <w:i w:val="0"/>
        <w:strike w:val="0"/>
        <w:dstrike w:val="0"/>
        <w:color w:val="5390AA"/>
        <w:sz w:val="24"/>
        <w:szCs w:val="24"/>
        <w:u w:val="none" w:color="000000"/>
        <w:bdr w:val="none" w:sz="0" w:space="0" w:color="auto"/>
        <w:shd w:val="clear" w:color="auto" w:fill="auto"/>
        <w:vertAlign w:val="baseline"/>
      </w:rPr>
    </w:lvl>
    <w:lvl w:ilvl="2" w:tplc="3A58CE76">
      <w:start w:val="1"/>
      <w:numFmt w:val="bullet"/>
      <w:lvlText w:val="▪"/>
      <w:lvlJc w:val="left"/>
      <w:pPr>
        <w:ind w:left="1800"/>
      </w:pPr>
      <w:rPr>
        <w:rFonts w:ascii="Segoe UI Symbol" w:eastAsia="Segoe UI Symbol" w:hAnsi="Segoe UI Symbol" w:cs="Segoe UI Symbol"/>
        <w:b w:val="0"/>
        <w:i w:val="0"/>
        <w:strike w:val="0"/>
        <w:dstrike w:val="0"/>
        <w:color w:val="5390AA"/>
        <w:sz w:val="24"/>
        <w:szCs w:val="24"/>
        <w:u w:val="none" w:color="000000"/>
        <w:bdr w:val="none" w:sz="0" w:space="0" w:color="auto"/>
        <w:shd w:val="clear" w:color="auto" w:fill="auto"/>
        <w:vertAlign w:val="baseline"/>
      </w:rPr>
    </w:lvl>
    <w:lvl w:ilvl="3" w:tplc="03C605FC">
      <w:start w:val="1"/>
      <w:numFmt w:val="bullet"/>
      <w:lvlText w:val="•"/>
      <w:lvlJc w:val="left"/>
      <w:pPr>
        <w:ind w:left="2520"/>
      </w:pPr>
      <w:rPr>
        <w:rFonts w:ascii="Arial" w:eastAsia="Arial" w:hAnsi="Arial" w:cs="Arial"/>
        <w:b w:val="0"/>
        <w:i w:val="0"/>
        <w:strike w:val="0"/>
        <w:dstrike w:val="0"/>
        <w:color w:val="5390AA"/>
        <w:sz w:val="24"/>
        <w:szCs w:val="24"/>
        <w:u w:val="none" w:color="000000"/>
        <w:bdr w:val="none" w:sz="0" w:space="0" w:color="auto"/>
        <w:shd w:val="clear" w:color="auto" w:fill="auto"/>
        <w:vertAlign w:val="baseline"/>
      </w:rPr>
    </w:lvl>
    <w:lvl w:ilvl="4" w:tplc="FC3416EA">
      <w:start w:val="1"/>
      <w:numFmt w:val="bullet"/>
      <w:lvlText w:val="o"/>
      <w:lvlJc w:val="left"/>
      <w:pPr>
        <w:ind w:left="3240"/>
      </w:pPr>
      <w:rPr>
        <w:rFonts w:ascii="Segoe UI Symbol" w:eastAsia="Segoe UI Symbol" w:hAnsi="Segoe UI Symbol" w:cs="Segoe UI Symbol"/>
        <w:b w:val="0"/>
        <w:i w:val="0"/>
        <w:strike w:val="0"/>
        <w:dstrike w:val="0"/>
        <w:color w:val="5390AA"/>
        <w:sz w:val="24"/>
        <w:szCs w:val="24"/>
        <w:u w:val="none" w:color="000000"/>
        <w:bdr w:val="none" w:sz="0" w:space="0" w:color="auto"/>
        <w:shd w:val="clear" w:color="auto" w:fill="auto"/>
        <w:vertAlign w:val="baseline"/>
      </w:rPr>
    </w:lvl>
    <w:lvl w:ilvl="5" w:tplc="57468298">
      <w:start w:val="1"/>
      <w:numFmt w:val="bullet"/>
      <w:lvlText w:val="▪"/>
      <w:lvlJc w:val="left"/>
      <w:pPr>
        <w:ind w:left="3960"/>
      </w:pPr>
      <w:rPr>
        <w:rFonts w:ascii="Segoe UI Symbol" w:eastAsia="Segoe UI Symbol" w:hAnsi="Segoe UI Symbol" w:cs="Segoe UI Symbol"/>
        <w:b w:val="0"/>
        <w:i w:val="0"/>
        <w:strike w:val="0"/>
        <w:dstrike w:val="0"/>
        <w:color w:val="5390AA"/>
        <w:sz w:val="24"/>
        <w:szCs w:val="24"/>
        <w:u w:val="none" w:color="000000"/>
        <w:bdr w:val="none" w:sz="0" w:space="0" w:color="auto"/>
        <w:shd w:val="clear" w:color="auto" w:fill="auto"/>
        <w:vertAlign w:val="baseline"/>
      </w:rPr>
    </w:lvl>
    <w:lvl w:ilvl="6" w:tplc="AA94A18C">
      <w:start w:val="1"/>
      <w:numFmt w:val="bullet"/>
      <w:lvlText w:val="•"/>
      <w:lvlJc w:val="left"/>
      <w:pPr>
        <w:ind w:left="4680"/>
      </w:pPr>
      <w:rPr>
        <w:rFonts w:ascii="Arial" w:eastAsia="Arial" w:hAnsi="Arial" w:cs="Arial"/>
        <w:b w:val="0"/>
        <w:i w:val="0"/>
        <w:strike w:val="0"/>
        <w:dstrike w:val="0"/>
        <w:color w:val="5390AA"/>
        <w:sz w:val="24"/>
        <w:szCs w:val="24"/>
        <w:u w:val="none" w:color="000000"/>
        <w:bdr w:val="none" w:sz="0" w:space="0" w:color="auto"/>
        <w:shd w:val="clear" w:color="auto" w:fill="auto"/>
        <w:vertAlign w:val="baseline"/>
      </w:rPr>
    </w:lvl>
    <w:lvl w:ilvl="7" w:tplc="F880CF62">
      <w:start w:val="1"/>
      <w:numFmt w:val="bullet"/>
      <w:lvlText w:val="o"/>
      <w:lvlJc w:val="left"/>
      <w:pPr>
        <w:ind w:left="5400"/>
      </w:pPr>
      <w:rPr>
        <w:rFonts w:ascii="Segoe UI Symbol" w:eastAsia="Segoe UI Symbol" w:hAnsi="Segoe UI Symbol" w:cs="Segoe UI Symbol"/>
        <w:b w:val="0"/>
        <w:i w:val="0"/>
        <w:strike w:val="0"/>
        <w:dstrike w:val="0"/>
        <w:color w:val="5390AA"/>
        <w:sz w:val="24"/>
        <w:szCs w:val="24"/>
        <w:u w:val="none" w:color="000000"/>
        <w:bdr w:val="none" w:sz="0" w:space="0" w:color="auto"/>
        <w:shd w:val="clear" w:color="auto" w:fill="auto"/>
        <w:vertAlign w:val="baseline"/>
      </w:rPr>
    </w:lvl>
    <w:lvl w:ilvl="8" w:tplc="8E04D504">
      <w:start w:val="1"/>
      <w:numFmt w:val="bullet"/>
      <w:lvlText w:val="▪"/>
      <w:lvlJc w:val="left"/>
      <w:pPr>
        <w:ind w:left="6120"/>
      </w:pPr>
      <w:rPr>
        <w:rFonts w:ascii="Segoe UI Symbol" w:eastAsia="Segoe UI Symbol" w:hAnsi="Segoe UI Symbol" w:cs="Segoe UI Symbol"/>
        <w:b w:val="0"/>
        <w:i w:val="0"/>
        <w:strike w:val="0"/>
        <w:dstrike w:val="0"/>
        <w:color w:val="5390AA"/>
        <w:sz w:val="24"/>
        <w:szCs w:val="24"/>
        <w:u w:val="none" w:color="000000"/>
        <w:bdr w:val="none" w:sz="0" w:space="0" w:color="auto"/>
        <w:shd w:val="clear" w:color="auto" w:fill="auto"/>
        <w:vertAlign w:val="baseline"/>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4AC7"/>
    <w:rsid w:val="00030EAD"/>
    <w:rsid w:val="000630A7"/>
    <w:rsid w:val="0006407C"/>
    <w:rsid w:val="000C680E"/>
    <w:rsid w:val="000E0DAB"/>
    <w:rsid w:val="000F0A87"/>
    <w:rsid w:val="001671DB"/>
    <w:rsid w:val="001C145C"/>
    <w:rsid w:val="001E4C43"/>
    <w:rsid w:val="001F3F32"/>
    <w:rsid w:val="002200E2"/>
    <w:rsid w:val="002249E1"/>
    <w:rsid w:val="0026152B"/>
    <w:rsid w:val="002E258B"/>
    <w:rsid w:val="002F151A"/>
    <w:rsid w:val="003335E4"/>
    <w:rsid w:val="003703A0"/>
    <w:rsid w:val="00380DA3"/>
    <w:rsid w:val="003B28DE"/>
    <w:rsid w:val="0042335C"/>
    <w:rsid w:val="004A3B8B"/>
    <w:rsid w:val="004E18CF"/>
    <w:rsid w:val="004E6DFD"/>
    <w:rsid w:val="004F2EFC"/>
    <w:rsid w:val="00506C1C"/>
    <w:rsid w:val="0052406C"/>
    <w:rsid w:val="00533F7E"/>
    <w:rsid w:val="005430B1"/>
    <w:rsid w:val="00586B9E"/>
    <w:rsid w:val="005A653E"/>
    <w:rsid w:val="005B053E"/>
    <w:rsid w:val="005E6B30"/>
    <w:rsid w:val="00603CDC"/>
    <w:rsid w:val="00624AC7"/>
    <w:rsid w:val="0065009D"/>
    <w:rsid w:val="00677434"/>
    <w:rsid w:val="00681471"/>
    <w:rsid w:val="006B61C7"/>
    <w:rsid w:val="006D63A4"/>
    <w:rsid w:val="0071313C"/>
    <w:rsid w:val="00736730"/>
    <w:rsid w:val="00737CEA"/>
    <w:rsid w:val="00745C5D"/>
    <w:rsid w:val="00766AFF"/>
    <w:rsid w:val="007D4F0A"/>
    <w:rsid w:val="00803BB1"/>
    <w:rsid w:val="008A3CE4"/>
    <w:rsid w:val="008B4173"/>
    <w:rsid w:val="008C7285"/>
    <w:rsid w:val="008D1F03"/>
    <w:rsid w:val="008F404E"/>
    <w:rsid w:val="00903806"/>
    <w:rsid w:val="009060EE"/>
    <w:rsid w:val="0092533B"/>
    <w:rsid w:val="00950038"/>
    <w:rsid w:val="009662B1"/>
    <w:rsid w:val="00967877"/>
    <w:rsid w:val="00977F2A"/>
    <w:rsid w:val="00A1483D"/>
    <w:rsid w:val="00A46CDC"/>
    <w:rsid w:val="00A64102"/>
    <w:rsid w:val="00A7504F"/>
    <w:rsid w:val="00AB68C9"/>
    <w:rsid w:val="00B15304"/>
    <w:rsid w:val="00B87DD4"/>
    <w:rsid w:val="00BA0DD7"/>
    <w:rsid w:val="00C31BDD"/>
    <w:rsid w:val="00C75AD4"/>
    <w:rsid w:val="00C94E14"/>
    <w:rsid w:val="00CA7985"/>
    <w:rsid w:val="00CC0D50"/>
    <w:rsid w:val="00CD2015"/>
    <w:rsid w:val="00CE123E"/>
    <w:rsid w:val="00CF4B6C"/>
    <w:rsid w:val="00D33230"/>
    <w:rsid w:val="00D43A59"/>
    <w:rsid w:val="00D55516"/>
    <w:rsid w:val="00D55F0C"/>
    <w:rsid w:val="00E1001E"/>
    <w:rsid w:val="00EC2188"/>
    <w:rsid w:val="00EF3783"/>
    <w:rsid w:val="00F3796D"/>
    <w:rsid w:val="00F71273"/>
    <w:rsid w:val="00F805FE"/>
    <w:rsid w:val="00FA5198"/>
    <w:rsid w:val="00FA70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746A8"/>
  <w15:chartTrackingRefBased/>
  <w15:docId w15:val="{C09F8F5A-DC34-4F97-A42C-4D7479F87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4">
    <w:name w:val="heading 4"/>
    <w:next w:val="Normal"/>
    <w:link w:val="Heading4Char"/>
    <w:uiPriority w:val="9"/>
    <w:unhideWhenUsed/>
    <w:qFormat/>
    <w:rsid w:val="004F2EFC"/>
    <w:pPr>
      <w:keepNext/>
      <w:keepLines/>
      <w:spacing w:after="176"/>
      <w:ind w:left="10" w:hanging="10"/>
      <w:outlineLvl w:val="3"/>
    </w:pPr>
    <w:rPr>
      <w:rFonts w:ascii="Calibri" w:eastAsia="Calibri" w:hAnsi="Calibri" w:cs="Calibri"/>
      <w:b/>
      <w:color w:val="181717"/>
      <w:sz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4F2EFC"/>
    <w:rPr>
      <w:rFonts w:ascii="Calibri" w:eastAsia="Calibri" w:hAnsi="Calibri" w:cs="Calibri"/>
      <w:b/>
      <w:color w:val="181717"/>
      <w:sz w:val="24"/>
      <w:lang w:eastAsia="en-GB"/>
    </w:rPr>
  </w:style>
  <w:style w:type="paragraph" w:styleId="ListParagraph">
    <w:name w:val="List Paragraph"/>
    <w:basedOn w:val="Normal"/>
    <w:uiPriority w:val="34"/>
    <w:qFormat/>
    <w:rsid w:val="00D33230"/>
    <w:pPr>
      <w:ind w:left="720"/>
      <w:contextualSpacing/>
    </w:pPr>
  </w:style>
  <w:style w:type="character" w:styleId="Hyperlink">
    <w:name w:val="Hyperlink"/>
    <w:basedOn w:val="DefaultParagraphFont"/>
    <w:uiPriority w:val="99"/>
    <w:unhideWhenUsed/>
    <w:rsid w:val="001E4C43"/>
    <w:rPr>
      <w:color w:val="0563C1" w:themeColor="hyperlink"/>
      <w:u w:val="single"/>
    </w:rPr>
  </w:style>
  <w:style w:type="character" w:customStyle="1" w:styleId="UnresolvedMention">
    <w:name w:val="Unresolved Mention"/>
    <w:basedOn w:val="DefaultParagraphFont"/>
    <w:uiPriority w:val="99"/>
    <w:semiHidden/>
    <w:unhideWhenUsed/>
    <w:rsid w:val="001E4C4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1506406">
      <w:bodyDiv w:val="1"/>
      <w:marLeft w:val="0"/>
      <w:marRight w:val="0"/>
      <w:marTop w:val="0"/>
      <w:marBottom w:val="0"/>
      <w:divBdr>
        <w:top w:val="none" w:sz="0" w:space="0" w:color="auto"/>
        <w:left w:val="none" w:sz="0" w:space="0" w:color="auto"/>
        <w:bottom w:val="none" w:sz="0" w:space="0" w:color="auto"/>
        <w:right w:val="none" w:sz="0" w:space="0" w:color="auto"/>
      </w:divBdr>
      <w:divsChild>
        <w:div w:id="4983540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www.cardiffpartnership.co.uk/wp-content/uploads/CTAF_Handbook_V3.pdf" TargetMode="External"/><Relationship Id="rId7" Type="http://schemas.openxmlformats.org/officeDocument/2006/relationships/hyperlink" Target="http://www.durham.gov.uk/strongerfamilies" TargetMode="External"/><Relationship Id="rId8" Type="http://schemas.openxmlformats.org/officeDocument/2006/relationships/hyperlink" Target="https://www.pembrokeshire.gov.uk/childrens-services/team-around-the-family" TargetMode="External"/><Relationship Id="rId9" Type="http://schemas.openxmlformats.org/officeDocument/2006/relationships/hyperlink" Target="https://www.cardiffpartnership.co.uk/partnership-delivery/families-first/team-around-the-family" TargetMode="External"/><Relationship Id="rId10" Type="http://schemas.openxmlformats.org/officeDocument/2006/relationships/hyperlink" Target="http://swansea.gov.uk/ta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9457F1-FF81-5A46-823B-0634731B8C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3386</Words>
  <Characters>19303</Characters>
  <Application>Microsoft Macintosh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muncer</dc:creator>
  <cp:keywords/>
  <dc:description/>
  <cp:lastModifiedBy>Adam Muncer</cp:lastModifiedBy>
  <cp:revision>2</cp:revision>
  <dcterms:created xsi:type="dcterms:W3CDTF">2018-04-28T18:32:00Z</dcterms:created>
  <dcterms:modified xsi:type="dcterms:W3CDTF">2018-04-28T18:32:00Z</dcterms:modified>
</cp:coreProperties>
</file>