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64F3D" w14:textId="77777777" w:rsidR="00AF139E" w:rsidRPr="00136209" w:rsidRDefault="00AF139E">
      <w:pPr>
        <w:rPr>
          <w:rFonts w:ascii="Century Gothic" w:hAnsi="Century Gothic"/>
          <w:sz w:val="28"/>
        </w:rPr>
      </w:pPr>
      <w:r w:rsidRPr="00136209">
        <w:rPr>
          <w:rFonts w:ascii="Century Gothic" w:hAnsi="Century Gothic"/>
          <w:sz w:val="28"/>
        </w:rPr>
        <w:t>Martin Luther.</w:t>
      </w:r>
    </w:p>
    <w:p w14:paraId="5ABAD783" w14:textId="1646826A" w:rsidR="00AF139E" w:rsidRPr="00136209" w:rsidRDefault="00AF139E">
      <w:pPr>
        <w:rPr>
          <w:rFonts w:ascii="Century Gothic" w:hAnsi="Century Gothic"/>
          <w:sz w:val="24"/>
        </w:rPr>
      </w:pPr>
      <w:r w:rsidRPr="00136209">
        <w:rPr>
          <w:rFonts w:ascii="Century Gothic" w:hAnsi="Century Gothic"/>
          <w:sz w:val="24"/>
        </w:rPr>
        <w:t xml:space="preserve">In this document I shall be discussing the contribution of Martin Luther to Jewish-Christian relations. In order to do this, will consult scholarly sources in the form of literature and imagery. </w:t>
      </w:r>
      <w:r w:rsidR="00C52E33" w:rsidRPr="00136209">
        <w:rPr>
          <w:rFonts w:ascii="Century Gothic" w:hAnsi="Century Gothic"/>
          <w:sz w:val="24"/>
        </w:rPr>
        <w:t>T</w:t>
      </w:r>
      <w:r w:rsidRPr="00136209">
        <w:rPr>
          <w:rFonts w:ascii="Century Gothic" w:hAnsi="Century Gothic"/>
          <w:sz w:val="24"/>
        </w:rPr>
        <w:t>he format in which I will take on order to approach the topic will be chronological in nature beginning with his pre-published work and ending with his legacy and how his work is perceived within the contest of Jewish- Christian relations today.</w:t>
      </w:r>
    </w:p>
    <w:p w14:paraId="60CD6629" w14:textId="78B0ADB9" w:rsidR="00A42067" w:rsidRPr="00136209" w:rsidRDefault="00C52E33">
      <w:pPr>
        <w:rPr>
          <w:rFonts w:ascii="Century Gothic" w:hAnsi="Century Gothic"/>
          <w:sz w:val="24"/>
        </w:rPr>
      </w:pPr>
      <w:r w:rsidRPr="00136209">
        <w:rPr>
          <w:rFonts w:ascii="Century Gothic" w:hAnsi="Century Gothic"/>
          <w:sz w:val="24"/>
        </w:rPr>
        <w:t xml:space="preserve">Martin Luther was born in November 1483 in the town of </w:t>
      </w:r>
      <w:r w:rsidR="00850AEE" w:rsidRPr="00136209">
        <w:rPr>
          <w:rFonts w:ascii="Century Gothic" w:hAnsi="Century Gothic"/>
          <w:i/>
          <w:sz w:val="24"/>
        </w:rPr>
        <w:t>Eisleben</w:t>
      </w:r>
      <w:r w:rsidRPr="00136209">
        <w:rPr>
          <w:rFonts w:ascii="Century Gothic" w:hAnsi="Century Gothic"/>
          <w:i/>
          <w:sz w:val="24"/>
        </w:rPr>
        <w:t xml:space="preserve"> </w:t>
      </w:r>
      <w:r w:rsidRPr="00136209">
        <w:rPr>
          <w:rFonts w:ascii="Century Gothic" w:hAnsi="Century Gothic"/>
          <w:sz w:val="24"/>
        </w:rPr>
        <w:t xml:space="preserve">in </w:t>
      </w:r>
      <w:r w:rsidRPr="00136209">
        <w:rPr>
          <w:rFonts w:ascii="Century Gothic" w:hAnsi="Century Gothic"/>
          <w:i/>
          <w:sz w:val="24"/>
        </w:rPr>
        <w:t>Saxony</w:t>
      </w:r>
      <w:r w:rsidRPr="00136209">
        <w:rPr>
          <w:rFonts w:ascii="Century Gothic" w:hAnsi="Century Gothic"/>
          <w:sz w:val="24"/>
        </w:rPr>
        <w:t xml:space="preserve"> to a moderately wealthy father and mother which enabled him to gain an education in </w:t>
      </w:r>
      <w:r w:rsidRPr="00136209">
        <w:rPr>
          <w:rFonts w:ascii="Century Gothic" w:hAnsi="Century Gothic"/>
          <w:i/>
          <w:sz w:val="24"/>
        </w:rPr>
        <w:t xml:space="preserve">Magdeburg </w:t>
      </w:r>
      <w:r w:rsidRPr="00136209">
        <w:rPr>
          <w:rFonts w:ascii="Century Gothic" w:hAnsi="Century Gothic"/>
          <w:sz w:val="24"/>
        </w:rPr>
        <w:t xml:space="preserve">studying Law. However, after beginning his learnership he decided study </w:t>
      </w:r>
      <w:r w:rsidR="00206DBF" w:rsidRPr="00136209">
        <w:rPr>
          <w:rFonts w:ascii="Century Gothic" w:hAnsi="Century Gothic"/>
          <w:sz w:val="24"/>
        </w:rPr>
        <w:t>Aristotle</w:t>
      </w:r>
      <w:r w:rsidRPr="00136209">
        <w:rPr>
          <w:rFonts w:ascii="Century Gothic" w:hAnsi="Century Gothic"/>
          <w:sz w:val="24"/>
        </w:rPr>
        <w:t xml:space="preserve"> and the subjects of </w:t>
      </w:r>
      <w:r w:rsidR="00206DBF" w:rsidRPr="00136209">
        <w:rPr>
          <w:rFonts w:ascii="Century Gothic" w:hAnsi="Century Gothic"/>
          <w:sz w:val="24"/>
        </w:rPr>
        <w:t>philosophy</w:t>
      </w:r>
      <w:r w:rsidRPr="00136209">
        <w:rPr>
          <w:rFonts w:ascii="Century Gothic" w:hAnsi="Century Gothic"/>
          <w:sz w:val="24"/>
        </w:rPr>
        <w:t xml:space="preserve"> an</w:t>
      </w:r>
      <w:r w:rsidR="00DF043A" w:rsidRPr="00136209">
        <w:rPr>
          <w:rFonts w:ascii="Century Gothic" w:hAnsi="Century Gothic"/>
          <w:sz w:val="24"/>
        </w:rPr>
        <w:t>d</w:t>
      </w:r>
      <w:r w:rsidRPr="00136209">
        <w:rPr>
          <w:rFonts w:ascii="Century Gothic" w:hAnsi="Century Gothic"/>
          <w:sz w:val="24"/>
        </w:rPr>
        <w:t xml:space="preserve"> theology diverging from the path set forth by his father at a </w:t>
      </w:r>
      <w:r w:rsidR="00206DBF" w:rsidRPr="00136209">
        <w:rPr>
          <w:rFonts w:ascii="Century Gothic" w:hAnsi="Century Gothic"/>
          <w:sz w:val="24"/>
        </w:rPr>
        <w:t>young</w:t>
      </w:r>
      <w:r w:rsidRPr="00136209">
        <w:rPr>
          <w:rFonts w:ascii="Century Gothic" w:hAnsi="Century Gothic"/>
          <w:sz w:val="24"/>
        </w:rPr>
        <w:t xml:space="preserve"> age.</w:t>
      </w:r>
      <w:r w:rsidR="00206DBF" w:rsidRPr="00136209">
        <w:rPr>
          <w:rFonts w:ascii="Century Gothic" w:hAnsi="Century Gothic"/>
          <w:sz w:val="24"/>
        </w:rPr>
        <w:t xml:space="preserve"> However, his studies are believed to have left him unsatisfied with reason and therefor decided to defer and become a </w:t>
      </w:r>
      <w:r w:rsidR="00DF043A" w:rsidRPr="00136209">
        <w:rPr>
          <w:rFonts w:ascii="Century Gothic" w:hAnsi="Century Gothic"/>
          <w:sz w:val="24"/>
        </w:rPr>
        <w:t>monk. During his time at the Abbey he engaged in austerities however it was reported he became aware of how he perceived that the church was not keeping up with biblical scripture</w:t>
      </w:r>
      <w:r w:rsidR="00850AEE" w:rsidRPr="00136209">
        <w:rPr>
          <w:rFonts w:ascii="Century Gothic" w:hAnsi="Century Gothic"/>
          <w:sz w:val="24"/>
        </w:rPr>
        <w:t>. By 1522 Luther had protested to the Catholic church on many occasions concerning the sale of indulgences among other practices and beliefs deemed as corrupt. This was done using many pamphlets which were passe</w:t>
      </w:r>
      <w:r w:rsidR="00CB2774" w:rsidRPr="00136209">
        <w:rPr>
          <w:rFonts w:ascii="Century Gothic" w:hAnsi="Century Gothic"/>
          <w:sz w:val="24"/>
        </w:rPr>
        <w:t>d</w:t>
      </w:r>
      <w:r w:rsidR="00850AEE" w:rsidRPr="00136209">
        <w:rPr>
          <w:rFonts w:ascii="Century Gothic" w:hAnsi="Century Gothic"/>
          <w:sz w:val="24"/>
        </w:rPr>
        <w:t xml:space="preserve"> throughout Germany</w:t>
      </w:r>
      <w:r w:rsidR="00CB2774" w:rsidRPr="00136209">
        <w:rPr>
          <w:rFonts w:ascii="Century Gothic" w:hAnsi="Century Gothic"/>
          <w:sz w:val="24"/>
        </w:rPr>
        <w:t>. However, as a result of his writings</w:t>
      </w:r>
      <w:r w:rsidR="00850AEE" w:rsidRPr="00136209">
        <w:rPr>
          <w:rFonts w:ascii="Century Gothic" w:hAnsi="Century Gothic"/>
          <w:sz w:val="24"/>
        </w:rPr>
        <w:t xml:space="preserve"> </w:t>
      </w:r>
      <w:r w:rsidR="00CB2774" w:rsidRPr="00136209">
        <w:rPr>
          <w:rFonts w:ascii="Century Gothic" w:hAnsi="Century Gothic"/>
          <w:sz w:val="24"/>
        </w:rPr>
        <w:t xml:space="preserve">he was </w:t>
      </w:r>
      <w:r w:rsidR="00E12477" w:rsidRPr="00136209">
        <w:rPr>
          <w:rFonts w:ascii="Century Gothic" w:hAnsi="Century Gothic"/>
          <w:sz w:val="24"/>
        </w:rPr>
        <w:t>excommunicated,</w:t>
      </w:r>
      <w:r w:rsidR="00EF6EF7" w:rsidRPr="00136209">
        <w:rPr>
          <w:rFonts w:ascii="Century Gothic" w:hAnsi="Century Gothic"/>
          <w:sz w:val="24"/>
        </w:rPr>
        <w:t xml:space="preserve"> and aspects of his writings banned whilst also being deemed as a heretic by the Catholic </w:t>
      </w:r>
      <w:r w:rsidR="00E12477" w:rsidRPr="00136209">
        <w:rPr>
          <w:rFonts w:ascii="Century Gothic" w:hAnsi="Century Gothic"/>
          <w:sz w:val="24"/>
        </w:rPr>
        <w:t>Church. (</w:t>
      </w:r>
      <w:r w:rsidR="00A42067" w:rsidRPr="00136209">
        <w:rPr>
          <w:rFonts w:ascii="Century Gothic" w:hAnsi="Century Gothic"/>
          <w:sz w:val="24"/>
        </w:rPr>
        <w:t>1)</w:t>
      </w:r>
    </w:p>
    <w:p w14:paraId="2A05E531" w14:textId="0FD7ED46" w:rsidR="00C52E33" w:rsidRPr="00136209" w:rsidRDefault="00A42067">
      <w:pPr>
        <w:rPr>
          <w:rFonts w:ascii="Century Gothic" w:hAnsi="Century Gothic"/>
          <w:sz w:val="24"/>
        </w:rPr>
      </w:pPr>
      <w:r w:rsidRPr="00136209">
        <w:rPr>
          <w:rFonts w:ascii="Century Gothic" w:hAnsi="Century Gothic"/>
          <w:sz w:val="24"/>
        </w:rPr>
        <w:t>It was during this tim</w:t>
      </w:r>
      <w:r w:rsidR="000A288D" w:rsidRPr="00136209">
        <w:rPr>
          <w:rFonts w:ascii="Century Gothic" w:hAnsi="Century Gothic"/>
          <w:sz w:val="24"/>
        </w:rPr>
        <w:t>e</w:t>
      </w:r>
      <w:r w:rsidRPr="00136209">
        <w:rPr>
          <w:rFonts w:ascii="Century Gothic" w:hAnsi="Century Gothic"/>
          <w:sz w:val="24"/>
        </w:rPr>
        <w:t xml:space="preserve"> </w:t>
      </w:r>
      <w:r w:rsidR="000A288D" w:rsidRPr="00136209">
        <w:rPr>
          <w:rFonts w:ascii="Century Gothic" w:hAnsi="Century Gothic"/>
          <w:sz w:val="24"/>
        </w:rPr>
        <w:t>i</w:t>
      </w:r>
      <w:r w:rsidRPr="00136209">
        <w:rPr>
          <w:rFonts w:ascii="Century Gothic" w:hAnsi="Century Gothic"/>
          <w:sz w:val="24"/>
        </w:rPr>
        <w:t>n 1522</w:t>
      </w:r>
      <w:r w:rsidR="00CE3649" w:rsidRPr="00136209">
        <w:rPr>
          <w:rFonts w:ascii="Century Gothic" w:hAnsi="Century Gothic"/>
          <w:sz w:val="24"/>
        </w:rPr>
        <w:t>/3</w:t>
      </w:r>
      <w:r w:rsidRPr="00136209">
        <w:rPr>
          <w:rFonts w:ascii="Century Gothic" w:hAnsi="Century Gothic"/>
          <w:sz w:val="24"/>
        </w:rPr>
        <w:t xml:space="preserve"> Luther began his writings on the Jewish people</w:t>
      </w:r>
      <w:r w:rsidR="0095554E" w:rsidRPr="00136209">
        <w:rPr>
          <w:rFonts w:ascii="Century Gothic" w:hAnsi="Century Gothic"/>
          <w:sz w:val="24"/>
        </w:rPr>
        <w:t xml:space="preserve"> with a positive outlook on the </w:t>
      </w:r>
      <w:r w:rsidR="000A288D" w:rsidRPr="00136209">
        <w:rPr>
          <w:rFonts w:ascii="Century Gothic" w:hAnsi="Century Gothic"/>
          <w:sz w:val="24"/>
        </w:rPr>
        <w:t xml:space="preserve">Jewish history within the roots of Christianity, specifically the “Jewishness” of Jesus. A fact Luther strongly believed the Catholic church was attempting to deny or </w:t>
      </w:r>
      <w:r w:rsidR="00E12477" w:rsidRPr="00136209">
        <w:rPr>
          <w:rFonts w:ascii="Century Gothic" w:hAnsi="Century Gothic"/>
          <w:sz w:val="24"/>
        </w:rPr>
        <w:t>conceal. (</w:t>
      </w:r>
      <w:r w:rsidR="000A288D" w:rsidRPr="00136209">
        <w:rPr>
          <w:rFonts w:ascii="Century Gothic" w:hAnsi="Century Gothic"/>
          <w:sz w:val="24"/>
        </w:rPr>
        <w:t xml:space="preserve">2) In </w:t>
      </w:r>
      <w:r w:rsidR="000A288D" w:rsidRPr="00136209">
        <w:rPr>
          <w:rFonts w:ascii="Century Gothic" w:hAnsi="Century Gothic"/>
          <w:sz w:val="24"/>
        </w:rPr>
        <w:lastRenderedPageBreak/>
        <w:t>addition</w:t>
      </w:r>
      <w:r w:rsidR="00036590" w:rsidRPr="00136209">
        <w:rPr>
          <w:rFonts w:ascii="Century Gothic" w:hAnsi="Century Gothic"/>
          <w:sz w:val="24"/>
        </w:rPr>
        <w:t xml:space="preserve">, it is believed that the earliest known </w:t>
      </w:r>
      <w:r w:rsidR="00304606" w:rsidRPr="00136209">
        <w:rPr>
          <w:rFonts w:ascii="Century Gothic" w:hAnsi="Century Gothic"/>
          <w:sz w:val="24"/>
        </w:rPr>
        <w:t>documents</w:t>
      </w:r>
      <w:r w:rsidR="00036590" w:rsidRPr="00136209">
        <w:rPr>
          <w:rFonts w:ascii="Century Gothic" w:hAnsi="Century Gothic"/>
          <w:sz w:val="24"/>
        </w:rPr>
        <w:t xml:space="preserve"> relating to </w:t>
      </w:r>
      <w:r w:rsidR="00304606" w:rsidRPr="00136209">
        <w:rPr>
          <w:rFonts w:ascii="Century Gothic" w:hAnsi="Century Gothic"/>
          <w:sz w:val="24"/>
        </w:rPr>
        <w:t>Jews</w:t>
      </w:r>
      <w:r w:rsidR="00036590" w:rsidRPr="00136209">
        <w:rPr>
          <w:rFonts w:ascii="Century Gothic" w:hAnsi="Century Gothic"/>
          <w:sz w:val="24"/>
        </w:rPr>
        <w:t xml:space="preserve"> and Judaism created by Luther related to the Virginial status of Mary and Jesu’s deliverance</w:t>
      </w:r>
      <w:r w:rsidR="00304606" w:rsidRPr="00136209">
        <w:rPr>
          <w:rFonts w:ascii="Century Gothic" w:hAnsi="Century Gothic"/>
          <w:sz w:val="24"/>
        </w:rPr>
        <w:t xml:space="preserve">. This </w:t>
      </w:r>
      <w:r w:rsidR="00E12477" w:rsidRPr="00136209">
        <w:rPr>
          <w:rFonts w:ascii="Century Gothic" w:hAnsi="Century Gothic"/>
          <w:sz w:val="24"/>
        </w:rPr>
        <w:t>two-pronged</w:t>
      </w:r>
      <w:r w:rsidR="00304606" w:rsidRPr="00136209">
        <w:rPr>
          <w:rFonts w:ascii="Century Gothic" w:hAnsi="Century Gothic"/>
          <w:sz w:val="24"/>
        </w:rPr>
        <w:t xml:space="preserve"> approach could be seen as a </w:t>
      </w:r>
      <w:r w:rsidR="006E4B74" w:rsidRPr="00136209">
        <w:rPr>
          <w:rFonts w:ascii="Century Gothic" w:hAnsi="Century Gothic"/>
          <w:sz w:val="24"/>
        </w:rPr>
        <w:t>tactic</w:t>
      </w:r>
      <w:r w:rsidR="00304606" w:rsidRPr="00136209">
        <w:rPr>
          <w:rFonts w:ascii="Century Gothic" w:hAnsi="Century Gothic"/>
          <w:sz w:val="24"/>
        </w:rPr>
        <w:t xml:space="preserve"> of </w:t>
      </w:r>
      <w:r w:rsidR="00E12477" w:rsidRPr="00136209">
        <w:rPr>
          <w:rFonts w:ascii="Century Gothic" w:hAnsi="Century Gothic"/>
          <w:sz w:val="24"/>
        </w:rPr>
        <w:t>Luther’s</w:t>
      </w:r>
      <w:r w:rsidR="00304606" w:rsidRPr="00136209">
        <w:rPr>
          <w:rFonts w:ascii="Century Gothic" w:hAnsi="Century Gothic"/>
          <w:sz w:val="24"/>
        </w:rPr>
        <w:t xml:space="preserve"> in the form of going against the Catholic church but also emphasising the Jewish roots within Christianity in order to convince some to convert to the religion which he believed to be in a séance superior</w:t>
      </w:r>
      <w:r w:rsidR="00E12477" w:rsidRPr="00136209">
        <w:rPr>
          <w:rFonts w:ascii="Century Gothic" w:hAnsi="Century Gothic"/>
          <w:sz w:val="24"/>
        </w:rPr>
        <w:t xml:space="preserve"> to its predecessor.</w:t>
      </w:r>
      <w:r w:rsidR="00151E0E" w:rsidRPr="00136209">
        <w:rPr>
          <w:rFonts w:ascii="Century Gothic" w:hAnsi="Century Gothic"/>
          <w:sz w:val="24"/>
        </w:rPr>
        <w:t>(3)</w:t>
      </w:r>
    </w:p>
    <w:p w14:paraId="48516FB5" w14:textId="45206DA0" w:rsidR="00AF139E" w:rsidRPr="00136209" w:rsidRDefault="009155AA">
      <w:pPr>
        <w:rPr>
          <w:rFonts w:ascii="Century Gothic" w:hAnsi="Century Gothic"/>
          <w:color w:val="000000"/>
        </w:rPr>
      </w:pPr>
      <w:r w:rsidRPr="00136209">
        <w:rPr>
          <w:rFonts w:ascii="Century Gothic" w:hAnsi="Century Gothic"/>
          <w:sz w:val="24"/>
        </w:rPr>
        <w:t>Luther’s emphasis of Je</w:t>
      </w:r>
      <w:r w:rsidR="00F33A37" w:rsidRPr="00136209">
        <w:rPr>
          <w:rFonts w:ascii="Century Gothic" w:hAnsi="Century Gothic"/>
          <w:sz w:val="24"/>
        </w:rPr>
        <w:t>s</w:t>
      </w:r>
      <w:r w:rsidRPr="00136209">
        <w:rPr>
          <w:rFonts w:ascii="Century Gothic" w:hAnsi="Century Gothic"/>
          <w:sz w:val="24"/>
        </w:rPr>
        <w:t xml:space="preserve">us’ linage continues through his writing “Jesus was born a Jew” by his </w:t>
      </w:r>
      <w:r w:rsidR="004427EB" w:rsidRPr="00136209">
        <w:rPr>
          <w:rFonts w:ascii="Century Gothic" w:hAnsi="Century Gothic"/>
          <w:sz w:val="24"/>
        </w:rPr>
        <w:t>explanation</w:t>
      </w:r>
      <w:r w:rsidRPr="00136209">
        <w:rPr>
          <w:rFonts w:ascii="Century Gothic" w:hAnsi="Century Gothic"/>
          <w:sz w:val="24"/>
        </w:rPr>
        <w:t xml:space="preserve"> of how Joseph</w:t>
      </w:r>
      <w:r w:rsidR="004427EB" w:rsidRPr="00136209">
        <w:rPr>
          <w:rFonts w:ascii="Century Gothic" w:hAnsi="Century Gothic"/>
          <w:sz w:val="24"/>
        </w:rPr>
        <w:t>-</w:t>
      </w:r>
      <w:r w:rsidRPr="00136209">
        <w:rPr>
          <w:rFonts w:ascii="Century Gothic" w:hAnsi="Century Gothic"/>
          <w:sz w:val="24"/>
        </w:rPr>
        <w:t xml:space="preserve"> Jesus’ earthy father</w:t>
      </w:r>
      <w:r w:rsidR="004427EB" w:rsidRPr="00136209">
        <w:rPr>
          <w:rFonts w:ascii="Century Gothic" w:hAnsi="Century Gothic"/>
          <w:sz w:val="24"/>
        </w:rPr>
        <w:t xml:space="preserve">- could trace his linage back to the King David and by extension Abraham himself. This is </w:t>
      </w:r>
      <w:r w:rsidR="002858F2" w:rsidRPr="00136209">
        <w:rPr>
          <w:rFonts w:ascii="Century Gothic" w:hAnsi="Century Gothic"/>
          <w:sz w:val="24"/>
        </w:rPr>
        <w:t xml:space="preserve">done by Luther in order to protest against the teaching of the Catholic church on the nature of Jesus, but to also strengthen his work within the protestant reformation and bring more of the Jewish people to the Church. His basis for this argument is the Genealogy </w:t>
      </w:r>
      <w:r w:rsidR="00151E0E" w:rsidRPr="00136209">
        <w:rPr>
          <w:rFonts w:ascii="Century Gothic" w:hAnsi="Century Gothic"/>
          <w:sz w:val="24"/>
        </w:rPr>
        <w:t>is outlined</w:t>
      </w:r>
      <w:r w:rsidR="002858F2" w:rsidRPr="00136209">
        <w:rPr>
          <w:rFonts w:ascii="Century Gothic" w:hAnsi="Century Gothic"/>
          <w:sz w:val="24"/>
        </w:rPr>
        <w:t xml:space="preserve"> in the book of Matthew</w:t>
      </w:r>
      <w:r w:rsidR="00151E0E" w:rsidRPr="00136209">
        <w:rPr>
          <w:rFonts w:ascii="Century Gothic" w:hAnsi="Century Gothic"/>
          <w:sz w:val="24"/>
        </w:rPr>
        <w:t xml:space="preserve"> which traces Jesus and Josephs linage back </w:t>
      </w:r>
      <w:r w:rsidR="00F33A37" w:rsidRPr="00136209">
        <w:rPr>
          <w:rFonts w:ascii="Century Gothic" w:hAnsi="Century Gothic"/>
          <w:sz w:val="24"/>
        </w:rPr>
        <w:t>forty-one</w:t>
      </w:r>
      <w:r w:rsidR="00151E0E" w:rsidRPr="00136209">
        <w:rPr>
          <w:rFonts w:ascii="Century Gothic" w:hAnsi="Century Gothic"/>
          <w:sz w:val="24"/>
        </w:rPr>
        <w:t xml:space="preserve"> generations to Abrahamic </w:t>
      </w:r>
      <w:r w:rsidR="00F33A37" w:rsidRPr="00136209">
        <w:rPr>
          <w:rFonts w:ascii="Century Gothic" w:hAnsi="Century Gothic"/>
          <w:sz w:val="24"/>
        </w:rPr>
        <w:t>times. (</w:t>
      </w:r>
      <w:r w:rsidR="00151E0E" w:rsidRPr="00136209">
        <w:rPr>
          <w:rFonts w:ascii="Century Gothic" w:hAnsi="Century Gothic"/>
          <w:sz w:val="24"/>
        </w:rPr>
        <w:t xml:space="preserve">4) </w:t>
      </w:r>
      <w:r w:rsidR="00BC4862" w:rsidRPr="00136209">
        <w:rPr>
          <w:rFonts w:ascii="Century Gothic" w:hAnsi="Century Gothic"/>
          <w:sz w:val="24"/>
        </w:rPr>
        <w:t>However</w:t>
      </w:r>
      <w:r w:rsidR="00151E0E" w:rsidRPr="00136209">
        <w:rPr>
          <w:rFonts w:ascii="Century Gothic" w:hAnsi="Century Gothic"/>
          <w:sz w:val="24"/>
        </w:rPr>
        <w:t>,</w:t>
      </w:r>
      <w:r w:rsidR="00BC4862" w:rsidRPr="00136209">
        <w:rPr>
          <w:rFonts w:ascii="Century Gothic" w:hAnsi="Century Gothic"/>
          <w:sz w:val="24"/>
        </w:rPr>
        <w:t xml:space="preserve"> the catholic church took more emphasis on the </w:t>
      </w:r>
      <w:r w:rsidR="00F33A37" w:rsidRPr="00136209">
        <w:rPr>
          <w:rFonts w:ascii="Century Gothic" w:hAnsi="Century Gothic"/>
          <w:sz w:val="24"/>
        </w:rPr>
        <w:t>genealogy</w:t>
      </w:r>
      <w:r w:rsidR="00BC4862" w:rsidRPr="00136209">
        <w:rPr>
          <w:rFonts w:ascii="Century Gothic" w:hAnsi="Century Gothic"/>
          <w:sz w:val="24"/>
        </w:rPr>
        <w:t xml:space="preserve"> found in Luke which </w:t>
      </w:r>
      <w:r w:rsidR="00F33A37" w:rsidRPr="00136209">
        <w:rPr>
          <w:rFonts w:ascii="Century Gothic" w:hAnsi="Century Gothic"/>
          <w:sz w:val="24"/>
        </w:rPr>
        <w:t>begins with Jesus and teaches the ancestry backwards to God himself.</w:t>
      </w:r>
      <w:r w:rsidR="002858F2" w:rsidRPr="00136209">
        <w:rPr>
          <w:rFonts w:ascii="Century Gothic" w:hAnsi="Century Gothic"/>
          <w:sz w:val="24"/>
        </w:rPr>
        <w:t xml:space="preserve"> </w:t>
      </w:r>
      <w:r w:rsidR="00F33A37" w:rsidRPr="00136209">
        <w:rPr>
          <w:rFonts w:ascii="Century Gothic" w:hAnsi="Century Gothic"/>
          <w:sz w:val="24"/>
        </w:rPr>
        <w:t xml:space="preserve">It is believed that this regressional approach in the book of Luke was done in order to place more emphasis on Jesus himself rather than his linage. However, </w:t>
      </w:r>
      <w:r w:rsidR="007F60E5" w:rsidRPr="00136209">
        <w:rPr>
          <w:rFonts w:ascii="Century Gothic" w:hAnsi="Century Gothic"/>
          <w:sz w:val="24"/>
        </w:rPr>
        <w:t>Luther’s</w:t>
      </w:r>
      <w:r w:rsidR="00F33A37" w:rsidRPr="00136209">
        <w:rPr>
          <w:rFonts w:ascii="Century Gothic" w:hAnsi="Century Gothic"/>
          <w:sz w:val="24"/>
        </w:rPr>
        <w:t xml:space="preserve"> argument in his first document of the Jewish nation emphasises that although Jesus was not the son of Joseph by seed but by adoption and the following of the definition of the role of a father seen in Ephesians 6:4 which states </w:t>
      </w:r>
      <w:r w:rsidR="00F33A37" w:rsidRPr="00136209">
        <w:rPr>
          <w:rFonts w:ascii="Century Gothic" w:hAnsi="Century Gothic"/>
          <w:sz w:val="24"/>
        </w:rPr>
        <w:br/>
        <w:t>“</w:t>
      </w:r>
      <w:r w:rsidR="00F33A37" w:rsidRPr="00136209">
        <w:rPr>
          <w:rFonts w:ascii="Century Gothic" w:hAnsi="Century Gothic"/>
          <w:color w:val="000000"/>
        </w:rPr>
        <w:t>Fathers,</w:t>
      </w:r>
      <w:r w:rsidR="00F33A37" w:rsidRPr="00136209">
        <w:rPr>
          <w:rFonts w:ascii="Century Gothic" w:hAnsi="Century Gothic"/>
          <w:color w:val="000000"/>
          <w:sz w:val="12"/>
          <w:szCs w:val="12"/>
          <w:vertAlign w:val="superscript"/>
        </w:rPr>
        <w:t>[</w:t>
      </w:r>
      <w:r w:rsidR="00F33A37" w:rsidRPr="00136209">
        <w:rPr>
          <w:rFonts w:ascii="Century Gothic" w:hAnsi="Century Gothic"/>
          <w:color w:val="000000"/>
        </w:rPr>
        <w:t xml:space="preserve"> do not exasperate your children; instead, bring them up in the training and instruction of the Lord.”(5)</w:t>
      </w:r>
    </w:p>
    <w:p w14:paraId="081A7297" w14:textId="20D63072" w:rsidR="007F60E5" w:rsidRDefault="007F60E5">
      <w:pPr>
        <w:rPr>
          <w:rFonts w:ascii="Century Gothic" w:hAnsi="Century Gothic"/>
          <w:sz w:val="24"/>
        </w:rPr>
      </w:pPr>
      <w:r w:rsidRPr="00136209">
        <w:rPr>
          <w:rFonts w:ascii="Century Gothic" w:hAnsi="Century Gothic"/>
          <w:sz w:val="24"/>
        </w:rPr>
        <w:t xml:space="preserve">In the second part of his essay, Luther emphasis the fulfilment of the </w:t>
      </w:r>
      <w:r w:rsidR="00A64230" w:rsidRPr="00136209">
        <w:rPr>
          <w:rFonts w:ascii="Century Gothic" w:hAnsi="Century Gothic"/>
          <w:sz w:val="24"/>
        </w:rPr>
        <w:t>prophecies</w:t>
      </w:r>
      <w:r w:rsidRPr="00136209">
        <w:rPr>
          <w:rFonts w:ascii="Century Gothic" w:hAnsi="Century Gothic"/>
          <w:sz w:val="24"/>
        </w:rPr>
        <w:t xml:space="preserve"> seen in the Old </w:t>
      </w:r>
      <w:r w:rsidR="00A64230" w:rsidRPr="00136209">
        <w:rPr>
          <w:rFonts w:ascii="Century Gothic" w:hAnsi="Century Gothic"/>
          <w:sz w:val="24"/>
        </w:rPr>
        <w:t>Testament</w:t>
      </w:r>
      <w:r w:rsidRPr="00136209">
        <w:rPr>
          <w:rFonts w:ascii="Century Gothic" w:hAnsi="Century Gothic"/>
          <w:sz w:val="24"/>
        </w:rPr>
        <w:t xml:space="preserve">, or in the case of </w:t>
      </w:r>
      <w:r w:rsidR="00A64230" w:rsidRPr="00136209">
        <w:rPr>
          <w:rFonts w:ascii="Century Gothic" w:hAnsi="Century Gothic"/>
          <w:sz w:val="24"/>
        </w:rPr>
        <w:t>Judaism</w:t>
      </w:r>
      <w:r w:rsidRPr="00136209">
        <w:rPr>
          <w:rFonts w:ascii="Century Gothic" w:hAnsi="Century Gothic"/>
          <w:sz w:val="24"/>
        </w:rPr>
        <w:t xml:space="preserve"> the Hebrew </w:t>
      </w:r>
      <w:r w:rsidRPr="00136209">
        <w:rPr>
          <w:rFonts w:ascii="Century Gothic" w:hAnsi="Century Gothic"/>
          <w:sz w:val="24"/>
        </w:rPr>
        <w:lastRenderedPageBreak/>
        <w:t xml:space="preserve">Bible. </w:t>
      </w:r>
      <w:r w:rsidR="00A64230" w:rsidRPr="00136209">
        <w:rPr>
          <w:rFonts w:ascii="Century Gothic" w:hAnsi="Century Gothic"/>
          <w:sz w:val="24"/>
        </w:rPr>
        <w:t xml:space="preserve">In </w:t>
      </w:r>
      <w:r w:rsidR="00261A06" w:rsidRPr="00136209">
        <w:rPr>
          <w:rFonts w:ascii="Century Gothic" w:hAnsi="Century Gothic"/>
          <w:sz w:val="24"/>
        </w:rPr>
        <w:t>this</w:t>
      </w:r>
      <w:r w:rsidR="00A64230" w:rsidRPr="00136209">
        <w:rPr>
          <w:rFonts w:ascii="Century Gothic" w:hAnsi="Century Gothic"/>
          <w:sz w:val="24"/>
        </w:rPr>
        <w:t xml:space="preserve"> section Luther can be seen to hold a sympathetic voice towards </w:t>
      </w:r>
      <w:r w:rsidR="00881E2E" w:rsidRPr="00136209">
        <w:rPr>
          <w:rFonts w:ascii="Century Gothic" w:hAnsi="Century Gothic"/>
          <w:sz w:val="24"/>
        </w:rPr>
        <w:t xml:space="preserve">his audience in the way in which he emphasises the </w:t>
      </w:r>
      <w:r w:rsidR="00D70145" w:rsidRPr="00136209">
        <w:rPr>
          <w:rFonts w:ascii="Century Gothic" w:hAnsi="Century Gothic"/>
          <w:sz w:val="24"/>
        </w:rPr>
        <w:t>way in which he emphasis that the purpose of the Old testament was to prepare the way for the Messiah and that he had arrived in the form of Jesus within the teachings of the New Testament</w:t>
      </w:r>
      <w:r w:rsidR="00136209" w:rsidRPr="00136209">
        <w:rPr>
          <w:rFonts w:ascii="Century Gothic" w:hAnsi="Century Gothic"/>
          <w:sz w:val="24"/>
        </w:rPr>
        <w:t xml:space="preserve">. </w:t>
      </w:r>
    </w:p>
    <w:p w14:paraId="020D4CF5" w14:textId="4901CF9E" w:rsidR="00932F75" w:rsidRDefault="00136209">
      <w:pPr>
        <w:rPr>
          <w:rFonts w:ascii="Century Gothic" w:hAnsi="Century Gothic"/>
          <w:sz w:val="24"/>
        </w:rPr>
      </w:pPr>
      <w:r>
        <w:rPr>
          <w:rFonts w:ascii="Century Gothic" w:hAnsi="Century Gothic"/>
          <w:sz w:val="24"/>
        </w:rPr>
        <w:t>Within the</w:t>
      </w:r>
      <w:r w:rsidR="003829E7">
        <w:rPr>
          <w:rFonts w:ascii="Century Gothic" w:hAnsi="Century Gothic"/>
          <w:sz w:val="24"/>
        </w:rPr>
        <w:t xml:space="preserve"> third</w:t>
      </w:r>
      <w:r>
        <w:rPr>
          <w:rFonts w:ascii="Century Gothic" w:hAnsi="Century Gothic"/>
          <w:sz w:val="24"/>
        </w:rPr>
        <w:t xml:space="preserve"> and final section of this essay </w:t>
      </w:r>
      <w:r w:rsidR="003829E7">
        <w:rPr>
          <w:rFonts w:ascii="Century Gothic" w:hAnsi="Century Gothic"/>
          <w:sz w:val="24"/>
        </w:rPr>
        <w:t>published</w:t>
      </w:r>
      <w:r>
        <w:rPr>
          <w:rFonts w:ascii="Century Gothic" w:hAnsi="Century Gothic"/>
          <w:sz w:val="24"/>
        </w:rPr>
        <w:t xml:space="preserve"> by Luther. He returns to the </w:t>
      </w:r>
      <w:r w:rsidR="003829E7">
        <w:rPr>
          <w:rFonts w:ascii="Century Gothic" w:hAnsi="Century Gothic"/>
          <w:sz w:val="24"/>
        </w:rPr>
        <w:t>Catholic agenda previously described. However, it is in the form of blame he returns to this topic. He elaborates on how the Jewish nation are to be dealt with gently and are to be instructed with proper scriptural passages (6)</w:t>
      </w:r>
      <w:r w:rsidR="00F71C1F">
        <w:rPr>
          <w:rFonts w:ascii="Century Gothic" w:hAnsi="Century Gothic"/>
          <w:sz w:val="24"/>
        </w:rPr>
        <w:t xml:space="preserve"> which Luther argues will not work if literature belonging or having </w:t>
      </w:r>
      <w:r w:rsidR="009B6334">
        <w:rPr>
          <w:rFonts w:ascii="Century Gothic" w:hAnsi="Century Gothic"/>
          <w:sz w:val="24"/>
        </w:rPr>
        <w:t>been</w:t>
      </w:r>
      <w:r w:rsidR="00F71C1F">
        <w:rPr>
          <w:rFonts w:ascii="Century Gothic" w:hAnsi="Century Gothic"/>
          <w:sz w:val="24"/>
        </w:rPr>
        <w:t xml:space="preserve"> “corrupted” by the catholic church as it</w:t>
      </w:r>
      <w:r w:rsidR="00002C11">
        <w:rPr>
          <w:rFonts w:ascii="Century Gothic" w:hAnsi="Century Gothic"/>
          <w:sz w:val="24"/>
        </w:rPr>
        <w:t xml:space="preserve"> according to </w:t>
      </w:r>
      <w:r w:rsidR="00841FEC">
        <w:rPr>
          <w:rFonts w:ascii="Century Gothic" w:hAnsi="Century Gothic"/>
          <w:sz w:val="24"/>
        </w:rPr>
        <w:t>Lu</w:t>
      </w:r>
      <w:r w:rsidR="00002C11">
        <w:rPr>
          <w:rFonts w:ascii="Century Gothic" w:hAnsi="Century Gothic"/>
          <w:sz w:val="24"/>
        </w:rPr>
        <w:t>ther has no spiritual value.</w:t>
      </w:r>
      <w:r w:rsidR="00841FEC">
        <w:rPr>
          <w:rFonts w:ascii="Century Gothic" w:hAnsi="Century Gothic"/>
          <w:sz w:val="24"/>
        </w:rPr>
        <w:t xml:space="preserve"> He later goes on to state how it is not ethical or possible to blame the Jewish nation for not wishing to convert if all they are being offered is catholic teaching. This thought had a great impact with may of the Jewish faith as during this time mass ghettoization of the Jewish people. </w:t>
      </w:r>
      <w:r w:rsidR="00932F75">
        <w:rPr>
          <w:rFonts w:ascii="Century Gothic" w:hAnsi="Century Gothic"/>
          <w:sz w:val="24"/>
        </w:rPr>
        <w:t>Luther</w:t>
      </w:r>
      <w:r w:rsidR="00841FEC">
        <w:rPr>
          <w:rFonts w:ascii="Century Gothic" w:hAnsi="Century Gothic"/>
          <w:sz w:val="24"/>
        </w:rPr>
        <w:t xml:space="preserve"> argued </w:t>
      </w:r>
    </w:p>
    <w:p w14:paraId="54BF76DC" w14:textId="5800745D" w:rsidR="00136209" w:rsidRDefault="00841FEC" w:rsidP="00932F75">
      <w:pPr>
        <w:jc w:val="center"/>
        <w:rPr>
          <w:rFonts w:ascii="Century Gothic" w:hAnsi="Century Gothic"/>
        </w:rPr>
      </w:pPr>
      <w:r w:rsidRPr="00932F75">
        <w:rPr>
          <w:rFonts w:ascii="Century Gothic" w:hAnsi="Century Gothic"/>
        </w:rPr>
        <w:t xml:space="preserve">“Instead of this we are </w:t>
      </w:r>
      <w:r w:rsidR="00932F75" w:rsidRPr="00932F75">
        <w:rPr>
          <w:rFonts w:ascii="Century Gothic" w:hAnsi="Century Gothic"/>
        </w:rPr>
        <w:t>trying</w:t>
      </w:r>
      <w:r w:rsidRPr="00932F75">
        <w:rPr>
          <w:rFonts w:ascii="Century Gothic" w:hAnsi="Century Gothic"/>
        </w:rPr>
        <w:t xml:space="preserve"> to </w:t>
      </w:r>
      <w:r w:rsidR="00932F75" w:rsidRPr="00932F75">
        <w:rPr>
          <w:rFonts w:ascii="Century Gothic" w:hAnsi="Century Gothic"/>
        </w:rPr>
        <w:t>divide</w:t>
      </w:r>
      <w:r w:rsidRPr="00932F75">
        <w:rPr>
          <w:rFonts w:ascii="Century Gothic" w:hAnsi="Century Gothic"/>
        </w:rPr>
        <w:t xml:space="preserve"> them by force</w:t>
      </w:r>
      <w:r w:rsidR="00932F75" w:rsidRPr="00932F75">
        <w:rPr>
          <w:rFonts w:ascii="Century Gothic" w:hAnsi="Century Gothic"/>
        </w:rPr>
        <w:t>, slandering them, accusing them of having Christian blood if they don’t stink, and I know not of other foolishness. So long as we treat them like dogs, how can we expect any work among them.”</w:t>
      </w:r>
      <w:r w:rsidR="00932F75">
        <w:rPr>
          <w:rFonts w:ascii="Century Gothic" w:hAnsi="Century Gothic"/>
        </w:rPr>
        <w:t xml:space="preserve"> (7)</w:t>
      </w:r>
    </w:p>
    <w:p w14:paraId="2F3062FD" w14:textId="636DAFF6" w:rsidR="00002C11" w:rsidRDefault="00932F75">
      <w:pPr>
        <w:rPr>
          <w:rFonts w:ascii="Century Gothic" w:hAnsi="Century Gothic"/>
          <w:sz w:val="24"/>
        </w:rPr>
      </w:pPr>
      <w:r>
        <w:rPr>
          <w:rFonts w:ascii="Century Gothic" w:hAnsi="Century Gothic"/>
          <w:sz w:val="24"/>
        </w:rPr>
        <w:t>Undoubtedly influenced by his optimism in the newly restored Gospel and his teachings</w:t>
      </w:r>
      <w:r w:rsidR="009B6334">
        <w:rPr>
          <w:rFonts w:ascii="Century Gothic" w:hAnsi="Century Gothic"/>
          <w:sz w:val="24"/>
        </w:rPr>
        <w:t xml:space="preserve"> he goes on to influence a tolerant approach to the Jewish people, urging readers to pray and aid them in they conversion without being forceful. (8) However, from his other published work during the decade it </w:t>
      </w:r>
      <w:r w:rsidR="00A24A3B">
        <w:rPr>
          <w:rFonts w:ascii="Century Gothic" w:hAnsi="Century Gothic"/>
          <w:sz w:val="24"/>
        </w:rPr>
        <w:t>may</w:t>
      </w:r>
      <w:r w:rsidR="009B6334">
        <w:rPr>
          <w:rFonts w:ascii="Century Gothic" w:hAnsi="Century Gothic"/>
          <w:sz w:val="24"/>
        </w:rPr>
        <w:t xml:space="preserve"> be </w:t>
      </w:r>
      <w:r w:rsidR="00A24A3B">
        <w:rPr>
          <w:rFonts w:ascii="Century Gothic" w:hAnsi="Century Gothic"/>
          <w:sz w:val="24"/>
        </w:rPr>
        <w:t>argued</w:t>
      </w:r>
      <w:r w:rsidR="009B6334">
        <w:rPr>
          <w:rFonts w:ascii="Century Gothic" w:hAnsi="Century Gothic"/>
          <w:sz w:val="24"/>
        </w:rPr>
        <w:t xml:space="preserve"> that the Jewish people were not his main priority but the Catholic church.  When considering the contribution offered to Jewish- Christian relations regarding this body of text, it may be argued that </w:t>
      </w:r>
      <w:r w:rsidR="0022491C">
        <w:rPr>
          <w:rFonts w:ascii="Century Gothic" w:hAnsi="Century Gothic"/>
          <w:sz w:val="24"/>
        </w:rPr>
        <w:t>Luther is attempting to create a bridge of learning of sorts in order to</w:t>
      </w:r>
      <w:r w:rsidR="00B567E4">
        <w:rPr>
          <w:rFonts w:ascii="Century Gothic" w:hAnsi="Century Gothic"/>
          <w:sz w:val="24"/>
        </w:rPr>
        <w:t xml:space="preserve"> allow the Jewish people to learn more about Jesus and his Jewish nature. Yet this is not the </w:t>
      </w:r>
      <w:r w:rsidR="00B567E4">
        <w:rPr>
          <w:rFonts w:ascii="Century Gothic" w:hAnsi="Century Gothic"/>
          <w:sz w:val="24"/>
        </w:rPr>
        <w:lastRenderedPageBreak/>
        <w:t xml:space="preserve">only affect Luther’s writing has at this time as he informs a missionary spirit in the way he wishes to aid the Jewish people in their day to day lives. They become a form of positive witness to his message. </w:t>
      </w:r>
      <w:r w:rsidR="00261A06">
        <w:rPr>
          <w:rFonts w:ascii="Century Gothic" w:hAnsi="Century Gothic"/>
          <w:sz w:val="24"/>
        </w:rPr>
        <w:t>This</w:t>
      </w:r>
      <w:r w:rsidR="00B567E4">
        <w:rPr>
          <w:rFonts w:ascii="Century Gothic" w:hAnsi="Century Gothic"/>
          <w:sz w:val="24"/>
        </w:rPr>
        <w:t xml:space="preserve"> is supported by his stating “There are </w:t>
      </w:r>
      <w:r w:rsidR="00722EA3">
        <w:rPr>
          <w:rFonts w:ascii="Century Gothic" w:hAnsi="Century Gothic"/>
          <w:sz w:val="24"/>
        </w:rPr>
        <w:t>future</w:t>
      </w:r>
      <w:r w:rsidR="00B567E4">
        <w:rPr>
          <w:rFonts w:ascii="Century Gothic" w:hAnsi="Century Gothic"/>
          <w:sz w:val="24"/>
        </w:rPr>
        <w:t xml:space="preserve"> Christians among them, and they are turning every day” (9)</w:t>
      </w:r>
      <w:r w:rsidR="00722EA3">
        <w:rPr>
          <w:rFonts w:ascii="Century Gothic" w:hAnsi="Century Gothic"/>
          <w:sz w:val="24"/>
        </w:rPr>
        <w:t xml:space="preserve"> This can also be emphasised by the way in which some within the Jewish faith regarded </w:t>
      </w:r>
      <w:r w:rsidR="00261A06">
        <w:rPr>
          <w:rFonts w:ascii="Century Gothic" w:hAnsi="Century Gothic"/>
          <w:sz w:val="24"/>
        </w:rPr>
        <w:t>him</w:t>
      </w:r>
      <w:r w:rsidR="00722EA3">
        <w:rPr>
          <w:rFonts w:ascii="Century Gothic" w:hAnsi="Century Gothic"/>
          <w:sz w:val="24"/>
        </w:rPr>
        <w:t xml:space="preserve"> as the “forerunner of the messiah” and held his work in high regard due to his preaching of acceptance and aid, whilst regarding the document as a missionary tract to be emulated and translated for the masses.</w:t>
      </w:r>
    </w:p>
    <w:p w14:paraId="2336686F" w14:textId="13667EAF" w:rsidR="00722EA3" w:rsidRDefault="00722EA3">
      <w:pPr>
        <w:rPr>
          <w:rFonts w:ascii="Century Gothic" w:hAnsi="Century Gothic"/>
          <w:sz w:val="24"/>
        </w:rPr>
      </w:pPr>
      <w:r>
        <w:rPr>
          <w:rFonts w:ascii="Century Gothic" w:hAnsi="Century Gothic"/>
          <w:sz w:val="24"/>
        </w:rPr>
        <w:t xml:space="preserve">Within the following years, </w:t>
      </w:r>
      <w:r w:rsidR="00261A06">
        <w:rPr>
          <w:rFonts w:ascii="Century Gothic" w:hAnsi="Century Gothic"/>
          <w:sz w:val="24"/>
        </w:rPr>
        <w:t>Luther’s</w:t>
      </w:r>
      <w:r>
        <w:rPr>
          <w:rFonts w:ascii="Century Gothic" w:hAnsi="Century Gothic"/>
          <w:sz w:val="24"/>
        </w:rPr>
        <w:t xml:space="preserve"> attitude towards the Jewish nation begins to shift </w:t>
      </w:r>
      <w:r w:rsidR="00261A06">
        <w:rPr>
          <w:rFonts w:ascii="Century Gothic" w:hAnsi="Century Gothic"/>
          <w:sz w:val="24"/>
        </w:rPr>
        <w:t>as he learns of a sect in Moravia adopting some of the customs associated with the Hebrew bible, customs which had been deemed unnecessary by the covenant made through Jesus. For example, circumcision. Therefor the position held by Luther in his writings beg</w:t>
      </w:r>
      <w:r w:rsidR="00742A17">
        <w:rPr>
          <w:rFonts w:ascii="Century Gothic" w:hAnsi="Century Gothic"/>
          <w:sz w:val="24"/>
        </w:rPr>
        <w:t xml:space="preserve">an to shift to a slightly more radical approach to the Jewish question. By the late 1530’s to 40’s </w:t>
      </w:r>
      <w:r w:rsidR="00BB4F45">
        <w:rPr>
          <w:rFonts w:ascii="Century Gothic" w:hAnsi="Century Gothic"/>
          <w:sz w:val="24"/>
        </w:rPr>
        <w:t xml:space="preserve">  </w:t>
      </w:r>
      <w:r w:rsidR="000D1764">
        <w:rPr>
          <w:rFonts w:ascii="Century Gothic" w:hAnsi="Century Gothic"/>
          <w:sz w:val="24"/>
        </w:rPr>
        <w:t>Luther began</w:t>
      </w:r>
      <w:r w:rsidR="00BB4F45">
        <w:rPr>
          <w:rFonts w:ascii="Century Gothic" w:hAnsi="Century Gothic"/>
          <w:sz w:val="24"/>
        </w:rPr>
        <w:t xml:space="preserve"> a second textual contribution to the relationship between Christianity and Judaism in the form of an open letter to Count Wolf S</w:t>
      </w:r>
      <w:r w:rsidR="000D1764">
        <w:rPr>
          <w:rFonts w:ascii="Century Gothic" w:hAnsi="Century Gothic"/>
          <w:sz w:val="24"/>
        </w:rPr>
        <w:t>chlick named</w:t>
      </w:r>
      <w:r w:rsidR="00BB4F45">
        <w:rPr>
          <w:rFonts w:ascii="Century Gothic" w:hAnsi="Century Gothic"/>
          <w:sz w:val="24"/>
        </w:rPr>
        <w:t xml:space="preserve"> “</w:t>
      </w:r>
      <w:r w:rsidR="000D1764">
        <w:rPr>
          <w:rFonts w:ascii="Century Gothic" w:hAnsi="Century Gothic"/>
          <w:sz w:val="24"/>
        </w:rPr>
        <w:t>Against</w:t>
      </w:r>
      <w:r w:rsidR="00BB4F45">
        <w:rPr>
          <w:rFonts w:ascii="Century Gothic" w:hAnsi="Century Gothic"/>
          <w:sz w:val="24"/>
        </w:rPr>
        <w:t xml:space="preserve"> the Sabbatarians</w:t>
      </w:r>
      <w:r w:rsidR="000D1764">
        <w:rPr>
          <w:rFonts w:ascii="Century Gothic" w:hAnsi="Century Gothic"/>
          <w:sz w:val="24"/>
        </w:rPr>
        <w:t>.</w:t>
      </w:r>
      <w:r w:rsidR="00BB4F45">
        <w:rPr>
          <w:rFonts w:ascii="Century Gothic" w:hAnsi="Century Gothic"/>
          <w:sz w:val="24"/>
        </w:rPr>
        <w:t>”</w:t>
      </w:r>
      <w:r w:rsidR="000D1764">
        <w:rPr>
          <w:rFonts w:ascii="Century Gothic" w:hAnsi="Century Gothic"/>
          <w:sz w:val="24"/>
        </w:rPr>
        <w:t xml:space="preserve"> This was complied after a report had been set forth by Schlick stating may of the Christians in the area had begun to develop Sabbatarian tendencies. However, it has not been made clear on what these tenancies were.</w:t>
      </w:r>
    </w:p>
    <w:p w14:paraId="2CF5ADB4" w14:textId="77777777" w:rsidR="0005762F" w:rsidRDefault="000D1764">
      <w:pPr>
        <w:rPr>
          <w:rFonts w:ascii="Century Gothic" w:hAnsi="Century Gothic"/>
          <w:sz w:val="24"/>
        </w:rPr>
      </w:pPr>
      <w:r>
        <w:rPr>
          <w:rFonts w:ascii="Century Gothic" w:hAnsi="Century Gothic"/>
          <w:sz w:val="24"/>
        </w:rPr>
        <w:t>In his letter Luther expresses the belief that those who had begun to partake in the Sabbatarian tendencies had “Sinned against the Messiah” and no longer dwelled in the land due to the disbelief and disobedience to the word of the</w:t>
      </w:r>
      <w:r w:rsidR="00CB5D71">
        <w:rPr>
          <w:rFonts w:ascii="Century Gothic" w:hAnsi="Century Gothic"/>
          <w:sz w:val="24"/>
        </w:rPr>
        <w:t xml:space="preserve"> true Scripture. This increase in slander scholars believe could have been caused by two main issues. The first being the growth is Sabbatarians which was going against what Luther intended, and the deterioration in his </w:t>
      </w:r>
      <w:r w:rsidR="00CB5D71">
        <w:rPr>
          <w:rFonts w:ascii="Century Gothic" w:hAnsi="Century Gothic"/>
          <w:sz w:val="24"/>
        </w:rPr>
        <w:lastRenderedPageBreak/>
        <w:t>health status. Scholars believe that by this time Luther may have began to become extremely ill, therefor his argumentation for the Jewish people became increasingly less sympathetic. (11)</w:t>
      </w:r>
    </w:p>
    <w:p w14:paraId="597FDAC0" w14:textId="235DC475" w:rsidR="0005762F" w:rsidRDefault="0005762F">
      <w:pPr>
        <w:rPr>
          <w:rFonts w:ascii="Century Gothic" w:hAnsi="Century Gothic"/>
          <w:sz w:val="24"/>
        </w:rPr>
      </w:pPr>
      <w:r>
        <w:rPr>
          <w:rFonts w:ascii="Century Gothic" w:hAnsi="Century Gothic"/>
          <w:sz w:val="24"/>
        </w:rPr>
        <w:t xml:space="preserve">The letter however is not the only source which depicts this contribution to Jewish Christian relations. Within Luther’s wide range commentary on Genesis 25:21 he begins to criticise the vast number of rabbinic commentaries on the scriptures found within the New </w:t>
      </w:r>
      <w:r w:rsidR="00C05917">
        <w:rPr>
          <w:rFonts w:ascii="Century Gothic" w:hAnsi="Century Gothic"/>
          <w:sz w:val="24"/>
        </w:rPr>
        <w:t>Testament. (12)</w:t>
      </w:r>
      <w:r>
        <w:rPr>
          <w:rFonts w:ascii="Century Gothic" w:hAnsi="Century Gothic"/>
          <w:sz w:val="24"/>
        </w:rPr>
        <w:t xml:space="preserve"> He stated</w:t>
      </w:r>
    </w:p>
    <w:p w14:paraId="5E16C0FC" w14:textId="7257D646" w:rsidR="000D1764" w:rsidRDefault="0005762F" w:rsidP="00C05917">
      <w:pPr>
        <w:jc w:val="center"/>
        <w:rPr>
          <w:rFonts w:ascii="Century Gothic" w:hAnsi="Century Gothic"/>
          <w:sz w:val="24"/>
        </w:rPr>
      </w:pPr>
      <w:r w:rsidRPr="00C05917">
        <w:rPr>
          <w:rFonts w:ascii="Century Gothic" w:hAnsi="Century Gothic"/>
        </w:rPr>
        <w:t xml:space="preserve">We </w:t>
      </w:r>
      <w:r w:rsidR="00C05917" w:rsidRPr="00C05917">
        <w:rPr>
          <w:rFonts w:ascii="Century Gothic" w:hAnsi="Century Gothic"/>
        </w:rPr>
        <w:t>acknowledge, of course, that it is a great benefit that we have received the language from them; but we must be aware the dung the rabbis, who have hade of Holy Scripture a sort of privy in which they disposed of their fortuned and their exceedingly foolish opinions. I am advising this because even among our won theologians many give too much credit to the rabbis in explaining the meaning of scripture</w:t>
      </w:r>
      <w:r w:rsidR="00C05917">
        <w:rPr>
          <w:rFonts w:ascii="Century Gothic" w:hAnsi="Century Gothic"/>
          <w:sz w:val="24"/>
        </w:rPr>
        <w:t>”</w:t>
      </w:r>
      <w:r>
        <w:rPr>
          <w:rFonts w:ascii="Century Gothic" w:hAnsi="Century Gothic"/>
          <w:sz w:val="24"/>
        </w:rPr>
        <w:t xml:space="preserve"> </w:t>
      </w:r>
      <w:r w:rsidR="00C05917">
        <w:rPr>
          <w:rFonts w:ascii="Century Gothic" w:hAnsi="Century Gothic"/>
          <w:sz w:val="24"/>
        </w:rPr>
        <w:t>(13)</w:t>
      </w:r>
    </w:p>
    <w:p w14:paraId="665BE304" w14:textId="7291B2C1" w:rsidR="0062451E" w:rsidRDefault="00C05917">
      <w:pPr>
        <w:rPr>
          <w:rFonts w:ascii="Century Gothic" w:hAnsi="Century Gothic"/>
          <w:sz w:val="24"/>
        </w:rPr>
      </w:pPr>
      <w:r>
        <w:rPr>
          <w:rFonts w:ascii="Century Gothic" w:hAnsi="Century Gothic"/>
          <w:sz w:val="24"/>
        </w:rPr>
        <w:t>Then continues by explaining how Christians should “Give up all hope” when attempting to convert. He continues adding there was a reason that the Jewish people could no longer had a home land and it was due to a punishment set forth by God for rejecting the Messiah he had sent in order to save his elect people. It was their sinfulness that caused them to become a wonderer like Cane.</w:t>
      </w:r>
      <w:r w:rsidR="00B06648">
        <w:rPr>
          <w:rFonts w:ascii="Century Gothic" w:hAnsi="Century Gothic"/>
          <w:sz w:val="24"/>
        </w:rPr>
        <w:t xml:space="preserve"> This could be depicted as a political move of sorts as during this period of time life was often dominated by the church, and Luther as a major influencer in the protestant reformation could have had a lot of influence when discussing the national attitude towards the Jewish people. This was emulated by the stance taken by Frederick III who today is known as one of the most powerful early defenders of Luther’s writings. In 1536 he decided to remove the rights of all Jews to dwell in his elect principality. However, this move was more than just political in form.</w:t>
      </w:r>
      <w:r w:rsidR="0011417D">
        <w:rPr>
          <w:rFonts w:ascii="Century Gothic" w:hAnsi="Century Gothic"/>
          <w:sz w:val="24"/>
        </w:rPr>
        <w:t xml:space="preserve"> It can be noted to be the first rift caused by Luther’s writings as a prominent Jew living in the </w:t>
      </w:r>
      <w:r w:rsidR="0011417D">
        <w:rPr>
          <w:rFonts w:ascii="Century Gothic" w:hAnsi="Century Gothic"/>
          <w:sz w:val="24"/>
        </w:rPr>
        <w:lastRenderedPageBreak/>
        <w:t xml:space="preserve">prince’s principality </w:t>
      </w:r>
      <w:r w:rsidR="008E049E">
        <w:rPr>
          <w:rFonts w:ascii="Century Gothic" w:hAnsi="Century Gothic"/>
          <w:sz w:val="24"/>
        </w:rPr>
        <w:t xml:space="preserve">had reached out to Luther in order to receive aid. </w:t>
      </w:r>
      <w:r w:rsidR="00D8563C">
        <w:rPr>
          <w:rFonts w:ascii="Century Gothic" w:hAnsi="Century Gothic"/>
          <w:sz w:val="24"/>
        </w:rPr>
        <w:t xml:space="preserve">However, Luther refused to mitigate on his behalf as he did not wish to aid a nation of people who had turned their backs on Jesus and his teachings. </w:t>
      </w:r>
      <w:r w:rsidR="0062451E">
        <w:rPr>
          <w:rFonts w:ascii="Century Gothic" w:hAnsi="Century Gothic"/>
          <w:sz w:val="24"/>
        </w:rPr>
        <w:t xml:space="preserve">As a </w:t>
      </w:r>
      <w:r w:rsidR="00835CAD">
        <w:rPr>
          <w:rFonts w:ascii="Century Gothic" w:hAnsi="Century Gothic"/>
          <w:sz w:val="24"/>
        </w:rPr>
        <w:t>result,</w:t>
      </w:r>
      <w:r w:rsidR="0062451E">
        <w:rPr>
          <w:rFonts w:ascii="Century Gothic" w:hAnsi="Century Gothic"/>
          <w:sz w:val="24"/>
        </w:rPr>
        <w:t xml:space="preserve"> many of the Jewish people began to align themselves with the Catholic church who allowed them sanctuary after Luther and his church had not. </w:t>
      </w:r>
    </w:p>
    <w:p w14:paraId="4A7E01DB" w14:textId="5736EEA3" w:rsidR="0062451E" w:rsidRDefault="0062451E">
      <w:pPr>
        <w:rPr>
          <w:rFonts w:ascii="Century Gothic" w:hAnsi="Century Gothic"/>
          <w:sz w:val="24"/>
        </w:rPr>
      </w:pPr>
      <w:r>
        <w:rPr>
          <w:rFonts w:ascii="Century Gothic" w:hAnsi="Century Gothic"/>
          <w:sz w:val="24"/>
        </w:rPr>
        <w:t xml:space="preserve">When considering Luther’s contribution to the relations between the two monotheistic religions, it can be </w:t>
      </w:r>
      <w:r w:rsidR="00981F83">
        <w:rPr>
          <w:rFonts w:ascii="Century Gothic" w:hAnsi="Century Gothic"/>
          <w:sz w:val="24"/>
        </w:rPr>
        <w:t xml:space="preserve">disputed </w:t>
      </w:r>
      <w:r>
        <w:rPr>
          <w:rFonts w:ascii="Century Gothic" w:hAnsi="Century Gothic"/>
          <w:sz w:val="24"/>
        </w:rPr>
        <w:t xml:space="preserve">that during this time, </w:t>
      </w:r>
      <w:r w:rsidR="00835CAD">
        <w:rPr>
          <w:rFonts w:ascii="Century Gothic" w:hAnsi="Century Gothic"/>
          <w:sz w:val="24"/>
        </w:rPr>
        <w:t xml:space="preserve">his </w:t>
      </w:r>
      <w:r>
        <w:rPr>
          <w:rFonts w:ascii="Century Gothic" w:hAnsi="Century Gothic"/>
          <w:sz w:val="24"/>
        </w:rPr>
        <w:t>depiction of the Jews does begin to shift</w:t>
      </w:r>
      <w:r w:rsidR="00981F83">
        <w:rPr>
          <w:rFonts w:ascii="Century Gothic" w:hAnsi="Century Gothic"/>
          <w:sz w:val="24"/>
        </w:rPr>
        <w:t>, thus impacting the way in which he writes of the relation between the two. Therefor the contribution can be seen as negative rather tha</w:t>
      </w:r>
      <w:r w:rsidR="00835CAD">
        <w:rPr>
          <w:rFonts w:ascii="Century Gothic" w:hAnsi="Century Gothic"/>
          <w:sz w:val="24"/>
        </w:rPr>
        <w:t>n the positive nature illustrated in his earlier writings</w:t>
      </w:r>
      <w:r w:rsidR="00981F83">
        <w:rPr>
          <w:rFonts w:ascii="Century Gothic" w:hAnsi="Century Gothic"/>
          <w:sz w:val="24"/>
        </w:rPr>
        <w:t>. A shift can be seen to begin</w:t>
      </w:r>
      <w:r w:rsidR="00835CAD">
        <w:rPr>
          <w:rFonts w:ascii="Century Gothic" w:hAnsi="Century Gothic"/>
          <w:sz w:val="24"/>
        </w:rPr>
        <w:t xml:space="preserve"> due to this and the attitude of the German prince</w:t>
      </w:r>
      <w:r w:rsidR="00981F83">
        <w:rPr>
          <w:rFonts w:ascii="Century Gothic" w:hAnsi="Century Gothic"/>
          <w:sz w:val="24"/>
        </w:rPr>
        <w:t xml:space="preserve"> </w:t>
      </w:r>
      <w:r w:rsidR="00835CAD">
        <w:rPr>
          <w:rFonts w:ascii="Century Gothic" w:hAnsi="Century Gothic"/>
          <w:sz w:val="24"/>
        </w:rPr>
        <w:t xml:space="preserve">leaving </w:t>
      </w:r>
      <w:r w:rsidR="00981F83">
        <w:rPr>
          <w:rFonts w:ascii="Century Gothic" w:hAnsi="Century Gothic"/>
          <w:sz w:val="24"/>
        </w:rPr>
        <w:t xml:space="preserve">the future of Jewish Christian relations </w:t>
      </w:r>
      <w:r w:rsidR="00835CAD">
        <w:rPr>
          <w:rFonts w:ascii="Century Gothic" w:hAnsi="Century Gothic"/>
          <w:sz w:val="24"/>
        </w:rPr>
        <w:t xml:space="preserve">to </w:t>
      </w:r>
      <w:r w:rsidR="00981F83">
        <w:rPr>
          <w:rFonts w:ascii="Century Gothic" w:hAnsi="Century Gothic"/>
          <w:sz w:val="24"/>
        </w:rPr>
        <w:t>be depicted as hanging in the balance when considering the Lutheran and Protestant churches.</w:t>
      </w:r>
    </w:p>
    <w:p w14:paraId="7D89158B" w14:textId="5CC19DF4" w:rsidR="00722EA3" w:rsidRDefault="00835CAD">
      <w:pPr>
        <w:rPr>
          <w:rFonts w:ascii="Century Gothic" w:hAnsi="Century Gothic"/>
          <w:sz w:val="24"/>
        </w:rPr>
      </w:pPr>
      <w:r>
        <w:rPr>
          <w:rFonts w:ascii="Century Gothic" w:hAnsi="Century Gothic"/>
          <w:sz w:val="24"/>
        </w:rPr>
        <w:t xml:space="preserve">Luther’s final texts are believed to be liked to a pamphlet he received containing dialogue by a Rabbi which is believed to contain evidence of the Rabbi attacking Christianity and its associated practices. However, to this day the tract has not survived, therefore it is difficult to see exactly which aspects Luther took offence to. Within a number of months </w:t>
      </w:r>
      <w:r w:rsidR="00B303E0">
        <w:rPr>
          <w:rFonts w:ascii="Century Gothic" w:hAnsi="Century Gothic"/>
          <w:sz w:val="24"/>
        </w:rPr>
        <w:t>following the receival of the pamphlet Luther published a number of important texts in rebuke to the claims made by the Rabbi. The names of a number of these texts are: “On the Jews and their Lies”, “The Unknowable Name and the Generations of Christ” and “The lost words of David</w:t>
      </w:r>
      <w:r w:rsidR="00AE0EB7">
        <w:rPr>
          <w:rFonts w:ascii="Century Gothic" w:hAnsi="Century Gothic"/>
          <w:sz w:val="24"/>
        </w:rPr>
        <w:t>.” (</w:t>
      </w:r>
      <w:r w:rsidR="00B303E0">
        <w:rPr>
          <w:rFonts w:ascii="Century Gothic" w:hAnsi="Century Gothic"/>
          <w:sz w:val="24"/>
        </w:rPr>
        <w:t xml:space="preserve">14) </w:t>
      </w:r>
    </w:p>
    <w:p w14:paraId="705FDB2D" w14:textId="1739AD78" w:rsidR="001067E5" w:rsidRDefault="00B303E0">
      <w:pPr>
        <w:rPr>
          <w:rFonts w:ascii="Century Gothic" w:hAnsi="Century Gothic"/>
          <w:sz w:val="24"/>
        </w:rPr>
      </w:pPr>
      <w:r>
        <w:rPr>
          <w:rFonts w:ascii="Century Gothic" w:hAnsi="Century Gothic"/>
          <w:sz w:val="24"/>
        </w:rPr>
        <w:t>Arguably the most significant of these publications can be seen to be “On the Jews and their Lies.” The document itself was published in 1543 (15)</w:t>
      </w:r>
      <w:r w:rsidR="00EC1113">
        <w:rPr>
          <w:rFonts w:ascii="Century Gothic" w:hAnsi="Century Gothic"/>
          <w:sz w:val="24"/>
        </w:rPr>
        <w:t xml:space="preserve"> and can be seen to fall in to four consecutive areas. The first of these areas </w:t>
      </w:r>
      <w:r w:rsidR="00EC1113">
        <w:rPr>
          <w:rFonts w:ascii="Century Gothic" w:hAnsi="Century Gothic"/>
          <w:sz w:val="24"/>
        </w:rPr>
        <w:lastRenderedPageBreak/>
        <w:t>covered the</w:t>
      </w:r>
      <w:r>
        <w:rPr>
          <w:rFonts w:ascii="Century Gothic" w:hAnsi="Century Gothic"/>
          <w:sz w:val="24"/>
        </w:rPr>
        <w:t xml:space="preserve"> </w:t>
      </w:r>
      <w:r w:rsidR="00EC1113">
        <w:rPr>
          <w:rFonts w:ascii="Century Gothic" w:hAnsi="Century Gothic"/>
          <w:sz w:val="24"/>
        </w:rPr>
        <w:t>alleged lies or “false boasts</w:t>
      </w:r>
      <w:r w:rsidR="00AE0EB7">
        <w:rPr>
          <w:rFonts w:ascii="Century Gothic" w:hAnsi="Century Gothic"/>
          <w:sz w:val="24"/>
        </w:rPr>
        <w:t>.” (</w:t>
      </w:r>
      <w:r w:rsidR="00EC1113">
        <w:rPr>
          <w:rFonts w:ascii="Century Gothic" w:hAnsi="Century Gothic"/>
          <w:sz w:val="24"/>
        </w:rPr>
        <w:t xml:space="preserve">16) The second section covers the explanation of the </w:t>
      </w:r>
      <w:r w:rsidR="001D5D9A">
        <w:rPr>
          <w:rFonts w:ascii="Century Gothic" w:hAnsi="Century Gothic"/>
          <w:sz w:val="24"/>
        </w:rPr>
        <w:t xml:space="preserve">bible passages significant to the </w:t>
      </w:r>
      <w:r w:rsidR="00AE0EB7">
        <w:rPr>
          <w:rFonts w:ascii="Century Gothic" w:hAnsi="Century Gothic"/>
          <w:sz w:val="24"/>
        </w:rPr>
        <w:t>teachings outlined and commented on by Luther</w:t>
      </w:r>
      <w:r w:rsidR="009645A4">
        <w:rPr>
          <w:rFonts w:ascii="Century Gothic" w:hAnsi="Century Gothic"/>
          <w:sz w:val="24"/>
        </w:rPr>
        <w:t xml:space="preserve">. He later begins to re-ignite the medieval accusations and blood </w:t>
      </w:r>
      <w:r w:rsidR="001067E5">
        <w:rPr>
          <w:rFonts w:ascii="Century Gothic" w:hAnsi="Century Gothic"/>
          <w:sz w:val="24"/>
        </w:rPr>
        <w:t>libel</w:t>
      </w:r>
      <w:r w:rsidR="009645A4">
        <w:rPr>
          <w:rFonts w:ascii="Century Gothic" w:hAnsi="Century Gothic"/>
          <w:sz w:val="24"/>
        </w:rPr>
        <w:t xml:space="preserve"> roomers set forth by </w:t>
      </w:r>
      <w:r w:rsidR="009645A4" w:rsidRPr="009645A4">
        <w:rPr>
          <w:rFonts w:ascii="Century Gothic" w:hAnsi="Century Gothic"/>
          <w:sz w:val="24"/>
        </w:rPr>
        <w:t>Friar Berthold of Regensburg</w:t>
      </w:r>
      <w:r w:rsidR="009645A4">
        <w:rPr>
          <w:rFonts w:ascii="Century Gothic" w:hAnsi="Century Gothic"/>
          <w:sz w:val="24"/>
        </w:rPr>
        <w:t xml:space="preserve"> in the thirteenth </w:t>
      </w:r>
      <w:r w:rsidR="001067E5">
        <w:rPr>
          <w:rFonts w:ascii="Century Gothic" w:hAnsi="Century Gothic"/>
          <w:sz w:val="24"/>
        </w:rPr>
        <w:t>century (</w:t>
      </w:r>
      <w:r w:rsidR="009645A4">
        <w:rPr>
          <w:rFonts w:ascii="Century Gothic" w:hAnsi="Century Gothic"/>
          <w:sz w:val="24"/>
        </w:rPr>
        <w:t>17)</w:t>
      </w:r>
      <w:r w:rsidR="001067E5">
        <w:rPr>
          <w:rFonts w:ascii="Century Gothic" w:hAnsi="Century Gothic"/>
          <w:sz w:val="24"/>
        </w:rPr>
        <w:t xml:space="preserve"> whilst also repeating the alleged Jewish blasphemes against Jesus and Mary. The fourth and final section of this document can be seen to be the most significant when considering the contribution made to Jewish Christian relations. The section contains a list of suggestions Luther makes to the church on how the Jewish populous should be treated in the form of seven proposals. These range from the burning </w:t>
      </w:r>
      <w:r w:rsidR="007107B5">
        <w:rPr>
          <w:rFonts w:ascii="Century Gothic" w:hAnsi="Century Gothic"/>
          <w:sz w:val="24"/>
        </w:rPr>
        <w:t xml:space="preserve">of </w:t>
      </w:r>
      <w:r w:rsidR="001067E5">
        <w:rPr>
          <w:rFonts w:ascii="Century Gothic" w:hAnsi="Century Gothic"/>
          <w:sz w:val="24"/>
        </w:rPr>
        <w:t>Jewish Synagogues to forced labour.</w:t>
      </w:r>
    </w:p>
    <w:p w14:paraId="1AC09961" w14:textId="5E56881C" w:rsidR="007107B5" w:rsidRDefault="007107B5">
      <w:pPr>
        <w:rPr>
          <w:rFonts w:ascii="Century Gothic" w:hAnsi="Century Gothic"/>
          <w:sz w:val="24"/>
        </w:rPr>
      </w:pPr>
      <w:r>
        <w:rPr>
          <w:rFonts w:ascii="Century Gothic" w:hAnsi="Century Gothic"/>
          <w:sz w:val="24"/>
        </w:rPr>
        <w:t xml:space="preserve">The significance of this section can may not be underestimated in its influence of the contribution by Luther. Whilst many did not react to the harsh words published by Luther, the catholic church – a former target of </w:t>
      </w:r>
      <w:r w:rsidR="009A2098">
        <w:rPr>
          <w:rFonts w:ascii="Century Gothic" w:hAnsi="Century Gothic"/>
          <w:sz w:val="24"/>
        </w:rPr>
        <w:t>Luther- accused Luther of writing in blood and inciting violence against the Jewish people. Henry Bulliger also classed the work as “The words of a pig shepherd” deeming it as the work of someone who lacks diplomacy and stature. (18)</w:t>
      </w:r>
    </w:p>
    <w:p w14:paraId="38B073B6" w14:textId="4B970722" w:rsidR="009A2098" w:rsidRDefault="009A2098">
      <w:pPr>
        <w:rPr>
          <w:rFonts w:ascii="Century Gothic" w:hAnsi="Century Gothic"/>
          <w:sz w:val="24"/>
        </w:rPr>
      </w:pPr>
      <w:r>
        <w:rPr>
          <w:rFonts w:ascii="Century Gothic" w:hAnsi="Century Gothic"/>
          <w:sz w:val="24"/>
        </w:rPr>
        <w:t xml:space="preserve">In conclusion, Luther’s contribution and impact to Jewish Christian relations can be seen as a form of mixed back. In his early </w:t>
      </w:r>
      <w:r w:rsidR="00A14097">
        <w:rPr>
          <w:rFonts w:ascii="Century Gothic" w:hAnsi="Century Gothic"/>
          <w:sz w:val="24"/>
        </w:rPr>
        <w:t>writings</w:t>
      </w:r>
      <w:r>
        <w:rPr>
          <w:rFonts w:ascii="Century Gothic" w:hAnsi="Century Gothic"/>
          <w:sz w:val="24"/>
        </w:rPr>
        <w:t xml:space="preserve"> it can be seen that his contribution was positive in the way in which it preaches the importance of acceptance and </w:t>
      </w:r>
      <w:r w:rsidR="00A14097">
        <w:rPr>
          <w:rFonts w:ascii="Century Gothic" w:hAnsi="Century Gothic"/>
          <w:sz w:val="24"/>
        </w:rPr>
        <w:t>gentle</w:t>
      </w:r>
      <w:r>
        <w:rPr>
          <w:rFonts w:ascii="Century Gothic" w:hAnsi="Century Gothic"/>
          <w:sz w:val="24"/>
        </w:rPr>
        <w:t xml:space="preserve"> encouragement when </w:t>
      </w:r>
      <w:r w:rsidR="00A14097">
        <w:rPr>
          <w:rFonts w:ascii="Century Gothic" w:hAnsi="Century Gothic"/>
          <w:sz w:val="24"/>
        </w:rPr>
        <w:t>considering</w:t>
      </w:r>
      <w:r>
        <w:rPr>
          <w:rFonts w:ascii="Century Gothic" w:hAnsi="Century Gothic"/>
          <w:sz w:val="24"/>
        </w:rPr>
        <w:t xml:space="preserve"> the </w:t>
      </w:r>
      <w:r w:rsidR="00A14097">
        <w:rPr>
          <w:rFonts w:ascii="Century Gothic" w:hAnsi="Century Gothic"/>
          <w:sz w:val="24"/>
        </w:rPr>
        <w:t>significance</w:t>
      </w:r>
      <w:r>
        <w:rPr>
          <w:rFonts w:ascii="Century Gothic" w:hAnsi="Century Gothic"/>
          <w:sz w:val="24"/>
        </w:rPr>
        <w:t xml:space="preserve"> of the Jewish people as they could be seen to be brothers or relatives of a sort due to their link in the beliefs found in the Old testament or Hebrew bible.</w:t>
      </w:r>
    </w:p>
    <w:p w14:paraId="5540FEE8" w14:textId="7E3A078A" w:rsidR="009A2098" w:rsidRDefault="009A2098">
      <w:pPr>
        <w:rPr>
          <w:rFonts w:ascii="Century Gothic" w:hAnsi="Century Gothic"/>
          <w:sz w:val="24"/>
        </w:rPr>
      </w:pPr>
      <w:r>
        <w:rPr>
          <w:rFonts w:ascii="Century Gothic" w:hAnsi="Century Gothic"/>
          <w:sz w:val="24"/>
        </w:rPr>
        <w:t xml:space="preserve">However, In the following years, </w:t>
      </w:r>
      <w:r w:rsidR="00A14097">
        <w:rPr>
          <w:rFonts w:ascii="Century Gothic" w:hAnsi="Century Gothic"/>
          <w:sz w:val="24"/>
        </w:rPr>
        <w:t>Luther’s</w:t>
      </w:r>
      <w:r>
        <w:rPr>
          <w:rFonts w:ascii="Century Gothic" w:hAnsi="Century Gothic"/>
          <w:sz w:val="24"/>
        </w:rPr>
        <w:t xml:space="preserve"> influence begins slowly turning negative in nature with the </w:t>
      </w:r>
      <w:r w:rsidR="00142732">
        <w:rPr>
          <w:rFonts w:ascii="Century Gothic" w:hAnsi="Century Gothic"/>
          <w:sz w:val="24"/>
        </w:rPr>
        <w:t xml:space="preserve">re-emergence of medieval roomers and the </w:t>
      </w:r>
      <w:r w:rsidR="00142732">
        <w:rPr>
          <w:rFonts w:ascii="Century Gothic" w:hAnsi="Century Gothic"/>
          <w:sz w:val="24"/>
        </w:rPr>
        <w:lastRenderedPageBreak/>
        <w:t xml:space="preserve">introduction of the guidelines on how to treat such people. Despite this, it can be argued that Luther’s largest contribution to Christian Jewish relations came post death with the revival of his teaching being used during post World War two by Adolf </w:t>
      </w:r>
      <w:r w:rsidR="009B1999">
        <w:rPr>
          <w:rFonts w:ascii="Century Gothic" w:hAnsi="Century Gothic"/>
          <w:sz w:val="24"/>
        </w:rPr>
        <w:t>Hitler</w:t>
      </w:r>
      <w:r w:rsidR="00142732">
        <w:rPr>
          <w:rFonts w:ascii="Century Gothic" w:hAnsi="Century Gothic"/>
          <w:sz w:val="24"/>
        </w:rPr>
        <w:t xml:space="preserve"> in his manifesto Mein </w:t>
      </w:r>
      <w:proofErr w:type="spellStart"/>
      <w:r w:rsidR="00142732">
        <w:rPr>
          <w:rFonts w:ascii="Century Gothic" w:hAnsi="Century Gothic"/>
          <w:sz w:val="24"/>
        </w:rPr>
        <w:t>Kampf</w:t>
      </w:r>
      <w:proofErr w:type="spellEnd"/>
      <w:r w:rsidR="00142732">
        <w:rPr>
          <w:rFonts w:ascii="Century Gothic" w:hAnsi="Century Gothic"/>
          <w:sz w:val="24"/>
        </w:rPr>
        <w:t xml:space="preserve"> which was published in 1925. This work was used by Hitler as an outline of sorts on how to treat the Jewish people </w:t>
      </w:r>
      <w:r w:rsidR="009B1999">
        <w:rPr>
          <w:rFonts w:ascii="Century Gothic" w:hAnsi="Century Gothic"/>
          <w:sz w:val="24"/>
        </w:rPr>
        <w:t xml:space="preserve">a was later acted upon </w:t>
      </w:r>
      <w:proofErr w:type="gramStart"/>
      <w:r w:rsidR="009B1999">
        <w:rPr>
          <w:rFonts w:ascii="Century Gothic" w:hAnsi="Century Gothic"/>
          <w:sz w:val="24"/>
        </w:rPr>
        <w:t>through the use of</w:t>
      </w:r>
      <w:proofErr w:type="gramEnd"/>
      <w:r w:rsidR="009B1999">
        <w:rPr>
          <w:rFonts w:ascii="Century Gothic" w:hAnsi="Century Gothic"/>
          <w:sz w:val="24"/>
        </w:rPr>
        <w:t xml:space="preserve"> new state rules being published concerning the rights and status of the Jewish people in Germany at the time.</w:t>
      </w:r>
    </w:p>
    <w:p w14:paraId="5C667C21" w14:textId="77777777" w:rsidR="00BF2D6C" w:rsidRDefault="00BF2D6C">
      <w:pPr>
        <w:rPr>
          <w:rFonts w:ascii="Century Gothic" w:hAnsi="Century Gothic"/>
          <w:sz w:val="24"/>
        </w:rPr>
      </w:pPr>
    </w:p>
    <w:p w14:paraId="4E21F930" w14:textId="77777777" w:rsidR="00BF2D6C" w:rsidRDefault="00BF2D6C">
      <w:pPr>
        <w:rPr>
          <w:rFonts w:ascii="Century Gothic" w:hAnsi="Century Gothic"/>
          <w:sz w:val="24"/>
        </w:rPr>
      </w:pPr>
    </w:p>
    <w:p w14:paraId="20C4E6FC" w14:textId="77777777" w:rsidR="00BF2D6C" w:rsidRDefault="00BF2D6C">
      <w:pPr>
        <w:rPr>
          <w:rFonts w:ascii="Century Gothic" w:hAnsi="Century Gothic"/>
          <w:sz w:val="24"/>
        </w:rPr>
      </w:pPr>
    </w:p>
    <w:p w14:paraId="2C344BB3" w14:textId="77777777" w:rsidR="00BF2D6C" w:rsidRDefault="00BF2D6C">
      <w:pPr>
        <w:rPr>
          <w:rFonts w:ascii="Century Gothic" w:hAnsi="Century Gothic"/>
          <w:sz w:val="24"/>
        </w:rPr>
      </w:pPr>
    </w:p>
    <w:p w14:paraId="1DD32042" w14:textId="77777777" w:rsidR="00BF2D6C" w:rsidRDefault="00BF2D6C">
      <w:pPr>
        <w:rPr>
          <w:rFonts w:ascii="Century Gothic" w:hAnsi="Century Gothic"/>
          <w:sz w:val="24"/>
        </w:rPr>
      </w:pPr>
    </w:p>
    <w:p w14:paraId="79E7035B" w14:textId="77777777" w:rsidR="00BF2D6C" w:rsidRDefault="00BF2D6C">
      <w:pPr>
        <w:rPr>
          <w:rFonts w:ascii="Century Gothic" w:hAnsi="Century Gothic"/>
          <w:sz w:val="24"/>
        </w:rPr>
      </w:pPr>
    </w:p>
    <w:p w14:paraId="67F33511" w14:textId="77777777" w:rsidR="00BF2D6C" w:rsidRDefault="00BF2D6C">
      <w:pPr>
        <w:rPr>
          <w:rFonts w:ascii="Century Gothic" w:hAnsi="Century Gothic"/>
          <w:sz w:val="24"/>
        </w:rPr>
      </w:pPr>
    </w:p>
    <w:p w14:paraId="7573B5D9" w14:textId="0DD61664" w:rsidR="00BF2D6C" w:rsidRDefault="00BF2D6C">
      <w:pPr>
        <w:rPr>
          <w:rFonts w:ascii="Century Gothic" w:hAnsi="Century Gothic"/>
          <w:sz w:val="24"/>
        </w:rPr>
      </w:pPr>
    </w:p>
    <w:p w14:paraId="6925C28F" w14:textId="68A5C5AF" w:rsidR="00E0651A" w:rsidRDefault="00E0651A">
      <w:pPr>
        <w:rPr>
          <w:rFonts w:ascii="Century Gothic" w:hAnsi="Century Gothic"/>
          <w:sz w:val="24"/>
        </w:rPr>
      </w:pPr>
    </w:p>
    <w:p w14:paraId="3A9DAD55" w14:textId="4E0F58CA" w:rsidR="00E0651A" w:rsidRDefault="00E0651A">
      <w:pPr>
        <w:rPr>
          <w:rFonts w:ascii="Century Gothic" w:hAnsi="Century Gothic"/>
          <w:sz w:val="24"/>
        </w:rPr>
      </w:pPr>
    </w:p>
    <w:p w14:paraId="3DCE1F17" w14:textId="278B89CD" w:rsidR="00E0651A" w:rsidRDefault="00E0651A">
      <w:pPr>
        <w:rPr>
          <w:rFonts w:ascii="Century Gothic" w:hAnsi="Century Gothic"/>
          <w:sz w:val="24"/>
        </w:rPr>
      </w:pPr>
    </w:p>
    <w:p w14:paraId="2F324C26" w14:textId="77777777" w:rsidR="00E0651A" w:rsidRDefault="00E0651A">
      <w:pPr>
        <w:rPr>
          <w:rFonts w:ascii="Century Gothic" w:hAnsi="Century Gothic"/>
          <w:sz w:val="24"/>
        </w:rPr>
      </w:pPr>
      <w:bookmarkStart w:id="0" w:name="_GoBack"/>
      <w:bookmarkEnd w:id="0"/>
    </w:p>
    <w:p w14:paraId="69853366" w14:textId="77777777" w:rsidR="00BF2D6C" w:rsidRDefault="00BF2D6C">
      <w:pPr>
        <w:rPr>
          <w:rFonts w:ascii="Century Gothic" w:hAnsi="Century Gothic"/>
          <w:sz w:val="24"/>
        </w:rPr>
      </w:pPr>
    </w:p>
    <w:p w14:paraId="3892D2BA" w14:textId="77777777" w:rsidR="00BF2D6C" w:rsidRDefault="00BF2D6C">
      <w:pPr>
        <w:rPr>
          <w:rFonts w:ascii="Century Gothic" w:hAnsi="Century Gothic"/>
          <w:sz w:val="24"/>
        </w:rPr>
      </w:pPr>
      <w:r>
        <w:rPr>
          <w:rFonts w:ascii="Century Gothic" w:hAnsi="Century Gothic"/>
          <w:sz w:val="24"/>
        </w:rPr>
        <w:lastRenderedPageBreak/>
        <w:t>Bibliography.</w:t>
      </w:r>
    </w:p>
    <w:p w14:paraId="09DDCD05" w14:textId="77777777" w:rsidR="00BF2D6C" w:rsidRPr="00BF2D6C" w:rsidRDefault="00BF2D6C" w:rsidP="00BF2D6C">
      <w:pPr>
        <w:pStyle w:val="NormalWeb"/>
        <w:spacing w:line="360" w:lineRule="atLeast"/>
        <w:ind w:left="450" w:hanging="450"/>
        <w:rPr>
          <w:rFonts w:ascii="Verdana" w:eastAsia="Times New Roman" w:hAnsi="Verdana"/>
          <w:color w:val="000000"/>
          <w:sz w:val="18"/>
          <w:szCs w:val="18"/>
          <w:lang w:eastAsia="en-GB"/>
        </w:rPr>
      </w:pPr>
      <w:bookmarkStart w:id="1" w:name="_Hlk512241863"/>
      <w:r>
        <w:rPr>
          <w:rFonts w:ascii="Century Gothic" w:hAnsi="Century Gothic"/>
        </w:rPr>
        <w:t xml:space="preserve"> </w:t>
      </w:r>
      <w:r w:rsidRPr="00BF2D6C">
        <w:rPr>
          <w:rFonts w:ascii="Verdana" w:eastAsia="Times New Roman" w:hAnsi="Verdana"/>
          <w:color w:val="000000"/>
          <w:sz w:val="18"/>
          <w:szCs w:val="18"/>
          <w:lang w:eastAsia="en-GB"/>
        </w:rPr>
        <w:t>Bell, Dean, 'Martin Luther Nd the Jews: Context and Content', (2017), 215-216, 217, 218, 219, 220, 221, 222, 223, 224</w:t>
      </w:r>
      <w:r w:rsidRPr="00BF2D6C">
        <w:rPr>
          <w:rFonts w:ascii="Verdana" w:eastAsia="Times New Roman" w:hAnsi="Verdana"/>
          <w:i/>
          <w:iCs/>
          <w:color w:val="000000"/>
          <w:sz w:val="18"/>
          <w:szCs w:val="18"/>
          <w:lang w:eastAsia="en-GB"/>
        </w:rPr>
        <w:t>, in Theology Today</w:t>
      </w:r>
      <w:r w:rsidRPr="00BF2D6C">
        <w:rPr>
          <w:rFonts w:ascii="Verdana" w:eastAsia="Times New Roman" w:hAnsi="Verdana"/>
          <w:color w:val="000000"/>
          <w:sz w:val="18"/>
          <w:szCs w:val="18"/>
          <w:lang w:eastAsia="en-GB"/>
        </w:rPr>
        <w:t xml:space="preserve"> [accessed 2018] </w:t>
      </w:r>
    </w:p>
    <w:p w14:paraId="1D0EF330"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t xml:space="preserve">Cohn-Sherbok, Dan, </w:t>
      </w:r>
      <w:r w:rsidRPr="00BF2D6C">
        <w:rPr>
          <w:rFonts w:ascii="Verdana" w:eastAsia="Times New Roman" w:hAnsi="Verdana" w:cs="Times New Roman"/>
          <w:i/>
          <w:iCs/>
          <w:color w:val="000000"/>
          <w:sz w:val="18"/>
          <w:szCs w:val="18"/>
          <w:lang w:eastAsia="en-GB"/>
        </w:rPr>
        <w:t>The Crucified Jew Twenty Centuries of Christian Anti-Semitism</w:t>
      </w:r>
      <w:r w:rsidRPr="00BF2D6C">
        <w:rPr>
          <w:rFonts w:ascii="Verdana" w:eastAsia="Times New Roman" w:hAnsi="Verdana" w:cs="Times New Roman"/>
          <w:color w:val="000000"/>
          <w:sz w:val="18"/>
          <w:szCs w:val="18"/>
          <w:lang w:eastAsia="en-GB"/>
        </w:rPr>
        <w:t xml:space="preserve">, 2nd </w:t>
      </w:r>
      <w:proofErr w:type="spellStart"/>
      <w:r w:rsidRPr="00BF2D6C">
        <w:rPr>
          <w:rFonts w:ascii="Verdana" w:eastAsia="Times New Roman" w:hAnsi="Verdana" w:cs="Times New Roman"/>
          <w:color w:val="000000"/>
          <w:sz w:val="18"/>
          <w:szCs w:val="18"/>
          <w:lang w:eastAsia="en-GB"/>
        </w:rPr>
        <w:t>edn</w:t>
      </w:r>
      <w:proofErr w:type="spellEnd"/>
      <w:r w:rsidRPr="00BF2D6C">
        <w:rPr>
          <w:rFonts w:ascii="Verdana" w:eastAsia="Times New Roman" w:hAnsi="Verdana" w:cs="Times New Roman"/>
          <w:color w:val="000000"/>
          <w:sz w:val="18"/>
          <w:szCs w:val="18"/>
          <w:lang w:eastAsia="en-GB"/>
        </w:rPr>
        <w:t xml:space="preserve">, 1 </w:t>
      </w:r>
      <w:proofErr w:type="spellStart"/>
      <w:r w:rsidRPr="00BF2D6C">
        <w:rPr>
          <w:rFonts w:ascii="Verdana" w:eastAsia="Times New Roman" w:hAnsi="Verdana" w:cs="Times New Roman"/>
          <w:color w:val="000000"/>
          <w:sz w:val="18"/>
          <w:szCs w:val="18"/>
          <w:lang w:eastAsia="en-GB"/>
        </w:rPr>
        <w:t>vols</w:t>
      </w:r>
      <w:proofErr w:type="spellEnd"/>
      <w:r w:rsidRPr="00BF2D6C">
        <w:rPr>
          <w:rFonts w:ascii="Verdana" w:eastAsia="Times New Roman" w:hAnsi="Verdana" w:cs="Times New Roman"/>
          <w:color w:val="000000"/>
          <w:sz w:val="18"/>
          <w:szCs w:val="18"/>
          <w:lang w:eastAsia="en-GB"/>
        </w:rPr>
        <w:t xml:space="preserve"> (Grand Rapids, Cambridge: WM. </w:t>
      </w:r>
      <w:proofErr w:type="spellStart"/>
      <w:proofErr w:type="gramStart"/>
      <w:r w:rsidRPr="00BF2D6C">
        <w:rPr>
          <w:rFonts w:ascii="Verdana" w:eastAsia="Times New Roman" w:hAnsi="Verdana" w:cs="Times New Roman"/>
          <w:color w:val="000000"/>
          <w:sz w:val="18"/>
          <w:szCs w:val="18"/>
          <w:lang w:eastAsia="en-GB"/>
        </w:rPr>
        <w:t>B.Eerdmans</w:t>
      </w:r>
      <w:proofErr w:type="spellEnd"/>
      <w:proofErr w:type="gramEnd"/>
      <w:r w:rsidRPr="00BF2D6C">
        <w:rPr>
          <w:rFonts w:ascii="Verdana" w:eastAsia="Times New Roman" w:hAnsi="Verdana" w:cs="Times New Roman"/>
          <w:color w:val="000000"/>
          <w:sz w:val="18"/>
          <w:szCs w:val="18"/>
          <w:lang w:eastAsia="en-GB"/>
        </w:rPr>
        <w:t xml:space="preserve"> publishing Co., 1997) [accessed 4/18] </w:t>
      </w:r>
    </w:p>
    <w:p w14:paraId="61943F05"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t>DR. Christopher Probst, 'Martin Luther and "the Jews" A Reappraisal'</w:t>
      </w:r>
      <w:proofErr w:type="gramStart"/>
      <w:r w:rsidRPr="00BF2D6C">
        <w:rPr>
          <w:rFonts w:ascii="Verdana" w:eastAsia="Times New Roman" w:hAnsi="Verdana" w:cs="Times New Roman"/>
          <w:color w:val="000000"/>
          <w:sz w:val="18"/>
          <w:szCs w:val="18"/>
          <w:lang w:eastAsia="en-GB"/>
        </w:rPr>
        <w:t xml:space="preserve">, </w:t>
      </w:r>
      <w:r w:rsidRPr="00BF2D6C">
        <w:rPr>
          <w:rFonts w:ascii="Verdana" w:eastAsia="Times New Roman" w:hAnsi="Verdana" w:cs="Times New Roman"/>
          <w:i/>
          <w:iCs/>
          <w:color w:val="000000"/>
          <w:sz w:val="18"/>
          <w:szCs w:val="18"/>
          <w:lang w:eastAsia="en-GB"/>
        </w:rPr>
        <w:t>,</w:t>
      </w:r>
      <w:proofErr w:type="gramEnd"/>
      <w:r w:rsidRPr="00BF2D6C">
        <w:rPr>
          <w:rFonts w:ascii="Verdana" w:eastAsia="Times New Roman" w:hAnsi="Verdana" w:cs="Times New Roman"/>
          <w:i/>
          <w:iCs/>
          <w:color w:val="000000"/>
          <w:sz w:val="18"/>
          <w:szCs w:val="18"/>
          <w:lang w:eastAsia="en-GB"/>
        </w:rPr>
        <w:t xml:space="preserve"> in The Theologian</w:t>
      </w:r>
      <w:r w:rsidRPr="00BF2D6C">
        <w:rPr>
          <w:rFonts w:ascii="Verdana" w:eastAsia="Times New Roman" w:hAnsi="Verdana" w:cs="Times New Roman"/>
          <w:color w:val="000000"/>
          <w:sz w:val="18"/>
          <w:szCs w:val="18"/>
          <w:lang w:eastAsia="en-GB"/>
        </w:rPr>
        <w:t xml:space="preserve"> [accessed 4/18] </w:t>
      </w:r>
    </w:p>
    <w:p w14:paraId="0F4280B4" w14:textId="77777777" w:rsid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Ephesians 6:4</w:t>
      </w:r>
    </w:p>
    <w:p w14:paraId="055043B9"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t xml:space="preserve">Halpern </w:t>
      </w:r>
      <w:proofErr w:type="spellStart"/>
      <w:r w:rsidRPr="00BF2D6C">
        <w:rPr>
          <w:rFonts w:ascii="Verdana" w:eastAsia="Times New Roman" w:hAnsi="Verdana" w:cs="Times New Roman"/>
          <w:color w:val="000000"/>
          <w:sz w:val="18"/>
          <w:szCs w:val="18"/>
          <w:lang w:eastAsia="en-GB"/>
        </w:rPr>
        <w:t>Amaru</w:t>
      </w:r>
      <w:proofErr w:type="spellEnd"/>
      <w:r w:rsidRPr="00BF2D6C">
        <w:rPr>
          <w:rFonts w:ascii="Verdana" w:eastAsia="Times New Roman" w:hAnsi="Verdana" w:cs="Times New Roman"/>
          <w:color w:val="000000"/>
          <w:sz w:val="18"/>
          <w:szCs w:val="18"/>
          <w:lang w:eastAsia="en-GB"/>
        </w:rPr>
        <w:t>, Betsy, 'Martin Luther and Jewish Mirrors', 46 (1984), 95-96, 97, 98, 99, 100, 101, 102</w:t>
      </w:r>
      <w:r w:rsidRPr="00BF2D6C">
        <w:rPr>
          <w:rFonts w:ascii="Verdana" w:eastAsia="Times New Roman" w:hAnsi="Verdana" w:cs="Times New Roman"/>
          <w:i/>
          <w:iCs/>
          <w:color w:val="000000"/>
          <w:sz w:val="18"/>
          <w:szCs w:val="18"/>
          <w:lang w:eastAsia="en-GB"/>
        </w:rPr>
        <w:t>, in Jstor</w:t>
      </w:r>
      <w:r w:rsidRPr="00BF2D6C">
        <w:rPr>
          <w:rFonts w:ascii="Verdana" w:eastAsia="Times New Roman" w:hAnsi="Verdana" w:cs="Times New Roman"/>
          <w:color w:val="000000"/>
          <w:sz w:val="18"/>
          <w:szCs w:val="18"/>
          <w:lang w:eastAsia="en-GB"/>
        </w:rPr>
        <w:t xml:space="preserve"> [accessed </w:t>
      </w:r>
      <w:hyperlink r:id="rId6" w:tgtFrame="_blank" w:history="1">
        <w:r w:rsidRPr="00BF2D6C">
          <w:rPr>
            <w:rFonts w:ascii="Verdana" w:eastAsia="Times New Roman" w:hAnsi="Verdana" w:cs="Times New Roman"/>
            <w:color w:val="0000FF"/>
            <w:sz w:val="18"/>
            <w:szCs w:val="18"/>
            <w:u w:val="single"/>
            <w:lang w:eastAsia="en-GB"/>
          </w:rPr>
          <w:t>https://www-jstor-org.ezproxy.uwtsd.ac.uk/stable/4467250?seq=4</w:t>
        </w:r>
      </w:hyperlink>
      <w:r w:rsidRPr="00BF2D6C">
        <w:rPr>
          <w:rFonts w:ascii="Verdana" w:eastAsia="Times New Roman" w:hAnsi="Verdana" w:cs="Times New Roman"/>
          <w:color w:val="000000"/>
          <w:sz w:val="18"/>
          <w:szCs w:val="18"/>
          <w:lang w:eastAsia="en-GB"/>
        </w:rPr>
        <w:t xml:space="preserve">] </w:t>
      </w:r>
    </w:p>
    <w:p w14:paraId="7342CAE0"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t xml:space="preserve">Hillebrand, Hans J., 'Martin Luther and the Jews', in </w:t>
      </w:r>
      <w:r w:rsidRPr="00BF2D6C">
        <w:rPr>
          <w:rFonts w:ascii="Verdana" w:eastAsia="Times New Roman" w:hAnsi="Verdana" w:cs="Times New Roman"/>
          <w:i/>
          <w:iCs/>
          <w:color w:val="000000"/>
          <w:sz w:val="18"/>
          <w:szCs w:val="18"/>
          <w:lang w:eastAsia="en-GB"/>
        </w:rPr>
        <w:t xml:space="preserve">Jews and Christians: Exploring Th </w:t>
      </w:r>
      <w:proofErr w:type="spellStart"/>
      <w:r w:rsidRPr="00BF2D6C">
        <w:rPr>
          <w:rFonts w:ascii="Verdana" w:eastAsia="Times New Roman" w:hAnsi="Verdana" w:cs="Times New Roman"/>
          <w:i/>
          <w:iCs/>
          <w:color w:val="000000"/>
          <w:sz w:val="18"/>
          <w:szCs w:val="18"/>
          <w:lang w:eastAsia="en-GB"/>
        </w:rPr>
        <w:t>Pas</w:t>
      </w:r>
      <w:proofErr w:type="spellEnd"/>
      <w:r w:rsidRPr="00BF2D6C">
        <w:rPr>
          <w:rFonts w:ascii="Verdana" w:eastAsia="Times New Roman" w:hAnsi="Verdana" w:cs="Times New Roman"/>
          <w:i/>
          <w:iCs/>
          <w:color w:val="000000"/>
          <w:sz w:val="18"/>
          <w:szCs w:val="18"/>
          <w:lang w:eastAsia="en-GB"/>
        </w:rPr>
        <w:t xml:space="preserve">, Present and </w:t>
      </w:r>
      <w:proofErr w:type="spellStart"/>
      <w:r w:rsidRPr="00BF2D6C">
        <w:rPr>
          <w:rFonts w:ascii="Verdana" w:eastAsia="Times New Roman" w:hAnsi="Verdana" w:cs="Times New Roman"/>
          <w:i/>
          <w:iCs/>
          <w:color w:val="000000"/>
          <w:sz w:val="18"/>
          <w:szCs w:val="18"/>
          <w:lang w:eastAsia="en-GB"/>
        </w:rPr>
        <w:t>Furure</w:t>
      </w:r>
      <w:proofErr w:type="spellEnd"/>
      <w:r w:rsidRPr="00BF2D6C">
        <w:rPr>
          <w:rFonts w:ascii="Verdana" w:eastAsia="Times New Roman" w:hAnsi="Verdana" w:cs="Times New Roman"/>
          <w:color w:val="000000"/>
          <w:sz w:val="18"/>
          <w:szCs w:val="18"/>
          <w:lang w:eastAsia="en-GB"/>
        </w:rPr>
        <w:t xml:space="preserve">, ed. by James H </w:t>
      </w:r>
      <w:proofErr w:type="gramStart"/>
      <w:r w:rsidRPr="00BF2D6C">
        <w:rPr>
          <w:rFonts w:ascii="Verdana" w:eastAsia="Times New Roman" w:hAnsi="Verdana" w:cs="Times New Roman"/>
          <w:color w:val="000000"/>
          <w:sz w:val="18"/>
          <w:szCs w:val="18"/>
          <w:lang w:eastAsia="en-GB"/>
        </w:rPr>
        <w:t>Charlesworth(</w:t>
      </w:r>
      <w:proofErr w:type="gramEnd"/>
      <w:r w:rsidRPr="00BF2D6C">
        <w:rPr>
          <w:rFonts w:ascii="Verdana" w:eastAsia="Times New Roman" w:hAnsi="Verdana" w:cs="Times New Roman"/>
          <w:color w:val="000000"/>
          <w:sz w:val="18"/>
          <w:szCs w:val="18"/>
          <w:lang w:eastAsia="en-GB"/>
        </w:rPr>
        <w:t xml:space="preserve">New York: </w:t>
      </w:r>
      <w:proofErr w:type="spellStart"/>
      <w:r w:rsidRPr="00BF2D6C">
        <w:rPr>
          <w:rFonts w:ascii="Verdana" w:eastAsia="Times New Roman" w:hAnsi="Verdana" w:cs="Times New Roman"/>
          <w:color w:val="000000"/>
          <w:sz w:val="18"/>
          <w:szCs w:val="18"/>
          <w:lang w:eastAsia="en-GB"/>
        </w:rPr>
        <w:t>Corossroead</w:t>
      </w:r>
      <w:proofErr w:type="spellEnd"/>
      <w:r w:rsidRPr="00BF2D6C">
        <w:rPr>
          <w:rFonts w:ascii="Verdana" w:eastAsia="Times New Roman" w:hAnsi="Verdana" w:cs="Times New Roman"/>
          <w:color w:val="000000"/>
          <w:sz w:val="18"/>
          <w:szCs w:val="18"/>
          <w:lang w:eastAsia="en-GB"/>
        </w:rPr>
        <w:t xml:space="preserve">, 2001) 6, pp. 127-127-150 [accessed 2018] </w:t>
      </w:r>
    </w:p>
    <w:p w14:paraId="646DD5D4"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Pr>
          <w:rFonts w:ascii="Verdana" w:eastAsia="Times New Roman" w:hAnsi="Verdana" w:cs="Times New Roman"/>
          <w:color w:val="000000"/>
          <w:sz w:val="18"/>
          <w:szCs w:val="18"/>
          <w:lang w:eastAsia="en-GB"/>
        </w:rPr>
        <w:t>Matthew 1</w:t>
      </w:r>
    </w:p>
    <w:p w14:paraId="64B119EE"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proofErr w:type="spellStart"/>
      <w:r w:rsidRPr="00BF2D6C">
        <w:rPr>
          <w:rFonts w:ascii="Verdana" w:eastAsia="Times New Roman" w:hAnsi="Verdana" w:cs="Times New Roman"/>
          <w:color w:val="000000"/>
          <w:sz w:val="18"/>
          <w:szCs w:val="18"/>
          <w:lang w:eastAsia="en-GB"/>
        </w:rPr>
        <w:t>Milkoski</w:t>
      </w:r>
      <w:proofErr w:type="spellEnd"/>
      <w:r w:rsidRPr="00BF2D6C">
        <w:rPr>
          <w:rFonts w:ascii="Verdana" w:eastAsia="Times New Roman" w:hAnsi="Verdana" w:cs="Times New Roman"/>
          <w:color w:val="000000"/>
          <w:sz w:val="18"/>
          <w:szCs w:val="18"/>
          <w:lang w:eastAsia="en-GB"/>
        </w:rPr>
        <w:t>, Gordon S., 'Marti Luther Ans Anti-Semitism: A Discussion', (2017), 235-234, 235 ,236, 237, 238, 239, 240, 241, 242,</w:t>
      </w:r>
      <w:r w:rsidRPr="00BF2D6C">
        <w:rPr>
          <w:rFonts w:ascii="Verdana" w:eastAsia="Times New Roman" w:hAnsi="Verdana" w:cs="Times New Roman"/>
          <w:i/>
          <w:iCs/>
          <w:color w:val="000000"/>
          <w:sz w:val="18"/>
          <w:szCs w:val="18"/>
          <w:lang w:eastAsia="en-GB"/>
        </w:rPr>
        <w:t xml:space="preserve"> in Theology Today</w:t>
      </w:r>
      <w:r w:rsidRPr="00BF2D6C">
        <w:rPr>
          <w:rFonts w:ascii="Verdana" w:eastAsia="Times New Roman" w:hAnsi="Verdana" w:cs="Times New Roman"/>
          <w:color w:val="000000"/>
          <w:sz w:val="18"/>
          <w:szCs w:val="18"/>
          <w:lang w:eastAsia="en-GB"/>
        </w:rPr>
        <w:t xml:space="preserve"> [accessed 2018] </w:t>
      </w:r>
    </w:p>
    <w:p w14:paraId="793C9939"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t xml:space="preserve">P. Fry Helen, ed., </w:t>
      </w:r>
      <w:r w:rsidRPr="00BF2D6C">
        <w:rPr>
          <w:rFonts w:ascii="Verdana" w:eastAsia="Times New Roman" w:hAnsi="Verdana" w:cs="Times New Roman"/>
          <w:i/>
          <w:iCs/>
          <w:color w:val="000000"/>
          <w:sz w:val="18"/>
          <w:szCs w:val="18"/>
          <w:lang w:eastAsia="en-GB"/>
        </w:rPr>
        <w:t xml:space="preserve">Christian-Jewish </w:t>
      </w:r>
      <w:proofErr w:type="spellStart"/>
      <w:r w:rsidRPr="00BF2D6C">
        <w:rPr>
          <w:rFonts w:ascii="Verdana" w:eastAsia="Times New Roman" w:hAnsi="Verdana" w:cs="Times New Roman"/>
          <w:i/>
          <w:iCs/>
          <w:color w:val="000000"/>
          <w:sz w:val="18"/>
          <w:szCs w:val="18"/>
          <w:lang w:eastAsia="en-GB"/>
        </w:rPr>
        <w:t>Dialouge</w:t>
      </w:r>
      <w:proofErr w:type="spellEnd"/>
      <w:r w:rsidRPr="00BF2D6C">
        <w:rPr>
          <w:rFonts w:ascii="Verdana" w:eastAsia="Times New Roman" w:hAnsi="Verdana" w:cs="Times New Roman"/>
          <w:i/>
          <w:iCs/>
          <w:color w:val="000000"/>
          <w:sz w:val="18"/>
          <w:szCs w:val="18"/>
          <w:lang w:eastAsia="en-GB"/>
        </w:rPr>
        <w:t xml:space="preserve"> </w:t>
      </w:r>
      <w:proofErr w:type="gramStart"/>
      <w:r w:rsidRPr="00BF2D6C">
        <w:rPr>
          <w:rFonts w:ascii="Verdana" w:eastAsia="Times New Roman" w:hAnsi="Verdana" w:cs="Times New Roman"/>
          <w:i/>
          <w:iCs/>
          <w:color w:val="000000"/>
          <w:sz w:val="18"/>
          <w:szCs w:val="18"/>
          <w:lang w:eastAsia="en-GB"/>
        </w:rPr>
        <w:t>A</w:t>
      </w:r>
      <w:proofErr w:type="gramEnd"/>
      <w:r w:rsidRPr="00BF2D6C">
        <w:rPr>
          <w:rFonts w:ascii="Verdana" w:eastAsia="Times New Roman" w:hAnsi="Verdana" w:cs="Times New Roman"/>
          <w:i/>
          <w:iCs/>
          <w:color w:val="000000"/>
          <w:sz w:val="18"/>
          <w:szCs w:val="18"/>
          <w:lang w:eastAsia="en-GB"/>
        </w:rPr>
        <w:t xml:space="preserve"> Reader</w:t>
      </w:r>
      <w:r w:rsidRPr="00BF2D6C">
        <w:rPr>
          <w:rFonts w:ascii="Verdana" w:eastAsia="Times New Roman" w:hAnsi="Verdana" w:cs="Times New Roman"/>
          <w:color w:val="000000"/>
          <w:sz w:val="18"/>
          <w:szCs w:val="18"/>
          <w:lang w:eastAsia="en-GB"/>
        </w:rPr>
        <w:t xml:space="preserve"> (Exeter: Univercity of Exeter Press, 1995) </w:t>
      </w:r>
    </w:p>
    <w:p w14:paraId="24CF10C7" w14:textId="77777777" w:rsidR="00BF2D6C" w:rsidRP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lastRenderedPageBreak/>
        <w:t xml:space="preserve">Pettinger, </w:t>
      </w:r>
      <w:proofErr w:type="spellStart"/>
      <w:r w:rsidRPr="00BF2D6C">
        <w:rPr>
          <w:rFonts w:ascii="Verdana" w:eastAsia="Times New Roman" w:hAnsi="Verdana" w:cs="Times New Roman"/>
          <w:color w:val="000000"/>
          <w:sz w:val="18"/>
          <w:szCs w:val="18"/>
          <w:lang w:eastAsia="en-GB"/>
        </w:rPr>
        <w:t>Tejvan</w:t>
      </w:r>
      <w:proofErr w:type="spellEnd"/>
      <w:r w:rsidRPr="00BF2D6C">
        <w:rPr>
          <w:rFonts w:ascii="Verdana" w:eastAsia="Times New Roman" w:hAnsi="Verdana" w:cs="Times New Roman"/>
          <w:color w:val="000000"/>
          <w:sz w:val="18"/>
          <w:szCs w:val="18"/>
          <w:lang w:eastAsia="en-GB"/>
        </w:rPr>
        <w:t xml:space="preserve">, </w:t>
      </w:r>
      <w:proofErr w:type="spellStart"/>
      <w:r w:rsidRPr="00BF2D6C">
        <w:rPr>
          <w:rFonts w:ascii="Verdana" w:eastAsia="Times New Roman" w:hAnsi="Verdana" w:cs="Times New Roman"/>
          <w:i/>
          <w:iCs/>
          <w:color w:val="000000"/>
          <w:sz w:val="18"/>
          <w:szCs w:val="18"/>
          <w:lang w:eastAsia="en-GB"/>
        </w:rPr>
        <w:t>Biblyography</w:t>
      </w:r>
      <w:proofErr w:type="spellEnd"/>
      <w:r w:rsidRPr="00BF2D6C">
        <w:rPr>
          <w:rFonts w:ascii="Verdana" w:eastAsia="Times New Roman" w:hAnsi="Verdana" w:cs="Times New Roman"/>
          <w:i/>
          <w:iCs/>
          <w:color w:val="000000"/>
          <w:sz w:val="18"/>
          <w:szCs w:val="18"/>
          <w:lang w:eastAsia="en-GB"/>
        </w:rPr>
        <w:t xml:space="preserve"> of Martin Luther, </w:t>
      </w:r>
      <w:hyperlink r:id="rId7" w:tgtFrame="_blank" w:history="1">
        <w:r w:rsidRPr="00BF2D6C">
          <w:rPr>
            <w:rFonts w:ascii="Verdana" w:eastAsia="Times New Roman" w:hAnsi="Verdana" w:cs="Times New Roman"/>
            <w:color w:val="0000FF"/>
            <w:sz w:val="18"/>
            <w:szCs w:val="18"/>
            <w:u w:val="single"/>
            <w:lang w:eastAsia="en-GB"/>
          </w:rPr>
          <w:t>https://www.biographyonline.net/spiritual/martin-luther.html</w:t>
        </w:r>
      </w:hyperlink>
      <w:r w:rsidRPr="00BF2D6C">
        <w:rPr>
          <w:rFonts w:ascii="Verdana" w:eastAsia="Times New Roman" w:hAnsi="Verdana" w:cs="Times New Roman"/>
          <w:color w:val="000000"/>
          <w:sz w:val="18"/>
          <w:szCs w:val="18"/>
          <w:lang w:eastAsia="en-GB"/>
        </w:rPr>
        <w:t xml:space="preserve"> </w:t>
      </w:r>
      <w:proofErr w:type="spellStart"/>
      <w:r w:rsidRPr="00BF2D6C">
        <w:rPr>
          <w:rFonts w:ascii="Verdana" w:eastAsia="Times New Roman" w:hAnsi="Verdana" w:cs="Times New Roman"/>
          <w:color w:val="000000"/>
          <w:sz w:val="18"/>
          <w:szCs w:val="18"/>
          <w:lang w:eastAsia="en-GB"/>
        </w:rPr>
        <w:t>edn</w:t>
      </w:r>
      <w:proofErr w:type="spellEnd"/>
      <w:r w:rsidRPr="00BF2D6C">
        <w:rPr>
          <w:rFonts w:ascii="Verdana" w:eastAsia="Times New Roman" w:hAnsi="Verdana" w:cs="Times New Roman"/>
          <w:color w:val="000000"/>
          <w:sz w:val="18"/>
          <w:szCs w:val="18"/>
          <w:lang w:eastAsia="en-GB"/>
        </w:rPr>
        <w:t xml:space="preserve">, 2018 </w:t>
      </w:r>
      <w:proofErr w:type="spellStart"/>
      <w:r w:rsidRPr="00BF2D6C">
        <w:rPr>
          <w:rFonts w:ascii="Verdana" w:eastAsia="Times New Roman" w:hAnsi="Verdana" w:cs="Times New Roman"/>
          <w:color w:val="000000"/>
          <w:sz w:val="18"/>
          <w:szCs w:val="18"/>
          <w:lang w:eastAsia="en-GB"/>
        </w:rPr>
        <w:t>vols</w:t>
      </w:r>
      <w:proofErr w:type="spellEnd"/>
      <w:r w:rsidRPr="00BF2D6C">
        <w:rPr>
          <w:rFonts w:ascii="Verdana" w:eastAsia="Times New Roman" w:hAnsi="Verdana" w:cs="Times New Roman"/>
          <w:color w:val="000000"/>
          <w:sz w:val="18"/>
          <w:szCs w:val="18"/>
          <w:lang w:eastAsia="en-GB"/>
        </w:rPr>
        <w:t xml:space="preserve"> (Oxford: 2018) [accessed 2018] </w:t>
      </w:r>
    </w:p>
    <w:p w14:paraId="36C35984" w14:textId="77777777" w:rsidR="00BF2D6C" w:rsidRDefault="00BF2D6C" w:rsidP="00BF2D6C">
      <w:pPr>
        <w:spacing w:before="100" w:beforeAutospacing="1" w:after="100" w:afterAutospacing="1" w:line="360" w:lineRule="atLeast"/>
        <w:ind w:left="450" w:hanging="450"/>
        <w:rPr>
          <w:rFonts w:ascii="Verdana" w:eastAsia="Times New Roman" w:hAnsi="Verdana" w:cs="Times New Roman"/>
          <w:color w:val="000000"/>
          <w:sz w:val="18"/>
          <w:szCs w:val="18"/>
          <w:lang w:eastAsia="en-GB"/>
        </w:rPr>
      </w:pPr>
      <w:r w:rsidRPr="00BF2D6C">
        <w:rPr>
          <w:rFonts w:ascii="Verdana" w:eastAsia="Times New Roman" w:hAnsi="Verdana" w:cs="Times New Roman"/>
          <w:color w:val="000000"/>
          <w:sz w:val="18"/>
          <w:szCs w:val="18"/>
          <w:lang w:eastAsia="en-GB"/>
        </w:rPr>
        <w:t xml:space="preserve">Thought Co., </w:t>
      </w:r>
      <w:r w:rsidRPr="00BF2D6C">
        <w:rPr>
          <w:rFonts w:ascii="Verdana" w:eastAsia="Times New Roman" w:hAnsi="Verdana" w:cs="Times New Roman"/>
          <w:i/>
          <w:iCs/>
          <w:color w:val="000000"/>
          <w:sz w:val="18"/>
          <w:szCs w:val="18"/>
          <w:lang w:eastAsia="en-GB"/>
        </w:rPr>
        <w:t xml:space="preserve">The </w:t>
      </w:r>
      <w:proofErr w:type="spellStart"/>
      <w:r w:rsidRPr="00BF2D6C">
        <w:rPr>
          <w:rFonts w:ascii="Verdana" w:eastAsia="Times New Roman" w:hAnsi="Verdana" w:cs="Times New Roman"/>
          <w:i/>
          <w:iCs/>
          <w:color w:val="000000"/>
          <w:sz w:val="18"/>
          <w:szCs w:val="18"/>
          <w:lang w:eastAsia="en-GB"/>
        </w:rPr>
        <w:t>Geneaology</w:t>
      </w:r>
      <w:proofErr w:type="spellEnd"/>
      <w:r w:rsidRPr="00BF2D6C">
        <w:rPr>
          <w:rFonts w:ascii="Verdana" w:eastAsia="Times New Roman" w:hAnsi="Verdana" w:cs="Times New Roman"/>
          <w:i/>
          <w:iCs/>
          <w:color w:val="000000"/>
          <w:sz w:val="18"/>
          <w:szCs w:val="18"/>
          <w:lang w:eastAsia="en-GB"/>
        </w:rPr>
        <w:t xml:space="preserve"> of Jesus, </w:t>
      </w:r>
      <w:hyperlink r:id="rId8" w:tgtFrame="_blank" w:history="1">
        <w:r w:rsidRPr="00BF2D6C">
          <w:rPr>
            <w:rFonts w:ascii="Verdana" w:eastAsia="Times New Roman" w:hAnsi="Verdana" w:cs="Times New Roman"/>
            <w:color w:val="0000FF"/>
            <w:sz w:val="18"/>
            <w:szCs w:val="18"/>
            <w:u w:val="single"/>
            <w:lang w:eastAsia="en-GB"/>
          </w:rPr>
          <w:t>https://www.thoughtco.com/genealogy-of-jesus-700161</w:t>
        </w:r>
      </w:hyperlink>
      <w:r w:rsidRPr="00BF2D6C">
        <w:rPr>
          <w:rFonts w:ascii="Verdana" w:eastAsia="Times New Roman" w:hAnsi="Verdana" w:cs="Times New Roman"/>
          <w:color w:val="000000"/>
          <w:sz w:val="18"/>
          <w:szCs w:val="18"/>
          <w:lang w:eastAsia="en-GB"/>
        </w:rPr>
        <w:t xml:space="preserve"> </w:t>
      </w:r>
      <w:proofErr w:type="spellStart"/>
      <w:r w:rsidRPr="00BF2D6C">
        <w:rPr>
          <w:rFonts w:ascii="Verdana" w:eastAsia="Times New Roman" w:hAnsi="Verdana" w:cs="Times New Roman"/>
          <w:color w:val="000000"/>
          <w:sz w:val="18"/>
          <w:szCs w:val="18"/>
          <w:lang w:eastAsia="en-GB"/>
        </w:rPr>
        <w:t>edn</w:t>
      </w:r>
      <w:proofErr w:type="spellEnd"/>
      <w:r w:rsidRPr="00BF2D6C">
        <w:rPr>
          <w:rFonts w:ascii="Verdana" w:eastAsia="Times New Roman" w:hAnsi="Verdana" w:cs="Times New Roman"/>
          <w:color w:val="000000"/>
          <w:sz w:val="18"/>
          <w:szCs w:val="18"/>
          <w:lang w:eastAsia="en-GB"/>
        </w:rPr>
        <w:t xml:space="preserve">, 2018 </w:t>
      </w:r>
      <w:proofErr w:type="spellStart"/>
      <w:r w:rsidRPr="00BF2D6C">
        <w:rPr>
          <w:rFonts w:ascii="Verdana" w:eastAsia="Times New Roman" w:hAnsi="Verdana" w:cs="Times New Roman"/>
          <w:color w:val="000000"/>
          <w:sz w:val="18"/>
          <w:szCs w:val="18"/>
          <w:lang w:eastAsia="en-GB"/>
        </w:rPr>
        <w:t>vols</w:t>
      </w:r>
      <w:proofErr w:type="spellEnd"/>
      <w:r w:rsidRPr="00BF2D6C">
        <w:rPr>
          <w:rFonts w:ascii="Verdana" w:eastAsia="Times New Roman" w:hAnsi="Verdana" w:cs="Times New Roman"/>
          <w:color w:val="000000"/>
          <w:sz w:val="18"/>
          <w:szCs w:val="18"/>
          <w:lang w:eastAsia="en-GB"/>
        </w:rPr>
        <w:t xml:space="preserve"> (2017) </w:t>
      </w:r>
    </w:p>
    <w:bookmarkEnd w:id="1"/>
    <w:p w14:paraId="134046E6" w14:textId="74B400E2" w:rsidR="00BF2D6C" w:rsidRDefault="00BF2D6C">
      <w:pPr>
        <w:rPr>
          <w:rFonts w:ascii="Century Gothic" w:hAnsi="Century Gothic"/>
          <w:sz w:val="24"/>
        </w:rPr>
      </w:pPr>
    </w:p>
    <w:p w14:paraId="753E1E4C" w14:textId="77777777" w:rsidR="00BF2D6C" w:rsidRPr="00136209" w:rsidRDefault="00BF2D6C">
      <w:pPr>
        <w:rPr>
          <w:rFonts w:ascii="Century Gothic" w:hAnsi="Century Gothic"/>
          <w:sz w:val="24"/>
        </w:rPr>
      </w:pPr>
    </w:p>
    <w:sectPr w:rsidR="00BF2D6C" w:rsidRPr="0013620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4AD82" w14:textId="77777777" w:rsidR="00F0282A" w:rsidRDefault="00F0282A" w:rsidP="00BF2D6C">
      <w:pPr>
        <w:spacing w:after="0" w:line="240" w:lineRule="auto"/>
      </w:pPr>
      <w:r>
        <w:separator/>
      </w:r>
    </w:p>
  </w:endnote>
  <w:endnote w:type="continuationSeparator" w:id="0">
    <w:p w14:paraId="123EE032" w14:textId="77777777" w:rsidR="00F0282A" w:rsidRDefault="00F0282A" w:rsidP="00BF2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58633" w14:textId="7EF55A18" w:rsidR="00E0651A" w:rsidRPr="00E0651A" w:rsidRDefault="00E0651A">
    <w:pPr>
      <w:pStyle w:val="Footer"/>
      <w:rPr>
        <w:rFonts w:ascii="Century Gothic" w:hAnsi="Century Gothic"/>
        <w:sz w:val="16"/>
        <w:szCs w:val="16"/>
      </w:rPr>
    </w:pPr>
    <w:r w:rsidRPr="00E0651A">
      <w:rPr>
        <w:rFonts w:ascii="Century Gothic" w:hAnsi="Century Gothic"/>
        <w:sz w:val="16"/>
        <w:szCs w:val="16"/>
      </w:rPr>
      <w:t>1.</w:t>
    </w:r>
    <w:r w:rsidRPr="00E0651A">
      <w:rPr>
        <w:rFonts w:ascii="Century Gothic" w:eastAsia="Times New Roman" w:hAnsi="Century Gothic" w:cs="Times New Roman"/>
        <w:color w:val="000000"/>
        <w:sz w:val="16"/>
        <w:szCs w:val="16"/>
        <w:lang w:eastAsia="en-GB"/>
      </w:rPr>
      <w:t xml:space="preserve"> </w:t>
    </w:r>
    <w:r w:rsidRPr="00E0651A">
      <w:rPr>
        <w:rFonts w:ascii="Century Gothic" w:hAnsi="Century Gothic"/>
        <w:sz w:val="16"/>
        <w:szCs w:val="16"/>
      </w:rPr>
      <w:t xml:space="preserve">Pettinger, </w:t>
    </w:r>
    <w:proofErr w:type="spellStart"/>
    <w:r w:rsidRPr="00E0651A">
      <w:rPr>
        <w:rFonts w:ascii="Century Gothic" w:hAnsi="Century Gothic"/>
        <w:sz w:val="16"/>
        <w:szCs w:val="16"/>
      </w:rPr>
      <w:t>Tejvan</w:t>
    </w:r>
    <w:proofErr w:type="spellEnd"/>
    <w:r w:rsidRPr="00E0651A">
      <w:rPr>
        <w:rFonts w:ascii="Century Gothic" w:hAnsi="Century Gothic"/>
        <w:sz w:val="16"/>
        <w:szCs w:val="16"/>
      </w:rPr>
      <w:t xml:space="preserve">, </w:t>
    </w:r>
    <w:proofErr w:type="spellStart"/>
    <w:r w:rsidRPr="00E0651A">
      <w:rPr>
        <w:rFonts w:ascii="Century Gothic" w:hAnsi="Century Gothic"/>
        <w:i/>
        <w:iCs/>
        <w:sz w:val="16"/>
        <w:szCs w:val="16"/>
      </w:rPr>
      <w:t>Biblyography</w:t>
    </w:r>
    <w:proofErr w:type="spellEnd"/>
    <w:r w:rsidRPr="00E0651A">
      <w:rPr>
        <w:rFonts w:ascii="Century Gothic" w:hAnsi="Century Gothic"/>
        <w:i/>
        <w:iCs/>
        <w:sz w:val="16"/>
        <w:szCs w:val="16"/>
      </w:rPr>
      <w:t xml:space="preserve"> of Martin Luther, </w:t>
    </w:r>
    <w:hyperlink r:id="rId1" w:tgtFrame="_blank" w:history="1">
      <w:r w:rsidRPr="00E0651A">
        <w:rPr>
          <w:rStyle w:val="Hyperlink"/>
          <w:rFonts w:ascii="Century Gothic" w:hAnsi="Century Gothic"/>
          <w:sz w:val="16"/>
          <w:szCs w:val="16"/>
        </w:rPr>
        <w:t>https://www.biographyonline.net/spiritual/martin-luther.html</w:t>
      </w:r>
    </w:hyperlink>
    <w:r w:rsidRPr="00E0651A">
      <w:rPr>
        <w:rFonts w:ascii="Century Gothic" w:hAnsi="Century Gothic"/>
        <w:sz w:val="16"/>
        <w:szCs w:val="16"/>
      </w:rPr>
      <w:t xml:space="preserve"> </w:t>
    </w:r>
    <w:proofErr w:type="spellStart"/>
    <w:r w:rsidRPr="00E0651A">
      <w:rPr>
        <w:rFonts w:ascii="Century Gothic" w:hAnsi="Century Gothic"/>
        <w:sz w:val="16"/>
        <w:szCs w:val="16"/>
      </w:rPr>
      <w:t>edn</w:t>
    </w:r>
    <w:proofErr w:type="spellEnd"/>
    <w:r w:rsidRPr="00E0651A">
      <w:rPr>
        <w:rFonts w:ascii="Century Gothic" w:hAnsi="Century Gothic"/>
        <w:sz w:val="16"/>
        <w:szCs w:val="16"/>
      </w:rPr>
      <w:t xml:space="preserve">, 2018 </w:t>
    </w:r>
    <w:proofErr w:type="spellStart"/>
    <w:r w:rsidRPr="00E0651A">
      <w:rPr>
        <w:rFonts w:ascii="Century Gothic" w:hAnsi="Century Gothic"/>
        <w:sz w:val="16"/>
        <w:szCs w:val="16"/>
      </w:rPr>
      <w:t>vols</w:t>
    </w:r>
    <w:proofErr w:type="spellEnd"/>
    <w:r w:rsidRPr="00E0651A">
      <w:rPr>
        <w:rFonts w:ascii="Century Gothic" w:hAnsi="Century Gothic"/>
        <w:sz w:val="16"/>
        <w:szCs w:val="16"/>
      </w:rPr>
      <w:t xml:space="preserve"> (Oxford: 2018) [accessed 2018]</w:t>
    </w:r>
  </w:p>
  <w:p w14:paraId="4CEE88B8" w14:textId="04E8F396" w:rsidR="00E0651A" w:rsidRPr="00E0651A" w:rsidRDefault="00E0651A">
    <w:pPr>
      <w:pStyle w:val="Footer"/>
      <w:rPr>
        <w:rFonts w:ascii="Century Gothic" w:hAnsi="Century Gothic"/>
        <w:sz w:val="16"/>
        <w:szCs w:val="16"/>
      </w:rPr>
    </w:pPr>
    <w:r w:rsidRPr="00E0651A">
      <w:rPr>
        <w:rFonts w:ascii="Century Gothic" w:hAnsi="Century Gothic"/>
        <w:sz w:val="16"/>
        <w:szCs w:val="16"/>
      </w:rPr>
      <w:t>2.</w:t>
    </w:r>
    <w:bookmarkStart w:id="2" w:name="_Hlk512242543"/>
    <w:r w:rsidRPr="00E0651A">
      <w:rPr>
        <w:rFonts w:ascii="Century Gothic" w:eastAsia="Times New Roman" w:hAnsi="Century Gothic" w:cs="Times New Roman"/>
        <w:color w:val="000000"/>
        <w:sz w:val="16"/>
        <w:szCs w:val="16"/>
        <w:lang w:eastAsia="en-GB"/>
      </w:rPr>
      <w:t xml:space="preserve"> </w:t>
    </w:r>
    <w:r w:rsidRPr="00E0651A">
      <w:rPr>
        <w:rFonts w:ascii="Century Gothic" w:hAnsi="Century Gothic"/>
        <w:sz w:val="16"/>
        <w:szCs w:val="16"/>
      </w:rPr>
      <w:t>DR. Christopher Probst, 'Martin Luther and "the Jews" A Reappraisal'</w:t>
    </w:r>
    <w:proofErr w:type="gramStart"/>
    <w:r w:rsidRPr="00E0651A">
      <w:rPr>
        <w:rFonts w:ascii="Century Gothic" w:hAnsi="Century Gothic"/>
        <w:sz w:val="16"/>
        <w:szCs w:val="16"/>
      </w:rPr>
      <w:t xml:space="preserve">, </w:t>
    </w:r>
    <w:r w:rsidRPr="00E0651A">
      <w:rPr>
        <w:rFonts w:ascii="Century Gothic" w:hAnsi="Century Gothic"/>
        <w:i/>
        <w:iCs/>
        <w:sz w:val="16"/>
        <w:szCs w:val="16"/>
      </w:rPr>
      <w:t>,</w:t>
    </w:r>
    <w:proofErr w:type="gramEnd"/>
    <w:r w:rsidRPr="00E0651A">
      <w:rPr>
        <w:rFonts w:ascii="Century Gothic" w:hAnsi="Century Gothic"/>
        <w:i/>
        <w:iCs/>
        <w:sz w:val="16"/>
        <w:szCs w:val="16"/>
      </w:rPr>
      <w:t xml:space="preserve"> in The Theologian</w:t>
    </w:r>
    <w:r w:rsidRPr="00E0651A">
      <w:rPr>
        <w:rFonts w:ascii="Century Gothic" w:hAnsi="Century Gothic"/>
        <w:sz w:val="16"/>
        <w:szCs w:val="16"/>
      </w:rPr>
      <w:t xml:space="preserve"> [accessed 4/18] </w:t>
    </w:r>
    <w:bookmarkEnd w:id="2"/>
    <w:r w:rsidRPr="00E0651A">
      <w:rPr>
        <w:rFonts w:ascii="Century Gothic" w:hAnsi="Century Gothic"/>
        <w:sz w:val="16"/>
        <w:szCs w:val="16"/>
      </w:rPr>
      <w:t>.</w:t>
    </w:r>
  </w:p>
  <w:p w14:paraId="31DA0976" w14:textId="34E84010" w:rsidR="00E0651A" w:rsidRPr="00E0651A" w:rsidRDefault="00E0651A">
    <w:pPr>
      <w:pStyle w:val="Footer"/>
      <w:rPr>
        <w:rFonts w:ascii="Century Gothic" w:hAnsi="Century Gothic"/>
        <w:sz w:val="16"/>
        <w:szCs w:val="16"/>
      </w:rPr>
    </w:pPr>
    <w:r w:rsidRPr="00E0651A">
      <w:rPr>
        <w:rFonts w:ascii="Century Gothic" w:hAnsi="Century Gothic"/>
        <w:sz w:val="16"/>
        <w:szCs w:val="16"/>
      </w:rPr>
      <w:t xml:space="preserve">3. Walther I. </w:t>
    </w:r>
    <w:proofErr w:type="gramStart"/>
    <w:r w:rsidRPr="00E0651A">
      <w:rPr>
        <w:rFonts w:ascii="Century Gothic" w:hAnsi="Century Gothic"/>
        <w:sz w:val="16"/>
        <w:szCs w:val="16"/>
      </w:rPr>
      <w:t>Brandt,  Introduction</w:t>
    </w:r>
    <w:proofErr w:type="gramEnd"/>
    <w:r w:rsidRPr="00E0651A">
      <w:rPr>
        <w:rFonts w:ascii="Century Gothic" w:hAnsi="Century Gothic"/>
        <w:sz w:val="16"/>
        <w:szCs w:val="16"/>
      </w:rPr>
      <w:t xml:space="preserve"> to Martin Luther, “That Jesus Christ was Born a Jew” in </w:t>
    </w:r>
    <w:r w:rsidRPr="00E0651A">
      <w:rPr>
        <w:rFonts w:ascii="Century Gothic" w:hAnsi="Century Gothic"/>
        <w:i/>
        <w:iCs/>
        <w:sz w:val="16"/>
        <w:szCs w:val="16"/>
      </w:rPr>
      <w:t xml:space="preserve">The Christian in Society II,  </w:t>
    </w:r>
    <w:r w:rsidRPr="00E0651A">
      <w:rPr>
        <w:rFonts w:ascii="Century Gothic" w:hAnsi="Century Gothic"/>
        <w:sz w:val="16"/>
        <w:szCs w:val="16"/>
      </w:rPr>
      <w:t xml:space="preserve">Luther’s Works, Vol. 45, ed. and trans. Walther I. Brandt.  (Philadelphia: </w:t>
    </w:r>
    <w:proofErr w:type="spellStart"/>
    <w:r w:rsidRPr="00E0651A">
      <w:rPr>
        <w:rFonts w:ascii="Century Gothic" w:hAnsi="Century Gothic"/>
        <w:sz w:val="16"/>
        <w:szCs w:val="16"/>
      </w:rPr>
      <w:t>Muhlenberg</w:t>
    </w:r>
    <w:proofErr w:type="spellEnd"/>
    <w:r w:rsidRPr="00E0651A">
      <w:rPr>
        <w:rFonts w:ascii="Century Gothic" w:hAnsi="Century Gothic"/>
        <w:sz w:val="16"/>
        <w:szCs w:val="16"/>
      </w:rPr>
      <w:t>, 1962) (Hereafter LW 45) 197-198.</w:t>
    </w:r>
  </w:p>
  <w:p w14:paraId="72A7D9F7" w14:textId="6BC64F38" w:rsidR="00BF2D6C" w:rsidRPr="00E0651A" w:rsidRDefault="00BF2D6C">
    <w:pPr>
      <w:pStyle w:val="Footer"/>
      <w:rPr>
        <w:rFonts w:ascii="Century Gothic" w:hAnsi="Century Gothic"/>
        <w:sz w:val="16"/>
        <w:szCs w:val="16"/>
      </w:rPr>
    </w:pPr>
    <w:r w:rsidRPr="00E0651A">
      <w:rPr>
        <w:rFonts w:ascii="Century Gothic" w:hAnsi="Century Gothic"/>
        <w:sz w:val="16"/>
        <w:szCs w:val="16"/>
      </w:rPr>
      <w:t>4.</w:t>
    </w:r>
    <w:r w:rsidR="00C21E0F" w:rsidRPr="00E0651A">
      <w:rPr>
        <w:rFonts w:ascii="Century Gothic" w:hAnsi="Century Gothic"/>
        <w:sz w:val="16"/>
        <w:szCs w:val="16"/>
      </w:rPr>
      <w:t xml:space="preserve"> </w:t>
    </w:r>
    <w:r w:rsidRPr="00E0651A">
      <w:rPr>
        <w:rFonts w:ascii="Century Gothic" w:hAnsi="Century Gothic"/>
        <w:sz w:val="16"/>
        <w:szCs w:val="16"/>
      </w:rPr>
      <w:t xml:space="preserve"> Matthew 1</w:t>
    </w:r>
  </w:p>
  <w:p w14:paraId="471D287E" w14:textId="20924DB3" w:rsidR="00BF2D6C" w:rsidRPr="00E0651A" w:rsidRDefault="00BF2D6C">
    <w:pPr>
      <w:pStyle w:val="Footer"/>
      <w:rPr>
        <w:rFonts w:ascii="Century Gothic" w:hAnsi="Century Gothic"/>
        <w:sz w:val="16"/>
        <w:szCs w:val="16"/>
      </w:rPr>
    </w:pPr>
    <w:r w:rsidRPr="00E0651A">
      <w:rPr>
        <w:rFonts w:ascii="Century Gothic" w:hAnsi="Century Gothic"/>
        <w:sz w:val="16"/>
        <w:szCs w:val="16"/>
      </w:rPr>
      <w:t>5. Ephesians 6:4</w:t>
    </w:r>
    <w:r w:rsidRPr="00E0651A">
      <w:rPr>
        <w:rFonts w:ascii="Century Gothic" w:hAnsi="Century Gothic"/>
        <w:sz w:val="16"/>
        <w:szCs w:val="16"/>
      </w:rPr>
      <w:tab/>
    </w:r>
  </w:p>
  <w:p w14:paraId="56238AF5" w14:textId="4C69DDFA" w:rsidR="00BF2D6C" w:rsidRPr="00E0651A" w:rsidRDefault="00BF2D6C" w:rsidP="00BF2D6C">
    <w:pPr>
      <w:pStyle w:val="Footer"/>
      <w:rPr>
        <w:rFonts w:ascii="Century Gothic" w:hAnsi="Century Gothic"/>
        <w:sz w:val="16"/>
        <w:szCs w:val="16"/>
      </w:rPr>
    </w:pPr>
    <w:r w:rsidRPr="00E0651A">
      <w:rPr>
        <w:rFonts w:ascii="Century Gothic" w:hAnsi="Century Gothic"/>
        <w:sz w:val="16"/>
        <w:szCs w:val="16"/>
      </w:rPr>
      <w:t xml:space="preserve">6. </w:t>
    </w:r>
    <w:bookmarkStart w:id="3" w:name="_Hlk512242582"/>
    <w:r w:rsidRPr="00E0651A">
      <w:rPr>
        <w:rFonts w:ascii="Century Gothic" w:hAnsi="Century Gothic"/>
        <w:sz w:val="16"/>
        <w:szCs w:val="16"/>
      </w:rPr>
      <w:t>Bell, Dean, 'Martin Luther Nd the Jews: Context and Content', (2017), 215-216, 217, 218, 219, 220, 221, 222, 223, 224</w:t>
    </w:r>
    <w:r w:rsidRPr="00E0651A">
      <w:rPr>
        <w:rFonts w:ascii="Century Gothic" w:hAnsi="Century Gothic"/>
        <w:i/>
        <w:iCs/>
        <w:sz w:val="16"/>
        <w:szCs w:val="16"/>
      </w:rPr>
      <w:t>, in Theology Today</w:t>
    </w:r>
    <w:r w:rsidRPr="00E0651A">
      <w:rPr>
        <w:rFonts w:ascii="Century Gothic" w:hAnsi="Century Gothic"/>
        <w:sz w:val="16"/>
        <w:szCs w:val="16"/>
      </w:rPr>
      <w:t xml:space="preserve"> [accessed 2018]</w:t>
    </w:r>
    <w:bookmarkEnd w:id="3"/>
  </w:p>
  <w:p w14:paraId="434F0601" w14:textId="5C2C2919" w:rsidR="00BF2D6C" w:rsidRPr="00E0651A" w:rsidRDefault="00BF2D6C" w:rsidP="00BF2D6C">
    <w:pPr>
      <w:pStyle w:val="Footer"/>
      <w:rPr>
        <w:rFonts w:ascii="Century Gothic" w:hAnsi="Century Gothic"/>
        <w:sz w:val="16"/>
        <w:szCs w:val="16"/>
      </w:rPr>
    </w:pPr>
    <w:r w:rsidRPr="00E0651A">
      <w:rPr>
        <w:rFonts w:ascii="Century Gothic" w:hAnsi="Century Gothic"/>
        <w:sz w:val="16"/>
        <w:szCs w:val="16"/>
      </w:rPr>
      <w:t>7.</w:t>
    </w:r>
    <w:r w:rsidRPr="00E0651A">
      <w:rPr>
        <w:rFonts w:ascii="Century Gothic" w:eastAsia="Times New Roman" w:hAnsi="Century Gothic"/>
        <w:color w:val="000000"/>
        <w:sz w:val="16"/>
        <w:szCs w:val="16"/>
        <w:lang w:eastAsia="en-GB"/>
      </w:rPr>
      <w:t xml:space="preserve"> </w:t>
    </w:r>
    <w:r w:rsidRPr="00E0651A">
      <w:rPr>
        <w:rFonts w:ascii="Century Gothic" w:hAnsi="Century Gothic"/>
        <w:sz w:val="16"/>
        <w:szCs w:val="16"/>
      </w:rPr>
      <w:t>Bell, Dean, 'Martin Luther Nd the Jews: Context and Content', (2017), 215-216, 217, 218, 219, 220, 221, 222, 223, 224</w:t>
    </w:r>
    <w:r w:rsidRPr="00E0651A">
      <w:rPr>
        <w:rFonts w:ascii="Century Gothic" w:hAnsi="Century Gothic"/>
        <w:i/>
        <w:iCs/>
        <w:sz w:val="16"/>
        <w:szCs w:val="16"/>
      </w:rPr>
      <w:t>, in Theology Today</w:t>
    </w:r>
    <w:r w:rsidRPr="00E0651A">
      <w:rPr>
        <w:rFonts w:ascii="Century Gothic" w:hAnsi="Century Gothic"/>
        <w:sz w:val="16"/>
        <w:szCs w:val="16"/>
      </w:rPr>
      <w:t xml:space="preserve"> [accessed 2018]</w:t>
    </w:r>
  </w:p>
  <w:p w14:paraId="49006570" w14:textId="534EA54F" w:rsidR="00BF2D6C" w:rsidRPr="00E0651A" w:rsidRDefault="00C21E0F" w:rsidP="00BF2D6C">
    <w:pPr>
      <w:pStyle w:val="Footer"/>
      <w:rPr>
        <w:rFonts w:ascii="Century Gothic" w:hAnsi="Century Gothic"/>
        <w:sz w:val="16"/>
        <w:szCs w:val="16"/>
      </w:rPr>
    </w:pPr>
    <w:r w:rsidRPr="00E0651A">
      <w:rPr>
        <w:rFonts w:ascii="Century Gothic" w:hAnsi="Century Gothic"/>
        <w:sz w:val="16"/>
        <w:szCs w:val="16"/>
      </w:rPr>
      <w:t>8</w:t>
    </w:r>
    <w:r w:rsidR="00BF2D6C" w:rsidRPr="00E0651A">
      <w:rPr>
        <w:rFonts w:ascii="Century Gothic" w:hAnsi="Century Gothic"/>
        <w:sz w:val="16"/>
        <w:szCs w:val="16"/>
      </w:rPr>
      <w:t>.</w:t>
    </w:r>
    <w:r w:rsidR="00BF2D6C" w:rsidRPr="00E0651A">
      <w:rPr>
        <w:rFonts w:ascii="Century Gothic" w:eastAsia="Times New Roman" w:hAnsi="Century Gothic" w:cs="Times New Roman"/>
        <w:color w:val="000000"/>
        <w:sz w:val="16"/>
        <w:szCs w:val="16"/>
        <w:lang w:eastAsia="en-GB"/>
      </w:rPr>
      <w:t xml:space="preserve"> </w:t>
    </w:r>
    <w:r w:rsidR="00BF2D6C" w:rsidRPr="00E0651A">
      <w:rPr>
        <w:rFonts w:ascii="Century Gothic" w:hAnsi="Century Gothic"/>
        <w:sz w:val="16"/>
        <w:szCs w:val="16"/>
      </w:rPr>
      <w:t xml:space="preserve">Hillebrand, Hans J., 'Martin Luther and the Jews', in </w:t>
    </w:r>
    <w:r w:rsidR="00BF2D6C" w:rsidRPr="00E0651A">
      <w:rPr>
        <w:rFonts w:ascii="Century Gothic" w:hAnsi="Century Gothic"/>
        <w:i/>
        <w:iCs/>
        <w:sz w:val="16"/>
        <w:szCs w:val="16"/>
      </w:rPr>
      <w:t xml:space="preserve">Jews and Christians: Exploring Th </w:t>
    </w:r>
    <w:proofErr w:type="spellStart"/>
    <w:r w:rsidR="00BF2D6C" w:rsidRPr="00E0651A">
      <w:rPr>
        <w:rFonts w:ascii="Century Gothic" w:hAnsi="Century Gothic"/>
        <w:i/>
        <w:iCs/>
        <w:sz w:val="16"/>
        <w:szCs w:val="16"/>
      </w:rPr>
      <w:t>Pas</w:t>
    </w:r>
    <w:proofErr w:type="spellEnd"/>
    <w:r w:rsidR="00BF2D6C" w:rsidRPr="00E0651A">
      <w:rPr>
        <w:rFonts w:ascii="Century Gothic" w:hAnsi="Century Gothic"/>
        <w:i/>
        <w:iCs/>
        <w:sz w:val="16"/>
        <w:szCs w:val="16"/>
      </w:rPr>
      <w:t xml:space="preserve">, Present and </w:t>
    </w:r>
    <w:proofErr w:type="spellStart"/>
    <w:r w:rsidR="00BF2D6C" w:rsidRPr="00E0651A">
      <w:rPr>
        <w:rFonts w:ascii="Century Gothic" w:hAnsi="Century Gothic"/>
        <w:i/>
        <w:iCs/>
        <w:sz w:val="16"/>
        <w:szCs w:val="16"/>
      </w:rPr>
      <w:t>Furure</w:t>
    </w:r>
    <w:proofErr w:type="spellEnd"/>
    <w:r w:rsidR="00BF2D6C" w:rsidRPr="00E0651A">
      <w:rPr>
        <w:rFonts w:ascii="Century Gothic" w:hAnsi="Century Gothic"/>
        <w:sz w:val="16"/>
        <w:szCs w:val="16"/>
      </w:rPr>
      <w:t xml:space="preserve">, ed. by James H </w:t>
    </w:r>
    <w:proofErr w:type="gramStart"/>
    <w:r w:rsidR="00BF2D6C" w:rsidRPr="00E0651A">
      <w:rPr>
        <w:rFonts w:ascii="Century Gothic" w:hAnsi="Century Gothic"/>
        <w:sz w:val="16"/>
        <w:szCs w:val="16"/>
      </w:rPr>
      <w:t>Charlesworth(</w:t>
    </w:r>
    <w:proofErr w:type="gramEnd"/>
    <w:r w:rsidR="00BF2D6C" w:rsidRPr="00E0651A">
      <w:rPr>
        <w:rFonts w:ascii="Century Gothic" w:hAnsi="Century Gothic"/>
        <w:sz w:val="16"/>
        <w:szCs w:val="16"/>
      </w:rPr>
      <w:t xml:space="preserve">New York: </w:t>
    </w:r>
    <w:proofErr w:type="spellStart"/>
    <w:r w:rsidR="00BF2D6C" w:rsidRPr="00E0651A">
      <w:rPr>
        <w:rFonts w:ascii="Century Gothic" w:hAnsi="Century Gothic"/>
        <w:sz w:val="16"/>
        <w:szCs w:val="16"/>
      </w:rPr>
      <w:t>Corossroead</w:t>
    </w:r>
    <w:proofErr w:type="spellEnd"/>
    <w:r w:rsidR="00BF2D6C" w:rsidRPr="00E0651A">
      <w:rPr>
        <w:rFonts w:ascii="Century Gothic" w:hAnsi="Century Gothic"/>
        <w:sz w:val="16"/>
        <w:szCs w:val="16"/>
      </w:rPr>
      <w:t xml:space="preserve">, 2001) 6, pp. 127-127-150 [accessed 2018] </w:t>
    </w:r>
  </w:p>
  <w:p w14:paraId="6BF7CC63" w14:textId="77777777" w:rsidR="00C21E0F" w:rsidRPr="00E0651A" w:rsidRDefault="00C21E0F" w:rsidP="00C21E0F">
    <w:pPr>
      <w:pStyle w:val="Footer"/>
      <w:rPr>
        <w:rFonts w:ascii="Century Gothic" w:hAnsi="Century Gothic"/>
        <w:sz w:val="16"/>
        <w:szCs w:val="16"/>
      </w:rPr>
    </w:pPr>
    <w:r w:rsidRPr="00E0651A">
      <w:rPr>
        <w:rFonts w:ascii="Century Gothic" w:hAnsi="Century Gothic"/>
        <w:sz w:val="16"/>
        <w:szCs w:val="16"/>
      </w:rPr>
      <w:t>9</w:t>
    </w:r>
    <w:r w:rsidR="00BF2D6C" w:rsidRPr="00E0651A">
      <w:rPr>
        <w:rFonts w:ascii="Century Gothic" w:hAnsi="Century Gothic"/>
        <w:sz w:val="16"/>
        <w:szCs w:val="16"/>
      </w:rPr>
      <w:t xml:space="preserve">. </w:t>
    </w:r>
    <w:r w:rsidRPr="00E0651A">
      <w:rPr>
        <w:rFonts w:ascii="Century Gothic" w:hAnsi="Century Gothic"/>
        <w:sz w:val="16"/>
        <w:szCs w:val="16"/>
      </w:rPr>
      <w:t xml:space="preserve">Halpern </w:t>
    </w:r>
    <w:proofErr w:type="spellStart"/>
    <w:r w:rsidRPr="00E0651A">
      <w:rPr>
        <w:rFonts w:ascii="Century Gothic" w:hAnsi="Century Gothic"/>
        <w:sz w:val="16"/>
        <w:szCs w:val="16"/>
      </w:rPr>
      <w:t>Amaru</w:t>
    </w:r>
    <w:proofErr w:type="spellEnd"/>
    <w:r w:rsidRPr="00E0651A">
      <w:rPr>
        <w:rFonts w:ascii="Century Gothic" w:hAnsi="Century Gothic"/>
        <w:sz w:val="16"/>
        <w:szCs w:val="16"/>
      </w:rPr>
      <w:t>, Betsy, 'Martin Luther and Jewish Mirrors', 46 (1984), 95-96, 97, 98, 99, 100, 101, 102</w:t>
    </w:r>
    <w:r w:rsidRPr="00E0651A">
      <w:rPr>
        <w:rFonts w:ascii="Century Gothic" w:hAnsi="Century Gothic"/>
        <w:i/>
        <w:iCs/>
        <w:sz w:val="16"/>
        <w:szCs w:val="16"/>
      </w:rPr>
      <w:t>, in Jstor</w:t>
    </w:r>
    <w:r w:rsidRPr="00E0651A">
      <w:rPr>
        <w:rFonts w:ascii="Century Gothic" w:hAnsi="Century Gothic"/>
        <w:sz w:val="16"/>
        <w:szCs w:val="16"/>
      </w:rPr>
      <w:t xml:space="preserve"> [accessed </w:t>
    </w:r>
    <w:hyperlink r:id="rId2" w:tgtFrame="_blank" w:history="1">
      <w:r w:rsidRPr="00E0651A">
        <w:rPr>
          <w:rStyle w:val="Hyperlink"/>
          <w:rFonts w:ascii="Century Gothic" w:hAnsi="Century Gothic"/>
          <w:sz w:val="16"/>
          <w:szCs w:val="16"/>
        </w:rPr>
        <w:t>https://www-jstor-org.ezproxy.uwtsd.ac.uk/stable/4467250?seq=4</w:t>
      </w:r>
    </w:hyperlink>
    <w:r w:rsidRPr="00E0651A">
      <w:rPr>
        <w:rFonts w:ascii="Century Gothic" w:hAnsi="Century Gothic"/>
        <w:sz w:val="16"/>
        <w:szCs w:val="16"/>
      </w:rPr>
      <w:t xml:space="preserve">] </w:t>
    </w:r>
  </w:p>
  <w:p w14:paraId="0DF0EAA2" w14:textId="583738EB" w:rsidR="00BF2D6C" w:rsidRPr="00E0651A" w:rsidRDefault="00C21E0F" w:rsidP="00BF2D6C">
    <w:pPr>
      <w:pStyle w:val="Footer"/>
      <w:rPr>
        <w:rFonts w:ascii="Century Gothic" w:hAnsi="Century Gothic"/>
        <w:sz w:val="16"/>
        <w:szCs w:val="16"/>
      </w:rPr>
    </w:pPr>
    <w:r w:rsidRPr="00E0651A">
      <w:rPr>
        <w:rFonts w:ascii="Century Gothic" w:hAnsi="Century Gothic"/>
        <w:sz w:val="16"/>
        <w:szCs w:val="16"/>
      </w:rPr>
      <w:t>10.</w:t>
    </w:r>
    <w:r w:rsidRPr="00E0651A">
      <w:rPr>
        <w:rFonts w:ascii="Century Gothic" w:eastAsia="Times New Roman" w:hAnsi="Century Gothic" w:cs="Times New Roman"/>
        <w:color w:val="000000"/>
        <w:sz w:val="16"/>
        <w:szCs w:val="16"/>
        <w:lang w:eastAsia="en-GB"/>
      </w:rPr>
      <w:t xml:space="preserve"> </w:t>
    </w:r>
    <w:r w:rsidRPr="00E0651A">
      <w:rPr>
        <w:rFonts w:ascii="Century Gothic" w:hAnsi="Century Gothic"/>
        <w:sz w:val="16"/>
        <w:szCs w:val="16"/>
      </w:rPr>
      <w:t>DR. Christopher Probst, 'Martin Luther and "the Jews" A Reappraisal'</w:t>
    </w:r>
    <w:proofErr w:type="gramStart"/>
    <w:r w:rsidRPr="00E0651A">
      <w:rPr>
        <w:rFonts w:ascii="Century Gothic" w:hAnsi="Century Gothic"/>
        <w:sz w:val="16"/>
        <w:szCs w:val="16"/>
      </w:rPr>
      <w:t xml:space="preserve">, </w:t>
    </w:r>
    <w:r w:rsidRPr="00E0651A">
      <w:rPr>
        <w:rFonts w:ascii="Century Gothic" w:hAnsi="Century Gothic"/>
        <w:i/>
        <w:iCs/>
        <w:sz w:val="16"/>
        <w:szCs w:val="16"/>
      </w:rPr>
      <w:t>,</w:t>
    </w:r>
    <w:proofErr w:type="gramEnd"/>
    <w:r w:rsidRPr="00E0651A">
      <w:rPr>
        <w:rFonts w:ascii="Century Gothic" w:hAnsi="Century Gothic"/>
        <w:i/>
        <w:iCs/>
        <w:sz w:val="16"/>
        <w:szCs w:val="16"/>
      </w:rPr>
      <w:t xml:space="preserve"> in The Theologian</w:t>
    </w:r>
    <w:r w:rsidRPr="00E0651A">
      <w:rPr>
        <w:rFonts w:ascii="Century Gothic" w:hAnsi="Century Gothic"/>
        <w:sz w:val="16"/>
        <w:szCs w:val="16"/>
      </w:rPr>
      <w:t xml:space="preserve"> [accessed 4/18]</w:t>
    </w:r>
  </w:p>
  <w:p w14:paraId="598F7C3E" w14:textId="660A76B1" w:rsidR="00C21E0F" w:rsidRPr="00E0651A" w:rsidRDefault="00C21E0F" w:rsidP="00BF2D6C">
    <w:pPr>
      <w:pStyle w:val="Footer"/>
      <w:rPr>
        <w:rFonts w:ascii="Century Gothic" w:hAnsi="Century Gothic"/>
        <w:sz w:val="16"/>
        <w:szCs w:val="16"/>
      </w:rPr>
    </w:pPr>
    <w:r w:rsidRPr="00E0651A">
      <w:rPr>
        <w:rFonts w:ascii="Century Gothic" w:hAnsi="Century Gothic"/>
        <w:sz w:val="16"/>
        <w:szCs w:val="16"/>
      </w:rPr>
      <w:t>11</w:t>
    </w:r>
    <w:bookmarkStart w:id="4" w:name="_Hlk512242663"/>
    <w:r w:rsidRPr="00E0651A">
      <w:rPr>
        <w:rFonts w:ascii="Century Gothic" w:hAnsi="Century Gothic"/>
        <w:sz w:val="16"/>
        <w:szCs w:val="16"/>
      </w:rPr>
      <w:t>. DR. Christopher Probst, 'Martin Luther and "the Jews" A Reappraisal'</w:t>
    </w:r>
    <w:proofErr w:type="gramStart"/>
    <w:r w:rsidRPr="00E0651A">
      <w:rPr>
        <w:rFonts w:ascii="Century Gothic" w:hAnsi="Century Gothic"/>
        <w:sz w:val="16"/>
        <w:szCs w:val="16"/>
      </w:rPr>
      <w:t xml:space="preserve">, </w:t>
    </w:r>
    <w:r w:rsidRPr="00E0651A">
      <w:rPr>
        <w:rFonts w:ascii="Century Gothic" w:hAnsi="Century Gothic"/>
        <w:i/>
        <w:iCs/>
        <w:sz w:val="16"/>
        <w:szCs w:val="16"/>
      </w:rPr>
      <w:t>,</w:t>
    </w:r>
    <w:proofErr w:type="gramEnd"/>
    <w:r w:rsidRPr="00E0651A">
      <w:rPr>
        <w:rFonts w:ascii="Century Gothic" w:hAnsi="Century Gothic"/>
        <w:i/>
        <w:iCs/>
        <w:sz w:val="16"/>
        <w:szCs w:val="16"/>
      </w:rPr>
      <w:t xml:space="preserve"> in The Theologian</w:t>
    </w:r>
    <w:r w:rsidRPr="00E0651A">
      <w:rPr>
        <w:rFonts w:ascii="Century Gothic" w:hAnsi="Century Gothic"/>
        <w:sz w:val="16"/>
        <w:szCs w:val="16"/>
      </w:rPr>
      <w:t xml:space="preserve"> [accessed 4/18]</w:t>
    </w:r>
    <w:bookmarkEnd w:id="4"/>
  </w:p>
  <w:p w14:paraId="3A784290" w14:textId="2292A156" w:rsidR="00C21E0F" w:rsidRPr="00E0651A" w:rsidRDefault="00C21E0F" w:rsidP="00BF2D6C">
    <w:pPr>
      <w:pStyle w:val="Footer"/>
      <w:rPr>
        <w:rFonts w:ascii="Century Gothic" w:hAnsi="Century Gothic"/>
        <w:sz w:val="16"/>
        <w:szCs w:val="16"/>
      </w:rPr>
    </w:pPr>
    <w:r w:rsidRPr="00E0651A">
      <w:rPr>
        <w:rFonts w:ascii="Century Gothic" w:hAnsi="Century Gothic"/>
        <w:sz w:val="16"/>
        <w:szCs w:val="16"/>
      </w:rPr>
      <w:t xml:space="preserve">12. </w:t>
    </w:r>
    <w:bookmarkStart w:id="5" w:name="_Hlk512242643"/>
    <w:r w:rsidRPr="00E0651A">
      <w:rPr>
        <w:rFonts w:ascii="Century Gothic" w:hAnsi="Century Gothic"/>
        <w:sz w:val="16"/>
        <w:szCs w:val="16"/>
      </w:rPr>
      <w:t>Bell, Dean, 'Martin Luther Nd the Jews: Context and Content', (2017), 215-216, 217, 218, 219, 220, 221, 222, 223, 224</w:t>
    </w:r>
    <w:r w:rsidRPr="00E0651A">
      <w:rPr>
        <w:rFonts w:ascii="Century Gothic" w:hAnsi="Century Gothic"/>
        <w:i/>
        <w:iCs/>
        <w:sz w:val="16"/>
        <w:szCs w:val="16"/>
      </w:rPr>
      <w:t>, in Theology Today</w:t>
    </w:r>
    <w:r w:rsidRPr="00E0651A">
      <w:rPr>
        <w:rFonts w:ascii="Century Gothic" w:hAnsi="Century Gothic"/>
        <w:sz w:val="16"/>
        <w:szCs w:val="16"/>
      </w:rPr>
      <w:t xml:space="preserve"> [accessed 2018]</w:t>
    </w:r>
  </w:p>
  <w:bookmarkEnd w:id="5"/>
  <w:p w14:paraId="6E442C4B" w14:textId="53030013" w:rsidR="00C21E0F" w:rsidRPr="00E0651A" w:rsidRDefault="00C21E0F" w:rsidP="00BF2D6C">
    <w:pPr>
      <w:pStyle w:val="Footer"/>
      <w:rPr>
        <w:rFonts w:ascii="Century Gothic" w:hAnsi="Century Gothic"/>
        <w:sz w:val="16"/>
        <w:szCs w:val="16"/>
      </w:rPr>
    </w:pPr>
    <w:r w:rsidRPr="00E0651A">
      <w:rPr>
        <w:rFonts w:ascii="Century Gothic" w:hAnsi="Century Gothic"/>
        <w:sz w:val="16"/>
        <w:szCs w:val="16"/>
      </w:rPr>
      <w:t>13. Bell, Dean, 'Martin Luther Nd the Jews: Context and Content', (2017), 215-216, 217, 218, 219, 220, 221, 222, 223, 224</w:t>
    </w:r>
    <w:r w:rsidRPr="00E0651A">
      <w:rPr>
        <w:rFonts w:ascii="Century Gothic" w:hAnsi="Century Gothic"/>
        <w:i/>
        <w:iCs/>
        <w:sz w:val="16"/>
        <w:szCs w:val="16"/>
      </w:rPr>
      <w:t>, in Theology Today</w:t>
    </w:r>
    <w:r w:rsidRPr="00E0651A">
      <w:rPr>
        <w:rFonts w:ascii="Century Gothic" w:hAnsi="Century Gothic"/>
        <w:sz w:val="16"/>
        <w:szCs w:val="16"/>
      </w:rPr>
      <w:t xml:space="preserve"> [accessed 2018]</w:t>
    </w:r>
  </w:p>
  <w:p w14:paraId="3526B6A3" w14:textId="3940B98A" w:rsidR="00C21E0F" w:rsidRPr="00E0651A" w:rsidRDefault="00C21E0F" w:rsidP="00BF2D6C">
    <w:pPr>
      <w:pStyle w:val="Footer"/>
      <w:rPr>
        <w:rFonts w:ascii="Century Gothic" w:hAnsi="Century Gothic"/>
        <w:sz w:val="16"/>
        <w:szCs w:val="16"/>
      </w:rPr>
    </w:pPr>
    <w:r w:rsidRPr="00E0651A">
      <w:rPr>
        <w:rFonts w:ascii="Century Gothic" w:hAnsi="Century Gothic"/>
        <w:sz w:val="16"/>
        <w:szCs w:val="16"/>
      </w:rPr>
      <w:t>14. Lecture Page 12</w:t>
    </w:r>
  </w:p>
  <w:p w14:paraId="3BB83AA4" w14:textId="2AF5444E" w:rsidR="00C21E0F" w:rsidRPr="00E0651A" w:rsidRDefault="00C21E0F" w:rsidP="00C21E0F">
    <w:pPr>
      <w:pStyle w:val="Footer"/>
      <w:rPr>
        <w:rFonts w:ascii="Century Gothic" w:hAnsi="Century Gothic"/>
        <w:sz w:val="16"/>
        <w:szCs w:val="16"/>
      </w:rPr>
    </w:pPr>
    <w:r w:rsidRPr="00E0651A">
      <w:rPr>
        <w:rFonts w:ascii="Century Gothic" w:hAnsi="Century Gothic"/>
        <w:sz w:val="16"/>
        <w:szCs w:val="16"/>
      </w:rPr>
      <w:t>15. Bell, Dean, 'Martin Luther Nd the Jews: Context and Content', (2017), 215-216, 217, 218, 219, 220, 221, 222, 223, 224</w:t>
    </w:r>
    <w:r w:rsidRPr="00E0651A">
      <w:rPr>
        <w:rFonts w:ascii="Century Gothic" w:hAnsi="Century Gothic"/>
        <w:i/>
        <w:iCs/>
        <w:sz w:val="16"/>
        <w:szCs w:val="16"/>
      </w:rPr>
      <w:t>, in Theology Today</w:t>
    </w:r>
    <w:r w:rsidRPr="00E0651A">
      <w:rPr>
        <w:rFonts w:ascii="Century Gothic" w:hAnsi="Century Gothic"/>
        <w:sz w:val="16"/>
        <w:szCs w:val="16"/>
      </w:rPr>
      <w:t xml:space="preserve"> [accessed 2018]</w:t>
    </w:r>
  </w:p>
  <w:p w14:paraId="1E4A241A" w14:textId="2AD08846" w:rsidR="00C21E0F" w:rsidRPr="00E0651A" w:rsidRDefault="00C21E0F" w:rsidP="00C21E0F">
    <w:pPr>
      <w:pStyle w:val="Footer"/>
      <w:rPr>
        <w:rFonts w:ascii="Century Gothic" w:hAnsi="Century Gothic"/>
        <w:sz w:val="16"/>
        <w:szCs w:val="16"/>
      </w:rPr>
    </w:pPr>
    <w:proofErr w:type="gramStart"/>
    <w:r w:rsidRPr="00E0651A">
      <w:rPr>
        <w:rFonts w:ascii="Century Gothic" w:hAnsi="Century Gothic"/>
        <w:sz w:val="16"/>
        <w:szCs w:val="16"/>
      </w:rPr>
      <w:t>16. .</w:t>
    </w:r>
    <w:proofErr w:type="gramEnd"/>
    <w:r w:rsidRPr="00E0651A">
      <w:rPr>
        <w:rFonts w:ascii="Century Gothic" w:hAnsi="Century Gothic"/>
        <w:sz w:val="16"/>
        <w:szCs w:val="16"/>
      </w:rPr>
      <w:t xml:space="preserve"> DR. Christopher Probst, 'Martin Luther and "the Jews" A Reappraisal'</w:t>
    </w:r>
    <w:proofErr w:type="gramStart"/>
    <w:r w:rsidRPr="00E0651A">
      <w:rPr>
        <w:rFonts w:ascii="Century Gothic" w:hAnsi="Century Gothic"/>
        <w:sz w:val="16"/>
        <w:szCs w:val="16"/>
      </w:rPr>
      <w:t xml:space="preserve">, </w:t>
    </w:r>
    <w:r w:rsidRPr="00E0651A">
      <w:rPr>
        <w:rFonts w:ascii="Century Gothic" w:hAnsi="Century Gothic"/>
        <w:i/>
        <w:iCs/>
        <w:sz w:val="16"/>
        <w:szCs w:val="16"/>
      </w:rPr>
      <w:t>,</w:t>
    </w:r>
    <w:proofErr w:type="gramEnd"/>
    <w:r w:rsidRPr="00E0651A">
      <w:rPr>
        <w:rFonts w:ascii="Century Gothic" w:hAnsi="Century Gothic"/>
        <w:i/>
        <w:iCs/>
        <w:sz w:val="16"/>
        <w:szCs w:val="16"/>
      </w:rPr>
      <w:t xml:space="preserve"> in The Theologian</w:t>
    </w:r>
    <w:r w:rsidRPr="00E0651A">
      <w:rPr>
        <w:rFonts w:ascii="Century Gothic" w:hAnsi="Century Gothic"/>
        <w:sz w:val="16"/>
        <w:szCs w:val="16"/>
      </w:rPr>
      <w:t xml:space="preserve"> [accessed 4/18]</w:t>
    </w:r>
  </w:p>
  <w:p w14:paraId="4A4B6C80" w14:textId="77777777" w:rsidR="00C21E0F" w:rsidRPr="00E0651A" w:rsidRDefault="00C21E0F" w:rsidP="00C21E0F">
    <w:pPr>
      <w:pStyle w:val="Footer"/>
      <w:rPr>
        <w:rFonts w:ascii="Century Gothic" w:hAnsi="Century Gothic"/>
        <w:sz w:val="16"/>
        <w:szCs w:val="16"/>
      </w:rPr>
    </w:pPr>
    <w:r w:rsidRPr="00E0651A">
      <w:rPr>
        <w:rFonts w:ascii="Century Gothic" w:hAnsi="Century Gothic"/>
        <w:sz w:val="16"/>
        <w:szCs w:val="16"/>
      </w:rPr>
      <w:t>17. Jewish Virtual Library</w:t>
    </w:r>
  </w:p>
  <w:p w14:paraId="1D08A77B" w14:textId="0E94FF92" w:rsidR="00C21E0F" w:rsidRPr="00E0651A" w:rsidRDefault="00C21E0F" w:rsidP="00C21E0F">
    <w:pPr>
      <w:pStyle w:val="Footer"/>
      <w:rPr>
        <w:rFonts w:ascii="Century Gothic" w:hAnsi="Century Gothic"/>
        <w:sz w:val="16"/>
        <w:szCs w:val="16"/>
      </w:rPr>
    </w:pPr>
    <w:r w:rsidRPr="00E0651A">
      <w:rPr>
        <w:rFonts w:ascii="Century Gothic" w:hAnsi="Century Gothic"/>
        <w:sz w:val="16"/>
        <w:szCs w:val="16"/>
      </w:rPr>
      <w:t>18.  Lecture Page 16</w:t>
    </w:r>
  </w:p>
  <w:p w14:paraId="031AA6B9" w14:textId="262D8F04" w:rsidR="00C21E0F" w:rsidRPr="00BF2D6C" w:rsidRDefault="00C21E0F" w:rsidP="00BF2D6C">
    <w:pPr>
      <w:pStyle w:val="Footer"/>
      <w:rPr>
        <w:rFonts w:ascii="Century Gothic" w:hAnsi="Century Gothic"/>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3616E" w14:textId="77777777" w:rsidR="00F0282A" w:rsidRDefault="00F0282A" w:rsidP="00BF2D6C">
      <w:pPr>
        <w:spacing w:after="0" w:line="240" w:lineRule="auto"/>
      </w:pPr>
      <w:r>
        <w:separator/>
      </w:r>
    </w:p>
  </w:footnote>
  <w:footnote w:type="continuationSeparator" w:id="0">
    <w:p w14:paraId="4B0C73E7" w14:textId="77777777" w:rsidR="00F0282A" w:rsidRDefault="00F0282A" w:rsidP="00BF2D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39E"/>
    <w:rsid w:val="00002C11"/>
    <w:rsid w:val="00036590"/>
    <w:rsid w:val="0005762F"/>
    <w:rsid w:val="000A288D"/>
    <w:rsid w:val="000D1764"/>
    <w:rsid w:val="001067E5"/>
    <w:rsid w:val="0011417D"/>
    <w:rsid w:val="00136209"/>
    <w:rsid w:val="00142732"/>
    <w:rsid w:val="00151E0E"/>
    <w:rsid w:val="001D5D9A"/>
    <w:rsid w:val="00206DBF"/>
    <w:rsid w:val="0022491C"/>
    <w:rsid w:val="0023002F"/>
    <w:rsid w:val="00261A06"/>
    <w:rsid w:val="002858F2"/>
    <w:rsid w:val="00304606"/>
    <w:rsid w:val="003829E7"/>
    <w:rsid w:val="0041013F"/>
    <w:rsid w:val="004427EB"/>
    <w:rsid w:val="00492BDC"/>
    <w:rsid w:val="0062451E"/>
    <w:rsid w:val="006E4B74"/>
    <w:rsid w:val="007107B5"/>
    <w:rsid w:val="00722EA3"/>
    <w:rsid w:val="00742A17"/>
    <w:rsid w:val="007F60E5"/>
    <w:rsid w:val="00835CAD"/>
    <w:rsid w:val="00841FEC"/>
    <w:rsid w:val="00850AEE"/>
    <w:rsid w:val="00881E2E"/>
    <w:rsid w:val="008E049E"/>
    <w:rsid w:val="009155AA"/>
    <w:rsid w:val="00932F75"/>
    <w:rsid w:val="0095554E"/>
    <w:rsid w:val="009645A4"/>
    <w:rsid w:val="00981F83"/>
    <w:rsid w:val="009A2098"/>
    <w:rsid w:val="009A395B"/>
    <w:rsid w:val="009B1999"/>
    <w:rsid w:val="009B6334"/>
    <w:rsid w:val="00A14097"/>
    <w:rsid w:val="00A24A3B"/>
    <w:rsid w:val="00A42067"/>
    <w:rsid w:val="00A64230"/>
    <w:rsid w:val="00AC6EBB"/>
    <w:rsid w:val="00AE0EB7"/>
    <w:rsid w:val="00AF139E"/>
    <w:rsid w:val="00B06648"/>
    <w:rsid w:val="00B303E0"/>
    <w:rsid w:val="00B567E4"/>
    <w:rsid w:val="00BB4F45"/>
    <w:rsid w:val="00BC4862"/>
    <w:rsid w:val="00BF2D6C"/>
    <w:rsid w:val="00C05917"/>
    <w:rsid w:val="00C21E0F"/>
    <w:rsid w:val="00C52E33"/>
    <w:rsid w:val="00CB2774"/>
    <w:rsid w:val="00CB5D71"/>
    <w:rsid w:val="00CE3649"/>
    <w:rsid w:val="00D70145"/>
    <w:rsid w:val="00D8563C"/>
    <w:rsid w:val="00DF043A"/>
    <w:rsid w:val="00E0651A"/>
    <w:rsid w:val="00E12477"/>
    <w:rsid w:val="00E97A55"/>
    <w:rsid w:val="00EC1113"/>
    <w:rsid w:val="00EF6EF7"/>
    <w:rsid w:val="00F0282A"/>
    <w:rsid w:val="00F33A37"/>
    <w:rsid w:val="00F71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7A0DF60"/>
  <w15:chartTrackingRefBased/>
  <w15:docId w15:val="{EB15A822-B881-4FFF-AB25-2652B58E6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3A37"/>
    <w:rPr>
      <w:color w:val="0000FF"/>
      <w:u w:val="single"/>
    </w:rPr>
  </w:style>
  <w:style w:type="paragraph" w:styleId="NormalWeb">
    <w:name w:val="Normal (Web)"/>
    <w:basedOn w:val="Normal"/>
    <w:uiPriority w:val="99"/>
    <w:semiHidden/>
    <w:unhideWhenUsed/>
    <w:rsid w:val="00BF2D6C"/>
    <w:rPr>
      <w:rFonts w:ascii="Times New Roman" w:hAnsi="Times New Roman" w:cs="Times New Roman"/>
      <w:sz w:val="24"/>
      <w:szCs w:val="24"/>
    </w:rPr>
  </w:style>
  <w:style w:type="paragraph" w:styleId="Header">
    <w:name w:val="header"/>
    <w:basedOn w:val="Normal"/>
    <w:link w:val="HeaderChar"/>
    <w:uiPriority w:val="99"/>
    <w:unhideWhenUsed/>
    <w:rsid w:val="00BF2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D6C"/>
  </w:style>
  <w:style w:type="paragraph" w:styleId="Footer">
    <w:name w:val="footer"/>
    <w:basedOn w:val="Normal"/>
    <w:link w:val="FooterChar"/>
    <w:uiPriority w:val="99"/>
    <w:unhideWhenUsed/>
    <w:rsid w:val="00BF2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D6C"/>
  </w:style>
  <w:style w:type="paragraph" w:styleId="ListParagraph">
    <w:name w:val="List Paragraph"/>
    <w:basedOn w:val="Normal"/>
    <w:uiPriority w:val="34"/>
    <w:qFormat/>
    <w:rsid w:val="00BF2D6C"/>
    <w:pPr>
      <w:ind w:left="720"/>
      <w:contextualSpacing/>
    </w:pPr>
  </w:style>
  <w:style w:type="character" w:styleId="UnresolvedMention">
    <w:name w:val="Unresolved Mention"/>
    <w:basedOn w:val="DefaultParagraphFont"/>
    <w:uiPriority w:val="99"/>
    <w:semiHidden/>
    <w:unhideWhenUsed/>
    <w:rsid w:val="00C21E0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168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genealogy-of-jesus-700161" TargetMode="External"/><Relationship Id="rId3" Type="http://schemas.openxmlformats.org/officeDocument/2006/relationships/webSettings" Target="webSettings.xml"/><Relationship Id="rId7" Type="http://schemas.openxmlformats.org/officeDocument/2006/relationships/hyperlink" Target="https://www.biographyonline.net/spiritual/martin-luther.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ezproxy.uwtsd.ac.uk/stable/4467250?seq=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hyperlink" Target="https://www-jstor-org.ezproxy.uwtsd.ac.uk/stable/4467250?seq=4" TargetMode="External"/><Relationship Id="rId1" Type="http://schemas.openxmlformats.org/officeDocument/2006/relationships/hyperlink" Target="https://www.biographyonline.net/spiritual/martin-luth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2313</Words>
  <Characters>13186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Eilian Nia Jones.</cp:lastModifiedBy>
  <cp:revision>2</cp:revision>
  <dcterms:created xsi:type="dcterms:W3CDTF">2018-04-23T09:32:00Z</dcterms:created>
  <dcterms:modified xsi:type="dcterms:W3CDTF">2018-04-23T09:32:00Z</dcterms:modified>
</cp:coreProperties>
</file>