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F6BCC" w14:textId="77777777" w:rsidR="00235B3C" w:rsidRDefault="00235B3C">
      <w:pPr>
        <w:spacing w:after="0" w:line="288" w:lineRule="auto"/>
      </w:pPr>
    </w:p>
    <w:p w14:paraId="38E74421" w14:textId="77777777" w:rsidR="00235B3C" w:rsidRDefault="00000000">
      <w:pPr>
        <w:spacing w:after="200"/>
        <w:jc w:val="center"/>
      </w:pPr>
      <w:r>
        <w:rPr>
          <w:rFonts w:ascii="Times New Roman" w:eastAsia="Times New Roman" w:hAnsi="Times New Roman"/>
          <w:b/>
          <w:sz w:val="32"/>
        </w:rPr>
        <w:t>Health and Social Care</w:t>
      </w:r>
    </w:p>
    <w:p w14:paraId="1B2D89B8" w14:textId="77777777" w:rsidR="00235B3C" w:rsidRDefault="00000000">
      <w:pPr>
        <w:spacing w:after="400"/>
        <w:jc w:val="center"/>
      </w:pPr>
      <w:r>
        <w:rPr>
          <w:rFonts w:ascii="Times New Roman" w:eastAsia="Times New Roman" w:hAnsi="Times New Roman"/>
          <w:b/>
          <w:sz w:val="28"/>
        </w:rPr>
        <w:t>MODULE CODE: LCHS4003</w:t>
      </w:r>
    </w:p>
    <w:p w14:paraId="3D09289E" w14:textId="77777777" w:rsidR="00235B3C" w:rsidRDefault="00000000">
      <w:pPr>
        <w:spacing w:after="480"/>
        <w:jc w:val="center"/>
      </w:pPr>
      <w:r>
        <w:rPr>
          <w:rFonts w:ascii="Times New Roman" w:eastAsia="Times New Roman" w:hAnsi="Times New Roman"/>
          <w:b/>
          <w:sz w:val="32"/>
        </w:rPr>
        <w:t>Case Study: Mrs. Thompson</w:t>
      </w:r>
    </w:p>
    <w:tbl>
      <w:tblPr>
        <w:tblW w:w="7200" w:type="dxa"/>
        <w:jc w:val="center"/>
        <w:tblLook w:val="04A0" w:firstRow="1" w:lastRow="0" w:firstColumn="1" w:lastColumn="0" w:noHBand="0" w:noVBand="1"/>
      </w:tblPr>
      <w:tblGrid>
        <w:gridCol w:w="7200"/>
      </w:tblGrid>
      <w:tr w:rsidR="00235B3C" w14:paraId="162065F0" w14:textId="77777777">
        <w:trPr>
          <w:jc w:val="center"/>
        </w:trPr>
        <w:tc>
          <w:tcPr>
            <w:tcW w:w="9360" w:type="dxa"/>
            <w:tcBorders>
              <w:top w:val="single" w:sz="12" w:space="0" w:color="000000"/>
              <w:left w:val="single" w:sz="12" w:space="0" w:color="000000"/>
              <w:bottom w:val="single" w:sz="12" w:space="0" w:color="000000"/>
              <w:right w:val="single" w:sz="12" w:space="0" w:color="000000"/>
            </w:tcBorders>
            <w:tcMar>
              <w:top w:w="360" w:type="dxa"/>
              <w:left w:w="360" w:type="dxa"/>
              <w:bottom w:w="360" w:type="dxa"/>
              <w:right w:w="360" w:type="dxa"/>
            </w:tcMar>
            <w:vAlign w:val="center"/>
          </w:tcPr>
          <w:p w14:paraId="236807E6" w14:textId="65E322E8" w:rsidR="00235B3C" w:rsidRDefault="00000000">
            <w:pPr>
              <w:spacing w:after="200" w:line="312" w:lineRule="auto"/>
              <w:jc w:val="center"/>
            </w:pPr>
            <w:r>
              <w:rPr>
                <w:rFonts w:ascii="Times New Roman" w:eastAsia="Times New Roman" w:hAnsi="Times New Roman"/>
                <w:b/>
              </w:rPr>
              <w:t xml:space="preserve">Student Name: </w:t>
            </w:r>
            <w:r w:rsidR="001311DA">
              <w:rPr>
                <w:rFonts w:ascii="Times New Roman" w:eastAsia="Times New Roman" w:hAnsi="Times New Roman"/>
                <w:b/>
              </w:rPr>
              <w:t>Munira Zakari Mohammed</w:t>
            </w:r>
          </w:p>
          <w:p w14:paraId="6903B581" w14:textId="2A0B72EC" w:rsidR="00235B3C" w:rsidRDefault="00000000">
            <w:pPr>
              <w:spacing w:before="160" w:after="200" w:line="312" w:lineRule="auto"/>
              <w:jc w:val="center"/>
            </w:pPr>
            <w:r>
              <w:rPr>
                <w:rFonts w:ascii="Times New Roman" w:eastAsia="Times New Roman" w:hAnsi="Times New Roman"/>
                <w:b/>
              </w:rPr>
              <w:t xml:space="preserve">Student Number: </w:t>
            </w:r>
            <w:r w:rsidR="001311DA">
              <w:rPr>
                <w:rFonts w:ascii="Times New Roman" w:eastAsia="Times New Roman" w:hAnsi="Times New Roman"/>
                <w:b/>
              </w:rPr>
              <w:t>2421787</w:t>
            </w:r>
          </w:p>
          <w:p w14:paraId="4E57037C" w14:textId="77777777" w:rsidR="00235B3C" w:rsidRDefault="00000000">
            <w:pPr>
              <w:spacing w:before="160" w:after="200" w:line="312" w:lineRule="auto"/>
              <w:jc w:val="center"/>
            </w:pPr>
            <w:r>
              <w:rPr>
                <w:rFonts w:ascii="Times New Roman" w:eastAsia="Times New Roman" w:hAnsi="Times New Roman"/>
                <w:b/>
              </w:rPr>
              <w:t>Module Code: LCHS4003</w:t>
            </w:r>
          </w:p>
          <w:p w14:paraId="7B2D7BEB" w14:textId="77777777" w:rsidR="00235B3C" w:rsidRDefault="00000000">
            <w:pPr>
              <w:spacing w:before="160" w:after="200" w:line="312" w:lineRule="auto"/>
              <w:jc w:val="center"/>
            </w:pPr>
            <w:r>
              <w:rPr>
                <w:rFonts w:ascii="Times New Roman" w:eastAsia="Times New Roman" w:hAnsi="Times New Roman"/>
                <w:b/>
              </w:rPr>
              <w:t>Lecturer: Daniel Haruna</w:t>
            </w:r>
          </w:p>
          <w:p w14:paraId="1AF7D857" w14:textId="77777777" w:rsidR="00235B3C" w:rsidRDefault="00000000">
            <w:pPr>
              <w:spacing w:before="160" w:after="200" w:line="312" w:lineRule="auto"/>
              <w:jc w:val="center"/>
            </w:pPr>
            <w:r>
              <w:rPr>
                <w:rFonts w:ascii="Times New Roman" w:eastAsia="Times New Roman" w:hAnsi="Times New Roman"/>
                <w:b/>
              </w:rPr>
              <w:t>Assignment Title: Component 2: Written Report</w:t>
            </w:r>
          </w:p>
          <w:p w14:paraId="31333FB9" w14:textId="77777777" w:rsidR="00235B3C" w:rsidRDefault="00000000">
            <w:pPr>
              <w:spacing w:before="160" w:after="200" w:line="312" w:lineRule="auto"/>
              <w:jc w:val="center"/>
            </w:pPr>
            <w:r>
              <w:rPr>
                <w:rFonts w:ascii="Times New Roman" w:eastAsia="Times New Roman" w:hAnsi="Times New Roman"/>
                <w:b/>
              </w:rPr>
              <w:t>Word Count: 1569</w:t>
            </w:r>
          </w:p>
        </w:tc>
      </w:tr>
    </w:tbl>
    <w:p w14:paraId="73F377D5" w14:textId="77777777" w:rsidR="00235B3C" w:rsidRDefault="00000000">
      <w:r>
        <w:br w:type="page"/>
      </w:r>
    </w:p>
    <w:sdt>
      <w:sdtPr>
        <w:rPr>
          <w:rFonts w:asciiTheme="minorHAnsi" w:eastAsiaTheme="minorHAnsi" w:hAnsiTheme="minorHAnsi" w:cstheme="minorBidi"/>
          <w:color w:val="auto"/>
          <w:kern w:val="2"/>
          <w:sz w:val="24"/>
          <w:szCs w:val="24"/>
          <w14:ligatures w14:val="standardContextual"/>
        </w:rPr>
        <w:id w:val="1673370182"/>
        <w:docPartObj>
          <w:docPartGallery w:val="Table of Contents"/>
          <w:docPartUnique/>
        </w:docPartObj>
      </w:sdtPr>
      <w:sdtEndPr>
        <w:rPr>
          <w:b/>
          <w:bCs/>
          <w:noProof/>
        </w:rPr>
      </w:sdtEndPr>
      <w:sdtContent>
        <w:p w14:paraId="5E4929CD" w14:textId="77777777" w:rsidR="00A80E6A" w:rsidRDefault="00A80E6A">
          <w:pPr>
            <w:pStyle w:val="TOCHeading"/>
          </w:pPr>
          <w:r>
            <w:t>Table of Contents</w:t>
          </w:r>
        </w:p>
        <w:p w14:paraId="37D58E64" w14:textId="77777777" w:rsidR="00481E18" w:rsidRDefault="00A80E6A">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4882368" w:history="1">
            <w:r w:rsidR="00481E18" w:rsidRPr="007567A3">
              <w:rPr>
                <w:rStyle w:val="Hyperlink"/>
                <w:noProof/>
              </w:rPr>
              <w:t>Introduction</w:t>
            </w:r>
            <w:r w:rsidR="00481E18">
              <w:rPr>
                <w:noProof/>
                <w:webHidden/>
              </w:rPr>
              <w:tab/>
            </w:r>
            <w:r w:rsidR="00481E18">
              <w:rPr>
                <w:noProof/>
                <w:webHidden/>
              </w:rPr>
              <w:fldChar w:fldCharType="begin"/>
            </w:r>
            <w:r w:rsidR="00481E18">
              <w:rPr>
                <w:noProof/>
                <w:webHidden/>
              </w:rPr>
              <w:instrText xml:space="preserve"> PAGEREF _Toc234882368 \h </w:instrText>
            </w:r>
            <w:r w:rsidR="00481E18">
              <w:rPr>
                <w:noProof/>
                <w:webHidden/>
              </w:rPr>
            </w:r>
            <w:r w:rsidR="00481E18">
              <w:rPr>
                <w:noProof/>
                <w:webHidden/>
              </w:rPr>
              <w:fldChar w:fldCharType="separate"/>
            </w:r>
            <w:r w:rsidR="00481E18">
              <w:rPr>
                <w:noProof/>
                <w:webHidden/>
              </w:rPr>
              <w:t>3</w:t>
            </w:r>
            <w:r w:rsidR="00481E18">
              <w:rPr>
                <w:noProof/>
                <w:webHidden/>
              </w:rPr>
              <w:fldChar w:fldCharType="end"/>
            </w:r>
          </w:hyperlink>
        </w:p>
        <w:p w14:paraId="16C461E8" w14:textId="77777777" w:rsidR="00481E18" w:rsidRDefault="00481E18">
          <w:pPr>
            <w:pStyle w:val="TOC1"/>
            <w:tabs>
              <w:tab w:val="right" w:leader="dot" w:pos="9350"/>
            </w:tabs>
            <w:rPr>
              <w:rFonts w:eastAsiaTheme="minorEastAsia"/>
              <w:noProof/>
            </w:rPr>
          </w:pPr>
          <w:hyperlink w:anchor="_Toc234882369" w:history="1">
            <w:r w:rsidRPr="007567A3">
              <w:rPr>
                <w:rStyle w:val="Hyperlink"/>
                <w:noProof/>
              </w:rPr>
              <w:t>1. The Importance of Effective Communication in Mrs. Thompson's Care</w:t>
            </w:r>
            <w:r>
              <w:rPr>
                <w:noProof/>
                <w:webHidden/>
              </w:rPr>
              <w:tab/>
            </w:r>
            <w:r>
              <w:rPr>
                <w:noProof/>
                <w:webHidden/>
              </w:rPr>
              <w:fldChar w:fldCharType="begin"/>
            </w:r>
            <w:r>
              <w:rPr>
                <w:noProof/>
                <w:webHidden/>
              </w:rPr>
              <w:instrText xml:space="preserve"> PAGEREF _Toc234882369 \h </w:instrText>
            </w:r>
            <w:r>
              <w:rPr>
                <w:noProof/>
                <w:webHidden/>
              </w:rPr>
            </w:r>
            <w:r>
              <w:rPr>
                <w:noProof/>
                <w:webHidden/>
              </w:rPr>
              <w:fldChar w:fldCharType="separate"/>
            </w:r>
            <w:r>
              <w:rPr>
                <w:noProof/>
                <w:webHidden/>
              </w:rPr>
              <w:t>3</w:t>
            </w:r>
            <w:r>
              <w:rPr>
                <w:noProof/>
                <w:webHidden/>
              </w:rPr>
              <w:fldChar w:fldCharType="end"/>
            </w:r>
          </w:hyperlink>
        </w:p>
        <w:p w14:paraId="06ECB104" w14:textId="77777777" w:rsidR="00481E18" w:rsidRDefault="00481E18">
          <w:pPr>
            <w:pStyle w:val="TOC1"/>
            <w:tabs>
              <w:tab w:val="right" w:leader="dot" w:pos="9350"/>
            </w:tabs>
            <w:rPr>
              <w:rFonts w:eastAsiaTheme="minorEastAsia"/>
              <w:noProof/>
            </w:rPr>
          </w:pPr>
          <w:hyperlink w:anchor="_Toc234882370" w:history="1">
            <w:r w:rsidRPr="007567A3">
              <w:rPr>
                <w:rStyle w:val="Hyperlink"/>
                <w:noProof/>
              </w:rPr>
              <w:t>2. The Importance of Good Administrative Skills in Mrs. Thompson's Care</w:t>
            </w:r>
            <w:r>
              <w:rPr>
                <w:noProof/>
                <w:webHidden/>
              </w:rPr>
              <w:tab/>
            </w:r>
            <w:r>
              <w:rPr>
                <w:noProof/>
                <w:webHidden/>
              </w:rPr>
              <w:fldChar w:fldCharType="begin"/>
            </w:r>
            <w:r>
              <w:rPr>
                <w:noProof/>
                <w:webHidden/>
              </w:rPr>
              <w:instrText xml:space="preserve"> PAGEREF _Toc234882370 \h </w:instrText>
            </w:r>
            <w:r>
              <w:rPr>
                <w:noProof/>
                <w:webHidden/>
              </w:rPr>
            </w:r>
            <w:r>
              <w:rPr>
                <w:noProof/>
                <w:webHidden/>
              </w:rPr>
              <w:fldChar w:fldCharType="separate"/>
            </w:r>
            <w:r>
              <w:rPr>
                <w:noProof/>
                <w:webHidden/>
              </w:rPr>
              <w:t>4</w:t>
            </w:r>
            <w:r>
              <w:rPr>
                <w:noProof/>
                <w:webHidden/>
              </w:rPr>
              <w:fldChar w:fldCharType="end"/>
            </w:r>
          </w:hyperlink>
        </w:p>
        <w:p w14:paraId="414F8E9D" w14:textId="77777777" w:rsidR="00481E18" w:rsidRDefault="00481E18">
          <w:pPr>
            <w:pStyle w:val="TOC1"/>
            <w:tabs>
              <w:tab w:val="right" w:leader="dot" w:pos="9350"/>
            </w:tabs>
            <w:rPr>
              <w:rFonts w:eastAsiaTheme="minorEastAsia"/>
              <w:noProof/>
            </w:rPr>
          </w:pPr>
          <w:hyperlink w:anchor="_Toc234882371" w:history="1">
            <w:r w:rsidRPr="007567A3">
              <w:rPr>
                <w:rStyle w:val="Hyperlink"/>
                <w:noProof/>
              </w:rPr>
              <w:t>3. The Importance of Working Collaboratively with Other Professionals</w:t>
            </w:r>
            <w:r>
              <w:rPr>
                <w:noProof/>
                <w:webHidden/>
              </w:rPr>
              <w:tab/>
            </w:r>
            <w:r>
              <w:rPr>
                <w:noProof/>
                <w:webHidden/>
              </w:rPr>
              <w:fldChar w:fldCharType="begin"/>
            </w:r>
            <w:r>
              <w:rPr>
                <w:noProof/>
                <w:webHidden/>
              </w:rPr>
              <w:instrText xml:space="preserve"> PAGEREF _Toc234882371 \h </w:instrText>
            </w:r>
            <w:r>
              <w:rPr>
                <w:noProof/>
                <w:webHidden/>
              </w:rPr>
            </w:r>
            <w:r>
              <w:rPr>
                <w:noProof/>
                <w:webHidden/>
              </w:rPr>
              <w:fldChar w:fldCharType="separate"/>
            </w:r>
            <w:r>
              <w:rPr>
                <w:noProof/>
                <w:webHidden/>
              </w:rPr>
              <w:t>6</w:t>
            </w:r>
            <w:r>
              <w:rPr>
                <w:noProof/>
                <w:webHidden/>
              </w:rPr>
              <w:fldChar w:fldCharType="end"/>
            </w:r>
          </w:hyperlink>
        </w:p>
        <w:p w14:paraId="241F04AA" w14:textId="77777777" w:rsidR="00481E18" w:rsidRDefault="00481E18">
          <w:pPr>
            <w:pStyle w:val="TOC1"/>
            <w:tabs>
              <w:tab w:val="right" w:leader="dot" w:pos="9350"/>
            </w:tabs>
            <w:rPr>
              <w:rFonts w:eastAsiaTheme="minorEastAsia"/>
              <w:noProof/>
            </w:rPr>
          </w:pPr>
          <w:hyperlink w:anchor="_Toc234882372" w:history="1">
            <w:r w:rsidRPr="007567A3">
              <w:rPr>
                <w:rStyle w:val="Hyperlink"/>
                <w:noProof/>
              </w:rPr>
              <w:t>Conclusion</w:t>
            </w:r>
            <w:r>
              <w:rPr>
                <w:noProof/>
                <w:webHidden/>
              </w:rPr>
              <w:tab/>
            </w:r>
            <w:r>
              <w:rPr>
                <w:noProof/>
                <w:webHidden/>
              </w:rPr>
              <w:fldChar w:fldCharType="begin"/>
            </w:r>
            <w:r>
              <w:rPr>
                <w:noProof/>
                <w:webHidden/>
              </w:rPr>
              <w:instrText xml:space="preserve"> PAGEREF _Toc234882372 \h </w:instrText>
            </w:r>
            <w:r>
              <w:rPr>
                <w:noProof/>
                <w:webHidden/>
              </w:rPr>
            </w:r>
            <w:r>
              <w:rPr>
                <w:noProof/>
                <w:webHidden/>
              </w:rPr>
              <w:fldChar w:fldCharType="separate"/>
            </w:r>
            <w:r>
              <w:rPr>
                <w:noProof/>
                <w:webHidden/>
              </w:rPr>
              <w:t>6</w:t>
            </w:r>
            <w:r>
              <w:rPr>
                <w:noProof/>
                <w:webHidden/>
              </w:rPr>
              <w:fldChar w:fldCharType="end"/>
            </w:r>
          </w:hyperlink>
        </w:p>
        <w:p w14:paraId="5502A940" w14:textId="77777777" w:rsidR="00481E18" w:rsidRDefault="00481E18">
          <w:pPr>
            <w:pStyle w:val="TOC1"/>
            <w:tabs>
              <w:tab w:val="right" w:leader="dot" w:pos="9350"/>
            </w:tabs>
            <w:rPr>
              <w:rFonts w:eastAsiaTheme="minorEastAsia"/>
              <w:noProof/>
            </w:rPr>
          </w:pPr>
          <w:hyperlink w:anchor="_Toc234882373" w:history="1">
            <w:r w:rsidRPr="007567A3">
              <w:rPr>
                <w:rStyle w:val="Hyperlink"/>
                <w:noProof/>
              </w:rPr>
              <w:t>Reference</w:t>
            </w:r>
            <w:r>
              <w:rPr>
                <w:noProof/>
                <w:webHidden/>
              </w:rPr>
              <w:tab/>
            </w:r>
            <w:r>
              <w:rPr>
                <w:noProof/>
                <w:webHidden/>
              </w:rPr>
              <w:fldChar w:fldCharType="begin"/>
            </w:r>
            <w:r>
              <w:rPr>
                <w:noProof/>
                <w:webHidden/>
              </w:rPr>
              <w:instrText xml:space="preserve"> PAGEREF _Toc234882373 \h </w:instrText>
            </w:r>
            <w:r>
              <w:rPr>
                <w:noProof/>
                <w:webHidden/>
              </w:rPr>
            </w:r>
            <w:r>
              <w:rPr>
                <w:noProof/>
                <w:webHidden/>
              </w:rPr>
              <w:fldChar w:fldCharType="separate"/>
            </w:r>
            <w:r>
              <w:rPr>
                <w:noProof/>
                <w:webHidden/>
              </w:rPr>
              <w:t>7</w:t>
            </w:r>
            <w:r>
              <w:rPr>
                <w:noProof/>
                <w:webHidden/>
              </w:rPr>
              <w:fldChar w:fldCharType="end"/>
            </w:r>
          </w:hyperlink>
        </w:p>
        <w:p w14:paraId="6223DEA1" w14:textId="77777777" w:rsidR="00A80E6A" w:rsidRDefault="00A80E6A">
          <w:r>
            <w:rPr>
              <w:b/>
              <w:bCs/>
              <w:noProof/>
            </w:rPr>
            <w:fldChar w:fldCharType="end"/>
          </w:r>
        </w:p>
      </w:sdtContent>
    </w:sdt>
    <w:p w14:paraId="1520B349" w14:textId="77777777" w:rsidR="00A80E6A" w:rsidRDefault="00A80E6A" w:rsidP="0008341C">
      <w:pPr>
        <w:jc w:val="both"/>
      </w:pPr>
    </w:p>
    <w:p w14:paraId="228AC778" w14:textId="77777777" w:rsidR="00A80E6A" w:rsidRDefault="00A80E6A" w:rsidP="0008341C">
      <w:pPr>
        <w:jc w:val="both"/>
      </w:pPr>
    </w:p>
    <w:p w14:paraId="4113192A" w14:textId="77777777" w:rsidR="00A80E6A" w:rsidRDefault="00A80E6A" w:rsidP="0008341C">
      <w:pPr>
        <w:jc w:val="both"/>
      </w:pPr>
    </w:p>
    <w:p w14:paraId="14B9408B" w14:textId="77777777" w:rsidR="00A80E6A" w:rsidRDefault="00A80E6A" w:rsidP="0008341C">
      <w:pPr>
        <w:jc w:val="both"/>
      </w:pPr>
    </w:p>
    <w:p w14:paraId="21EDD7A2" w14:textId="77777777" w:rsidR="00A80E6A" w:rsidRDefault="00A80E6A" w:rsidP="0008341C">
      <w:pPr>
        <w:jc w:val="both"/>
      </w:pPr>
    </w:p>
    <w:p w14:paraId="3C76321A" w14:textId="77777777" w:rsidR="00A80E6A" w:rsidRDefault="00A80E6A" w:rsidP="0008341C">
      <w:pPr>
        <w:jc w:val="both"/>
      </w:pPr>
    </w:p>
    <w:p w14:paraId="1D6CD787" w14:textId="77777777" w:rsidR="00A80E6A" w:rsidRDefault="00A80E6A" w:rsidP="0008341C">
      <w:pPr>
        <w:jc w:val="both"/>
      </w:pPr>
    </w:p>
    <w:p w14:paraId="739525D7" w14:textId="77777777" w:rsidR="00A80E6A" w:rsidRDefault="00A80E6A" w:rsidP="0008341C">
      <w:pPr>
        <w:jc w:val="both"/>
      </w:pPr>
    </w:p>
    <w:p w14:paraId="3BD9941B" w14:textId="77777777" w:rsidR="00A80E6A" w:rsidRDefault="00A80E6A" w:rsidP="0008341C">
      <w:pPr>
        <w:jc w:val="both"/>
      </w:pPr>
    </w:p>
    <w:p w14:paraId="251391F9" w14:textId="77777777" w:rsidR="00A80E6A" w:rsidRDefault="00A80E6A" w:rsidP="0008341C">
      <w:pPr>
        <w:jc w:val="both"/>
      </w:pPr>
    </w:p>
    <w:p w14:paraId="7AD3BFD7" w14:textId="77777777" w:rsidR="00A80E6A" w:rsidRDefault="00A80E6A" w:rsidP="0008341C">
      <w:pPr>
        <w:jc w:val="both"/>
      </w:pPr>
    </w:p>
    <w:p w14:paraId="287398C3" w14:textId="77777777" w:rsidR="00A80E6A" w:rsidRDefault="00A80E6A" w:rsidP="0008341C">
      <w:pPr>
        <w:jc w:val="both"/>
      </w:pPr>
    </w:p>
    <w:p w14:paraId="75B83BD7" w14:textId="77777777" w:rsidR="00A80E6A" w:rsidRDefault="00A80E6A" w:rsidP="0008341C">
      <w:pPr>
        <w:jc w:val="both"/>
      </w:pPr>
    </w:p>
    <w:p w14:paraId="37DCA07D" w14:textId="77777777" w:rsidR="00A80E6A" w:rsidRDefault="00A80E6A" w:rsidP="0008341C">
      <w:pPr>
        <w:jc w:val="both"/>
      </w:pPr>
    </w:p>
    <w:p w14:paraId="2605BF24" w14:textId="77777777" w:rsidR="00A80E6A" w:rsidRDefault="00A80E6A" w:rsidP="0008341C">
      <w:pPr>
        <w:jc w:val="both"/>
      </w:pPr>
    </w:p>
    <w:p w14:paraId="458298DA" w14:textId="77777777" w:rsidR="00A80E6A" w:rsidRDefault="00A80E6A" w:rsidP="0008341C">
      <w:pPr>
        <w:jc w:val="both"/>
      </w:pPr>
    </w:p>
    <w:p w14:paraId="3E2EB5B1" w14:textId="77777777" w:rsidR="00A80E6A" w:rsidRDefault="00A80E6A" w:rsidP="0008341C">
      <w:pPr>
        <w:jc w:val="both"/>
      </w:pPr>
    </w:p>
    <w:p w14:paraId="20FD209E" w14:textId="77777777" w:rsidR="00A80E6A" w:rsidRDefault="00A80E6A" w:rsidP="0008341C">
      <w:pPr>
        <w:jc w:val="both"/>
      </w:pPr>
    </w:p>
    <w:p w14:paraId="29D914A8" w14:textId="77777777" w:rsidR="00A80E6A" w:rsidRDefault="00A80E6A" w:rsidP="0008341C">
      <w:pPr>
        <w:jc w:val="both"/>
      </w:pPr>
    </w:p>
    <w:p w14:paraId="07FA40E9" w14:textId="77777777" w:rsidR="0008341C" w:rsidRPr="00D3511E" w:rsidRDefault="0008341C" w:rsidP="00481E18">
      <w:pPr>
        <w:pStyle w:val="Heading1"/>
        <w:spacing w:line="360" w:lineRule="auto"/>
        <w:rPr>
          <w:rFonts w:ascii="Arial" w:hAnsi="Arial" w:cs="Arial"/>
          <w:sz w:val="22"/>
          <w:szCs w:val="22"/>
        </w:rPr>
      </w:pPr>
      <w:bookmarkStart w:id="0" w:name="_Toc234882368"/>
      <w:r w:rsidRPr="00D3511E">
        <w:rPr>
          <w:rFonts w:ascii="Arial" w:hAnsi="Arial" w:cs="Arial"/>
          <w:sz w:val="22"/>
          <w:szCs w:val="22"/>
        </w:rPr>
        <w:lastRenderedPageBreak/>
        <w:t>Introduction</w:t>
      </w:r>
      <w:bookmarkEnd w:id="0"/>
    </w:p>
    <w:p w14:paraId="2698CFE3" w14:textId="77777777" w:rsidR="0008341C" w:rsidRPr="0008341C" w:rsidRDefault="00A80E6A" w:rsidP="00481E18">
      <w:pPr>
        <w:spacing w:line="360" w:lineRule="auto"/>
        <w:jc w:val="both"/>
      </w:pPr>
      <w:r w:rsidRPr="00481E18">
        <w:rPr>
          <w:sz w:val="22"/>
          <w:szCs w:val="22"/>
        </w:rPr>
        <w:t>Safe person-centered care in the community for vulnerable service users is underpinned by effective communication, good administrative practice and multi-agency work. Here the three aspects are explored in the context of Mrs. Thompson, an 84-year-old woman living alone in sheltered housing with twice daily domiciliary care. Her mild dementia, recent incidents of not taking her medication, confusion as a result and being found outside in the cold suitably wrapped up are examples of the dangers that can exist if there is no communication, recording and co-ordination of what needs to be done. Firstly, the report examines the communication process between care staff and Mrs. Thompson and her family using the Equality Act 2010 and Argyle's communication cycle. It then delves into the significance of proper record keeping under the Data Protection Act 2018. Finally, collaboration between the GP, community nurse and domiciliary care workers is discussed and key recommendations for practice are given. These three areas are good examples of how legislation, communication theory, and collaboration between professionals work together to safeguard Mrs. Thompson's welfare, dignity, and autonomy.</w:t>
      </w:r>
    </w:p>
    <w:p w14:paraId="4F6BF581" w14:textId="43A907A7" w:rsidR="0008341C" w:rsidRPr="00D3511E" w:rsidRDefault="0008341C" w:rsidP="001311DA">
      <w:pPr>
        <w:pStyle w:val="Heading1"/>
        <w:numPr>
          <w:ilvl w:val="0"/>
          <w:numId w:val="3"/>
        </w:numPr>
        <w:spacing w:line="360" w:lineRule="auto"/>
        <w:rPr>
          <w:rFonts w:ascii="Arial" w:hAnsi="Arial" w:cs="Arial"/>
          <w:sz w:val="22"/>
          <w:szCs w:val="22"/>
        </w:rPr>
      </w:pPr>
      <w:bookmarkStart w:id="1" w:name="_Toc234882369"/>
      <w:r w:rsidRPr="00D3511E">
        <w:rPr>
          <w:rFonts w:ascii="Arial" w:hAnsi="Arial" w:cs="Arial"/>
          <w:sz w:val="22"/>
          <w:szCs w:val="22"/>
        </w:rPr>
        <w:t xml:space="preserve">The Importance of Effective Communication in </w:t>
      </w:r>
      <w:r w:rsidR="00A80E6A" w:rsidRPr="00D3511E">
        <w:rPr>
          <w:rFonts w:ascii="Arial" w:hAnsi="Arial" w:cs="Arial"/>
          <w:sz w:val="22"/>
          <w:szCs w:val="22"/>
        </w:rPr>
        <w:t>Mrs.</w:t>
      </w:r>
      <w:r w:rsidRPr="00D3511E">
        <w:rPr>
          <w:rFonts w:ascii="Arial" w:hAnsi="Arial" w:cs="Arial"/>
          <w:sz w:val="22"/>
          <w:szCs w:val="22"/>
        </w:rPr>
        <w:t xml:space="preserve"> Thompson's Care</w:t>
      </w:r>
      <w:bookmarkEnd w:id="1"/>
    </w:p>
    <w:p w14:paraId="23EC84A2" w14:textId="1226C69B" w:rsidR="001311DA" w:rsidRPr="006744DF" w:rsidRDefault="001311DA" w:rsidP="001311DA">
      <w:pPr>
        <w:rPr>
          <w:sz w:val="22"/>
          <w:szCs w:val="22"/>
        </w:rPr>
      </w:pPr>
      <w:r w:rsidRPr="006744DF">
        <w:rPr>
          <w:sz w:val="22"/>
          <w:szCs w:val="22"/>
        </w:rPr>
        <w:t xml:space="preserve">Effective communication in health and social care involves conveying information clearly, accurately, and with empathy between support workers, individuals accessing services, and their families. It requires active </w:t>
      </w:r>
      <w:r w:rsidR="00D3511E" w:rsidRPr="006744DF">
        <w:rPr>
          <w:sz w:val="22"/>
          <w:szCs w:val="22"/>
        </w:rPr>
        <w:t>listening,</w:t>
      </w:r>
      <w:r w:rsidRPr="006744DF">
        <w:rPr>
          <w:sz w:val="22"/>
          <w:szCs w:val="22"/>
        </w:rPr>
        <w:t xml:space="preserve"> </w:t>
      </w:r>
      <w:r w:rsidR="006744DF" w:rsidRPr="006744DF">
        <w:rPr>
          <w:sz w:val="22"/>
          <w:szCs w:val="22"/>
        </w:rPr>
        <w:t>understanding,</w:t>
      </w:r>
      <w:r w:rsidRPr="006744DF">
        <w:rPr>
          <w:sz w:val="22"/>
          <w:szCs w:val="22"/>
        </w:rPr>
        <w:t xml:space="preserve"> and thoughtful responses to ensure that everyone involved in an individual’s care has a shared understanding, leading to better outcomes and a higher stan</w:t>
      </w:r>
      <w:r w:rsidR="006744DF" w:rsidRPr="006744DF">
        <w:rPr>
          <w:sz w:val="22"/>
          <w:szCs w:val="22"/>
        </w:rPr>
        <w:t>ding of care.</w:t>
      </w:r>
    </w:p>
    <w:p w14:paraId="7BB63EFC" w14:textId="77777777" w:rsidR="00A80E6A" w:rsidRPr="00481E18" w:rsidRDefault="00A80E6A" w:rsidP="00481E18">
      <w:pPr>
        <w:spacing w:line="360" w:lineRule="auto"/>
        <w:jc w:val="both"/>
        <w:rPr>
          <w:sz w:val="22"/>
          <w:szCs w:val="22"/>
        </w:rPr>
      </w:pPr>
      <w:r w:rsidRPr="00481E18">
        <w:rPr>
          <w:sz w:val="22"/>
          <w:szCs w:val="22"/>
        </w:rPr>
        <w:t>Safety and dignity are paramount and Mrs. Thompson's ability to communicate is key, especially since she has been suffering from mild dementia and confusion after missing her meds. Communication with Mrs. Thompson should be person-centered using simple language, visual prompts and repetition if required, as well as allowing for more time to process information (Care Learning, 2025). Staff should also communicate sensitively with her family, ensuring that they are aware that the medication review has taken place, and that she was found outside without appropriate clothing, as this involves them in supporting her care and helps to minimize the risk of future incidents.</w:t>
      </w:r>
    </w:p>
    <w:p w14:paraId="199B43AF" w14:textId="77777777" w:rsidR="00A80E6A" w:rsidRPr="00481E18" w:rsidRDefault="00A80E6A" w:rsidP="00481E18">
      <w:pPr>
        <w:spacing w:line="360" w:lineRule="auto"/>
        <w:jc w:val="both"/>
        <w:rPr>
          <w:sz w:val="22"/>
          <w:szCs w:val="22"/>
        </w:rPr>
      </w:pPr>
      <w:r w:rsidRPr="00481E18">
        <w:rPr>
          <w:sz w:val="22"/>
          <w:szCs w:val="22"/>
        </w:rPr>
        <w:t xml:space="preserve">This is directly relevant to the Equality Act 2010. The Act covers the nine protected characteristics, including age and disability which may also apply to Mrs. Thompson's dementia and care providers do have a duty to make reasonable adjustments to the way information is communicated (Equality </w:t>
      </w:r>
      <w:r w:rsidRPr="00481E18">
        <w:rPr>
          <w:sz w:val="22"/>
          <w:szCs w:val="22"/>
        </w:rPr>
        <w:lastRenderedPageBreak/>
        <w:t>and Human Rights Commission, 2023). This may be in accessible formats, longer appointments or with the involvement of an advocate if Mrs. Thompson has difficulties expressing her wishes. The public sector equality duty of the Act also requires that services consider how their communication practice could disadvantage older people or people with cognitive impairment and not simply assume a one size fits all approach is suitable (SCIE, 2023).</w:t>
      </w:r>
    </w:p>
    <w:p w14:paraId="7480470B" w14:textId="77777777" w:rsidR="00A80E6A" w:rsidRPr="00481E18" w:rsidRDefault="00A80E6A" w:rsidP="00481E18">
      <w:pPr>
        <w:spacing w:line="360" w:lineRule="auto"/>
        <w:jc w:val="both"/>
        <w:rPr>
          <w:sz w:val="22"/>
          <w:szCs w:val="22"/>
        </w:rPr>
      </w:pPr>
      <w:r w:rsidRPr="00481E18">
        <w:rPr>
          <w:sz w:val="22"/>
          <w:szCs w:val="22"/>
        </w:rPr>
        <w:t>These interactions can be structured in a way that is useful with Argyle's (1972) communication cycle. The cycle is made up of six stages: the idea arises in the mind, the message is coded, the message is sent, the message is received, the message is decoded, the message is understood, repetition of the cycle until the message is understood with feedback. When applied to Mrs. Thompson, a care worker explaining her medication to her should give her a clear picture but use simple language to match her level of understanding, speak clearly and at a pace she can keep up with, then test her knowledge by asking questions about what has been said, and repeat/rephrase if she seems confused. This is a cyclical process, with feedback, therefore minimizing the risk of miscommunication which may have led to her not taking her medication and enabling safer collaborative care planning to take place with Mrs. Thompson and her family.</w:t>
      </w:r>
    </w:p>
    <w:p w14:paraId="78327338" w14:textId="77777777" w:rsidR="0008341C" w:rsidRPr="0008341C" w:rsidRDefault="00A80E6A" w:rsidP="00481E18">
      <w:pPr>
        <w:spacing w:line="360" w:lineRule="auto"/>
        <w:jc w:val="both"/>
      </w:pPr>
      <w:r w:rsidRPr="00481E18">
        <w:rPr>
          <w:sz w:val="22"/>
          <w:szCs w:val="22"/>
        </w:rPr>
        <w:t>If Mrs. Thompson doesn't apply these principles, there are actual hazards. Care staff can make the mistake of thinking that because they have provided her with information about her medication, she has understood, but small errors can add up, leading to potentially serious safety incidents, such as when she missed her two doses. Likewise, where her family are not clearly and regularly informed, they may not be able to help her effectively between visits to the care home or feel they are not involved in decisions about her care. Combining the Equality Act 2010 with Argyle's model will therefore help staff to slow down, to communicate differently and to approach family members as partners and not passive recipients of information, which is crucial to reducing the risk of further episodes of confusion, missed medication and being found outside in unsafe conditions.</w:t>
      </w:r>
    </w:p>
    <w:p w14:paraId="427B1FDC" w14:textId="597575E1" w:rsidR="0008341C" w:rsidRPr="00D3511E" w:rsidRDefault="0008341C" w:rsidP="006744DF">
      <w:pPr>
        <w:pStyle w:val="Heading1"/>
        <w:numPr>
          <w:ilvl w:val="0"/>
          <w:numId w:val="3"/>
        </w:numPr>
        <w:spacing w:line="360" w:lineRule="auto"/>
        <w:rPr>
          <w:rFonts w:ascii="Arial" w:hAnsi="Arial" w:cs="Arial"/>
          <w:sz w:val="22"/>
          <w:szCs w:val="22"/>
        </w:rPr>
      </w:pPr>
      <w:bookmarkStart w:id="2" w:name="_Toc234882370"/>
      <w:r w:rsidRPr="00D3511E">
        <w:rPr>
          <w:rFonts w:ascii="Arial" w:hAnsi="Arial" w:cs="Arial"/>
          <w:sz w:val="22"/>
          <w:szCs w:val="22"/>
        </w:rPr>
        <w:t xml:space="preserve">The Importance of Good Administrative Skills in </w:t>
      </w:r>
      <w:r w:rsidR="00A80E6A" w:rsidRPr="00D3511E">
        <w:rPr>
          <w:rFonts w:ascii="Arial" w:hAnsi="Arial" w:cs="Arial"/>
          <w:sz w:val="22"/>
          <w:szCs w:val="22"/>
        </w:rPr>
        <w:t>Mrs.</w:t>
      </w:r>
      <w:r w:rsidRPr="00D3511E">
        <w:rPr>
          <w:rFonts w:ascii="Arial" w:hAnsi="Arial" w:cs="Arial"/>
          <w:sz w:val="22"/>
          <w:szCs w:val="22"/>
        </w:rPr>
        <w:t xml:space="preserve"> Thompson's Care</w:t>
      </w:r>
      <w:bookmarkEnd w:id="2"/>
    </w:p>
    <w:p w14:paraId="0FF23204" w14:textId="694A12B1" w:rsidR="006744DF" w:rsidRPr="006744DF" w:rsidRDefault="006744DF" w:rsidP="006744DF">
      <w:r w:rsidRPr="006744DF">
        <w:rPr>
          <w:sz w:val="22"/>
          <w:szCs w:val="22"/>
        </w:rPr>
        <w:t>Administration skills are vital in health and social care because they keep operation running smoothly which directly impacts patient safety and care quality. They ensure critical processes-such as medical scheduling, record management, and regulatory compliance (e.g., GDPR)- function efficiently, freeing up frontline workers to deliver direct, person-centered support</w:t>
      </w:r>
      <w:r>
        <w:t>.</w:t>
      </w:r>
    </w:p>
    <w:p w14:paraId="0881FFC9" w14:textId="47421D2C" w:rsidR="00A80E6A" w:rsidRPr="00481E18" w:rsidRDefault="00A80E6A" w:rsidP="00481E18">
      <w:pPr>
        <w:spacing w:line="360" w:lineRule="auto"/>
        <w:jc w:val="both"/>
        <w:rPr>
          <w:sz w:val="22"/>
          <w:szCs w:val="22"/>
        </w:rPr>
      </w:pPr>
      <w:r w:rsidRPr="00481E18">
        <w:rPr>
          <w:sz w:val="22"/>
          <w:szCs w:val="22"/>
        </w:rPr>
        <w:t xml:space="preserve">The correct administrative procedures and record keeping are critical to Mrs. Thompson's safety, especially when she missed her medication dose and was seen outside, dressed inappropriately. </w:t>
      </w:r>
      <w:r w:rsidRPr="00481E18">
        <w:rPr>
          <w:sz w:val="22"/>
          <w:szCs w:val="22"/>
        </w:rPr>
        <w:lastRenderedPageBreak/>
        <w:t>Both incidents have already been reported on the service incident process and will provide evidence for the medication review and any wider concerns for safeguarding. Professionals examining her case would not be able to see any patterns (for example, if she is always confused when she misses her medication) or if she is getting more confused as the years go by, without clear, timely, and accurate records.</w:t>
      </w:r>
    </w:p>
    <w:p w14:paraId="7E3E72B8" w14:textId="77777777" w:rsidR="00A80E6A" w:rsidRPr="00481E18" w:rsidRDefault="00A80E6A" w:rsidP="00481E18">
      <w:pPr>
        <w:spacing w:line="360" w:lineRule="auto"/>
        <w:jc w:val="both"/>
        <w:rPr>
          <w:sz w:val="22"/>
          <w:szCs w:val="22"/>
        </w:rPr>
      </w:pPr>
      <w:r w:rsidRPr="00481E18">
        <w:rPr>
          <w:sz w:val="22"/>
          <w:szCs w:val="22"/>
        </w:rPr>
        <w:t>Mrs. Thompson's personal and health information must be recorded and shared in line with the principles laid out in the Data Protection Act 2018 (Care Learning, 2025) which incorporates UK GDPR into UK law. Her health record, such as her dementia condition and prescribed medicines, is considered special category data which needs extra protection. Staff should make sure that records are accurate, relevant and only kept if they are needed to care for her, that the records are secure whether paper or electronic and that access to the records is restricted to those who have a legitimate purpose for them relating to her care (Royal College of Nursing, 2025). This is especially relevant to the principle of accuracy in the Act, because information on her medication schedule that is incorrect or incomplete might cause additional inaccuracies; and information on her incidents should not be left available to anyone who is not authorized to access it under the principle of security.</w:t>
      </w:r>
    </w:p>
    <w:p w14:paraId="3CC3FF98" w14:textId="77777777" w:rsidR="00A80E6A" w:rsidRPr="00481E18" w:rsidRDefault="00A80E6A" w:rsidP="00481E18">
      <w:pPr>
        <w:spacing w:line="360" w:lineRule="auto"/>
        <w:jc w:val="both"/>
        <w:rPr>
          <w:sz w:val="22"/>
          <w:szCs w:val="22"/>
        </w:rPr>
      </w:pPr>
      <w:r w:rsidRPr="00481E18">
        <w:rPr>
          <w:sz w:val="22"/>
          <w:szCs w:val="22"/>
        </w:rPr>
        <w:t>Information sharing between professionals is also a key element of good administration, which needs to be managed carefully in balance with confidentiality, but with the need to protect Mrs. Thompson. For instance, sharing information about the incident when she was spotted outside wearing unsuitable clothing with the GP or safeguarding lead is justified if there was a care or safety need, with the bare minimum of information shared and a record made (NHS England Digital, 2024). This will not only safeguard Mrs. Thompson but also safeguard staff and the organization by providing a clear contemporaneous record of decisions, concerns and action taken throughout her time in care, to show that the professional standards and legal requirements are met.</w:t>
      </w:r>
    </w:p>
    <w:p w14:paraId="463142B6" w14:textId="77777777" w:rsidR="0008341C" w:rsidRPr="0008341C" w:rsidRDefault="00A80E6A" w:rsidP="00481E18">
      <w:pPr>
        <w:spacing w:line="360" w:lineRule="auto"/>
        <w:jc w:val="both"/>
      </w:pPr>
      <w:r w:rsidRPr="00481E18">
        <w:rPr>
          <w:sz w:val="22"/>
          <w:szCs w:val="22"/>
        </w:rPr>
        <w:t xml:space="preserve">Meanwhile, substandard administration can directly have a negative impact on Mrs. Thompson's safety. An updated medication chart is not provided following the missed medication, and a new carer doing a shift may end up repeating the mistake or may not realize that her recent confusion is due to the medication, but rather a new and different deterioration in her dementia. Similarly, when the finding is outside and it is not clearly documented or not done promptly, professionals who review the case might think the risk she's in is not as high as it </w:t>
      </w:r>
      <w:r w:rsidR="00582F60" w:rsidRPr="00481E18">
        <w:rPr>
          <w:sz w:val="22"/>
          <w:szCs w:val="22"/>
        </w:rPr>
        <w:t>is</w:t>
      </w:r>
      <w:r w:rsidRPr="00481E18">
        <w:rPr>
          <w:sz w:val="22"/>
          <w:szCs w:val="22"/>
        </w:rPr>
        <w:t xml:space="preserve">. The Nursing and Midwifery Council's (2018) Code echoes this, and that registrants must maintain proper and accurate records, relevant, up to </w:t>
      </w:r>
      <w:r w:rsidRPr="00481E18">
        <w:rPr>
          <w:sz w:val="22"/>
          <w:szCs w:val="22"/>
        </w:rPr>
        <w:lastRenderedPageBreak/>
        <w:t>date and as soon as possible following an incident or event. Ensuring that these standards are applied in conjunction with the Data Protection Act 2018 means that Mrs. Thompson's records are a sound, secure and legally sound basis for all decisions regarding her continued care.</w:t>
      </w:r>
    </w:p>
    <w:p w14:paraId="6AD90772" w14:textId="00DD6347" w:rsidR="0008341C" w:rsidRPr="00E626B5" w:rsidRDefault="0008341C" w:rsidP="00E626B5">
      <w:pPr>
        <w:pStyle w:val="Heading1"/>
        <w:numPr>
          <w:ilvl w:val="0"/>
          <w:numId w:val="3"/>
        </w:numPr>
        <w:spacing w:line="360" w:lineRule="auto"/>
        <w:rPr>
          <w:rFonts w:ascii="Arial" w:hAnsi="Arial" w:cs="Arial"/>
          <w:sz w:val="22"/>
          <w:szCs w:val="22"/>
        </w:rPr>
      </w:pPr>
      <w:bookmarkStart w:id="3" w:name="_Toc234882371"/>
      <w:r w:rsidRPr="00E626B5">
        <w:rPr>
          <w:rFonts w:ascii="Arial" w:hAnsi="Arial" w:cs="Arial"/>
          <w:sz w:val="22"/>
          <w:szCs w:val="22"/>
        </w:rPr>
        <w:t>The Importance of Working Collaboratively with Other Professional</w:t>
      </w:r>
      <w:bookmarkEnd w:id="3"/>
      <w:r w:rsidR="00E626B5" w:rsidRPr="00E626B5">
        <w:rPr>
          <w:rFonts w:ascii="Arial" w:hAnsi="Arial" w:cs="Arial"/>
          <w:sz w:val="22"/>
          <w:szCs w:val="22"/>
        </w:rPr>
        <w:t>s</w:t>
      </w:r>
    </w:p>
    <w:p w14:paraId="53BFD1B8" w14:textId="3F3D2C34" w:rsidR="00E626B5" w:rsidRPr="00E626B5" w:rsidRDefault="00E626B5" w:rsidP="00E626B5">
      <w:r>
        <w:t>Collaborative work in healthcare is vital because it drastically reduces medical errors, improves patient safety, and creates a more supportive work environment for staff. By dismantling professional silos, organizations can achieve better care continuity, leading to fewer hospital readmission and more efficient of resources.</w:t>
      </w:r>
    </w:p>
    <w:p w14:paraId="22FF9D9F" w14:textId="77777777" w:rsidR="00582F60" w:rsidRPr="00481E18" w:rsidRDefault="00582F60" w:rsidP="00481E18">
      <w:pPr>
        <w:spacing w:line="360" w:lineRule="auto"/>
        <w:jc w:val="both"/>
        <w:rPr>
          <w:sz w:val="22"/>
          <w:szCs w:val="22"/>
        </w:rPr>
      </w:pPr>
      <w:r w:rsidRPr="00481E18">
        <w:rPr>
          <w:sz w:val="22"/>
          <w:szCs w:val="22"/>
        </w:rPr>
        <w:t xml:space="preserve">Effective working between Mrs. Thompson's GP and community nurse and domiciliary care workers, and wider social services is essential as there are concerns about her medication and safety. Multi-agency working means that no one professional is the only one to be responsible for her increasingly complex needs and that information about her missed medication, her confusion and the incident outside is shared and acted on collectively and not individually. (Wilberforce et al., 2021). </w:t>
      </w:r>
    </w:p>
    <w:p w14:paraId="434EA452" w14:textId="77777777" w:rsidR="00582F60" w:rsidRPr="00481E18" w:rsidRDefault="00582F60" w:rsidP="00481E18">
      <w:pPr>
        <w:spacing w:line="360" w:lineRule="auto"/>
        <w:jc w:val="both"/>
        <w:rPr>
          <w:sz w:val="22"/>
          <w:szCs w:val="22"/>
        </w:rPr>
      </w:pPr>
      <w:r w:rsidRPr="00481E18">
        <w:rPr>
          <w:sz w:val="22"/>
          <w:szCs w:val="22"/>
        </w:rPr>
        <w:t xml:space="preserve">Regular multi-disciplinary meetings or case reviews, shared care plans and points of contact can help to ensure effective collaboration, for example, the domiciliary care worker who first identified Mrs. Thompson's confusion could escalate concerns rapidly to the community nurse or GP for the medication review. Multiagency dementia support models with joint visits and shared documentation have been found to be effective in keeping people responsive to the services provided and in preventing crises occurring (Clark et al., 2007). </w:t>
      </w:r>
    </w:p>
    <w:p w14:paraId="3B02A32C" w14:textId="77777777" w:rsidR="0008341C" w:rsidRPr="00481E18" w:rsidRDefault="00582F60" w:rsidP="00481E18">
      <w:pPr>
        <w:spacing w:line="360" w:lineRule="auto"/>
        <w:jc w:val="both"/>
        <w:rPr>
          <w:sz w:val="22"/>
          <w:szCs w:val="22"/>
        </w:rPr>
      </w:pPr>
      <w:r w:rsidRPr="00481E18">
        <w:rPr>
          <w:sz w:val="22"/>
          <w:szCs w:val="22"/>
        </w:rPr>
        <w:t>But there are also challenges when working multi-agency. Different recording systems may be used, priorities may differ and difficulties may emerge about who should take the lead on a specific issue, for example, the safeguarding review about Mrs. Thompson being found outside in an inappropriate dress. This can be overcome by agreed protocols for information sharing that meet the requirements of the Data Protection Act 2018, a named person to coordinate Mrs. Thompson's care and an understanding of her wishes and risk among all agencies. However, clear communication and coordinated planning are crucial to overcoming these barriers and to ensure she continues to live independently and safely in her home.</w:t>
      </w:r>
    </w:p>
    <w:p w14:paraId="6F3AB077" w14:textId="77777777" w:rsidR="0008341C" w:rsidRPr="00D3511E" w:rsidRDefault="0008341C" w:rsidP="00481E18">
      <w:pPr>
        <w:pStyle w:val="Heading1"/>
        <w:spacing w:line="360" w:lineRule="auto"/>
        <w:rPr>
          <w:rFonts w:ascii="Arial" w:hAnsi="Arial" w:cs="Arial"/>
          <w:sz w:val="22"/>
          <w:szCs w:val="22"/>
        </w:rPr>
      </w:pPr>
      <w:bookmarkStart w:id="4" w:name="_Toc234882372"/>
      <w:r w:rsidRPr="00D3511E">
        <w:rPr>
          <w:rFonts w:ascii="Arial" w:hAnsi="Arial" w:cs="Arial"/>
          <w:sz w:val="22"/>
          <w:szCs w:val="22"/>
        </w:rPr>
        <w:lastRenderedPageBreak/>
        <w:t>Conclusion</w:t>
      </w:r>
      <w:bookmarkEnd w:id="4"/>
    </w:p>
    <w:p w14:paraId="3990AB22" w14:textId="77777777" w:rsidR="0008341C" w:rsidRPr="00481E18" w:rsidRDefault="00582F60" w:rsidP="00481E18">
      <w:pPr>
        <w:spacing w:line="360" w:lineRule="auto"/>
        <w:jc w:val="both"/>
        <w:rPr>
          <w:sz w:val="22"/>
          <w:szCs w:val="22"/>
        </w:rPr>
      </w:pPr>
      <w:r w:rsidRPr="00481E18">
        <w:rPr>
          <w:sz w:val="22"/>
          <w:szCs w:val="22"/>
        </w:rPr>
        <w:t>As this report demonstrates, effective communication, good administration and multi-agency work are all interdependent in ensuring Mrs. Thompson's safety and wellbeing. By using the Equality Act 2010 and Argyle's communication cycle, staff can adjust the way they talk with her and her family, to minimize the chance of misunderstandings and possible factors for her not taking her medication. The Data Protection Act 2018 gives the opportunity to create robust record keeping which ensures that concerns (such as her confusion and the incident outside) are correctly recorded and passed on appropriately between professionals. Lastly, there are coordinated working practices between her GP, community nurse and domiciliary care team and there are clear protocols and information sharing in place, which ensures that no part of her health care is overlooked. Each of these three areas will create a framework for professionals working together to facilitate Mrs. Thompson's safe and independent stay in her home, while valuing her dignity and engaging her and her family in the decision-making process.</w:t>
      </w:r>
    </w:p>
    <w:p w14:paraId="7E021263" w14:textId="77777777" w:rsidR="0008341C" w:rsidRPr="00D3511E" w:rsidRDefault="0008341C" w:rsidP="00481E18">
      <w:pPr>
        <w:pStyle w:val="Heading1"/>
        <w:spacing w:line="360" w:lineRule="auto"/>
        <w:rPr>
          <w:rFonts w:ascii="Arial" w:hAnsi="Arial" w:cs="Arial"/>
          <w:sz w:val="22"/>
          <w:szCs w:val="22"/>
        </w:rPr>
      </w:pPr>
      <w:bookmarkStart w:id="5" w:name="_Toc234882373"/>
      <w:r w:rsidRPr="00D3511E">
        <w:rPr>
          <w:rFonts w:ascii="Arial" w:hAnsi="Arial" w:cs="Arial"/>
          <w:sz w:val="22"/>
          <w:szCs w:val="22"/>
        </w:rPr>
        <w:t>Reference</w:t>
      </w:r>
      <w:bookmarkEnd w:id="5"/>
      <w:r w:rsidRPr="00D3511E">
        <w:rPr>
          <w:rFonts w:ascii="Arial" w:hAnsi="Arial" w:cs="Arial"/>
          <w:sz w:val="22"/>
          <w:szCs w:val="22"/>
        </w:rPr>
        <w:t xml:space="preserve"> </w:t>
      </w:r>
    </w:p>
    <w:p w14:paraId="30885468"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Argyle, M. (1972) </w:t>
      </w:r>
      <w:r w:rsidRPr="00D3511E">
        <w:rPr>
          <w:rFonts w:ascii="Arial" w:hAnsi="Arial" w:cs="Arial"/>
          <w:i/>
          <w:iCs/>
          <w:sz w:val="22"/>
          <w:szCs w:val="22"/>
        </w:rPr>
        <w:t xml:space="preserve">The Psychology of Interpersonal </w:t>
      </w:r>
      <w:r w:rsidR="00A80E6A" w:rsidRPr="00D3511E">
        <w:rPr>
          <w:rFonts w:ascii="Arial" w:hAnsi="Arial" w:cs="Arial"/>
          <w:i/>
          <w:iCs/>
          <w:sz w:val="22"/>
          <w:szCs w:val="22"/>
        </w:rPr>
        <w:t>Behavior</w:t>
      </w:r>
      <w:r w:rsidRPr="00D3511E">
        <w:rPr>
          <w:rFonts w:ascii="Arial" w:hAnsi="Arial" w:cs="Arial"/>
          <w:sz w:val="22"/>
          <w:szCs w:val="22"/>
        </w:rPr>
        <w:t xml:space="preserve">. Harmondsworth: Penguin. </w:t>
      </w:r>
      <w:hyperlink r:id="rId6" w:history="1">
        <w:r w:rsidR="00A80E6A" w:rsidRPr="00D3511E">
          <w:rPr>
            <w:rStyle w:val="Hyperlink"/>
            <w:rFonts w:ascii="Arial" w:hAnsi="Arial" w:cs="Arial"/>
            <w:sz w:val="22"/>
            <w:szCs w:val="22"/>
          </w:rPr>
          <w:t>https://www.markedbyteachers.com/as-and-a-level/healthcare/communication-argyle-s-stages-of-the-communication-cycle-and-tuckmans-stages-of-group-interaction.html</w:t>
        </w:r>
      </w:hyperlink>
      <w:r w:rsidR="00A80E6A" w:rsidRPr="00D3511E">
        <w:rPr>
          <w:rFonts w:ascii="Arial" w:hAnsi="Arial" w:cs="Arial"/>
          <w:sz w:val="22"/>
          <w:szCs w:val="22"/>
        </w:rPr>
        <w:t xml:space="preserve"> </w:t>
      </w:r>
    </w:p>
    <w:p w14:paraId="791AD7BE"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Care Learning (2025) </w:t>
      </w:r>
      <w:r w:rsidRPr="00D3511E">
        <w:rPr>
          <w:rFonts w:ascii="Arial" w:hAnsi="Arial" w:cs="Arial"/>
          <w:i/>
          <w:iCs/>
          <w:sz w:val="22"/>
          <w:szCs w:val="22"/>
        </w:rPr>
        <w:t>A Guide to the Data Protection Act 2018 in Health and Social Care</w:t>
      </w:r>
      <w:r w:rsidRPr="00D3511E">
        <w:rPr>
          <w:rFonts w:ascii="Arial" w:hAnsi="Arial" w:cs="Arial"/>
          <w:sz w:val="22"/>
          <w:szCs w:val="22"/>
        </w:rPr>
        <w:t xml:space="preserve">. Available at: </w:t>
      </w:r>
      <w:hyperlink r:id="rId7" w:history="1">
        <w:r w:rsidR="00A80E6A" w:rsidRPr="00D3511E">
          <w:rPr>
            <w:rStyle w:val="Hyperlink"/>
            <w:rFonts w:ascii="Arial" w:hAnsi="Arial" w:cs="Arial"/>
            <w:sz w:val="22"/>
            <w:szCs w:val="22"/>
          </w:rPr>
          <w:t>https://carelearning.org.uk/blog/data-protection-and-gdpr/data-protection-act-2018-in-health-and-social-care/</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15D39C8C"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Clark, H., Dyer, S. and Horwood, J. (2007) 'An evaluation of a specialist multiagency home support service for older people with dementia using qualitative methods'. Available at: </w:t>
      </w:r>
      <w:hyperlink r:id="rId8" w:history="1">
        <w:r w:rsidR="00A80E6A" w:rsidRPr="00D3511E">
          <w:rPr>
            <w:rStyle w:val="Hyperlink"/>
            <w:rFonts w:ascii="Arial" w:hAnsi="Arial" w:cs="Arial"/>
            <w:sz w:val="22"/>
            <w:szCs w:val="22"/>
          </w:rPr>
          <w:t>https://pubmed.ncbi.nlm.nih.gov/17562524/</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72295889"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Equality and Human Rights Commission (2023) </w:t>
      </w:r>
      <w:r w:rsidRPr="00D3511E">
        <w:rPr>
          <w:rFonts w:ascii="Arial" w:hAnsi="Arial" w:cs="Arial"/>
          <w:i/>
          <w:iCs/>
          <w:sz w:val="22"/>
          <w:szCs w:val="22"/>
        </w:rPr>
        <w:t>Equality and Human Rights in Social Care</w:t>
      </w:r>
      <w:r w:rsidRPr="00D3511E">
        <w:rPr>
          <w:rFonts w:ascii="Arial" w:hAnsi="Arial" w:cs="Arial"/>
          <w:sz w:val="22"/>
          <w:szCs w:val="22"/>
        </w:rPr>
        <w:t xml:space="preserve">. Available at: </w:t>
      </w:r>
      <w:hyperlink r:id="rId9" w:history="1">
        <w:r w:rsidR="00A80E6A" w:rsidRPr="00D3511E">
          <w:rPr>
            <w:rStyle w:val="Hyperlink"/>
            <w:rFonts w:ascii="Arial" w:hAnsi="Arial" w:cs="Arial"/>
            <w:sz w:val="22"/>
            <w:szCs w:val="22"/>
          </w:rPr>
          <w:t>https://www.equalityhumanrights.com/our-work/inquiries-and-investigations/adult-social-care-inquiry/equality-and-human-rights-social</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37366A05"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Great Britain (2010) </w:t>
      </w:r>
      <w:r w:rsidRPr="00D3511E">
        <w:rPr>
          <w:rFonts w:ascii="Arial" w:hAnsi="Arial" w:cs="Arial"/>
          <w:i/>
          <w:iCs/>
          <w:sz w:val="22"/>
          <w:szCs w:val="22"/>
        </w:rPr>
        <w:t>Equality Act 2010</w:t>
      </w:r>
      <w:r w:rsidRPr="00D3511E">
        <w:rPr>
          <w:rFonts w:ascii="Arial" w:hAnsi="Arial" w:cs="Arial"/>
          <w:sz w:val="22"/>
          <w:szCs w:val="22"/>
        </w:rPr>
        <w:t xml:space="preserve">. Available at: </w:t>
      </w:r>
      <w:hyperlink r:id="rId10" w:history="1">
        <w:r w:rsidR="00A80E6A" w:rsidRPr="00D3511E">
          <w:rPr>
            <w:rStyle w:val="Hyperlink"/>
            <w:rFonts w:ascii="Arial" w:hAnsi="Arial" w:cs="Arial"/>
            <w:sz w:val="22"/>
            <w:szCs w:val="22"/>
          </w:rPr>
          <w:t>https://www.legislation.gov.uk/ukpga/2010/15/contents</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3D8E0B2C"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Great Britain (2018) </w:t>
      </w:r>
      <w:r w:rsidRPr="00D3511E">
        <w:rPr>
          <w:rFonts w:ascii="Arial" w:hAnsi="Arial" w:cs="Arial"/>
          <w:i/>
          <w:iCs/>
          <w:sz w:val="22"/>
          <w:szCs w:val="22"/>
        </w:rPr>
        <w:t>Data Protection Act 2018</w:t>
      </w:r>
      <w:r w:rsidRPr="00D3511E">
        <w:rPr>
          <w:rFonts w:ascii="Arial" w:hAnsi="Arial" w:cs="Arial"/>
          <w:sz w:val="22"/>
          <w:szCs w:val="22"/>
        </w:rPr>
        <w:t xml:space="preserve">. Available at: </w:t>
      </w:r>
      <w:hyperlink r:id="rId11" w:history="1">
        <w:r w:rsidR="00A80E6A" w:rsidRPr="00D3511E">
          <w:rPr>
            <w:rStyle w:val="Hyperlink"/>
            <w:rFonts w:ascii="Arial" w:hAnsi="Arial" w:cs="Arial"/>
            <w:sz w:val="22"/>
            <w:szCs w:val="22"/>
          </w:rPr>
          <w:t>https://www.legislation.gov.uk/ukpga/2018/12/contents</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0D4F6A28"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lastRenderedPageBreak/>
        <w:t xml:space="preserve">NHS England Digital (2024) </w:t>
      </w:r>
      <w:r w:rsidRPr="00D3511E">
        <w:rPr>
          <w:rFonts w:ascii="Arial" w:hAnsi="Arial" w:cs="Arial"/>
          <w:i/>
          <w:iCs/>
          <w:sz w:val="22"/>
          <w:szCs w:val="22"/>
        </w:rPr>
        <w:t>Protecting Patient Data</w:t>
      </w:r>
      <w:r w:rsidRPr="00D3511E">
        <w:rPr>
          <w:rFonts w:ascii="Arial" w:hAnsi="Arial" w:cs="Arial"/>
          <w:sz w:val="22"/>
          <w:szCs w:val="22"/>
        </w:rPr>
        <w:t xml:space="preserve">. Available at: </w:t>
      </w:r>
      <w:hyperlink r:id="rId12" w:history="1">
        <w:r w:rsidR="00A80E6A" w:rsidRPr="00D3511E">
          <w:rPr>
            <w:rStyle w:val="Hyperlink"/>
            <w:rFonts w:ascii="Arial" w:hAnsi="Arial" w:cs="Arial"/>
            <w:sz w:val="22"/>
            <w:szCs w:val="22"/>
          </w:rPr>
          <w:t>https://digital.nhs.uk/services/national-data-opt-out/understanding-the-national-data-opt-out/protecting-patient-data</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3AA84BD6"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Nursing and Midwifery Council (2018) </w:t>
      </w:r>
      <w:r w:rsidRPr="00D3511E">
        <w:rPr>
          <w:rFonts w:ascii="Arial" w:hAnsi="Arial" w:cs="Arial"/>
          <w:i/>
          <w:iCs/>
          <w:sz w:val="22"/>
          <w:szCs w:val="22"/>
        </w:rPr>
        <w:t xml:space="preserve">The Code: Professional Standards of Practice and </w:t>
      </w:r>
      <w:r w:rsidR="00A80E6A" w:rsidRPr="00D3511E">
        <w:rPr>
          <w:rFonts w:ascii="Arial" w:hAnsi="Arial" w:cs="Arial"/>
          <w:i/>
          <w:iCs/>
          <w:sz w:val="22"/>
          <w:szCs w:val="22"/>
        </w:rPr>
        <w:t>Behavior</w:t>
      </w:r>
      <w:r w:rsidRPr="00D3511E">
        <w:rPr>
          <w:rFonts w:ascii="Arial" w:hAnsi="Arial" w:cs="Arial"/>
          <w:i/>
          <w:iCs/>
          <w:sz w:val="22"/>
          <w:szCs w:val="22"/>
        </w:rPr>
        <w:t xml:space="preserve"> for Nurses, Midwives and Nursing Associates</w:t>
      </w:r>
      <w:r w:rsidRPr="00D3511E">
        <w:rPr>
          <w:rFonts w:ascii="Arial" w:hAnsi="Arial" w:cs="Arial"/>
          <w:sz w:val="22"/>
          <w:szCs w:val="22"/>
        </w:rPr>
        <w:t xml:space="preserve">. Available at: </w:t>
      </w:r>
      <w:hyperlink r:id="rId13" w:history="1">
        <w:r w:rsidR="00A80E6A" w:rsidRPr="00D3511E">
          <w:rPr>
            <w:rStyle w:val="Hyperlink"/>
            <w:rFonts w:ascii="Arial" w:hAnsi="Arial" w:cs="Arial"/>
            <w:sz w:val="22"/>
            <w:szCs w:val="22"/>
          </w:rPr>
          <w:t>https://www.nmc.org.uk/globalassets/sitedocuments/nmc-publications/nmc-code.pdf</w:t>
        </w:r>
      </w:hyperlink>
      <w:r w:rsidR="00A80E6A" w:rsidRPr="00D3511E">
        <w:rPr>
          <w:rFonts w:ascii="Arial" w:hAnsi="Arial" w:cs="Arial"/>
          <w:sz w:val="22"/>
          <w:szCs w:val="22"/>
        </w:rPr>
        <w:t xml:space="preserve"> </w:t>
      </w:r>
      <w:r w:rsidRPr="00D3511E">
        <w:rPr>
          <w:rFonts w:ascii="Arial" w:hAnsi="Arial" w:cs="Arial"/>
          <w:sz w:val="22"/>
          <w:szCs w:val="22"/>
        </w:rPr>
        <w:t>(Accessed: 14 July 2026).</w:t>
      </w:r>
    </w:p>
    <w:p w14:paraId="65721945"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Royal College of Nursing (2025) </w:t>
      </w:r>
      <w:r w:rsidRPr="00D3511E">
        <w:rPr>
          <w:rFonts w:ascii="Arial" w:hAnsi="Arial" w:cs="Arial"/>
          <w:i/>
          <w:iCs/>
          <w:sz w:val="22"/>
          <w:szCs w:val="22"/>
        </w:rPr>
        <w:t>Data Protection and Monitoring at Work</w:t>
      </w:r>
      <w:r w:rsidRPr="00D3511E">
        <w:rPr>
          <w:rFonts w:ascii="Arial" w:hAnsi="Arial" w:cs="Arial"/>
          <w:sz w:val="22"/>
          <w:szCs w:val="22"/>
        </w:rPr>
        <w:t xml:space="preserve">. Available at: </w:t>
      </w:r>
      <w:hyperlink r:id="rId14" w:history="1">
        <w:r w:rsidR="00A80E6A" w:rsidRPr="00D3511E">
          <w:rPr>
            <w:rStyle w:val="Hyperlink"/>
            <w:rFonts w:ascii="Arial" w:hAnsi="Arial" w:cs="Arial"/>
            <w:sz w:val="22"/>
            <w:szCs w:val="22"/>
          </w:rPr>
          <w:t>https://www.rcn.org.uk/Get-Help/RCN-advice/data-protection</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654065AC"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 xml:space="preserve">SCIE (2023) </w:t>
      </w:r>
      <w:r w:rsidR="00A80E6A" w:rsidRPr="00D3511E">
        <w:rPr>
          <w:rFonts w:ascii="Arial" w:hAnsi="Arial" w:cs="Arial"/>
          <w:i/>
          <w:iCs/>
          <w:sz w:val="22"/>
          <w:szCs w:val="22"/>
        </w:rPr>
        <w:t>Personalization</w:t>
      </w:r>
      <w:r w:rsidRPr="00D3511E">
        <w:rPr>
          <w:rFonts w:ascii="Arial" w:hAnsi="Arial" w:cs="Arial"/>
          <w:i/>
          <w:iCs/>
          <w:sz w:val="22"/>
          <w:szCs w:val="22"/>
        </w:rPr>
        <w:t xml:space="preserve"> and the Equality Act 2010</w:t>
      </w:r>
      <w:r w:rsidRPr="00D3511E">
        <w:rPr>
          <w:rFonts w:ascii="Arial" w:hAnsi="Arial" w:cs="Arial"/>
          <w:sz w:val="22"/>
          <w:szCs w:val="22"/>
        </w:rPr>
        <w:t xml:space="preserve">. Available at: </w:t>
      </w:r>
      <w:hyperlink r:id="rId15" w:history="1">
        <w:r w:rsidR="00A80E6A" w:rsidRPr="00D3511E">
          <w:rPr>
            <w:rStyle w:val="Hyperlink"/>
            <w:rFonts w:ascii="Arial" w:hAnsi="Arial" w:cs="Arial"/>
            <w:sz w:val="22"/>
            <w:szCs w:val="22"/>
          </w:rPr>
          <w:t>https://www.scie.org.uk/providing-care/personalised-and-person-centred-care/personalisation-and-the-equality-act-2010/</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7289701E" w14:textId="77777777" w:rsidR="0008341C" w:rsidRPr="00D3511E" w:rsidRDefault="0008341C" w:rsidP="00481E18">
      <w:pPr>
        <w:spacing w:line="360" w:lineRule="auto"/>
        <w:jc w:val="both"/>
        <w:rPr>
          <w:rFonts w:ascii="Arial" w:hAnsi="Arial" w:cs="Arial"/>
          <w:sz w:val="22"/>
          <w:szCs w:val="22"/>
        </w:rPr>
      </w:pPr>
      <w:r w:rsidRPr="00D3511E">
        <w:rPr>
          <w:rFonts w:ascii="Arial" w:hAnsi="Arial" w:cs="Arial"/>
          <w:sz w:val="22"/>
          <w:szCs w:val="22"/>
        </w:rPr>
        <w:t>Wilberforce, M. et al. (2021) '</w:t>
      </w:r>
      <w:r w:rsidR="00A80E6A" w:rsidRPr="00D3511E">
        <w:rPr>
          <w:rFonts w:ascii="Arial" w:hAnsi="Arial" w:cs="Arial"/>
          <w:sz w:val="22"/>
          <w:szCs w:val="22"/>
        </w:rPr>
        <w:t>Maximizing</w:t>
      </w:r>
      <w:r w:rsidRPr="00D3511E">
        <w:rPr>
          <w:rFonts w:ascii="Arial" w:hAnsi="Arial" w:cs="Arial"/>
          <w:sz w:val="22"/>
          <w:szCs w:val="22"/>
        </w:rPr>
        <w:t xml:space="preserve"> the engagement of older people with mental health needs and dementia with social care'. Available at: </w:t>
      </w:r>
      <w:hyperlink r:id="rId16" w:history="1">
        <w:r w:rsidR="00A80E6A" w:rsidRPr="00D3511E">
          <w:rPr>
            <w:rStyle w:val="Hyperlink"/>
            <w:rFonts w:ascii="Arial" w:hAnsi="Arial" w:cs="Arial"/>
            <w:sz w:val="22"/>
            <w:szCs w:val="22"/>
          </w:rPr>
          <w:t>https://pmc.ncbi.nlm.nih.gov/articles/PMC10099804/</w:t>
        </w:r>
      </w:hyperlink>
      <w:r w:rsidR="00A80E6A" w:rsidRPr="00D3511E">
        <w:rPr>
          <w:rFonts w:ascii="Arial" w:hAnsi="Arial" w:cs="Arial"/>
          <w:sz w:val="22"/>
          <w:szCs w:val="22"/>
        </w:rPr>
        <w:t xml:space="preserve"> </w:t>
      </w:r>
      <w:r w:rsidRPr="00D3511E">
        <w:rPr>
          <w:rFonts w:ascii="Arial" w:hAnsi="Arial" w:cs="Arial"/>
          <w:sz w:val="22"/>
          <w:szCs w:val="22"/>
        </w:rPr>
        <w:t xml:space="preserve"> (Accessed: 14 July 2026).</w:t>
      </w:r>
    </w:p>
    <w:p w14:paraId="1D9F19AC" w14:textId="77777777" w:rsidR="00170EFF" w:rsidRPr="00D3511E" w:rsidRDefault="00170EFF" w:rsidP="0008341C">
      <w:pPr>
        <w:jc w:val="both"/>
        <w:rPr>
          <w:rFonts w:ascii="Arial" w:hAnsi="Arial" w:cs="Arial"/>
          <w:sz w:val="22"/>
          <w:szCs w:val="22"/>
        </w:rPr>
      </w:pPr>
    </w:p>
    <w:sectPr w:rsidR="00170EFF" w:rsidRPr="00D351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B6B3D"/>
    <w:multiLevelType w:val="multilevel"/>
    <w:tmpl w:val="B378A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5F61E1"/>
    <w:multiLevelType w:val="multilevel"/>
    <w:tmpl w:val="9322F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E14BFF"/>
    <w:multiLevelType w:val="hybridMultilevel"/>
    <w:tmpl w:val="FE06BFE6"/>
    <w:lvl w:ilvl="0" w:tplc="268415CE">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4338510">
    <w:abstractNumId w:val="0"/>
  </w:num>
  <w:num w:numId="2" w16cid:durableId="125246636">
    <w:abstractNumId w:val="1"/>
  </w:num>
  <w:num w:numId="3" w16cid:durableId="2083605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EFF"/>
    <w:rsid w:val="0001715C"/>
    <w:rsid w:val="0008341C"/>
    <w:rsid w:val="001311DA"/>
    <w:rsid w:val="00170EFF"/>
    <w:rsid w:val="00235B3C"/>
    <w:rsid w:val="00481E18"/>
    <w:rsid w:val="00582F60"/>
    <w:rsid w:val="006744DF"/>
    <w:rsid w:val="00A346F8"/>
    <w:rsid w:val="00A80E6A"/>
    <w:rsid w:val="00AF4444"/>
    <w:rsid w:val="00C53E6D"/>
    <w:rsid w:val="00CD1761"/>
    <w:rsid w:val="00D3511E"/>
    <w:rsid w:val="00E626B5"/>
    <w:rsid w:val="00E94FBE"/>
    <w:rsid w:val="00F17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8ED98"/>
  <w15:chartTrackingRefBased/>
  <w15:docId w15:val="{6B7038F9-1357-42D9-B9BB-35281E52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E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E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E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E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E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E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E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E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E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E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E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E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E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E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E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EFF"/>
    <w:rPr>
      <w:rFonts w:eastAsiaTheme="majorEastAsia" w:cstheme="majorBidi"/>
      <w:color w:val="272727" w:themeColor="text1" w:themeTint="D8"/>
    </w:rPr>
  </w:style>
  <w:style w:type="paragraph" w:styleId="Title">
    <w:name w:val="Title"/>
    <w:basedOn w:val="Normal"/>
    <w:next w:val="Normal"/>
    <w:link w:val="TitleChar"/>
    <w:uiPriority w:val="10"/>
    <w:qFormat/>
    <w:rsid w:val="00170E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E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E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E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EFF"/>
    <w:pPr>
      <w:spacing w:before="160"/>
      <w:jc w:val="center"/>
    </w:pPr>
    <w:rPr>
      <w:i/>
      <w:iCs/>
      <w:color w:val="404040" w:themeColor="text1" w:themeTint="BF"/>
    </w:rPr>
  </w:style>
  <w:style w:type="character" w:customStyle="1" w:styleId="QuoteChar">
    <w:name w:val="Quote Char"/>
    <w:basedOn w:val="DefaultParagraphFont"/>
    <w:link w:val="Quote"/>
    <w:uiPriority w:val="29"/>
    <w:rsid w:val="00170EFF"/>
    <w:rPr>
      <w:i/>
      <w:iCs/>
      <w:color w:val="404040" w:themeColor="text1" w:themeTint="BF"/>
    </w:rPr>
  </w:style>
  <w:style w:type="paragraph" w:styleId="ListParagraph">
    <w:name w:val="List Paragraph"/>
    <w:basedOn w:val="Normal"/>
    <w:uiPriority w:val="34"/>
    <w:qFormat/>
    <w:rsid w:val="00170EFF"/>
    <w:pPr>
      <w:ind w:left="720"/>
      <w:contextualSpacing/>
    </w:pPr>
  </w:style>
  <w:style w:type="character" w:styleId="IntenseEmphasis">
    <w:name w:val="Intense Emphasis"/>
    <w:basedOn w:val="DefaultParagraphFont"/>
    <w:uiPriority w:val="21"/>
    <w:qFormat/>
    <w:rsid w:val="00170EFF"/>
    <w:rPr>
      <w:i/>
      <w:iCs/>
      <w:color w:val="0F4761" w:themeColor="accent1" w:themeShade="BF"/>
    </w:rPr>
  </w:style>
  <w:style w:type="paragraph" w:styleId="IntenseQuote">
    <w:name w:val="Intense Quote"/>
    <w:basedOn w:val="Normal"/>
    <w:next w:val="Normal"/>
    <w:link w:val="IntenseQuoteChar"/>
    <w:uiPriority w:val="30"/>
    <w:qFormat/>
    <w:rsid w:val="00170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EFF"/>
    <w:rPr>
      <w:i/>
      <w:iCs/>
      <w:color w:val="0F4761" w:themeColor="accent1" w:themeShade="BF"/>
    </w:rPr>
  </w:style>
  <w:style w:type="character" w:styleId="IntenseReference">
    <w:name w:val="Intense Reference"/>
    <w:basedOn w:val="DefaultParagraphFont"/>
    <w:uiPriority w:val="32"/>
    <w:qFormat/>
    <w:rsid w:val="00170EFF"/>
    <w:rPr>
      <w:b/>
      <w:bCs/>
      <w:smallCaps/>
      <w:color w:val="0F4761" w:themeColor="accent1" w:themeShade="BF"/>
      <w:spacing w:val="5"/>
    </w:rPr>
  </w:style>
  <w:style w:type="character" w:styleId="Hyperlink">
    <w:name w:val="Hyperlink"/>
    <w:basedOn w:val="DefaultParagraphFont"/>
    <w:uiPriority w:val="99"/>
    <w:unhideWhenUsed/>
    <w:rsid w:val="00A80E6A"/>
    <w:rPr>
      <w:color w:val="467886" w:themeColor="hyperlink"/>
      <w:u w:val="single"/>
    </w:rPr>
  </w:style>
  <w:style w:type="character" w:styleId="UnresolvedMention">
    <w:name w:val="Unresolved Mention"/>
    <w:basedOn w:val="DefaultParagraphFont"/>
    <w:uiPriority w:val="99"/>
    <w:semiHidden/>
    <w:unhideWhenUsed/>
    <w:rsid w:val="00A80E6A"/>
    <w:rPr>
      <w:color w:val="605E5C"/>
      <w:shd w:val="clear" w:color="auto" w:fill="E1DFDD"/>
    </w:rPr>
  </w:style>
  <w:style w:type="paragraph" w:styleId="TOCHeading">
    <w:name w:val="TOC Heading"/>
    <w:basedOn w:val="Heading1"/>
    <w:next w:val="Normal"/>
    <w:uiPriority w:val="39"/>
    <w:unhideWhenUsed/>
    <w:qFormat/>
    <w:rsid w:val="00A80E6A"/>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80E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17562524/" TargetMode="External"/><Relationship Id="rId13" Type="http://schemas.openxmlformats.org/officeDocument/2006/relationships/hyperlink" Target="https://www.nmc.org.uk/globalassets/sitedocuments/nmc-publications/nmc-code.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arelearning.org.uk/blog/data-protection-and-gdpr/data-protection-act-2018-in-health-and-social-care/" TargetMode="External"/><Relationship Id="rId12" Type="http://schemas.openxmlformats.org/officeDocument/2006/relationships/hyperlink" Target="https://digital.nhs.uk/services/national-data-opt-out/understanding-the-national-data-opt-out/protecting-patient-dat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mc.ncbi.nlm.nih.gov/articles/PMC10099804/" TargetMode="External"/><Relationship Id="rId1" Type="http://schemas.openxmlformats.org/officeDocument/2006/relationships/customXml" Target="../customXml/item1.xml"/><Relationship Id="rId6" Type="http://schemas.openxmlformats.org/officeDocument/2006/relationships/hyperlink" Target="https://www.markedbyteachers.com/as-and-a-level/healthcare/communication-argyle-s-stages-of-the-communication-cycle-and-tuckmans-stages-of-group-interaction.html" TargetMode="External"/><Relationship Id="rId11" Type="http://schemas.openxmlformats.org/officeDocument/2006/relationships/hyperlink" Target="https://www.legislation.gov.uk/ukpga/2018/12/contents" TargetMode="External"/><Relationship Id="rId5" Type="http://schemas.openxmlformats.org/officeDocument/2006/relationships/webSettings" Target="webSettings.xml"/><Relationship Id="rId15" Type="http://schemas.openxmlformats.org/officeDocument/2006/relationships/hyperlink" Target="https://www.scie.org.uk/providing-care/personalised-and-person-centred-care/personalisation-and-the-equality-act-2010/" TargetMode="External"/><Relationship Id="rId10"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yperlink" Target="https://www.equalityhumanrights.com/our-work/inquiries-and-investigations/adult-social-care-inquiry/equality-and-human-rights-social" TargetMode="External"/><Relationship Id="rId14" Type="http://schemas.openxmlformats.org/officeDocument/2006/relationships/hyperlink" Target="https://www.rcn.org.uk/Get-Help/RCN-advice/data-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435D4-3C3A-4CC2-8B54-CF46F8084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2443</Words>
  <Characters>13929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ERTAZA</dc:creator>
  <cp:keywords/>
  <dc:description/>
  <cp:lastModifiedBy>Munira Mohammed</cp:lastModifiedBy>
  <cp:revision>2</cp:revision>
  <dcterms:created xsi:type="dcterms:W3CDTF">2026-07-24T06:12:00Z</dcterms:created>
  <dcterms:modified xsi:type="dcterms:W3CDTF">2026-07-24T06:12:00Z</dcterms:modified>
</cp:coreProperties>
</file>