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A5B80" w14:textId="4B1F4BCE" w:rsidR="00A561F4" w:rsidRPr="002B1CCA" w:rsidRDefault="00A561F4" w:rsidP="00A561F4">
      <w:pPr>
        <w:rPr>
          <w:b/>
          <w:bCs/>
        </w:rPr>
      </w:pPr>
      <w:r>
        <w:rPr>
          <w:b/>
          <w:bCs/>
        </w:rPr>
        <w:t xml:space="preserve">                                             </w:t>
      </w:r>
      <w:r w:rsidRPr="002B1CCA">
        <w:rPr>
          <w:b/>
          <w:bCs/>
        </w:rPr>
        <w:t>Student number: 2234498</w:t>
      </w:r>
    </w:p>
    <w:p w14:paraId="02D5091B" w14:textId="3A9ED8F7" w:rsidR="00A561F4" w:rsidRPr="002B1CCA" w:rsidRDefault="00A561F4" w:rsidP="00A561F4">
      <w:pPr>
        <w:rPr>
          <w:b/>
          <w:bCs/>
        </w:rPr>
      </w:pPr>
      <w:r>
        <w:rPr>
          <w:b/>
          <w:bCs/>
        </w:rPr>
        <w:t xml:space="preserve">                                               </w:t>
      </w:r>
      <w:r w:rsidRPr="002B1CCA">
        <w:rPr>
          <w:b/>
          <w:bCs/>
        </w:rPr>
        <w:t xml:space="preserve">Module: </w:t>
      </w:r>
      <w:r>
        <w:rPr>
          <w:b/>
          <w:bCs/>
        </w:rPr>
        <w:t>Criminal Law</w:t>
      </w:r>
    </w:p>
    <w:p w14:paraId="6D398749" w14:textId="70A8D141" w:rsidR="007C5FED" w:rsidRPr="006F3C3C" w:rsidRDefault="00A561F4" w:rsidP="00CA5CC0">
      <w:pPr>
        <w:rPr>
          <w:b/>
          <w:bCs/>
        </w:rPr>
      </w:pPr>
      <w:r>
        <w:rPr>
          <w:b/>
          <w:bCs/>
        </w:rPr>
        <w:t xml:space="preserve">                                             </w:t>
      </w:r>
      <w:r w:rsidRPr="002B1CCA">
        <w:rPr>
          <w:b/>
          <w:bCs/>
        </w:rPr>
        <w:t xml:space="preserve">Module Code: </w:t>
      </w:r>
      <w:r>
        <w:rPr>
          <w:rFonts w:ascii="Arial" w:eastAsia="Arial" w:hAnsi="Arial" w:cs="Arial"/>
          <w:b/>
          <w:sz w:val="22"/>
          <w:szCs w:val="22"/>
        </w:rPr>
        <w:t>BMPL4009</w:t>
      </w:r>
    </w:p>
    <w:p w14:paraId="7464D91F" w14:textId="77777777" w:rsidR="007C5FED" w:rsidRDefault="007C5FED" w:rsidP="00CA5CC0"/>
    <w:p w14:paraId="4B1BB390" w14:textId="77777777" w:rsidR="007C5FED" w:rsidRDefault="007C5FED" w:rsidP="00CA5CC0"/>
    <w:p w14:paraId="0DF43224" w14:textId="77777777" w:rsidR="007C5FED" w:rsidRDefault="007C5FED" w:rsidP="00CA5CC0"/>
    <w:p w14:paraId="5617FEAE" w14:textId="4C159CE4" w:rsidR="008207A1" w:rsidRPr="008207A1" w:rsidRDefault="008207A1" w:rsidP="008207A1">
      <w:r w:rsidRPr="008207A1">
        <w:t xml:space="preserve">The law governing homicide in Wales </w:t>
      </w:r>
      <w:r w:rsidR="00872706">
        <w:t xml:space="preserve">and England </w:t>
      </w:r>
      <w:r w:rsidRPr="008207A1">
        <w:t xml:space="preserve">has been a theme of </w:t>
      </w:r>
      <w:r w:rsidR="00872706" w:rsidRPr="008207A1">
        <w:t>debate</w:t>
      </w:r>
      <w:r w:rsidRPr="008207A1">
        <w:t xml:space="preserve"> and study due to its historical foundations and perceived shortcomings.</w:t>
      </w:r>
      <w:r w:rsidR="00872706">
        <w:t xml:space="preserve"> It will be evaluated, in this </w:t>
      </w:r>
      <w:r w:rsidR="00005594">
        <w:t>essay, whether</w:t>
      </w:r>
      <w:r w:rsidRPr="008207A1">
        <w:t xml:space="preserve"> the England and Wales </w:t>
      </w:r>
      <w:r w:rsidR="00872706">
        <w:t xml:space="preserve">homicide law </w:t>
      </w:r>
      <w:r w:rsidRPr="008207A1">
        <w:t>needs reform</w:t>
      </w:r>
      <w:r w:rsidR="001D0D12">
        <w:t xml:space="preserve"> by</w:t>
      </w:r>
      <w:r w:rsidRPr="008207A1">
        <w:t xml:space="preserve"> </w:t>
      </w:r>
      <w:r w:rsidR="001D0D12" w:rsidRPr="008207A1">
        <w:t>delivering</w:t>
      </w:r>
      <w:r w:rsidRPr="008207A1">
        <w:t xml:space="preserve"> an overview of the current legal framework</w:t>
      </w:r>
      <w:r w:rsidR="001D0D12">
        <w:t xml:space="preserve"> and examining</w:t>
      </w:r>
      <w:r w:rsidRPr="008207A1">
        <w:t xml:space="preserve"> specific issues within the law</w:t>
      </w:r>
      <w:r w:rsidR="001D0D12">
        <w:t xml:space="preserve">. </w:t>
      </w:r>
      <w:r w:rsidRPr="008207A1">
        <w:t xml:space="preserve">Furthermore, the essay </w:t>
      </w:r>
      <w:r w:rsidR="001D0D12" w:rsidRPr="008207A1">
        <w:t>explores</w:t>
      </w:r>
      <w:r w:rsidRPr="008207A1">
        <w:t xml:space="preserve"> the </w:t>
      </w:r>
      <w:r w:rsidR="00872706" w:rsidRPr="008207A1">
        <w:t>suggestions</w:t>
      </w:r>
      <w:r w:rsidRPr="008207A1">
        <w:t xml:space="preserve"> </w:t>
      </w:r>
      <w:r w:rsidR="00872706">
        <w:t>made</w:t>
      </w:r>
      <w:r w:rsidRPr="008207A1">
        <w:t xml:space="preserve"> by the Law Commission and other bodies for reforming the law governing homicide. Additionally, it explores the government's </w:t>
      </w:r>
      <w:r w:rsidR="00872706" w:rsidRPr="008207A1">
        <w:t>approval</w:t>
      </w:r>
      <w:r w:rsidRPr="008207A1">
        <w:t xml:space="preserve"> and </w:t>
      </w:r>
      <w:r w:rsidR="00872706" w:rsidRPr="008207A1">
        <w:t>refusal</w:t>
      </w:r>
      <w:r w:rsidRPr="008207A1">
        <w:t xml:space="preserve"> of these </w:t>
      </w:r>
      <w:r w:rsidR="00872706" w:rsidRPr="008207A1">
        <w:t>suggestions</w:t>
      </w:r>
      <w:r w:rsidRPr="008207A1">
        <w:t xml:space="preserve"> and assesses the validity of their decisions. Finally, the arguments against reform are analysed to present a comprehensive perspective on the subject matter.</w:t>
      </w:r>
    </w:p>
    <w:p w14:paraId="7EE59934" w14:textId="77777777" w:rsidR="008207A1" w:rsidRDefault="008207A1" w:rsidP="008207A1"/>
    <w:p w14:paraId="44426360" w14:textId="741A0BA4" w:rsidR="009A57B4" w:rsidRDefault="008207A1" w:rsidP="0021438F">
      <w:pPr>
        <w:rPr>
          <w:rFonts w:ascii="FrutigerLTStd" w:hAnsi="FrutigerLTStd"/>
          <w:sz w:val="22"/>
          <w:szCs w:val="22"/>
        </w:rPr>
      </w:pPr>
      <w:r w:rsidRPr="008207A1">
        <w:t xml:space="preserve">The current </w:t>
      </w:r>
      <w:r w:rsidR="00872706">
        <w:t xml:space="preserve">law of homicide </w:t>
      </w:r>
      <w:r w:rsidRPr="008207A1">
        <w:t xml:space="preserve">comprises a combination of common law principles and statutory provisions. It includes </w:t>
      </w:r>
      <w:r w:rsidR="00F2124E">
        <w:t>offences</w:t>
      </w:r>
      <w:r w:rsidRPr="008207A1">
        <w:t xml:space="preserve"> such as</w:t>
      </w:r>
      <w:r w:rsidR="00872706">
        <w:t xml:space="preserve"> manslaughter and murder</w:t>
      </w:r>
      <w:r w:rsidRPr="008207A1">
        <w:t xml:space="preserve">, </w:t>
      </w:r>
      <w:r w:rsidR="00F2124E">
        <w:t xml:space="preserve">which </w:t>
      </w:r>
      <w:r w:rsidR="00F2124E">
        <w:rPr>
          <w:rFonts w:ascii="FrutigerLTStd" w:hAnsi="FrutigerLTStd"/>
          <w:sz w:val="22"/>
          <w:szCs w:val="22"/>
        </w:rPr>
        <w:t xml:space="preserve">are two of the </w:t>
      </w:r>
      <w:r w:rsidR="00872706">
        <w:rPr>
          <w:rFonts w:ascii="FrutigerLTStd" w:hAnsi="FrutigerLTStd"/>
          <w:sz w:val="22"/>
          <w:szCs w:val="22"/>
        </w:rPr>
        <w:t>crimes</w:t>
      </w:r>
      <w:r w:rsidR="00F2124E">
        <w:rPr>
          <w:rFonts w:ascii="FrutigerLTStd" w:hAnsi="FrutigerLTStd"/>
          <w:sz w:val="22"/>
          <w:szCs w:val="22"/>
        </w:rPr>
        <w:t xml:space="preserve"> that </w:t>
      </w:r>
      <w:r w:rsidR="00872706">
        <w:rPr>
          <w:rFonts w:ascii="FrutigerLTStd" w:hAnsi="FrutigerLTStd"/>
          <w:sz w:val="22"/>
          <w:szCs w:val="22"/>
        </w:rPr>
        <w:t xml:space="preserve">define </w:t>
      </w:r>
      <w:r w:rsidR="00F2124E">
        <w:rPr>
          <w:rFonts w:ascii="FrutigerLTStd" w:hAnsi="FrutigerLTStd"/>
          <w:sz w:val="22"/>
          <w:szCs w:val="22"/>
        </w:rPr>
        <w:t xml:space="preserve">homicide and </w:t>
      </w:r>
      <w:r w:rsidR="00F2124E" w:rsidRPr="008207A1">
        <w:t>have distinct legal definitions and criteria.</w:t>
      </w:r>
      <w:r w:rsidR="00F2124E" w:rsidRPr="008E7E18">
        <w:rPr>
          <w:rFonts w:ascii="FrutigerLTStd" w:hAnsi="FrutigerLTStd"/>
          <w:sz w:val="22"/>
          <w:szCs w:val="22"/>
        </w:rPr>
        <w:t xml:space="preserve"> (Beard and </w:t>
      </w:r>
      <w:proofErr w:type="spellStart"/>
      <w:r w:rsidR="00F2124E" w:rsidRPr="008E7E18">
        <w:rPr>
          <w:rFonts w:ascii="FrutigerLTStd" w:hAnsi="FrutigerLTStd"/>
          <w:sz w:val="22"/>
          <w:szCs w:val="22"/>
        </w:rPr>
        <w:t>Politowski</w:t>
      </w:r>
      <w:proofErr w:type="spellEnd"/>
      <w:r w:rsidR="00F2124E" w:rsidRPr="008E7E18">
        <w:rPr>
          <w:rFonts w:ascii="FrutigerLTStd" w:hAnsi="FrutigerLTStd"/>
          <w:sz w:val="22"/>
          <w:szCs w:val="22"/>
        </w:rPr>
        <w:t>, 2016</w:t>
      </w:r>
      <w:r w:rsidR="00F2124E">
        <w:rPr>
          <w:rFonts w:ascii="FrutigerLTStd" w:hAnsi="FrutigerLTStd"/>
          <w:sz w:val="22"/>
          <w:szCs w:val="22"/>
        </w:rPr>
        <w:t xml:space="preserve">). </w:t>
      </w:r>
    </w:p>
    <w:p w14:paraId="015D848D" w14:textId="32B413A3" w:rsidR="006F3C3C" w:rsidRDefault="008207A1" w:rsidP="006F3C3C">
      <w:r w:rsidRPr="008207A1">
        <w:t xml:space="preserve">The Homicide Act 1957 </w:t>
      </w:r>
      <w:r w:rsidR="0021438F" w:rsidRPr="00F130B0">
        <w:t xml:space="preserve">defines the </w:t>
      </w:r>
      <w:r w:rsidR="0021438F">
        <w:t>offences</w:t>
      </w:r>
      <w:r w:rsidR="0021438F" w:rsidRPr="00F130B0">
        <w:t xml:space="preserve"> of manslaughter</w:t>
      </w:r>
      <w:r w:rsidR="00872706">
        <w:t xml:space="preserve"> and murder.</w:t>
      </w:r>
      <w:r w:rsidR="0021438F" w:rsidRPr="00F130B0">
        <w:t xml:space="preserve"> It establishes the criteria for proving these </w:t>
      </w:r>
      <w:r w:rsidR="0021438F">
        <w:t>offences</w:t>
      </w:r>
      <w:r w:rsidR="0021438F" w:rsidRPr="00F130B0">
        <w:t xml:space="preserve"> and outlines the penalties associated with them.</w:t>
      </w:r>
      <w:r w:rsidR="0021438F">
        <w:t xml:space="preserve"> (</w:t>
      </w:r>
      <w:r w:rsidR="0021438F" w:rsidRPr="00CD022B">
        <w:t>Armitage</w:t>
      </w:r>
      <w:r w:rsidR="0021438F">
        <w:t>,1957). The precedent act and</w:t>
      </w:r>
      <w:r w:rsidRPr="008207A1">
        <w:t xml:space="preserve"> the Coroners and Justice Act 2009 serve as primary statutes governing homicide. </w:t>
      </w:r>
      <w:r w:rsidR="00117367">
        <w:t xml:space="preserve">In </w:t>
      </w:r>
      <w:r w:rsidR="00117367" w:rsidRPr="00F50B48">
        <w:t>the seventeenth century</w:t>
      </w:r>
      <w:r w:rsidR="00117367">
        <w:t>, the</w:t>
      </w:r>
      <w:r w:rsidR="0021438F" w:rsidRPr="00F50B48">
        <w:t xml:space="preserve"> classic definition of murder, articulated by Lord Chief Justice Coke, states that it involves the </w:t>
      </w:r>
      <w:r w:rsidR="00117367" w:rsidRPr="00F50B48">
        <w:t>illegitimate</w:t>
      </w:r>
      <w:r w:rsidR="0021438F" w:rsidRPr="00F50B48">
        <w:t xml:space="preserve"> killing of </w:t>
      </w:r>
      <w:r w:rsidR="00005594">
        <w:t xml:space="preserve">a </w:t>
      </w:r>
      <w:r w:rsidR="00005594" w:rsidRPr="00F50B48">
        <w:t>person</w:t>
      </w:r>
      <w:r w:rsidR="0021438F" w:rsidRPr="00F50B48">
        <w:t xml:space="preserve"> with the intention to </w:t>
      </w:r>
      <w:r w:rsidR="00117367" w:rsidRPr="00F50B48">
        <w:t>murder</w:t>
      </w:r>
      <w:r w:rsidR="0021438F" w:rsidRPr="00F50B48">
        <w:t xml:space="preserve"> or cause </w:t>
      </w:r>
      <w:r w:rsidR="00117367" w:rsidRPr="00F50B48">
        <w:t>serious</w:t>
      </w:r>
      <w:r w:rsidR="0021438F" w:rsidRPr="00F50B48">
        <w:t xml:space="preserve"> bodily harm.</w:t>
      </w:r>
      <w:r w:rsidR="0021438F" w:rsidRPr="0021438F">
        <w:t xml:space="preserve"> </w:t>
      </w:r>
      <w:r w:rsidR="0021438F">
        <w:t>(CPS</w:t>
      </w:r>
      <w:r w:rsidR="006F3C3C">
        <w:t>(a)</w:t>
      </w:r>
      <w:r w:rsidR="0021438F">
        <w:t>,2022)</w:t>
      </w:r>
      <w:r w:rsidR="0021438F" w:rsidRPr="00EE21E1">
        <w:t xml:space="preserve">. </w:t>
      </w:r>
      <w:r w:rsidR="0021438F" w:rsidRPr="008207A1">
        <w:t xml:space="preserve"> </w:t>
      </w:r>
      <w:r w:rsidR="0021438F" w:rsidRPr="00F50B48">
        <w:t xml:space="preserve"> The mental element, known as </w:t>
      </w:r>
      <w:proofErr w:type="spellStart"/>
      <w:r w:rsidR="0021438F" w:rsidRPr="00F50B48">
        <w:t>mens</w:t>
      </w:r>
      <w:proofErr w:type="spellEnd"/>
      <w:r w:rsidR="0021438F" w:rsidRPr="00F50B48">
        <w:t xml:space="preserve"> rea, plays a significant role in determining guilt for murder.</w:t>
      </w:r>
      <w:r w:rsidR="0021438F" w:rsidRPr="007C5FED">
        <w:rPr>
          <w:rFonts w:ascii="Segoe UI" w:hAnsi="Segoe UI" w:cs="Segoe UI"/>
          <w:color w:val="374151"/>
          <w:shd w:val="clear" w:color="auto" w:fill="F7F7F8"/>
        </w:rPr>
        <w:t xml:space="preserve"> </w:t>
      </w:r>
      <w:r w:rsidR="0021438F" w:rsidRPr="007C5FED">
        <w:t xml:space="preserve">One notable legal case that exemplifies the classic definition of murder and the significance of </w:t>
      </w:r>
      <w:proofErr w:type="spellStart"/>
      <w:r w:rsidR="0021438F" w:rsidRPr="007C5FED">
        <w:t>mens</w:t>
      </w:r>
      <w:proofErr w:type="spellEnd"/>
      <w:r w:rsidR="0021438F" w:rsidRPr="007C5FED">
        <w:t xml:space="preserve"> rea is the case of R v. Vickers (1957).</w:t>
      </w:r>
      <w:r w:rsidR="0021438F" w:rsidRPr="004C0E1A">
        <w:rPr>
          <w:rFonts w:ascii="Segoe UI" w:hAnsi="Segoe UI" w:cs="Segoe UI"/>
          <w:color w:val="374151"/>
          <w:shd w:val="clear" w:color="auto" w:fill="F7F7F8"/>
        </w:rPr>
        <w:t xml:space="preserve"> </w:t>
      </w:r>
      <w:r w:rsidR="0021438F" w:rsidRPr="004C0E1A">
        <w:t xml:space="preserve">It highlighted how the mental element, or </w:t>
      </w:r>
      <w:proofErr w:type="spellStart"/>
      <w:r w:rsidR="0021438F" w:rsidRPr="004C0E1A">
        <w:t>mens</w:t>
      </w:r>
      <w:proofErr w:type="spellEnd"/>
      <w:r w:rsidR="0021438F" w:rsidRPr="004C0E1A">
        <w:t xml:space="preserve"> rea, plays a crucial role in determining the appropriate charge and level of culpability in homicide cases.</w:t>
      </w:r>
      <w:r w:rsidR="0021438F" w:rsidRPr="004C0E1A">
        <w:rPr>
          <w:rFonts w:ascii="Segoe UI" w:hAnsi="Segoe UI" w:cs="Segoe UI"/>
          <w:color w:val="374151"/>
          <w:shd w:val="clear" w:color="auto" w:fill="F7F7F8"/>
        </w:rPr>
        <w:t xml:space="preserve"> </w:t>
      </w:r>
      <w:r w:rsidR="0021438F" w:rsidRPr="004C0E1A">
        <w:t xml:space="preserve">The case of R v. Vickers is an illustrative example that showcases the classic definition of murder and the application of </w:t>
      </w:r>
      <w:proofErr w:type="spellStart"/>
      <w:r w:rsidR="0021438F" w:rsidRPr="004C0E1A">
        <w:t>mens</w:t>
      </w:r>
      <w:proofErr w:type="spellEnd"/>
      <w:r w:rsidR="0021438F" w:rsidRPr="004C0E1A">
        <w:t xml:space="preserve"> rea in determining guilt. </w:t>
      </w:r>
    </w:p>
    <w:p w14:paraId="13FEE5E5" w14:textId="392DF6AD" w:rsidR="008207A1" w:rsidRPr="006F3C3C" w:rsidRDefault="0021438F" w:rsidP="006F3C3C">
      <w:r w:rsidRPr="0021438F">
        <w:t xml:space="preserve"> </w:t>
      </w:r>
      <w:r w:rsidR="008207A1" w:rsidRPr="008207A1">
        <w:t xml:space="preserve">Manslaughter encompasses unlawful killings that lack the intention to kill or cause serious harm but may involve varying degrees of culpability. Understanding the existing legal framework is </w:t>
      </w:r>
      <w:r w:rsidR="001F06F8" w:rsidRPr="008207A1">
        <w:t>important</w:t>
      </w:r>
      <w:r w:rsidR="008207A1" w:rsidRPr="008207A1">
        <w:t xml:space="preserve"> for evaluating the need for reform.</w:t>
      </w:r>
      <w:r w:rsidR="006F3C3C">
        <w:t xml:space="preserve"> (CPS (b),2002)</w:t>
      </w:r>
    </w:p>
    <w:p w14:paraId="3193A438" w14:textId="77777777" w:rsidR="006F3C3C" w:rsidRDefault="006F3C3C" w:rsidP="008207A1"/>
    <w:p w14:paraId="34C62F60" w14:textId="7F89F6CD" w:rsidR="008207A1" w:rsidRPr="008207A1" w:rsidRDefault="00005594" w:rsidP="008207A1">
      <w:r>
        <w:t>The</w:t>
      </w:r>
      <w:r w:rsidRPr="008207A1">
        <w:t xml:space="preserve"> loss of control</w:t>
      </w:r>
      <w:r>
        <w:t xml:space="preserve"> and </w:t>
      </w:r>
      <w:r w:rsidRPr="008207A1">
        <w:t>diminished responsibility</w:t>
      </w:r>
      <w:r w:rsidR="00117367">
        <w:t xml:space="preserve"> are partial defences which </w:t>
      </w:r>
      <w:r w:rsidR="008207A1" w:rsidRPr="008207A1">
        <w:t xml:space="preserve">garnered significant attention and debate. Diminished responsibility allows for a reduction in the charge of murder to manslaughter if certain criteria are met. </w:t>
      </w:r>
      <w:r w:rsidR="00F2124E">
        <w:t>Controversy</w:t>
      </w:r>
      <w:r w:rsidR="008207A1" w:rsidRPr="008207A1">
        <w:t xml:space="preserve"> arises regarding the scope and application of this </w:t>
      </w:r>
      <w:r w:rsidR="00F2124E">
        <w:t>defence</w:t>
      </w:r>
      <w:r w:rsidR="008207A1" w:rsidRPr="008207A1">
        <w:t xml:space="preserve">, </w:t>
      </w:r>
      <w:r w:rsidR="00C23773">
        <w:t>which was validated by the Minister of Justice</w:t>
      </w:r>
      <w:r w:rsidR="00F01F7D">
        <w:t xml:space="preserve"> </w:t>
      </w:r>
      <w:r w:rsidR="00C23773">
        <w:t xml:space="preserve">in 2004, which stated the homicide law has not been reviewed in over </w:t>
      </w:r>
      <w:r w:rsidR="00F01F7D">
        <w:t>50 years</w:t>
      </w:r>
      <w:r w:rsidR="00C23773">
        <w:t xml:space="preserve"> and </w:t>
      </w:r>
      <w:r w:rsidR="00F01F7D">
        <w:t xml:space="preserve">that </w:t>
      </w:r>
      <w:r w:rsidR="00C23773">
        <w:t xml:space="preserve">it is crucial to evaluate </w:t>
      </w:r>
      <w:proofErr w:type="gramStart"/>
      <w:r w:rsidR="00C23773">
        <w:t>if  ‘</w:t>
      </w:r>
      <w:proofErr w:type="gramEnd"/>
      <w:r w:rsidR="00C23773">
        <w:t>the law as it now meets the needs of 21</w:t>
      </w:r>
      <w:r w:rsidR="00C23773" w:rsidRPr="00C23773">
        <w:rPr>
          <w:vertAlign w:val="superscript"/>
        </w:rPr>
        <w:t>st</w:t>
      </w:r>
      <w:r w:rsidR="00C23773">
        <w:t xml:space="preserve"> century’. (</w:t>
      </w:r>
      <w:proofErr w:type="gramStart"/>
      <w:r w:rsidR="00C23773">
        <w:t>Fitz-Gibbon</w:t>
      </w:r>
      <w:proofErr w:type="gramEnd"/>
      <w:r w:rsidR="00C23773">
        <w:t>,</w:t>
      </w:r>
      <w:r w:rsidR="00F01F7D">
        <w:t xml:space="preserve">2013) </w:t>
      </w:r>
      <w:r w:rsidR="00E31D86">
        <w:t xml:space="preserve">The </w:t>
      </w:r>
      <w:r w:rsidR="00E31D86" w:rsidRPr="00DD15BE">
        <w:t>concept of loss of control, introduced under Coroners and Justice Act 2009</w:t>
      </w:r>
      <w:r w:rsidR="00117367">
        <w:t xml:space="preserve"> in section 54</w:t>
      </w:r>
      <w:r w:rsidR="00E31D86" w:rsidRPr="00DD15BE">
        <w:t xml:space="preserve">, allows a defendant to argue that they lost control of their actions due to a qualifying trigger. </w:t>
      </w:r>
      <w:r w:rsidR="00C23773">
        <w:t>(The Law Commission,</w:t>
      </w:r>
      <w:proofErr w:type="gramStart"/>
      <w:r w:rsidR="00C23773">
        <w:t>2006)</w:t>
      </w:r>
      <w:r w:rsidR="001F65E8">
        <w:t>(</w:t>
      </w:r>
      <w:proofErr w:type="gramEnd"/>
      <w:r w:rsidR="001F65E8">
        <w:t>a)</w:t>
      </w:r>
      <w:r w:rsidR="00C23773">
        <w:t>.</w:t>
      </w:r>
      <w:r w:rsidR="00C23773" w:rsidRPr="008207A1">
        <w:t xml:space="preserve"> </w:t>
      </w:r>
      <w:r w:rsidR="00E31D86" w:rsidRPr="00DD15BE">
        <w:t>These triggers include fear of serious violence or a justifiable sense of being wronged. If successfully proven, the charge may be reduced from murder to voluntary manslaughter</w:t>
      </w:r>
      <w:r w:rsidR="008207A1" w:rsidRPr="008207A1">
        <w:t xml:space="preserve"> provides an avenue for a reduced charge, but its subjective elements raise concerns about its reliability and potential </w:t>
      </w:r>
      <w:r w:rsidR="00E31D86" w:rsidRPr="008207A1">
        <w:t>exploitation.</w:t>
      </w:r>
      <w:r w:rsidR="00E31D86">
        <w:t xml:space="preserve"> (Lexis+,2005</w:t>
      </w:r>
      <w:r w:rsidR="001F06F8">
        <w:t>)</w:t>
      </w:r>
      <w:r w:rsidR="008207A1" w:rsidRPr="008207A1">
        <w:t>.</w:t>
      </w:r>
    </w:p>
    <w:p w14:paraId="1E9C4CA2" w14:textId="77777777" w:rsidR="006F3C3C" w:rsidRDefault="006F3C3C" w:rsidP="0012361E">
      <w:pPr>
        <w:pStyle w:val="NoSpacing"/>
      </w:pPr>
    </w:p>
    <w:p w14:paraId="43529B2A" w14:textId="49462297" w:rsidR="00775052" w:rsidRDefault="008207A1" w:rsidP="0012361E">
      <w:pPr>
        <w:pStyle w:val="NoSpacing"/>
      </w:pPr>
      <w:r w:rsidRPr="008207A1">
        <w:t>The intent required for murder, often referred to as malice aforethought,</w:t>
      </w:r>
      <w:r w:rsidR="00857EB6" w:rsidRPr="00857EB6">
        <w:rPr>
          <w:rFonts w:ascii="Segoe UI" w:hAnsi="Segoe UI" w:cs="Segoe UI"/>
          <w:shd w:val="clear" w:color="auto" w:fill="F7F7F8"/>
        </w:rPr>
        <w:t xml:space="preserve"> </w:t>
      </w:r>
      <w:r w:rsidR="0012361E" w:rsidRPr="0012361E">
        <w:rPr>
          <w:shd w:val="clear" w:color="auto" w:fill="F7F7F8"/>
        </w:rPr>
        <w:t xml:space="preserve">established </w:t>
      </w:r>
      <w:proofErr w:type="gramStart"/>
      <w:r w:rsidR="0012361E" w:rsidRPr="0012361E">
        <w:rPr>
          <w:shd w:val="clear" w:color="auto" w:fill="F7F7F8"/>
        </w:rPr>
        <w:t>by  </w:t>
      </w:r>
      <w:r w:rsidR="0012361E" w:rsidRPr="0012361E">
        <w:rPr>
          <w:i/>
          <w:iCs/>
          <w:shd w:val="clear" w:color="auto" w:fill="F7F7F8"/>
        </w:rPr>
        <w:t>R.</w:t>
      </w:r>
      <w:proofErr w:type="gramEnd"/>
      <w:r w:rsidR="0012361E" w:rsidRPr="0012361E">
        <w:rPr>
          <w:i/>
          <w:iCs/>
          <w:shd w:val="clear" w:color="auto" w:fill="F7F7F8"/>
        </w:rPr>
        <w:t xml:space="preserve"> v. Cunningham</w:t>
      </w:r>
      <w:r w:rsidR="0012361E" w:rsidRPr="0012361E">
        <w:rPr>
          <w:shd w:val="clear" w:color="auto" w:fill="F7F7F8"/>
        </w:rPr>
        <w:t> [1982] A.C. 566</w:t>
      </w:r>
      <w:r w:rsidR="0012361E" w:rsidRPr="0012361E">
        <w:rPr>
          <w:rFonts w:ascii="Segoe UI" w:hAnsi="Segoe UI" w:cs="Segoe UI"/>
          <w:shd w:val="clear" w:color="auto" w:fill="F7F7F8"/>
        </w:rPr>
        <w:t xml:space="preserve"> </w:t>
      </w:r>
      <w:r w:rsidR="00857EB6" w:rsidRPr="00857EB6">
        <w:t xml:space="preserve">with the mental element required for the crime of murder, </w:t>
      </w:r>
      <w:r w:rsidR="00857EB6" w:rsidRPr="00857EB6">
        <w:lastRenderedPageBreak/>
        <w:t xml:space="preserve">encompassing both an intentional desire to kill and </w:t>
      </w:r>
      <w:r w:rsidR="00117367">
        <w:t>a</w:t>
      </w:r>
      <w:r w:rsidR="00857EB6" w:rsidRPr="00857EB6">
        <w:t xml:space="preserve"> </w:t>
      </w:r>
      <w:r w:rsidR="00117367" w:rsidRPr="00857EB6">
        <w:t>purpose</w:t>
      </w:r>
      <w:r w:rsidR="00857EB6" w:rsidRPr="00857EB6">
        <w:t xml:space="preserve"> to cause severe bodily harm</w:t>
      </w:r>
      <w:r w:rsidR="0012361E">
        <w:t>,</w:t>
      </w:r>
      <w:r w:rsidR="00857EB6">
        <w:t xml:space="preserve"> i</w:t>
      </w:r>
      <w:r w:rsidRPr="008207A1">
        <w:t>s another contentious</w:t>
      </w:r>
      <w:r w:rsidR="00117367">
        <w:t xml:space="preserve"> law aspect</w:t>
      </w:r>
      <w:r w:rsidRPr="008207A1">
        <w:t>.</w:t>
      </w:r>
      <w:r w:rsidR="0012361E">
        <w:t>(House of Lords, 1994).</w:t>
      </w:r>
    </w:p>
    <w:p w14:paraId="32143DA8" w14:textId="7D026851" w:rsidR="008207A1" w:rsidRPr="008207A1" w:rsidRDefault="00775052" w:rsidP="0012361E">
      <w:pPr>
        <w:pStyle w:val="NoSpacing"/>
      </w:pPr>
      <w:r w:rsidRPr="00775052">
        <w:t xml:space="preserve">The law of attempts faces two main controversies. The first concerns whether the </w:t>
      </w:r>
      <w:proofErr w:type="spellStart"/>
      <w:r w:rsidRPr="00775052">
        <w:t>mens</w:t>
      </w:r>
      <w:proofErr w:type="spellEnd"/>
      <w:r w:rsidRPr="00775052">
        <w:t xml:space="preserve"> rea (mental state) for an attempt should match that of the completed </w:t>
      </w:r>
      <w:r w:rsidR="00EB5DCC">
        <w:t>offence</w:t>
      </w:r>
      <w:r w:rsidRPr="00775052">
        <w:t xml:space="preserve">. The second controversy revolves around the actus reus (actions) and the "proximity rule," which requires immediate, not remote, steps towards the intended </w:t>
      </w:r>
      <w:r w:rsidR="00EB5DCC">
        <w:t>offence while</w:t>
      </w:r>
      <w:r w:rsidRPr="00775052">
        <w:t xml:space="preserve"> a satisfactory answer has been found for the </w:t>
      </w:r>
      <w:proofErr w:type="spellStart"/>
      <w:r w:rsidRPr="00775052">
        <w:t>mens</w:t>
      </w:r>
      <w:proofErr w:type="spellEnd"/>
      <w:r w:rsidRPr="00775052">
        <w:t xml:space="preserve"> rea controversy, clear guidelines for determining the level of progress needed to satisfy the proximity rule remain </w:t>
      </w:r>
      <w:r w:rsidR="00EB5DCC" w:rsidRPr="00775052">
        <w:t>vague.</w:t>
      </w:r>
      <w:r w:rsidR="00EB5DCC">
        <w:t xml:space="preserve"> (Arenson,2005).</w:t>
      </w:r>
      <w:r w:rsidR="00EB5DCC" w:rsidRPr="00775052">
        <w:t xml:space="preserve"> </w:t>
      </w:r>
      <w:r w:rsidR="008207A1" w:rsidRPr="008207A1">
        <w:t xml:space="preserve">The current law does not provide a precise definition of intent, leading to ambiguity and varying interpretations. </w:t>
      </w:r>
      <w:r w:rsidR="00EB5DCC">
        <w:t>The</w:t>
      </w:r>
      <w:r w:rsidR="008207A1" w:rsidRPr="008207A1">
        <w:t xml:space="preserve"> lack of clarity may result in unjust outcomes, as cases with different degrees of culpability may be treated similarly. Clarifying the definition of intent could enhance the fairness and consistency of the legal system. However, proponents of the current framework highlight the flexibility it affords in accommodating complex and unique circumstances, emphasizing the importance of individualized justice.</w:t>
      </w:r>
    </w:p>
    <w:p w14:paraId="3B62293C" w14:textId="77777777" w:rsidR="006F3C3C" w:rsidRDefault="006F3C3C" w:rsidP="008207A1"/>
    <w:p w14:paraId="4D8E3052" w14:textId="1715D391" w:rsidR="008207A1" w:rsidRDefault="008207A1" w:rsidP="008207A1">
      <w:r w:rsidRPr="008207A1">
        <w:t xml:space="preserve">The breadth of manslaughter </w:t>
      </w:r>
      <w:r w:rsidR="002C017A">
        <w:t>offences</w:t>
      </w:r>
      <w:r w:rsidRPr="008207A1">
        <w:t xml:space="preserve"> has also been a subject of criticism. The broad categorization of manslaughter encompasses a wide range of situations, from involuntary acts to cases involving gross negligence</w:t>
      </w:r>
      <w:r w:rsidR="00C91343">
        <w:t xml:space="preserve">, as </w:t>
      </w:r>
      <w:r w:rsidR="00C91343" w:rsidRPr="00C91343">
        <w:t>Lord Chief Justice Lane said in 1992 it “ranges in gravity from the borders of murder right down to those of accidental death</w:t>
      </w:r>
      <w:proofErr w:type="gramStart"/>
      <w:r w:rsidR="00C91343" w:rsidRPr="00C91343">
        <w:t>”.</w:t>
      </w:r>
      <w:r w:rsidR="00C91343">
        <w:t>(</w:t>
      </w:r>
      <w:proofErr w:type="gramEnd"/>
      <w:r w:rsidR="00C91343">
        <w:t xml:space="preserve">Home Office, 2000). </w:t>
      </w:r>
      <w:r w:rsidRPr="008207A1">
        <w:t xml:space="preserve">This broad classification may lead to disparities in sentencing and challenges in differentiating between varying degrees of culpability. </w:t>
      </w:r>
      <w:r w:rsidR="00C91343" w:rsidRPr="00C91343">
        <w:t xml:space="preserve">The lack of clear guidelines for the proximity rule creates sentencing difficulties for judges, as they struggle to determine appropriate penalties for broad </w:t>
      </w:r>
      <w:r w:rsidR="00C91343">
        <w:t>offences</w:t>
      </w:r>
      <w:r w:rsidR="00C91343" w:rsidRPr="00C91343">
        <w:t xml:space="preserve"> without jury guidance on crucial factors like the accused's awareness of the risk of causing harm or death. Consequently, it also obstructs public understanding of the justification behind specific sentencing decisions made by judges in such cases. </w:t>
      </w:r>
      <w:r w:rsidRPr="008207A1">
        <w:t xml:space="preserve">Proposals have been made to refine and categorize manslaughter </w:t>
      </w:r>
      <w:r w:rsidR="00F2124E">
        <w:t>offences</w:t>
      </w:r>
      <w:r w:rsidRPr="008207A1">
        <w:t xml:space="preserve"> to ensure more accurate attribution of guilt. </w:t>
      </w:r>
    </w:p>
    <w:p w14:paraId="0F321000" w14:textId="77777777" w:rsidR="00C91343" w:rsidRPr="008207A1" w:rsidRDefault="00C91343" w:rsidP="008207A1"/>
    <w:p w14:paraId="5967B804" w14:textId="484B5710" w:rsidR="001F65E8" w:rsidRDefault="008207A1" w:rsidP="008207A1">
      <w:r w:rsidRPr="008207A1">
        <w:t>The Law Commission and other bodies have presented</w:t>
      </w:r>
      <w:r w:rsidR="00117367">
        <w:t xml:space="preserve"> </w:t>
      </w:r>
      <w:r w:rsidRPr="008207A1">
        <w:t>reforming</w:t>
      </w:r>
      <w:r w:rsidR="00117367">
        <w:t xml:space="preserve"> proposals for </w:t>
      </w:r>
      <w:r w:rsidRPr="008207A1">
        <w:t>the</w:t>
      </w:r>
      <w:r w:rsidR="00117367">
        <w:t xml:space="preserve"> homicide</w:t>
      </w:r>
      <w:r w:rsidRPr="008207A1">
        <w:t xml:space="preserve"> </w:t>
      </w:r>
      <w:r w:rsidR="00117367">
        <w:t>law</w:t>
      </w:r>
      <w:r w:rsidRPr="008207A1">
        <w:t xml:space="preserve">. These proposals aim to address the identified issues and improve the </w:t>
      </w:r>
      <w:r w:rsidR="006F3C3C">
        <w:t xml:space="preserve">legal framework's clarity, fairness, and </w:t>
      </w:r>
      <w:r w:rsidR="00117367">
        <w:t>effectiveness</w:t>
      </w:r>
      <w:r w:rsidRPr="008207A1">
        <w:t>.</w:t>
      </w:r>
      <w:r w:rsidR="00EF33E0" w:rsidRPr="00EF33E0">
        <w:rPr>
          <w:rFonts w:ascii="Segoe UI" w:hAnsi="Segoe UI" w:cs="Segoe UI"/>
          <w:color w:val="374151"/>
          <w:shd w:val="clear" w:color="auto" w:fill="F7F7F8"/>
        </w:rPr>
        <w:t xml:space="preserve"> </w:t>
      </w:r>
      <w:r w:rsidR="00EF33E0" w:rsidRPr="00EF33E0">
        <w:t xml:space="preserve">The Criminal Justice Act 2003 introduced important reforms to murder </w:t>
      </w:r>
      <w:r w:rsidR="00117367" w:rsidRPr="00EF33E0">
        <w:t>condemning</w:t>
      </w:r>
      <w:r w:rsidR="00EF33E0" w:rsidRPr="00EF33E0">
        <w:t xml:space="preserve">. However, the lack of clear and rational definitions for murder and its partial </w:t>
      </w:r>
      <w:r w:rsidR="006F3C3C">
        <w:t>defences</w:t>
      </w:r>
      <w:r w:rsidR="00EF33E0" w:rsidRPr="00EF33E0">
        <w:t xml:space="preserve"> undermines the effectiveness of these reforms. The current definitions and </w:t>
      </w:r>
      <w:r w:rsidR="006F3C3C">
        <w:t>defences</w:t>
      </w:r>
      <w:r w:rsidR="00EF33E0" w:rsidRPr="00EF33E0">
        <w:t xml:space="preserve"> are outdated and inadequate, posing challenges to the viability of the 2003 Act.</w:t>
      </w:r>
      <w:r w:rsidR="006F3C3C">
        <w:t xml:space="preserve"> </w:t>
      </w:r>
      <w:r w:rsidR="00B0404A">
        <w:t xml:space="preserve">(The Law Commission (c), 2006). </w:t>
      </w:r>
      <w:r w:rsidRPr="008207A1">
        <w:t xml:space="preserve"> </w:t>
      </w:r>
      <w:r w:rsidR="001F65E8" w:rsidRPr="001F65E8">
        <w:t xml:space="preserve">In 2004, a comprehensive review of the law of murder was initiated by the Home Office. A consultation seeking feedback on proposed reforms was conducted in 2005-2006. In 2006, </w:t>
      </w:r>
      <w:r w:rsidR="00A36344">
        <w:t xml:space="preserve">a </w:t>
      </w:r>
      <w:r w:rsidR="001F65E8" w:rsidRPr="001F65E8">
        <w:t>"Murder, Manslaughter and Infanticide"</w:t>
      </w:r>
      <w:r w:rsidR="00117367">
        <w:t xml:space="preserve"> report</w:t>
      </w:r>
      <w:r w:rsidR="001F65E8" w:rsidRPr="001F65E8">
        <w:t xml:space="preserve"> was </w:t>
      </w:r>
      <w:r w:rsidR="00117367" w:rsidRPr="001F65E8">
        <w:t>issued</w:t>
      </w:r>
      <w:r w:rsidR="001F65E8" w:rsidRPr="001F65E8">
        <w:t>,</w:t>
      </w:r>
      <w:r w:rsidR="00117367">
        <w:t xml:space="preserve"> based on </w:t>
      </w:r>
      <w:r w:rsidR="00A36344">
        <w:t>the recommendation of a three-tier system</w:t>
      </w:r>
      <w:r w:rsidR="001F65E8" w:rsidRPr="001F65E8">
        <w:t xml:space="preserve">: first-degree murder, second-degree murder, and manslaughter. The report also suggested reforms in areas such as complicity, diminished responsibility, provocation, and infanticide. </w:t>
      </w:r>
      <w:r w:rsidR="001F65E8">
        <w:t xml:space="preserve">(The Law Commission, </w:t>
      </w:r>
      <w:r w:rsidR="00005594">
        <w:t>2006) (</w:t>
      </w:r>
      <w:r w:rsidR="001F65E8">
        <w:t>b)</w:t>
      </w:r>
      <w:r w:rsidR="001F65E8" w:rsidRPr="001F65E8">
        <w:t xml:space="preserve">. Additionally, the report includes a comparative study of murder laws in other jurisdictions. </w:t>
      </w:r>
      <w:r w:rsidRPr="008207A1">
        <w:t xml:space="preserve">They include </w:t>
      </w:r>
      <w:r>
        <w:t>suggestions such</w:t>
      </w:r>
      <w:r w:rsidRPr="008207A1">
        <w:t xml:space="preserve"> as codifying the law, providing clearer definitions of intent, introducing additional partial </w:t>
      </w:r>
      <w:r>
        <w:t>defences</w:t>
      </w:r>
      <w:r w:rsidRPr="008207A1">
        <w:t xml:space="preserve">, and refining the categorization of manslaughter </w:t>
      </w:r>
      <w:r>
        <w:t>offences</w:t>
      </w:r>
      <w:r w:rsidR="0023615B">
        <w:t>.</w:t>
      </w:r>
      <w:r w:rsidR="001F65E8">
        <w:t xml:space="preserve"> </w:t>
      </w:r>
      <w:r w:rsidR="001F65E8" w:rsidRPr="001F65E8">
        <w:t xml:space="preserve">While some </w:t>
      </w:r>
      <w:r w:rsidR="00A36344" w:rsidRPr="001F65E8">
        <w:t>proposals</w:t>
      </w:r>
      <w:r w:rsidR="001F65E8" w:rsidRPr="001F65E8">
        <w:t xml:space="preserve"> were </w:t>
      </w:r>
      <w:r w:rsidR="00A36344" w:rsidRPr="001F65E8">
        <w:t>applied</w:t>
      </w:r>
      <w:r w:rsidR="001F65E8" w:rsidRPr="001F65E8">
        <w:t xml:space="preserve"> in the Coroners and Justice Act 2009, others were </w:t>
      </w:r>
      <w:r w:rsidR="00A36344" w:rsidRPr="001F65E8">
        <w:t>excluded</w:t>
      </w:r>
      <w:r w:rsidR="001F65E8" w:rsidRPr="001F65E8">
        <w:t xml:space="preserve"> by the government</w:t>
      </w:r>
      <w:r w:rsidR="007E6A2F">
        <w:t>.</w:t>
      </w:r>
    </w:p>
    <w:p w14:paraId="62E08EE8" w14:textId="643E23B4" w:rsidR="008207A1" w:rsidRPr="008207A1" w:rsidRDefault="008207A1" w:rsidP="008207A1"/>
    <w:p w14:paraId="3D413AA8" w14:textId="5BAD6B0F" w:rsidR="00B65D08" w:rsidRPr="00B65D08" w:rsidRDefault="006F3C3C" w:rsidP="00B65D08">
      <w:r w:rsidRPr="00B65D08">
        <w:t>The</w:t>
      </w:r>
      <w:r w:rsidR="00B65D08" w:rsidRPr="00B65D08">
        <w:t xml:space="preserve"> proposed reform of the law has faced some opposition, notably from </w:t>
      </w:r>
      <w:r w:rsidR="00A36344" w:rsidRPr="00B65D08">
        <w:t>Lord Chancellor</w:t>
      </w:r>
      <w:r w:rsidR="00A36344">
        <w:t xml:space="preserve">, </w:t>
      </w:r>
      <w:r w:rsidR="00B65D08" w:rsidRPr="00B65D08">
        <w:t xml:space="preserve">Lord Falconer, who </w:t>
      </w:r>
      <w:r w:rsidR="00A36344" w:rsidRPr="00B65D08">
        <w:t>articulated</w:t>
      </w:r>
      <w:r w:rsidR="00B65D08" w:rsidRPr="00B65D08">
        <w:t xml:space="preserve"> </w:t>
      </w:r>
      <w:r w:rsidR="00B65D08">
        <w:t>scepticism</w:t>
      </w:r>
      <w:r w:rsidR="00B65D08" w:rsidRPr="00B65D08">
        <w:t xml:space="preserve"> about the impact of the </w:t>
      </w:r>
      <w:r w:rsidR="00A36344" w:rsidRPr="00B65D08">
        <w:t>modifications</w:t>
      </w:r>
      <w:r w:rsidR="00B65D08" w:rsidRPr="00B65D08">
        <w:t xml:space="preserve"> on gang-related violence. He argued that the current law sends a message that convictions are readily </w:t>
      </w:r>
      <w:r w:rsidR="00B65D08" w:rsidRPr="00B65D08">
        <w:lastRenderedPageBreak/>
        <w:t>pursued for individuals involved in gang violence resulting in death. He also suggested that a more stringent law may be necessary in such cases.</w:t>
      </w:r>
    </w:p>
    <w:p w14:paraId="32F6CE86" w14:textId="416AF5DD" w:rsidR="00B65D08" w:rsidRPr="00B65D08" w:rsidRDefault="00B65D08" w:rsidP="00B65D08">
      <w:r w:rsidRPr="00B65D08">
        <w:t xml:space="preserve">However, three counterpoints can be made. Firstly, the Law Commission emphasized that their reforms, as a comprehensive package, could </w:t>
      </w:r>
      <w:r w:rsidR="00A36344">
        <w:t>cause</w:t>
      </w:r>
      <w:r w:rsidRPr="00B65D08">
        <w:t xml:space="preserve"> </w:t>
      </w:r>
      <w:r w:rsidR="00A36344">
        <w:t>an increased conviction</w:t>
      </w:r>
      <w:r w:rsidRPr="00B65D08">
        <w:t xml:space="preserve"> for first or second-degree murder, including in difficult cases involving gang violence, by tightening the law of provocation and providing the jury with more </w:t>
      </w:r>
      <w:r w:rsidR="00A36344" w:rsidRPr="00B65D08">
        <w:t>choices</w:t>
      </w:r>
      <w:r w:rsidRPr="00B65D08">
        <w:t xml:space="preserve">. Secondly, the focus should be on achieving justice rather than sending specific messages or emphasizing </w:t>
      </w:r>
      <w:r w:rsidR="00A36344" w:rsidRPr="00B65D08">
        <w:t>toughness.</w:t>
      </w:r>
      <w:r w:rsidR="00A36344">
        <w:t xml:space="preserve"> (</w:t>
      </w:r>
      <w:r w:rsidR="00111572">
        <w:t>Hill, 2010).</w:t>
      </w:r>
      <w:r w:rsidRPr="00B65D08">
        <w:br/>
      </w:r>
    </w:p>
    <w:p w14:paraId="35586AEE" w14:textId="415DA7E5" w:rsidR="007E6A2F" w:rsidRPr="008207A1" w:rsidRDefault="007E6A2F" w:rsidP="008207A1"/>
    <w:p w14:paraId="6BF1442B" w14:textId="3EEC95B2" w:rsidR="008207A1" w:rsidRPr="008207A1" w:rsidRDefault="008207A1" w:rsidP="008207A1">
      <w:r w:rsidRPr="008207A1">
        <w:t xml:space="preserve">There are several arguments against reforming the law governing homicide in England and Wales. Some proponents of the current legal framework argue for the preservation of legal tradition and the stability that long-standing principles provide. They emphasize the importance of certainty and clarity in the law, suggesting that significant changes may introduce ambiguity and confusion. Critics of reform also highlight the deterrence and public safety aspects, suggesting that the current law, with its stringent penalties, effectively discourages potential </w:t>
      </w:r>
      <w:r w:rsidR="006F3C3C" w:rsidRPr="008207A1">
        <w:t>offenders.</w:t>
      </w:r>
      <w:r w:rsidR="006F3C3C">
        <w:t xml:space="preserve"> (Modern Law Review,2002)</w:t>
      </w:r>
      <w:r w:rsidRPr="008207A1">
        <w:t xml:space="preserve"> Moreover, concerns regarding the complexity and practicality of implementing extensive reforms are raised, emphasizing the potential strain on resources and the potential for unintended consequences.</w:t>
      </w:r>
    </w:p>
    <w:p w14:paraId="50510931" w14:textId="77777777" w:rsidR="008207A1" w:rsidRDefault="008207A1" w:rsidP="008207A1"/>
    <w:p w14:paraId="09EF6FCC" w14:textId="77777777" w:rsidR="008207A1" w:rsidRDefault="008207A1" w:rsidP="008207A1"/>
    <w:p w14:paraId="58639818" w14:textId="7CF09B68" w:rsidR="00005594" w:rsidRPr="003A69FD" w:rsidRDefault="00F2124E" w:rsidP="00005594">
      <w:r w:rsidRPr="00F2124E">
        <w:t>In conclusion, the England and Wales</w:t>
      </w:r>
      <w:r w:rsidR="00A36344">
        <w:t xml:space="preserve"> homicide law </w:t>
      </w:r>
      <w:r w:rsidRPr="00F2124E">
        <w:t xml:space="preserve">is a subject of ongoing debate and scrutiny. The fragility and antiquated nature of some of its rules, which have remained largely unchanged since the seventeenth century, have led to calls for reform. The key issues within the law, </w:t>
      </w:r>
      <w:r w:rsidR="00005594">
        <w:t>include</w:t>
      </w:r>
      <w:r w:rsidRPr="00F2124E">
        <w:t xml:space="preserve"> partial </w:t>
      </w:r>
      <w:r>
        <w:t>defences</w:t>
      </w:r>
      <w:r w:rsidRPr="00F2124E">
        <w:t xml:space="preserve"> to murder, controversies surrounding intent, and the breadth of manslaughter </w:t>
      </w:r>
      <w:r>
        <w:t>offences</w:t>
      </w:r>
      <w:r w:rsidRPr="00F2124E">
        <w:t xml:space="preserve">, </w:t>
      </w:r>
      <w:r w:rsidR="00005594">
        <w:t>therefore,</w:t>
      </w:r>
      <w:r w:rsidR="00005594" w:rsidRPr="003A69FD">
        <w:t xml:space="preserve"> </w:t>
      </w:r>
      <w:r w:rsidR="00005594">
        <w:t xml:space="preserve">the </w:t>
      </w:r>
      <w:r w:rsidR="00005594" w:rsidRPr="003A69FD">
        <w:t xml:space="preserve">law governing homicide in England and Wales is indeed in need of reform. The current legal framework, established centuries ago, is unable to adequately address contemporary challenges and societal changes. The introduction of partial </w:t>
      </w:r>
      <w:r w:rsidR="00005594">
        <w:t>defences</w:t>
      </w:r>
      <w:r w:rsidR="00005594" w:rsidRPr="003A69FD">
        <w:t xml:space="preserve"> to murder, controversies surrounding the intent required for murder, and the breadth of manslaughter all highlight the deficiencies in the current legal landscape. Reform is necessary to achieve justice, clarity, and consistency in the administration of the law. By carefully evaluating proposals and considering the interests of all stakeholders, the government can facilitate meaningful reform that aligns the law with societal values and ensures a fair and effective criminal justice system.</w:t>
      </w:r>
    </w:p>
    <w:p w14:paraId="7FCEBF4F" w14:textId="77777777" w:rsidR="00005594" w:rsidRDefault="00005594" w:rsidP="00005594"/>
    <w:p w14:paraId="51EC3400" w14:textId="77777777" w:rsidR="00F50B48" w:rsidRPr="00F50B48" w:rsidRDefault="00F50B48" w:rsidP="00F50B48"/>
    <w:p w14:paraId="65D5D923" w14:textId="77777777" w:rsidR="003B68C5" w:rsidRDefault="003B68C5" w:rsidP="003B68C5"/>
    <w:p w14:paraId="6E62F1D9" w14:textId="77777777" w:rsidR="000D1BB4" w:rsidRDefault="000D1BB4" w:rsidP="000D1BB4"/>
    <w:p w14:paraId="29BBBE88" w14:textId="0F436BB5" w:rsidR="00343BB0" w:rsidRDefault="00343BB0" w:rsidP="000D1BB4">
      <w:r>
        <w:t>Reference list:</w:t>
      </w:r>
    </w:p>
    <w:p w14:paraId="3CBE36A1" w14:textId="77777777" w:rsidR="00EB5DCC" w:rsidRDefault="00EB5DCC" w:rsidP="000D1BB4"/>
    <w:p w14:paraId="5B457DEE" w14:textId="0A0B5938" w:rsidR="00EB5DCC" w:rsidRDefault="00EB5DCC" w:rsidP="000D1BB4">
      <w:proofErr w:type="spellStart"/>
      <w:r>
        <w:t>Arenson</w:t>
      </w:r>
      <w:proofErr w:type="spellEnd"/>
      <w:r>
        <w:t>, J., K. (2005). “</w:t>
      </w:r>
      <w:r w:rsidRPr="00EB5DCC">
        <w:t>The Pitfalls in the Law of Attempt: A New Perspective</w:t>
      </w:r>
      <w:r>
        <w:t xml:space="preserve">”, Journal of Criminal Law, 69(2). Available at: </w:t>
      </w:r>
      <w:hyperlink r:id="rId5" w:history="1">
        <w:r w:rsidRPr="00E73654">
          <w:rPr>
            <w:rStyle w:val="Hyperlink"/>
          </w:rPr>
          <w:t>https://plus-lexis-com.ezproxy.uwtsd.ac.uk/uk/analytical-materials-uk/the-pitfalls-in-the-law-of-attempt-a-new-pers?crid=0fde8d45-36c4-4bd5-b87f-01919f840b27&amp;pddocid=urn:contentItem:4GJT-FK00-TWWS-817H-00000-00</w:t>
        </w:r>
      </w:hyperlink>
      <w:r>
        <w:t xml:space="preserve"> (Accessed on 29 June 2023).</w:t>
      </w:r>
    </w:p>
    <w:p w14:paraId="48946F2B" w14:textId="77777777" w:rsidR="00CD022B" w:rsidRDefault="00CD022B" w:rsidP="00CD022B">
      <w:pPr>
        <w:rPr>
          <w:b/>
          <w:bCs/>
        </w:rPr>
      </w:pPr>
    </w:p>
    <w:p w14:paraId="57C410B7" w14:textId="1168230B" w:rsidR="00CD022B" w:rsidRDefault="00EE6AC7" w:rsidP="000D1BB4">
      <w:r w:rsidRPr="00EE6AC7">
        <w:t>Armitage, A.L. (1957) “The Homicide Act 1957,” </w:t>
      </w:r>
      <w:r w:rsidRPr="00EE6AC7">
        <w:rPr>
          <w:i/>
          <w:iCs/>
        </w:rPr>
        <w:t>The Cambridge Law Journal</w:t>
      </w:r>
      <w:r w:rsidRPr="00EE6AC7">
        <w:t>, 15(2). Available at: </w:t>
      </w:r>
      <w:hyperlink r:id="rId6" w:history="1">
        <w:r w:rsidRPr="00581C45">
          <w:rPr>
            <w:rStyle w:val="Hyperlink"/>
          </w:rPr>
          <w:t>https://www-jstor-org.ezproxy.uwtsd.ac.uk/stable/4504461?searchText=law%20governing%20Homicide%20in%20England%20and%20Wales&amp;searchUri=%2Faction%2FdoBasicSearch%3FQuery%3Dla</w:t>
        </w:r>
        <w:r w:rsidRPr="00581C45">
          <w:rPr>
            <w:rStyle w:val="Hyperlink"/>
          </w:rPr>
          <w:lastRenderedPageBreak/>
          <w:t>w%2Bgoverning%2BHomicide%2Bin%2BEngland%2Band%2BWales%253F&amp;ab_segments=0%2Fbasic_search_gsv2%2Fcontrol&amp;refreqid=fastly-default%3A6db961df97c7ad4f88f650e1adc00070</w:t>
        </w:r>
      </w:hyperlink>
      <w:r w:rsidRPr="00EE6AC7">
        <w:t>.</w:t>
      </w:r>
      <w:r>
        <w:t xml:space="preserve"> (Accessed: 20 June 2023).</w:t>
      </w:r>
    </w:p>
    <w:p w14:paraId="452FB1E0" w14:textId="77777777" w:rsidR="00EE6AC7" w:rsidRDefault="00EE6AC7" w:rsidP="000D1BB4"/>
    <w:p w14:paraId="51987D89" w14:textId="77777777" w:rsidR="00EE6AC7" w:rsidRDefault="00343BB0" w:rsidP="000D1BB4">
      <w:r w:rsidRPr="00343BB0">
        <w:t xml:space="preserve">Beard, J. and </w:t>
      </w:r>
      <w:proofErr w:type="spellStart"/>
      <w:r w:rsidRPr="00343BB0">
        <w:t>Politowski</w:t>
      </w:r>
      <w:proofErr w:type="spellEnd"/>
      <w:r w:rsidRPr="00343BB0">
        <w:t>, B. (2016) </w:t>
      </w:r>
      <w:r w:rsidRPr="00343BB0">
        <w:rPr>
          <w:i/>
          <w:iCs/>
        </w:rPr>
        <w:t>Reforming the Law on Homicide</w:t>
      </w:r>
      <w:r w:rsidRPr="00343BB0">
        <w:t>. Available at:</w:t>
      </w:r>
      <w:r w:rsidR="00EE6AC7">
        <w:t xml:space="preserve"> </w:t>
      </w:r>
    </w:p>
    <w:p w14:paraId="321E9BAC" w14:textId="49D2CA29" w:rsidR="00740CB0" w:rsidRDefault="00EE6AC7" w:rsidP="000D1BB4">
      <w:r w:rsidRPr="00343BB0">
        <w:t xml:space="preserve"> </w:t>
      </w:r>
      <w:hyperlink r:id="rId7" w:history="1">
        <w:r w:rsidR="00740CB0" w:rsidRPr="00581C45">
          <w:rPr>
            <w:rStyle w:val="Hyperlink"/>
          </w:rPr>
          <w:t>https://researchbriefings.files.parliament.uk/documents/CDP-2016-0094/CDP-2016-0094.pdf</w:t>
        </w:r>
      </w:hyperlink>
      <w:r w:rsidR="00740CB0">
        <w:t>.</w:t>
      </w:r>
    </w:p>
    <w:p w14:paraId="3B31179A" w14:textId="09B9772F" w:rsidR="00EE6AC7" w:rsidRDefault="00EE6AC7" w:rsidP="000D1BB4">
      <w:r>
        <w:t>(</w:t>
      </w:r>
      <w:r w:rsidR="00343BB0" w:rsidRPr="00343BB0">
        <w:t>Accessed: June 20, 2023).</w:t>
      </w:r>
      <w:r w:rsidRPr="00EE6AC7">
        <w:rPr>
          <w:rFonts w:ascii="Helvetica" w:hAnsi="Helvetica"/>
          <w:color w:val="000000"/>
          <w:spacing w:val="-5"/>
        </w:rPr>
        <w:t xml:space="preserve"> </w:t>
      </w:r>
    </w:p>
    <w:p w14:paraId="32B5A1AF" w14:textId="77777777" w:rsidR="00A3287F" w:rsidRDefault="00A3287F" w:rsidP="000D1BB4"/>
    <w:p w14:paraId="60E4B555" w14:textId="2F6F558C" w:rsidR="00A3287F" w:rsidRDefault="00A3287F" w:rsidP="00A3287F">
      <w:r>
        <w:t>CPS</w:t>
      </w:r>
      <w:r w:rsidR="006F3C3C">
        <w:t xml:space="preserve"> (a</w:t>
      </w:r>
      <w:proofErr w:type="gramStart"/>
      <w:r w:rsidR="006F3C3C">
        <w:t>),</w:t>
      </w:r>
      <w:r>
        <w:t>(</w:t>
      </w:r>
      <w:proofErr w:type="gramEnd"/>
      <w:r>
        <w:t>2022).</w:t>
      </w:r>
      <w:r w:rsidRPr="00A3287F">
        <w:t>Homicide: Murder and Manslaughter</w:t>
      </w:r>
      <w:r>
        <w:t>. Available at:</w:t>
      </w:r>
      <w:r w:rsidRPr="00A3287F">
        <w:t xml:space="preserve"> </w:t>
      </w:r>
      <w:r>
        <w:t xml:space="preserve"> </w:t>
      </w:r>
      <w:hyperlink r:id="rId8" w:history="1">
        <w:r w:rsidRPr="00581C45">
          <w:rPr>
            <w:rStyle w:val="Hyperlink"/>
          </w:rPr>
          <w:t>https://www.cps.gov.uk/legal-guidance/homicide-murder-and-manslaughter</w:t>
        </w:r>
      </w:hyperlink>
      <w:r>
        <w:t xml:space="preserve"> (Accessed:22 June 2023).</w:t>
      </w:r>
    </w:p>
    <w:p w14:paraId="5EE4AFF7" w14:textId="77777777" w:rsidR="006F3C3C" w:rsidRDefault="006F3C3C" w:rsidP="00A3287F"/>
    <w:p w14:paraId="4F4F0EDA" w14:textId="2EE7E213" w:rsidR="006F3C3C" w:rsidRDefault="006F3C3C" w:rsidP="00A3287F">
      <w:r>
        <w:t>CPS (b</w:t>
      </w:r>
      <w:proofErr w:type="gramStart"/>
      <w:r>
        <w:t>),(</w:t>
      </w:r>
      <w:proofErr w:type="gramEnd"/>
      <w:r>
        <w:t>2022).</w:t>
      </w:r>
      <w:r w:rsidRPr="00A3287F">
        <w:t>Homicide: Murder and Manslaughter</w:t>
      </w:r>
      <w:r>
        <w:t>. Available at:</w:t>
      </w:r>
      <w:r w:rsidRPr="00A3287F">
        <w:t xml:space="preserve"> </w:t>
      </w:r>
      <w:r>
        <w:t xml:space="preserve"> </w:t>
      </w:r>
      <w:hyperlink r:id="rId9" w:history="1">
        <w:r w:rsidRPr="00581C45">
          <w:rPr>
            <w:rStyle w:val="Hyperlink"/>
          </w:rPr>
          <w:t>https://www.cps.gov.uk/legal-guidance/homicide-murder-and-manslaughter</w:t>
        </w:r>
      </w:hyperlink>
      <w:r>
        <w:t xml:space="preserve"> (Accessed:22 June 2023</w:t>
      </w:r>
    </w:p>
    <w:p w14:paraId="05F1EB9B" w14:textId="77777777" w:rsidR="00F01F7D" w:rsidRDefault="00F01F7D" w:rsidP="00A3287F"/>
    <w:p w14:paraId="64472A2D" w14:textId="05DB6493" w:rsidR="00F01F7D" w:rsidRPr="00A3287F" w:rsidRDefault="00F01F7D" w:rsidP="00A3287F">
      <w:pPr>
        <w:rPr>
          <w:b/>
          <w:bCs/>
        </w:rPr>
      </w:pPr>
      <w:r>
        <w:t>Fitz-Gibbon,</w:t>
      </w:r>
      <w:r w:rsidR="00105E62">
        <w:t xml:space="preserve"> </w:t>
      </w:r>
      <w:proofErr w:type="gramStart"/>
      <w:r>
        <w:t>K.(</w:t>
      </w:r>
      <w:proofErr w:type="gramEnd"/>
      <w:r>
        <w:t>2013). “</w:t>
      </w:r>
      <w:r w:rsidRPr="00F01F7D">
        <w:t>Replacing Provocation in England and Wales: Examining the Partial Defence of Loss of Control</w:t>
      </w:r>
      <w:r>
        <w:t xml:space="preserve">”, Journal of Law and Society, 40(2). Available at: </w:t>
      </w:r>
      <w:hyperlink r:id="rId10" w:history="1">
        <w:r w:rsidRPr="00E73654">
          <w:rPr>
            <w:rStyle w:val="Hyperlink"/>
          </w:rPr>
          <w:t>https://www-jstor-org.ezproxy.uwtsd.ac.uk/stable/43862353?searchText=about+The+concept+of+loss+of+control%2C+introduced+under+the+Coroners+and+Justice+Act+2009%2C&amp;searchUri=%2Faction%2FdoBasicSearch%3FQuery%3Dabout%2BThe%2Bconcept%2Bof%2Bloss%2Bof%2Bcontrol%252C%2Bintroduced%2Bunder%2Bthe%2BCoroners%2Band%2BJustice%2BAct%2B2009%252C&amp;ab_segments=0%2Fbasic_search_gsv2%2Fcontrol&amp;refreqid=fastly-default%3Ac641d9cf4eaf01f36258aaea2cc31704&amp;seq=6</w:t>
        </w:r>
      </w:hyperlink>
      <w:r>
        <w:t xml:space="preserve"> (Accessed on 29 June 2023)</w:t>
      </w:r>
    </w:p>
    <w:p w14:paraId="483AD67D" w14:textId="410D583E" w:rsidR="00A3287F" w:rsidRDefault="00A3287F" w:rsidP="000D1BB4">
      <w:pPr>
        <w:rPr>
          <w:b/>
          <w:bCs/>
        </w:rPr>
      </w:pPr>
    </w:p>
    <w:p w14:paraId="31DDF171" w14:textId="2ADCC273" w:rsidR="00105E62" w:rsidRPr="00105E62" w:rsidRDefault="00105E62" w:rsidP="00105E62">
      <w:r>
        <w:t xml:space="preserve">Hill, </w:t>
      </w:r>
      <w:proofErr w:type="gramStart"/>
      <w:r>
        <w:t>M.(</w:t>
      </w:r>
      <w:proofErr w:type="gramEnd"/>
      <w:r>
        <w:t>2010).</w:t>
      </w:r>
      <w:r w:rsidRPr="00105E62">
        <w:rPr>
          <w:rFonts w:ascii="Roboto" w:hAnsi="Roboto"/>
          <w:color w:val="3D3D3D"/>
          <w:kern w:val="36"/>
          <w:sz w:val="48"/>
          <w:szCs w:val="48"/>
        </w:rPr>
        <w:t xml:space="preserve"> </w:t>
      </w:r>
      <w:r w:rsidRPr="00105E62">
        <w:t>Calls for murder law reform may be ignored.</w:t>
      </w:r>
      <w:r>
        <w:t xml:space="preserve"> Available at: </w:t>
      </w:r>
      <w:hyperlink r:id="rId11" w:history="1">
        <w:r w:rsidRPr="00E73654">
          <w:rPr>
            <w:rStyle w:val="Hyperlink"/>
          </w:rPr>
          <w:t>https://ukhumanrightsblog.com/2010/09/14/calls-for-murder-law-reform-may-be-ignored/</w:t>
        </w:r>
      </w:hyperlink>
      <w:r>
        <w:t xml:space="preserve"> (Accessed 01 July 2023).</w:t>
      </w:r>
    </w:p>
    <w:p w14:paraId="19D4DCC1" w14:textId="2A845837" w:rsidR="00105E62" w:rsidRPr="00105E62" w:rsidRDefault="00105E62" w:rsidP="00105E62"/>
    <w:p w14:paraId="2245712D" w14:textId="5145FD8D" w:rsidR="00C91343" w:rsidRPr="00C91343" w:rsidRDefault="00C91343" w:rsidP="00C91343">
      <w:r w:rsidRPr="00C91343">
        <w:t xml:space="preserve">Home </w:t>
      </w:r>
      <w:proofErr w:type="gramStart"/>
      <w:r>
        <w:t>Office,(</w:t>
      </w:r>
      <w:proofErr w:type="gramEnd"/>
      <w:r>
        <w:t>2000).</w:t>
      </w:r>
      <w:r w:rsidRPr="00C91343">
        <w:rPr>
          <w:rFonts w:ascii="AGaramond" w:hAnsi="AGaramond"/>
          <w:sz w:val="56"/>
          <w:szCs w:val="56"/>
        </w:rPr>
        <w:t xml:space="preserve"> </w:t>
      </w:r>
      <w:r w:rsidRPr="00C91343">
        <w:t>Reforming the law of involuntary manslaughter: The Government’s Proposals</w:t>
      </w:r>
      <w:r>
        <w:t xml:space="preserve">. Available at: </w:t>
      </w:r>
      <w:hyperlink r:id="rId12" w:history="1">
        <w:r w:rsidRPr="00E73654">
          <w:rPr>
            <w:rStyle w:val="Hyperlink"/>
          </w:rPr>
          <w:t>http://www.corporateaccountability.org.uk/dl/manslaughter/reform/archive/homeofficedraft2000.pdf</w:t>
        </w:r>
      </w:hyperlink>
      <w:r>
        <w:t xml:space="preserve"> (Accessed 01 July 2023)</w:t>
      </w:r>
    </w:p>
    <w:p w14:paraId="35061A1A" w14:textId="5D1382A5" w:rsidR="00C91343" w:rsidRPr="00C91343" w:rsidRDefault="00C91343" w:rsidP="00C91343"/>
    <w:p w14:paraId="0014DD8A" w14:textId="6571CA91" w:rsidR="0012361E" w:rsidRDefault="0012361E" w:rsidP="0012361E">
      <w:pPr>
        <w:pStyle w:val="NoSpacing"/>
      </w:pPr>
      <w:r>
        <w:t xml:space="preserve">House of </w:t>
      </w:r>
      <w:proofErr w:type="gramStart"/>
      <w:r>
        <w:t>Lords,(</w:t>
      </w:r>
      <w:proofErr w:type="gramEnd"/>
      <w:r>
        <w:t>1994).</w:t>
      </w:r>
      <w:r w:rsidRPr="0012361E">
        <w:rPr>
          <w:rFonts w:ascii="Verdana" w:hAnsi="Verdana"/>
          <w:b/>
          <w:bCs/>
          <w:color w:val="333333"/>
        </w:rPr>
        <w:t xml:space="preserve"> </w:t>
      </w:r>
      <w:r w:rsidRPr="0012361E">
        <w:t>Judgments - Attorney General's Reference No. 3 of 1994</w:t>
      </w:r>
      <w:r>
        <w:t xml:space="preserve">. Available </w:t>
      </w:r>
      <w:proofErr w:type="gramStart"/>
      <w:r>
        <w:t>at :</w:t>
      </w:r>
      <w:proofErr w:type="gramEnd"/>
      <w:r w:rsidRPr="0012361E">
        <w:t xml:space="preserve"> </w:t>
      </w:r>
      <w:hyperlink r:id="rId13" w:history="1">
        <w:r w:rsidRPr="00581C45">
          <w:rPr>
            <w:rStyle w:val="Hyperlink"/>
          </w:rPr>
          <w:t>https://publications.parliament.uk/pa/ld199798/ldjudgmt/jd970724/gneral01.htm</w:t>
        </w:r>
      </w:hyperlink>
    </w:p>
    <w:p w14:paraId="5715421C" w14:textId="5F5D1E06" w:rsidR="0012361E" w:rsidRDefault="0012361E" w:rsidP="0012361E">
      <w:pPr>
        <w:pStyle w:val="NoSpacing"/>
      </w:pPr>
      <w:r>
        <w:t>(Accessed on 25 June 2023)</w:t>
      </w:r>
    </w:p>
    <w:p w14:paraId="7FE504E6" w14:textId="77777777" w:rsidR="0012361E" w:rsidRPr="0012361E" w:rsidRDefault="0012361E" w:rsidP="0012361E">
      <w:pPr>
        <w:pStyle w:val="NoSpacing"/>
      </w:pPr>
    </w:p>
    <w:p w14:paraId="4571EB9B" w14:textId="50365999" w:rsidR="00EE6AC7" w:rsidRDefault="00BD0747" w:rsidP="000D1BB4">
      <w:proofErr w:type="spellStart"/>
      <w:proofErr w:type="gramStart"/>
      <w:r>
        <w:t>Mahendra</w:t>
      </w:r>
      <w:r w:rsidR="00462C48">
        <w:t>,B</w:t>
      </w:r>
      <w:proofErr w:type="spellEnd"/>
      <w:r w:rsidR="00462C48">
        <w:t>.</w:t>
      </w:r>
      <w:proofErr w:type="gramEnd"/>
      <w:r w:rsidR="00462C48">
        <w:t xml:space="preserve">(2006) </w:t>
      </w:r>
      <w:r w:rsidR="00462C48" w:rsidRPr="00462C48">
        <w:t xml:space="preserve">The law of homicide—expert </w:t>
      </w:r>
      <w:proofErr w:type="spellStart"/>
      <w:r w:rsidR="00462C48" w:rsidRPr="00462C48">
        <w:t>reform?</w:t>
      </w:r>
      <w:r w:rsidR="00462C48">
        <w:t>.The</w:t>
      </w:r>
      <w:proofErr w:type="spellEnd"/>
      <w:r w:rsidR="00462C48">
        <w:t xml:space="preserve"> New Law Journal, 156(7213).</w:t>
      </w:r>
    </w:p>
    <w:p w14:paraId="49F596A9" w14:textId="2BAB95B0" w:rsidR="00462C48" w:rsidRDefault="00462C48" w:rsidP="000D1BB4">
      <w:r>
        <w:t xml:space="preserve">Available at: </w:t>
      </w:r>
      <w:hyperlink r:id="rId14" w:history="1">
        <w:r w:rsidRPr="00581C45">
          <w:rPr>
            <w:rStyle w:val="Hyperlink"/>
          </w:rPr>
          <w:t>https://plus-lexis-com.ezproxy.uwtsd.ac.uk/uk/document/?pdmfid=1001073&amp;crid=b5df3dd3-cf66-4cab-b929-49e77bbda2de&amp;pddocfullpath=%2Fshared%2Fdocument%2Fanalytical-materials-uk%2Furn%3AcontentItem%3A4JC4-P5R0-TWWR-G049-00000-00&amp;pdcontentcomponentid=280276&amp;pdteaserkey=&amp;pdislpamode=false&amp;pddocumentnumber=1&amp;ecomp=ft5k&amp;earg=sr0&amp;prid=63a4a678-6039-4547-9e97-a0e2dc2fdddf</w:t>
        </w:r>
      </w:hyperlink>
      <w:r>
        <w:t xml:space="preserve"> (Accessed 22 June 2023)</w:t>
      </w:r>
    </w:p>
    <w:p w14:paraId="749BBEFE" w14:textId="77777777" w:rsidR="006F3C3C" w:rsidRDefault="006F3C3C" w:rsidP="000D1BB4"/>
    <w:p w14:paraId="6815C9F4" w14:textId="17173715" w:rsidR="00462C48" w:rsidRDefault="006F3C3C" w:rsidP="000D1BB4">
      <w:r>
        <w:lastRenderedPageBreak/>
        <w:t>Modern Law Review, (2002).</w:t>
      </w:r>
      <w:r w:rsidRPr="006F3C3C">
        <w:t xml:space="preserve"> Double Jeopardy Law Reform: A Criminal Justice Commentary</w:t>
      </w:r>
      <w:r>
        <w:t>. Modern Law Review, 65(3). Available at :</w:t>
      </w:r>
      <w:r w:rsidRPr="006F3C3C">
        <w:t xml:space="preserve"> </w:t>
      </w:r>
      <w:hyperlink r:id="rId15" w:history="1">
        <w:r w:rsidRPr="00E73654">
          <w:rPr>
            <w:rStyle w:val="Hyperlink"/>
          </w:rPr>
          <w:t>https://plus-lexis-com.ezproxy.uwtsd.ac.uk/uk/analytical-materials-uk/double-jeopardy-law-reform-a-criminal-justice?crid=337a592b-8266-441d-8ff5-aab05dbed02d&amp;pddocid=urn:contentItem:5GF2-SR81-F0CS-G3P4-00000-00</w:t>
        </w:r>
      </w:hyperlink>
      <w:r>
        <w:t xml:space="preserve"> (Accessed 02 July 2023).</w:t>
      </w:r>
    </w:p>
    <w:p w14:paraId="184B87FA" w14:textId="77777777" w:rsidR="00462C48" w:rsidRDefault="00462C48" w:rsidP="000D1BB4"/>
    <w:p w14:paraId="49D2B62E" w14:textId="43510EF3" w:rsidR="00740CB0" w:rsidRDefault="00E634E8" w:rsidP="000D1BB4">
      <w:r>
        <w:t xml:space="preserve">Lexis+, (2009). </w:t>
      </w:r>
      <w:r w:rsidRPr="00E634E8">
        <w:t>Coroners and Justice Act 2009 (2009 c 25)</w:t>
      </w:r>
      <w:r>
        <w:t xml:space="preserve">. Available at: </w:t>
      </w:r>
      <w:hyperlink r:id="rId16" w:history="1">
        <w:r w:rsidRPr="00581C45">
          <w:rPr>
            <w:rStyle w:val="Hyperlink"/>
          </w:rPr>
          <w:t>https://plus-lexis-com.ezproxy.uwtsd.ac.uk/uk/document/?pdmfid=1001073&amp;crid=54bf717c-9561-4ec6-a36c-b718f356d544&amp;pddocfullpath=%2Fshared%2Fdocument%2Flegislation-uk%2Furn%3AcontentItem%3A7X5W-95G0-Y97X-70VH-00000-00&amp;pdcontentcomponentid=274768&amp;pdteaserkey=&amp;pdislpamode=false&amp;pddocumentnumber=1&amp;ecomp=ft5k&amp;earg=sr0&amp;prid=581e6d50-a9b9-4171-9ec9-43c1c4a0deba</w:t>
        </w:r>
      </w:hyperlink>
      <w:r>
        <w:t xml:space="preserve"> (Accessed 22 June 2023)</w:t>
      </w:r>
    </w:p>
    <w:p w14:paraId="25024E8E" w14:textId="083388D8" w:rsidR="00CA5CC0" w:rsidRDefault="002C017A" w:rsidP="000D1BB4">
      <w:r>
        <w:t xml:space="preserve">  </w:t>
      </w:r>
    </w:p>
    <w:p w14:paraId="4A06C809" w14:textId="16CD97FE" w:rsidR="002C017A" w:rsidRDefault="002C017A" w:rsidP="000D1BB4">
      <w:r>
        <w:t>The Law Commission</w:t>
      </w:r>
      <w:r w:rsidR="001F65E8">
        <w:t xml:space="preserve"> (a) </w:t>
      </w:r>
      <w:r>
        <w:t>(2006).</w:t>
      </w:r>
      <w:r w:rsidR="0021438F" w:rsidRPr="0021438F">
        <w:rPr>
          <w:rFonts w:ascii="Arial,Bold" w:hAnsi="Arial,Bold"/>
          <w:sz w:val="44"/>
          <w:szCs w:val="44"/>
        </w:rPr>
        <w:t xml:space="preserve"> </w:t>
      </w:r>
      <w:r w:rsidR="0021438F" w:rsidRPr="0021438F">
        <w:t xml:space="preserve">A NEW HOMICIDE ACT FOR ENGLAND AND WALES? </w:t>
      </w:r>
      <w:r w:rsidR="0021438F">
        <w:t xml:space="preserve">para 1.5. Available at: </w:t>
      </w:r>
      <w:hyperlink r:id="rId17" w:history="1">
        <w:r w:rsidR="0021438F" w:rsidRPr="00581C45">
          <w:rPr>
            <w:rStyle w:val="Hyperlink"/>
          </w:rPr>
          <w:t>https://s3-eu-west-2.amazonaws.com/lawcom-prod-storage-11jsxou24uy7q/uploads/2015/03/cp177_Murder_Manslaughter_and_Infanticide_consultation_.pdf</w:t>
        </w:r>
      </w:hyperlink>
      <w:r w:rsidR="0021438F">
        <w:t xml:space="preserve"> (Accessed 27 June 2023)</w:t>
      </w:r>
      <w:r w:rsidR="001F65E8">
        <w:t>.</w:t>
      </w:r>
    </w:p>
    <w:p w14:paraId="05452DCB" w14:textId="77777777" w:rsidR="001F65E8" w:rsidRDefault="001F65E8" w:rsidP="000D1BB4"/>
    <w:p w14:paraId="283C3BE2" w14:textId="78491E1D" w:rsidR="001F65E8" w:rsidRDefault="001F65E8" w:rsidP="000D1BB4">
      <w:r>
        <w:t xml:space="preserve">The Law Commission (b)2006. Murder, Manslaughter, and Infanticide. Available at: </w:t>
      </w:r>
      <w:hyperlink r:id="rId18" w:history="1">
        <w:r w:rsidR="00B0404A" w:rsidRPr="00E73654">
          <w:rPr>
            <w:rStyle w:val="Hyperlink"/>
          </w:rPr>
          <w:t>https://s3-eu-west-2.amazonaws.com/lawcom-prod-storage- 11jsxou24uy7q/uploads/2015/03/lc304_Murder_Manslaughter_and_Infanticide_Report.pdf</w:t>
        </w:r>
      </w:hyperlink>
      <w:r>
        <w:t xml:space="preserve"> (Accessed 01 July 2023).</w:t>
      </w:r>
    </w:p>
    <w:p w14:paraId="18AE937A" w14:textId="77777777" w:rsidR="00B0404A" w:rsidRDefault="00B0404A" w:rsidP="000D1BB4"/>
    <w:p w14:paraId="7F697C3A" w14:textId="52CC9B0B" w:rsidR="00B0404A" w:rsidRPr="00EE6AC7" w:rsidRDefault="00B0404A" w:rsidP="000D1BB4">
      <w:r>
        <w:t xml:space="preserve">The Law Commission (c) 2006. Murder, Manslaughter, and Infanticide. Available at: </w:t>
      </w:r>
      <w:hyperlink r:id="rId19" w:history="1">
        <w:r w:rsidRPr="00E73654">
          <w:rPr>
            <w:rStyle w:val="Hyperlink"/>
          </w:rPr>
          <w:t>https://www.lawcom.gov.uk/app/uploads/2015/03/lc304_Murder_Manslaughter_and_Infanticide_Report.pdf</w:t>
        </w:r>
      </w:hyperlink>
      <w:r>
        <w:t xml:space="preserve"> (Accessed on 02 July 2023).</w:t>
      </w:r>
    </w:p>
    <w:sectPr w:rsidR="00B0404A" w:rsidRPr="00EE6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FrutigerLTSt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Roboto">
    <w:panose1 w:val="02000000000000000000"/>
    <w:charset w:val="00"/>
    <w:family w:val="auto"/>
    <w:pitch w:val="variable"/>
    <w:sig w:usb0="E0000AFF" w:usb1="5000217F" w:usb2="00000021" w:usb3="00000000" w:csb0="0000019F" w:csb1="00000000"/>
  </w:font>
  <w:font w:name="AGaramond">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Arial,Bold">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11A1C"/>
    <w:multiLevelType w:val="multilevel"/>
    <w:tmpl w:val="D7D21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E5CA0"/>
    <w:multiLevelType w:val="multilevel"/>
    <w:tmpl w:val="4992D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04235"/>
    <w:multiLevelType w:val="multilevel"/>
    <w:tmpl w:val="6332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F5E44"/>
    <w:multiLevelType w:val="multilevel"/>
    <w:tmpl w:val="2536F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FD3586"/>
    <w:multiLevelType w:val="multilevel"/>
    <w:tmpl w:val="2DA0A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6B6DE3"/>
    <w:multiLevelType w:val="multilevel"/>
    <w:tmpl w:val="DF6821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FC67D7"/>
    <w:multiLevelType w:val="multilevel"/>
    <w:tmpl w:val="BB009D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164C7A"/>
    <w:multiLevelType w:val="multilevel"/>
    <w:tmpl w:val="2F52A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607063"/>
    <w:multiLevelType w:val="multilevel"/>
    <w:tmpl w:val="BAFA8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470ADC"/>
    <w:multiLevelType w:val="multilevel"/>
    <w:tmpl w:val="8594F4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F871BF"/>
    <w:multiLevelType w:val="multilevel"/>
    <w:tmpl w:val="0BC0F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5939E8"/>
    <w:multiLevelType w:val="multilevel"/>
    <w:tmpl w:val="7DDC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13DFC"/>
    <w:multiLevelType w:val="multilevel"/>
    <w:tmpl w:val="67CA3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25438A"/>
    <w:multiLevelType w:val="multilevel"/>
    <w:tmpl w:val="75C0E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181E00"/>
    <w:multiLevelType w:val="multilevel"/>
    <w:tmpl w:val="39F82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F130D7"/>
    <w:multiLevelType w:val="multilevel"/>
    <w:tmpl w:val="C3341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0C18DD"/>
    <w:multiLevelType w:val="multilevel"/>
    <w:tmpl w:val="313C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2098102">
    <w:abstractNumId w:val="15"/>
  </w:num>
  <w:num w:numId="2" w16cid:durableId="1889565438">
    <w:abstractNumId w:val="1"/>
  </w:num>
  <w:num w:numId="3" w16cid:durableId="1059134981">
    <w:abstractNumId w:val="4"/>
  </w:num>
  <w:num w:numId="4" w16cid:durableId="1268581126">
    <w:abstractNumId w:val="13"/>
  </w:num>
  <w:num w:numId="5" w16cid:durableId="532306072">
    <w:abstractNumId w:val="12"/>
  </w:num>
  <w:num w:numId="6" w16cid:durableId="148443360">
    <w:abstractNumId w:val="3"/>
  </w:num>
  <w:num w:numId="7" w16cid:durableId="464585264">
    <w:abstractNumId w:val="2"/>
  </w:num>
  <w:num w:numId="8" w16cid:durableId="153186974">
    <w:abstractNumId w:val="10"/>
  </w:num>
  <w:num w:numId="9" w16cid:durableId="1650288590">
    <w:abstractNumId w:val="0"/>
  </w:num>
  <w:num w:numId="10" w16cid:durableId="466706320">
    <w:abstractNumId w:val="7"/>
  </w:num>
  <w:num w:numId="11" w16cid:durableId="1450276113">
    <w:abstractNumId w:val="11"/>
  </w:num>
  <w:num w:numId="12" w16cid:durableId="667368420">
    <w:abstractNumId w:val="8"/>
  </w:num>
  <w:num w:numId="13" w16cid:durableId="1223129619">
    <w:abstractNumId w:val="9"/>
  </w:num>
  <w:num w:numId="14" w16cid:durableId="1917736892">
    <w:abstractNumId w:val="16"/>
  </w:num>
  <w:num w:numId="15" w16cid:durableId="1183788889">
    <w:abstractNumId w:val="14"/>
  </w:num>
  <w:num w:numId="16" w16cid:durableId="463549475">
    <w:abstractNumId w:val="5"/>
  </w:num>
  <w:num w:numId="17" w16cid:durableId="16592672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1F4"/>
    <w:rsid w:val="00005594"/>
    <w:rsid w:val="000D1BB4"/>
    <w:rsid w:val="00105E62"/>
    <w:rsid w:val="00111572"/>
    <w:rsid w:val="00117367"/>
    <w:rsid w:val="0012361E"/>
    <w:rsid w:val="001D0D12"/>
    <w:rsid w:val="001F06F8"/>
    <w:rsid w:val="001F65E8"/>
    <w:rsid w:val="0021438F"/>
    <w:rsid w:val="0023615B"/>
    <w:rsid w:val="002C017A"/>
    <w:rsid w:val="00343BB0"/>
    <w:rsid w:val="003803C9"/>
    <w:rsid w:val="003A042C"/>
    <w:rsid w:val="003B68C5"/>
    <w:rsid w:val="003E16EE"/>
    <w:rsid w:val="00462C48"/>
    <w:rsid w:val="004C0E1A"/>
    <w:rsid w:val="005260CA"/>
    <w:rsid w:val="00554B3C"/>
    <w:rsid w:val="005B33BE"/>
    <w:rsid w:val="005C324C"/>
    <w:rsid w:val="00601963"/>
    <w:rsid w:val="006F3C3C"/>
    <w:rsid w:val="00740CB0"/>
    <w:rsid w:val="00775052"/>
    <w:rsid w:val="007C5388"/>
    <w:rsid w:val="007C5FED"/>
    <w:rsid w:val="007E6A2F"/>
    <w:rsid w:val="008207A1"/>
    <w:rsid w:val="00857EB6"/>
    <w:rsid w:val="00864772"/>
    <w:rsid w:val="00872706"/>
    <w:rsid w:val="008960A4"/>
    <w:rsid w:val="008E7E18"/>
    <w:rsid w:val="009A57B4"/>
    <w:rsid w:val="00A3287F"/>
    <w:rsid w:val="00A36344"/>
    <w:rsid w:val="00A561F4"/>
    <w:rsid w:val="00A73CCA"/>
    <w:rsid w:val="00AF339A"/>
    <w:rsid w:val="00B0404A"/>
    <w:rsid w:val="00B65D08"/>
    <w:rsid w:val="00BD0747"/>
    <w:rsid w:val="00BF681F"/>
    <w:rsid w:val="00C23773"/>
    <w:rsid w:val="00C27C9B"/>
    <w:rsid w:val="00C91343"/>
    <w:rsid w:val="00CA5CC0"/>
    <w:rsid w:val="00CD022B"/>
    <w:rsid w:val="00D43E98"/>
    <w:rsid w:val="00DD15BE"/>
    <w:rsid w:val="00E31D86"/>
    <w:rsid w:val="00E634E8"/>
    <w:rsid w:val="00EB5DCC"/>
    <w:rsid w:val="00EE21E1"/>
    <w:rsid w:val="00EE6AC7"/>
    <w:rsid w:val="00EF33E0"/>
    <w:rsid w:val="00F01F7D"/>
    <w:rsid w:val="00F130B0"/>
    <w:rsid w:val="00F2124E"/>
    <w:rsid w:val="00F50B48"/>
    <w:rsid w:val="00F53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8443AF"/>
  <w15:chartTrackingRefBased/>
  <w15:docId w15:val="{19F633BD-9CF8-D747-BE18-977212574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D0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3287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3BB0"/>
    <w:pPr>
      <w:spacing w:before="100" w:beforeAutospacing="1" w:after="100" w:afterAutospacing="1"/>
    </w:pPr>
  </w:style>
  <w:style w:type="character" w:styleId="Hyperlink">
    <w:name w:val="Hyperlink"/>
    <w:basedOn w:val="DefaultParagraphFont"/>
    <w:uiPriority w:val="99"/>
    <w:unhideWhenUsed/>
    <w:rsid w:val="00EE6AC7"/>
    <w:rPr>
      <w:color w:val="0563C1" w:themeColor="hyperlink"/>
      <w:u w:val="single"/>
    </w:rPr>
  </w:style>
  <w:style w:type="character" w:styleId="UnresolvedMention">
    <w:name w:val="Unresolved Mention"/>
    <w:basedOn w:val="DefaultParagraphFont"/>
    <w:uiPriority w:val="99"/>
    <w:semiHidden/>
    <w:unhideWhenUsed/>
    <w:rsid w:val="00EE6AC7"/>
    <w:rPr>
      <w:color w:val="605E5C"/>
      <w:shd w:val="clear" w:color="auto" w:fill="E1DFDD"/>
    </w:rPr>
  </w:style>
  <w:style w:type="character" w:styleId="FollowedHyperlink">
    <w:name w:val="FollowedHyperlink"/>
    <w:basedOn w:val="DefaultParagraphFont"/>
    <w:uiPriority w:val="99"/>
    <w:semiHidden/>
    <w:unhideWhenUsed/>
    <w:rsid w:val="00EE6AC7"/>
    <w:rPr>
      <w:color w:val="954F72" w:themeColor="followedHyperlink"/>
      <w:u w:val="single"/>
    </w:rPr>
  </w:style>
  <w:style w:type="character" w:customStyle="1" w:styleId="Heading1Char">
    <w:name w:val="Heading 1 Char"/>
    <w:basedOn w:val="DefaultParagraphFont"/>
    <w:link w:val="Heading1"/>
    <w:uiPriority w:val="9"/>
    <w:rsid w:val="00A3287F"/>
    <w:rPr>
      <w:rFonts w:asciiTheme="majorHAnsi" w:eastAsiaTheme="majorEastAsia" w:hAnsiTheme="majorHAnsi" w:cstheme="majorBidi"/>
      <w:color w:val="2F5496" w:themeColor="accent1" w:themeShade="BF"/>
      <w:kern w:val="0"/>
      <w:sz w:val="32"/>
      <w:szCs w:val="32"/>
      <w:lang w:eastAsia="en-GB"/>
      <w14:ligatures w14:val="none"/>
    </w:rPr>
  </w:style>
  <w:style w:type="paragraph" w:styleId="NoSpacing">
    <w:name w:val="No Spacing"/>
    <w:uiPriority w:val="1"/>
    <w:qFormat/>
    <w:rsid w:val="0012361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33949">
      <w:bodyDiv w:val="1"/>
      <w:marLeft w:val="0"/>
      <w:marRight w:val="0"/>
      <w:marTop w:val="0"/>
      <w:marBottom w:val="0"/>
      <w:divBdr>
        <w:top w:val="none" w:sz="0" w:space="0" w:color="auto"/>
        <w:left w:val="none" w:sz="0" w:space="0" w:color="auto"/>
        <w:bottom w:val="none" w:sz="0" w:space="0" w:color="auto"/>
        <w:right w:val="none" w:sz="0" w:space="0" w:color="auto"/>
      </w:divBdr>
      <w:divsChild>
        <w:div w:id="115414038">
          <w:marLeft w:val="0"/>
          <w:marRight w:val="0"/>
          <w:marTop w:val="0"/>
          <w:marBottom w:val="0"/>
          <w:divBdr>
            <w:top w:val="none" w:sz="0" w:space="0" w:color="auto"/>
            <w:left w:val="none" w:sz="0" w:space="0" w:color="auto"/>
            <w:bottom w:val="none" w:sz="0" w:space="0" w:color="auto"/>
            <w:right w:val="none" w:sz="0" w:space="0" w:color="auto"/>
          </w:divBdr>
          <w:divsChild>
            <w:div w:id="1666858419">
              <w:marLeft w:val="0"/>
              <w:marRight w:val="0"/>
              <w:marTop w:val="0"/>
              <w:marBottom w:val="0"/>
              <w:divBdr>
                <w:top w:val="none" w:sz="0" w:space="0" w:color="auto"/>
                <w:left w:val="none" w:sz="0" w:space="0" w:color="auto"/>
                <w:bottom w:val="none" w:sz="0" w:space="0" w:color="auto"/>
                <w:right w:val="none" w:sz="0" w:space="0" w:color="auto"/>
              </w:divBdr>
              <w:divsChild>
                <w:div w:id="1907764009">
                  <w:marLeft w:val="0"/>
                  <w:marRight w:val="0"/>
                  <w:marTop w:val="0"/>
                  <w:marBottom w:val="0"/>
                  <w:divBdr>
                    <w:top w:val="none" w:sz="0" w:space="0" w:color="auto"/>
                    <w:left w:val="none" w:sz="0" w:space="0" w:color="auto"/>
                    <w:bottom w:val="none" w:sz="0" w:space="0" w:color="auto"/>
                    <w:right w:val="none" w:sz="0" w:space="0" w:color="auto"/>
                  </w:divBdr>
                  <w:divsChild>
                    <w:div w:id="22907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654625">
      <w:bodyDiv w:val="1"/>
      <w:marLeft w:val="0"/>
      <w:marRight w:val="0"/>
      <w:marTop w:val="0"/>
      <w:marBottom w:val="0"/>
      <w:divBdr>
        <w:top w:val="none" w:sz="0" w:space="0" w:color="auto"/>
        <w:left w:val="none" w:sz="0" w:space="0" w:color="auto"/>
        <w:bottom w:val="none" w:sz="0" w:space="0" w:color="auto"/>
        <w:right w:val="none" w:sz="0" w:space="0" w:color="auto"/>
      </w:divBdr>
    </w:div>
    <w:div w:id="308363907">
      <w:bodyDiv w:val="1"/>
      <w:marLeft w:val="0"/>
      <w:marRight w:val="0"/>
      <w:marTop w:val="0"/>
      <w:marBottom w:val="0"/>
      <w:divBdr>
        <w:top w:val="none" w:sz="0" w:space="0" w:color="auto"/>
        <w:left w:val="none" w:sz="0" w:space="0" w:color="auto"/>
        <w:bottom w:val="none" w:sz="0" w:space="0" w:color="auto"/>
        <w:right w:val="none" w:sz="0" w:space="0" w:color="auto"/>
      </w:divBdr>
    </w:div>
    <w:div w:id="309796090">
      <w:bodyDiv w:val="1"/>
      <w:marLeft w:val="0"/>
      <w:marRight w:val="0"/>
      <w:marTop w:val="0"/>
      <w:marBottom w:val="0"/>
      <w:divBdr>
        <w:top w:val="none" w:sz="0" w:space="0" w:color="auto"/>
        <w:left w:val="none" w:sz="0" w:space="0" w:color="auto"/>
        <w:bottom w:val="none" w:sz="0" w:space="0" w:color="auto"/>
        <w:right w:val="none" w:sz="0" w:space="0" w:color="auto"/>
      </w:divBdr>
    </w:div>
    <w:div w:id="385686993">
      <w:bodyDiv w:val="1"/>
      <w:marLeft w:val="0"/>
      <w:marRight w:val="0"/>
      <w:marTop w:val="0"/>
      <w:marBottom w:val="0"/>
      <w:divBdr>
        <w:top w:val="none" w:sz="0" w:space="0" w:color="auto"/>
        <w:left w:val="none" w:sz="0" w:space="0" w:color="auto"/>
        <w:bottom w:val="none" w:sz="0" w:space="0" w:color="auto"/>
        <w:right w:val="none" w:sz="0" w:space="0" w:color="auto"/>
      </w:divBdr>
    </w:div>
    <w:div w:id="433749142">
      <w:bodyDiv w:val="1"/>
      <w:marLeft w:val="0"/>
      <w:marRight w:val="0"/>
      <w:marTop w:val="0"/>
      <w:marBottom w:val="0"/>
      <w:divBdr>
        <w:top w:val="none" w:sz="0" w:space="0" w:color="auto"/>
        <w:left w:val="none" w:sz="0" w:space="0" w:color="auto"/>
        <w:bottom w:val="none" w:sz="0" w:space="0" w:color="auto"/>
        <w:right w:val="none" w:sz="0" w:space="0" w:color="auto"/>
      </w:divBdr>
    </w:div>
    <w:div w:id="444886077">
      <w:bodyDiv w:val="1"/>
      <w:marLeft w:val="0"/>
      <w:marRight w:val="0"/>
      <w:marTop w:val="0"/>
      <w:marBottom w:val="0"/>
      <w:divBdr>
        <w:top w:val="none" w:sz="0" w:space="0" w:color="auto"/>
        <w:left w:val="none" w:sz="0" w:space="0" w:color="auto"/>
        <w:bottom w:val="none" w:sz="0" w:space="0" w:color="auto"/>
        <w:right w:val="none" w:sz="0" w:space="0" w:color="auto"/>
      </w:divBdr>
    </w:div>
    <w:div w:id="448159916">
      <w:bodyDiv w:val="1"/>
      <w:marLeft w:val="0"/>
      <w:marRight w:val="0"/>
      <w:marTop w:val="0"/>
      <w:marBottom w:val="0"/>
      <w:divBdr>
        <w:top w:val="none" w:sz="0" w:space="0" w:color="auto"/>
        <w:left w:val="none" w:sz="0" w:space="0" w:color="auto"/>
        <w:bottom w:val="none" w:sz="0" w:space="0" w:color="auto"/>
        <w:right w:val="none" w:sz="0" w:space="0" w:color="auto"/>
      </w:divBdr>
    </w:div>
    <w:div w:id="448359016">
      <w:bodyDiv w:val="1"/>
      <w:marLeft w:val="0"/>
      <w:marRight w:val="0"/>
      <w:marTop w:val="0"/>
      <w:marBottom w:val="0"/>
      <w:divBdr>
        <w:top w:val="none" w:sz="0" w:space="0" w:color="auto"/>
        <w:left w:val="none" w:sz="0" w:space="0" w:color="auto"/>
        <w:bottom w:val="none" w:sz="0" w:space="0" w:color="auto"/>
        <w:right w:val="none" w:sz="0" w:space="0" w:color="auto"/>
      </w:divBdr>
    </w:div>
    <w:div w:id="466163622">
      <w:bodyDiv w:val="1"/>
      <w:marLeft w:val="0"/>
      <w:marRight w:val="0"/>
      <w:marTop w:val="0"/>
      <w:marBottom w:val="0"/>
      <w:divBdr>
        <w:top w:val="none" w:sz="0" w:space="0" w:color="auto"/>
        <w:left w:val="none" w:sz="0" w:space="0" w:color="auto"/>
        <w:bottom w:val="none" w:sz="0" w:space="0" w:color="auto"/>
        <w:right w:val="none" w:sz="0" w:space="0" w:color="auto"/>
      </w:divBdr>
      <w:divsChild>
        <w:div w:id="59403976">
          <w:marLeft w:val="0"/>
          <w:marRight w:val="0"/>
          <w:marTop w:val="0"/>
          <w:marBottom w:val="0"/>
          <w:divBdr>
            <w:top w:val="none" w:sz="0" w:space="0" w:color="auto"/>
            <w:left w:val="none" w:sz="0" w:space="0" w:color="auto"/>
            <w:bottom w:val="none" w:sz="0" w:space="0" w:color="auto"/>
            <w:right w:val="none" w:sz="0" w:space="0" w:color="auto"/>
          </w:divBdr>
          <w:divsChild>
            <w:div w:id="1904871318">
              <w:marLeft w:val="0"/>
              <w:marRight w:val="0"/>
              <w:marTop w:val="0"/>
              <w:marBottom w:val="0"/>
              <w:divBdr>
                <w:top w:val="none" w:sz="0" w:space="0" w:color="auto"/>
                <w:left w:val="none" w:sz="0" w:space="0" w:color="auto"/>
                <w:bottom w:val="none" w:sz="0" w:space="0" w:color="auto"/>
                <w:right w:val="none" w:sz="0" w:space="0" w:color="auto"/>
              </w:divBdr>
              <w:divsChild>
                <w:div w:id="1797065688">
                  <w:marLeft w:val="0"/>
                  <w:marRight w:val="0"/>
                  <w:marTop w:val="0"/>
                  <w:marBottom w:val="0"/>
                  <w:divBdr>
                    <w:top w:val="none" w:sz="0" w:space="0" w:color="auto"/>
                    <w:left w:val="none" w:sz="0" w:space="0" w:color="auto"/>
                    <w:bottom w:val="none" w:sz="0" w:space="0" w:color="auto"/>
                    <w:right w:val="none" w:sz="0" w:space="0" w:color="auto"/>
                  </w:divBdr>
                  <w:divsChild>
                    <w:div w:id="104710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753702">
      <w:bodyDiv w:val="1"/>
      <w:marLeft w:val="0"/>
      <w:marRight w:val="0"/>
      <w:marTop w:val="0"/>
      <w:marBottom w:val="0"/>
      <w:divBdr>
        <w:top w:val="none" w:sz="0" w:space="0" w:color="auto"/>
        <w:left w:val="none" w:sz="0" w:space="0" w:color="auto"/>
        <w:bottom w:val="none" w:sz="0" w:space="0" w:color="auto"/>
        <w:right w:val="none" w:sz="0" w:space="0" w:color="auto"/>
      </w:divBdr>
    </w:div>
    <w:div w:id="534390553">
      <w:bodyDiv w:val="1"/>
      <w:marLeft w:val="0"/>
      <w:marRight w:val="0"/>
      <w:marTop w:val="0"/>
      <w:marBottom w:val="0"/>
      <w:divBdr>
        <w:top w:val="none" w:sz="0" w:space="0" w:color="auto"/>
        <w:left w:val="none" w:sz="0" w:space="0" w:color="auto"/>
        <w:bottom w:val="none" w:sz="0" w:space="0" w:color="auto"/>
        <w:right w:val="none" w:sz="0" w:space="0" w:color="auto"/>
      </w:divBdr>
    </w:div>
    <w:div w:id="607470962">
      <w:bodyDiv w:val="1"/>
      <w:marLeft w:val="0"/>
      <w:marRight w:val="0"/>
      <w:marTop w:val="0"/>
      <w:marBottom w:val="0"/>
      <w:divBdr>
        <w:top w:val="none" w:sz="0" w:space="0" w:color="auto"/>
        <w:left w:val="none" w:sz="0" w:space="0" w:color="auto"/>
        <w:bottom w:val="none" w:sz="0" w:space="0" w:color="auto"/>
        <w:right w:val="none" w:sz="0" w:space="0" w:color="auto"/>
      </w:divBdr>
    </w:div>
    <w:div w:id="684399871">
      <w:bodyDiv w:val="1"/>
      <w:marLeft w:val="0"/>
      <w:marRight w:val="0"/>
      <w:marTop w:val="0"/>
      <w:marBottom w:val="0"/>
      <w:divBdr>
        <w:top w:val="none" w:sz="0" w:space="0" w:color="auto"/>
        <w:left w:val="none" w:sz="0" w:space="0" w:color="auto"/>
        <w:bottom w:val="none" w:sz="0" w:space="0" w:color="auto"/>
        <w:right w:val="none" w:sz="0" w:space="0" w:color="auto"/>
      </w:divBdr>
      <w:divsChild>
        <w:div w:id="1440293728">
          <w:marLeft w:val="0"/>
          <w:marRight w:val="0"/>
          <w:marTop w:val="0"/>
          <w:marBottom w:val="0"/>
          <w:divBdr>
            <w:top w:val="none" w:sz="0" w:space="0" w:color="auto"/>
            <w:left w:val="none" w:sz="0" w:space="0" w:color="auto"/>
            <w:bottom w:val="none" w:sz="0" w:space="0" w:color="auto"/>
            <w:right w:val="none" w:sz="0" w:space="0" w:color="auto"/>
          </w:divBdr>
          <w:divsChild>
            <w:div w:id="1813213868">
              <w:marLeft w:val="0"/>
              <w:marRight w:val="0"/>
              <w:marTop w:val="0"/>
              <w:marBottom w:val="0"/>
              <w:divBdr>
                <w:top w:val="none" w:sz="0" w:space="0" w:color="auto"/>
                <w:left w:val="none" w:sz="0" w:space="0" w:color="auto"/>
                <w:bottom w:val="none" w:sz="0" w:space="0" w:color="auto"/>
                <w:right w:val="none" w:sz="0" w:space="0" w:color="auto"/>
              </w:divBdr>
              <w:divsChild>
                <w:div w:id="154706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6291">
      <w:bodyDiv w:val="1"/>
      <w:marLeft w:val="0"/>
      <w:marRight w:val="0"/>
      <w:marTop w:val="0"/>
      <w:marBottom w:val="0"/>
      <w:divBdr>
        <w:top w:val="none" w:sz="0" w:space="0" w:color="auto"/>
        <w:left w:val="none" w:sz="0" w:space="0" w:color="auto"/>
        <w:bottom w:val="none" w:sz="0" w:space="0" w:color="auto"/>
        <w:right w:val="none" w:sz="0" w:space="0" w:color="auto"/>
      </w:divBdr>
    </w:div>
    <w:div w:id="864832206">
      <w:bodyDiv w:val="1"/>
      <w:marLeft w:val="0"/>
      <w:marRight w:val="0"/>
      <w:marTop w:val="0"/>
      <w:marBottom w:val="0"/>
      <w:divBdr>
        <w:top w:val="none" w:sz="0" w:space="0" w:color="auto"/>
        <w:left w:val="none" w:sz="0" w:space="0" w:color="auto"/>
        <w:bottom w:val="none" w:sz="0" w:space="0" w:color="auto"/>
        <w:right w:val="none" w:sz="0" w:space="0" w:color="auto"/>
      </w:divBdr>
    </w:div>
    <w:div w:id="880751870">
      <w:bodyDiv w:val="1"/>
      <w:marLeft w:val="0"/>
      <w:marRight w:val="0"/>
      <w:marTop w:val="0"/>
      <w:marBottom w:val="0"/>
      <w:divBdr>
        <w:top w:val="none" w:sz="0" w:space="0" w:color="auto"/>
        <w:left w:val="none" w:sz="0" w:space="0" w:color="auto"/>
        <w:bottom w:val="none" w:sz="0" w:space="0" w:color="auto"/>
        <w:right w:val="none" w:sz="0" w:space="0" w:color="auto"/>
      </w:divBdr>
      <w:divsChild>
        <w:div w:id="1263873762">
          <w:marLeft w:val="0"/>
          <w:marRight w:val="0"/>
          <w:marTop w:val="0"/>
          <w:marBottom w:val="0"/>
          <w:divBdr>
            <w:top w:val="none" w:sz="0" w:space="0" w:color="auto"/>
            <w:left w:val="none" w:sz="0" w:space="0" w:color="auto"/>
            <w:bottom w:val="none" w:sz="0" w:space="0" w:color="auto"/>
            <w:right w:val="none" w:sz="0" w:space="0" w:color="auto"/>
          </w:divBdr>
          <w:divsChild>
            <w:div w:id="1519346847">
              <w:marLeft w:val="0"/>
              <w:marRight w:val="0"/>
              <w:marTop w:val="0"/>
              <w:marBottom w:val="0"/>
              <w:divBdr>
                <w:top w:val="none" w:sz="0" w:space="0" w:color="auto"/>
                <w:left w:val="none" w:sz="0" w:space="0" w:color="auto"/>
                <w:bottom w:val="none" w:sz="0" w:space="0" w:color="auto"/>
                <w:right w:val="none" w:sz="0" w:space="0" w:color="auto"/>
              </w:divBdr>
              <w:divsChild>
                <w:div w:id="43267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347226">
      <w:bodyDiv w:val="1"/>
      <w:marLeft w:val="0"/>
      <w:marRight w:val="0"/>
      <w:marTop w:val="0"/>
      <w:marBottom w:val="0"/>
      <w:divBdr>
        <w:top w:val="none" w:sz="0" w:space="0" w:color="auto"/>
        <w:left w:val="none" w:sz="0" w:space="0" w:color="auto"/>
        <w:bottom w:val="none" w:sz="0" w:space="0" w:color="auto"/>
        <w:right w:val="none" w:sz="0" w:space="0" w:color="auto"/>
      </w:divBdr>
    </w:div>
    <w:div w:id="959536410">
      <w:bodyDiv w:val="1"/>
      <w:marLeft w:val="0"/>
      <w:marRight w:val="0"/>
      <w:marTop w:val="0"/>
      <w:marBottom w:val="0"/>
      <w:divBdr>
        <w:top w:val="none" w:sz="0" w:space="0" w:color="auto"/>
        <w:left w:val="none" w:sz="0" w:space="0" w:color="auto"/>
        <w:bottom w:val="none" w:sz="0" w:space="0" w:color="auto"/>
        <w:right w:val="none" w:sz="0" w:space="0" w:color="auto"/>
      </w:divBdr>
    </w:div>
    <w:div w:id="959728064">
      <w:bodyDiv w:val="1"/>
      <w:marLeft w:val="0"/>
      <w:marRight w:val="0"/>
      <w:marTop w:val="0"/>
      <w:marBottom w:val="0"/>
      <w:divBdr>
        <w:top w:val="none" w:sz="0" w:space="0" w:color="auto"/>
        <w:left w:val="none" w:sz="0" w:space="0" w:color="auto"/>
        <w:bottom w:val="none" w:sz="0" w:space="0" w:color="auto"/>
        <w:right w:val="none" w:sz="0" w:space="0" w:color="auto"/>
      </w:divBdr>
      <w:divsChild>
        <w:div w:id="1710761991">
          <w:marLeft w:val="0"/>
          <w:marRight w:val="0"/>
          <w:marTop w:val="0"/>
          <w:marBottom w:val="0"/>
          <w:divBdr>
            <w:top w:val="none" w:sz="0" w:space="0" w:color="auto"/>
            <w:left w:val="none" w:sz="0" w:space="0" w:color="auto"/>
            <w:bottom w:val="none" w:sz="0" w:space="0" w:color="auto"/>
            <w:right w:val="none" w:sz="0" w:space="0" w:color="auto"/>
          </w:divBdr>
          <w:divsChild>
            <w:div w:id="774977249">
              <w:marLeft w:val="0"/>
              <w:marRight w:val="0"/>
              <w:marTop w:val="0"/>
              <w:marBottom w:val="0"/>
              <w:divBdr>
                <w:top w:val="none" w:sz="0" w:space="0" w:color="auto"/>
                <w:left w:val="none" w:sz="0" w:space="0" w:color="auto"/>
                <w:bottom w:val="none" w:sz="0" w:space="0" w:color="auto"/>
                <w:right w:val="none" w:sz="0" w:space="0" w:color="auto"/>
              </w:divBdr>
              <w:divsChild>
                <w:div w:id="92106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037548">
      <w:bodyDiv w:val="1"/>
      <w:marLeft w:val="0"/>
      <w:marRight w:val="0"/>
      <w:marTop w:val="0"/>
      <w:marBottom w:val="0"/>
      <w:divBdr>
        <w:top w:val="none" w:sz="0" w:space="0" w:color="auto"/>
        <w:left w:val="none" w:sz="0" w:space="0" w:color="auto"/>
        <w:bottom w:val="none" w:sz="0" w:space="0" w:color="auto"/>
        <w:right w:val="none" w:sz="0" w:space="0" w:color="auto"/>
      </w:divBdr>
    </w:div>
    <w:div w:id="1052464449">
      <w:bodyDiv w:val="1"/>
      <w:marLeft w:val="0"/>
      <w:marRight w:val="0"/>
      <w:marTop w:val="0"/>
      <w:marBottom w:val="0"/>
      <w:divBdr>
        <w:top w:val="none" w:sz="0" w:space="0" w:color="auto"/>
        <w:left w:val="none" w:sz="0" w:space="0" w:color="auto"/>
        <w:bottom w:val="none" w:sz="0" w:space="0" w:color="auto"/>
        <w:right w:val="none" w:sz="0" w:space="0" w:color="auto"/>
      </w:divBdr>
    </w:div>
    <w:div w:id="1131872694">
      <w:bodyDiv w:val="1"/>
      <w:marLeft w:val="0"/>
      <w:marRight w:val="0"/>
      <w:marTop w:val="0"/>
      <w:marBottom w:val="0"/>
      <w:divBdr>
        <w:top w:val="none" w:sz="0" w:space="0" w:color="auto"/>
        <w:left w:val="none" w:sz="0" w:space="0" w:color="auto"/>
        <w:bottom w:val="none" w:sz="0" w:space="0" w:color="auto"/>
        <w:right w:val="none" w:sz="0" w:space="0" w:color="auto"/>
      </w:divBdr>
    </w:div>
    <w:div w:id="1151143643">
      <w:bodyDiv w:val="1"/>
      <w:marLeft w:val="0"/>
      <w:marRight w:val="0"/>
      <w:marTop w:val="0"/>
      <w:marBottom w:val="0"/>
      <w:divBdr>
        <w:top w:val="none" w:sz="0" w:space="0" w:color="auto"/>
        <w:left w:val="none" w:sz="0" w:space="0" w:color="auto"/>
        <w:bottom w:val="none" w:sz="0" w:space="0" w:color="auto"/>
        <w:right w:val="none" w:sz="0" w:space="0" w:color="auto"/>
      </w:divBdr>
      <w:divsChild>
        <w:div w:id="1031341495">
          <w:marLeft w:val="0"/>
          <w:marRight w:val="0"/>
          <w:marTop w:val="0"/>
          <w:marBottom w:val="0"/>
          <w:divBdr>
            <w:top w:val="none" w:sz="0" w:space="0" w:color="auto"/>
            <w:left w:val="none" w:sz="0" w:space="0" w:color="auto"/>
            <w:bottom w:val="none" w:sz="0" w:space="0" w:color="auto"/>
            <w:right w:val="none" w:sz="0" w:space="0" w:color="auto"/>
          </w:divBdr>
          <w:divsChild>
            <w:div w:id="1169254222">
              <w:marLeft w:val="0"/>
              <w:marRight w:val="0"/>
              <w:marTop w:val="0"/>
              <w:marBottom w:val="0"/>
              <w:divBdr>
                <w:top w:val="none" w:sz="0" w:space="0" w:color="auto"/>
                <w:left w:val="none" w:sz="0" w:space="0" w:color="auto"/>
                <w:bottom w:val="none" w:sz="0" w:space="0" w:color="auto"/>
                <w:right w:val="none" w:sz="0" w:space="0" w:color="auto"/>
              </w:divBdr>
              <w:divsChild>
                <w:div w:id="207535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544441">
      <w:bodyDiv w:val="1"/>
      <w:marLeft w:val="0"/>
      <w:marRight w:val="0"/>
      <w:marTop w:val="0"/>
      <w:marBottom w:val="0"/>
      <w:divBdr>
        <w:top w:val="none" w:sz="0" w:space="0" w:color="auto"/>
        <w:left w:val="none" w:sz="0" w:space="0" w:color="auto"/>
        <w:bottom w:val="none" w:sz="0" w:space="0" w:color="auto"/>
        <w:right w:val="none" w:sz="0" w:space="0" w:color="auto"/>
      </w:divBdr>
    </w:div>
    <w:div w:id="1246262824">
      <w:bodyDiv w:val="1"/>
      <w:marLeft w:val="0"/>
      <w:marRight w:val="0"/>
      <w:marTop w:val="0"/>
      <w:marBottom w:val="0"/>
      <w:divBdr>
        <w:top w:val="none" w:sz="0" w:space="0" w:color="auto"/>
        <w:left w:val="none" w:sz="0" w:space="0" w:color="auto"/>
        <w:bottom w:val="none" w:sz="0" w:space="0" w:color="auto"/>
        <w:right w:val="none" w:sz="0" w:space="0" w:color="auto"/>
      </w:divBdr>
    </w:div>
    <w:div w:id="1247033906">
      <w:bodyDiv w:val="1"/>
      <w:marLeft w:val="0"/>
      <w:marRight w:val="0"/>
      <w:marTop w:val="0"/>
      <w:marBottom w:val="0"/>
      <w:divBdr>
        <w:top w:val="none" w:sz="0" w:space="0" w:color="auto"/>
        <w:left w:val="none" w:sz="0" w:space="0" w:color="auto"/>
        <w:bottom w:val="none" w:sz="0" w:space="0" w:color="auto"/>
        <w:right w:val="none" w:sz="0" w:space="0" w:color="auto"/>
      </w:divBdr>
    </w:div>
    <w:div w:id="1367028227">
      <w:bodyDiv w:val="1"/>
      <w:marLeft w:val="0"/>
      <w:marRight w:val="0"/>
      <w:marTop w:val="0"/>
      <w:marBottom w:val="0"/>
      <w:divBdr>
        <w:top w:val="none" w:sz="0" w:space="0" w:color="auto"/>
        <w:left w:val="none" w:sz="0" w:space="0" w:color="auto"/>
        <w:bottom w:val="none" w:sz="0" w:space="0" w:color="auto"/>
        <w:right w:val="none" w:sz="0" w:space="0" w:color="auto"/>
      </w:divBdr>
    </w:div>
    <w:div w:id="1466698404">
      <w:bodyDiv w:val="1"/>
      <w:marLeft w:val="0"/>
      <w:marRight w:val="0"/>
      <w:marTop w:val="0"/>
      <w:marBottom w:val="0"/>
      <w:divBdr>
        <w:top w:val="none" w:sz="0" w:space="0" w:color="auto"/>
        <w:left w:val="none" w:sz="0" w:space="0" w:color="auto"/>
        <w:bottom w:val="none" w:sz="0" w:space="0" w:color="auto"/>
        <w:right w:val="none" w:sz="0" w:space="0" w:color="auto"/>
      </w:divBdr>
    </w:div>
    <w:div w:id="1494447513">
      <w:bodyDiv w:val="1"/>
      <w:marLeft w:val="0"/>
      <w:marRight w:val="0"/>
      <w:marTop w:val="0"/>
      <w:marBottom w:val="0"/>
      <w:divBdr>
        <w:top w:val="none" w:sz="0" w:space="0" w:color="auto"/>
        <w:left w:val="none" w:sz="0" w:space="0" w:color="auto"/>
        <w:bottom w:val="none" w:sz="0" w:space="0" w:color="auto"/>
        <w:right w:val="none" w:sz="0" w:space="0" w:color="auto"/>
      </w:divBdr>
    </w:div>
    <w:div w:id="1644580661">
      <w:bodyDiv w:val="1"/>
      <w:marLeft w:val="0"/>
      <w:marRight w:val="0"/>
      <w:marTop w:val="0"/>
      <w:marBottom w:val="0"/>
      <w:divBdr>
        <w:top w:val="none" w:sz="0" w:space="0" w:color="auto"/>
        <w:left w:val="none" w:sz="0" w:space="0" w:color="auto"/>
        <w:bottom w:val="none" w:sz="0" w:space="0" w:color="auto"/>
        <w:right w:val="none" w:sz="0" w:space="0" w:color="auto"/>
      </w:divBdr>
    </w:div>
    <w:div w:id="1645963542">
      <w:bodyDiv w:val="1"/>
      <w:marLeft w:val="0"/>
      <w:marRight w:val="0"/>
      <w:marTop w:val="0"/>
      <w:marBottom w:val="0"/>
      <w:divBdr>
        <w:top w:val="none" w:sz="0" w:space="0" w:color="auto"/>
        <w:left w:val="none" w:sz="0" w:space="0" w:color="auto"/>
        <w:bottom w:val="none" w:sz="0" w:space="0" w:color="auto"/>
        <w:right w:val="none" w:sz="0" w:space="0" w:color="auto"/>
      </w:divBdr>
    </w:div>
    <w:div w:id="1654291600">
      <w:bodyDiv w:val="1"/>
      <w:marLeft w:val="0"/>
      <w:marRight w:val="0"/>
      <w:marTop w:val="0"/>
      <w:marBottom w:val="0"/>
      <w:divBdr>
        <w:top w:val="none" w:sz="0" w:space="0" w:color="auto"/>
        <w:left w:val="none" w:sz="0" w:space="0" w:color="auto"/>
        <w:bottom w:val="none" w:sz="0" w:space="0" w:color="auto"/>
        <w:right w:val="none" w:sz="0" w:space="0" w:color="auto"/>
      </w:divBdr>
      <w:divsChild>
        <w:div w:id="1717468198">
          <w:marLeft w:val="0"/>
          <w:marRight w:val="0"/>
          <w:marTop w:val="0"/>
          <w:marBottom w:val="0"/>
          <w:divBdr>
            <w:top w:val="none" w:sz="0" w:space="0" w:color="auto"/>
            <w:left w:val="none" w:sz="0" w:space="0" w:color="auto"/>
            <w:bottom w:val="none" w:sz="0" w:space="0" w:color="auto"/>
            <w:right w:val="none" w:sz="0" w:space="0" w:color="auto"/>
          </w:divBdr>
          <w:divsChild>
            <w:div w:id="56709312">
              <w:marLeft w:val="0"/>
              <w:marRight w:val="0"/>
              <w:marTop w:val="0"/>
              <w:marBottom w:val="0"/>
              <w:divBdr>
                <w:top w:val="none" w:sz="0" w:space="0" w:color="auto"/>
                <w:left w:val="none" w:sz="0" w:space="0" w:color="auto"/>
                <w:bottom w:val="none" w:sz="0" w:space="0" w:color="auto"/>
                <w:right w:val="none" w:sz="0" w:space="0" w:color="auto"/>
              </w:divBdr>
              <w:divsChild>
                <w:div w:id="185637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273249">
      <w:bodyDiv w:val="1"/>
      <w:marLeft w:val="0"/>
      <w:marRight w:val="0"/>
      <w:marTop w:val="0"/>
      <w:marBottom w:val="0"/>
      <w:divBdr>
        <w:top w:val="none" w:sz="0" w:space="0" w:color="auto"/>
        <w:left w:val="none" w:sz="0" w:space="0" w:color="auto"/>
        <w:bottom w:val="none" w:sz="0" w:space="0" w:color="auto"/>
        <w:right w:val="none" w:sz="0" w:space="0" w:color="auto"/>
      </w:divBdr>
    </w:div>
    <w:div w:id="1737438498">
      <w:bodyDiv w:val="1"/>
      <w:marLeft w:val="0"/>
      <w:marRight w:val="0"/>
      <w:marTop w:val="0"/>
      <w:marBottom w:val="0"/>
      <w:divBdr>
        <w:top w:val="none" w:sz="0" w:space="0" w:color="auto"/>
        <w:left w:val="none" w:sz="0" w:space="0" w:color="auto"/>
        <w:bottom w:val="none" w:sz="0" w:space="0" w:color="auto"/>
        <w:right w:val="none" w:sz="0" w:space="0" w:color="auto"/>
      </w:divBdr>
    </w:div>
    <w:div w:id="1748720690">
      <w:bodyDiv w:val="1"/>
      <w:marLeft w:val="0"/>
      <w:marRight w:val="0"/>
      <w:marTop w:val="0"/>
      <w:marBottom w:val="0"/>
      <w:divBdr>
        <w:top w:val="none" w:sz="0" w:space="0" w:color="auto"/>
        <w:left w:val="none" w:sz="0" w:space="0" w:color="auto"/>
        <w:bottom w:val="none" w:sz="0" w:space="0" w:color="auto"/>
        <w:right w:val="none" w:sz="0" w:space="0" w:color="auto"/>
      </w:divBdr>
    </w:div>
    <w:div w:id="1846703325">
      <w:bodyDiv w:val="1"/>
      <w:marLeft w:val="0"/>
      <w:marRight w:val="0"/>
      <w:marTop w:val="0"/>
      <w:marBottom w:val="0"/>
      <w:divBdr>
        <w:top w:val="none" w:sz="0" w:space="0" w:color="auto"/>
        <w:left w:val="none" w:sz="0" w:space="0" w:color="auto"/>
        <w:bottom w:val="none" w:sz="0" w:space="0" w:color="auto"/>
        <w:right w:val="none" w:sz="0" w:space="0" w:color="auto"/>
      </w:divBdr>
    </w:div>
    <w:div w:id="1850607215">
      <w:bodyDiv w:val="1"/>
      <w:marLeft w:val="0"/>
      <w:marRight w:val="0"/>
      <w:marTop w:val="0"/>
      <w:marBottom w:val="0"/>
      <w:divBdr>
        <w:top w:val="none" w:sz="0" w:space="0" w:color="auto"/>
        <w:left w:val="none" w:sz="0" w:space="0" w:color="auto"/>
        <w:bottom w:val="none" w:sz="0" w:space="0" w:color="auto"/>
        <w:right w:val="none" w:sz="0" w:space="0" w:color="auto"/>
      </w:divBdr>
    </w:div>
    <w:div w:id="1878544649">
      <w:bodyDiv w:val="1"/>
      <w:marLeft w:val="0"/>
      <w:marRight w:val="0"/>
      <w:marTop w:val="0"/>
      <w:marBottom w:val="0"/>
      <w:divBdr>
        <w:top w:val="none" w:sz="0" w:space="0" w:color="auto"/>
        <w:left w:val="none" w:sz="0" w:space="0" w:color="auto"/>
        <w:bottom w:val="none" w:sz="0" w:space="0" w:color="auto"/>
        <w:right w:val="none" w:sz="0" w:space="0" w:color="auto"/>
      </w:divBdr>
    </w:div>
    <w:div w:id="1969240534">
      <w:bodyDiv w:val="1"/>
      <w:marLeft w:val="0"/>
      <w:marRight w:val="0"/>
      <w:marTop w:val="0"/>
      <w:marBottom w:val="0"/>
      <w:divBdr>
        <w:top w:val="none" w:sz="0" w:space="0" w:color="auto"/>
        <w:left w:val="none" w:sz="0" w:space="0" w:color="auto"/>
        <w:bottom w:val="none" w:sz="0" w:space="0" w:color="auto"/>
        <w:right w:val="none" w:sz="0" w:space="0" w:color="auto"/>
      </w:divBdr>
    </w:div>
    <w:div w:id="1973945520">
      <w:bodyDiv w:val="1"/>
      <w:marLeft w:val="0"/>
      <w:marRight w:val="0"/>
      <w:marTop w:val="0"/>
      <w:marBottom w:val="0"/>
      <w:divBdr>
        <w:top w:val="none" w:sz="0" w:space="0" w:color="auto"/>
        <w:left w:val="none" w:sz="0" w:space="0" w:color="auto"/>
        <w:bottom w:val="none" w:sz="0" w:space="0" w:color="auto"/>
        <w:right w:val="none" w:sz="0" w:space="0" w:color="auto"/>
      </w:divBdr>
      <w:divsChild>
        <w:div w:id="719742349">
          <w:marLeft w:val="0"/>
          <w:marRight w:val="0"/>
          <w:marTop w:val="0"/>
          <w:marBottom w:val="0"/>
          <w:divBdr>
            <w:top w:val="single" w:sz="2" w:space="0" w:color="D9D9E3"/>
            <w:left w:val="single" w:sz="2" w:space="0" w:color="D9D9E3"/>
            <w:bottom w:val="single" w:sz="2" w:space="0" w:color="D9D9E3"/>
            <w:right w:val="single" w:sz="2" w:space="0" w:color="D9D9E3"/>
          </w:divBdr>
          <w:divsChild>
            <w:div w:id="441416380">
              <w:marLeft w:val="0"/>
              <w:marRight w:val="0"/>
              <w:marTop w:val="0"/>
              <w:marBottom w:val="0"/>
              <w:divBdr>
                <w:top w:val="single" w:sz="2" w:space="0" w:color="D9D9E3"/>
                <w:left w:val="single" w:sz="2" w:space="0" w:color="D9D9E3"/>
                <w:bottom w:val="single" w:sz="2" w:space="0" w:color="D9D9E3"/>
                <w:right w:val="single" w:sz="2" w:space="0" w:color="D9D9E3"/>
              </w:divBdr>
              <w:divsChild>
                <w:div w:id="2079209937">
                  <w:marLeft w:val="0"/>
                  <w:marRight w:val="0"/>
                  <w:marTop w:val="0"/>
                  <w:marBottom w:val="0"/>
                  <w:divBdr>
                    <w:top w:val="single" w:sz="2" w:space="0" w:color="D9D9E3"/>
                    <w:left w:val="single" w:sz="2" w:space="0" w:color="D9D9E3"/>
                    <w:bottom w:val="single" w:sz="2" w:space="0" w:color="D9D9E3"/>
                    <w:right w:val="single" w:sz="2" w:space="0" w:color="D9D9E3"/>
                  </w:divBdr>
                  <w:divsChild>
                    <w:div w:id="2062709671">
                      <w:marLeft w:val="0"/>
                      <w:marRight w:val="0"/>
                      <w:marTop w:val="0"/>
                      <w:marBottom w:val="0"/>
                      <w:divBdr>
                        <w:top w:val="single" w:sz="2" w:space="0" w:color="D9D9E3"/>
                        <w:left w:val="single" w:sz="2" w:space="0" w:color="D9D9E3"/>
                        <w:bottom w:val="single" w:sz="2" w:space="0" w:color="D9D9E3"/>
                        <w:right w:val="single" w:sz="2" w:space="0" w:color="D9D9E3"/>
                      </w:divBdr>
                      <w:divsChild>
                        <w:div w:id="114299148">
                          <w:marLeft w:val="0"/>
                          <w:marRight w:val="0"/>
                          <w:marTop w:val="0"/>
                          <w:marBottom w:val="0"/>
                          <w:divBdr>
                            <w:top w:val="single" w:sz="2" w:space="0" w:color="auto"/>
                            <w:left w:val="single" w:sz="2" w:space="0" w:color="auto"/>
                            <w:bottom w:val="single" w:sz="6" w:space="0" w:color="auto"/>
                            <w:right w:val="single" w:sz="2" w:space="0" w:color="auto"/>
                          </w:divBdr>
                          <w:divsChild>
                            <w:div w:id="477917322">
                              <w:marLeft w:val="0"/>
                              <w:marRight w:val="0"/>
                              <w:marTop w:val="100"/>
                              <w:marBottom w:val="100"/>
                              <w:divBdr>
                                <w:top w:val="single" w:sz="2" w:space="0" w:color="D9D9E3"/>
                                <w:left w:val="single" w:sz="2" w:space="0" w:color="D9D9E3"/>
                                <w:bottom w:val="single" w:sz="2" w:space="0" w:color="D9D9E3"/>
                                <w:right w:val="single" w:sz="2" w:space="0" w:color="D9D9E3"/>
                              </w:divBdr>
                              <w:divsChild>
                                <w:div w:id="6757792">
                                  <w:marLeft w:val="0"/>
                                  <w:marRight w:val="0"/>
                                  <w:marTop w:val="0"/>
                                  <w:marBottom w:val="0"/>
                                  <w:divBdr>
                                    <w:top w:val="single" w:sz="2" w:space="0" w:color="D9D9E3"/>
                                    <w:left w:val="single" w:sz="2" w:space="0" w:color="D9D9E3"/>
                                    <w:bottom w:val="single" w:sz="2" w:space="0" w:color="D9D9E3"/>
                                    <w:right w:val="single" w:sz="2" w:space="0" w:color="D9D9E3"/>
                                  </w:divBdr>
                                  <w:divsChild>
                                    <w:div w:id="1618372739">
                                      <w:marLeft w:val="0"/>
                                      <w:marRight w:val="0"/>
                                      <w:marTop w:val="0"/>
                                      <w:marBottom w:val="0"/>
                                      <w:divBdr>
                                        <w:top w:val="single" w:sz="2" w:space="0" w:color="D9D9E3"/>
                                        <w:left w:val="single" w:sz="2" w:space="0" w:color="D9D9E3"/>
                                        <w:bottom w:val="single" w:sz="2" w:space="0" w:color="D9D9E3"/>
                                        <w:right w:val="single" w:sz="2" w:space="0" w:color="D9D9E3"/>
                                      </w:divBdr>
                                      <w:divsChild>
                                        <w:div w:id="419299737">
                                          <w:marLeft w:val="0"/>
                                          <w:marRight w:val="0"/>
                                          <w:marTop w:val="0"/>
                                          <w:marBottom w:val="0"/>
                                          <w:divBdr>
                                            <w:top w:val="single" w:sz="2" w:space="0" w:color="D9D9E3"/>
                                            <w:left w:val="single" w:sz="2" w:space="0" w:color="D9D9E3"/>
                                            <w:bottom w:val="single" w:sz="2" w:space="0" w:color="D9D9E3"/>
                                            <w:right w:val="single" w:sz="2" w:space="0" w:color="D9D9E3"/>
                                          </w:divBdr>
                                          <w:divsChild>
                                            <w:div w:id="53747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8224188">
          <w:marLeft w:val="0"/>
          <w:marRight w:val="0"/>
          <w:marTop w:val="0"/>
          <w:marBottom w:val="0"/>
          <w:divBdr>
            <w:top w:val="none" w:sz="0" w:space="0" w:color="auto"/>
            <w:left w:val="none" w:sz="0" w:space="0" w:color="auto"/>
            <w:bottom w:val="none" w:sz="0" w:space="0" w:color="auto"/>
            <w:right w:val="none" w:sz="0" w:space="0" w:color="auto"/>
          </w:divBdr>
          <w:divsChild>
            <w:div w:id="2092509854">
              <w:marLeft w:val="0"/>
              <w:marRight w:val="0"/>
              <w:marTop w:val="0"/>
              <w:marBottom w:val="0"/>
              <w:divBdr>
                <w:top w:val="single" w:sz="2" w:space="0" w:color="D9D9E3"/>
                <w:left w:val="single" w:sz="2" w:space="0" w:color="D9D9E3"/>
                <w:bottom w:val="single" w:sz="2" w:space="0" w:color="D9D9E3"/>
                <w:right w:val="single" w:sz="2" w:space="0" w:color="D9D9E3"/>
              </w:divBdr>
              <w:divsChild>
                <w:div w:id="1053308558">
                  <w:marLeft w:val="0"/>
                  <w:marRight w:val="0"/>
                  <w:marTop w:val="0"/>
                  <w:marBottom w:val="0"/>
                  <w:divBdr>
                    <w:top w:val="single" w:sz="2" w:space="0" w:color="D9D9E3"/>
                    <w:left w:val="single" w:sz="2" w:space="0" w:color="D9D9E3"/>
                    <w:bottom w:val="single" w:sz="2" w:space="0" w:color="D9D9E3"/>
                    <w:right w:val="single" w:sz="2" w:space="0" w:color="D9D9E3"/>
                  </w:divBdr>
                  <w:divsChild>
                    <w:div w:id="1059399951">
                      <w:marLeft w:val="0"/>
                      <w:marRight w:val="0"/>
                      <w:marTop w:val="0"/>
                      <w:marBottom w:val="0"/>
                      <w:divBdr>
                        <w:top w:val="single" w:sz="2" w:space="0" w:color="D9D9E3"/>
                        <w:left w:val="single" w:sz="2" w:space="0" w:color="D9D9E3"/>
                        <w:bottom w:val="single" w:sz="2" w:space="0" w:color="D9D9E3"/>
                        <w:right w:val="single" w:sz="2" w:space="0" w:color="D9D9E3"/>
                      </w:divBdr>
                      <w:divsChild>
                        <w:div w:id="2125268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6351969">
      <w:bodyDiv w:val="1"/>
      <w:marLeft w:val="0"/>
      <w:marRight w:val="0"/>
      <w:marTop w:val="0"/>
      <w:marBottom w:val="0"/>
      <w:divBdr>
        <w:top w:val="none" w:sz="0" w:space="0" w:color="auto"/>
        <w:left w:val="none" w:sz="0" w:space="0" w:color="auto"/>
        <w:bottom w:val="none" w:sz="0" w:space="0" w:color="auto"/>
        <w:right w:val="none" w:sz="0" w:space="0" w:color="auto"/>
      </w:divBdr>
    </w:div>
    <w:div w:id="2018919765">
      <w:bodyDiv w:val="1"/>
      <w:marLeft w:val="0"/>
      <w:marRight w:val="0"/>
      <w:marTop w:val="0"/>
      <w:marBottom w:val="0"/>
      <w:divBdr>
        <w:top w:val="none" w:sz="0" w:space="0" w:color="auto"/>
        <w:left w:val="none" w:sz="0" w:space="0" w:color="auto"/>
        <w:bottom w:val="none" w:sz="0" w:space="0" w:color="auto"/>
        <w:right w:val="none" w:sz="0" w:space="0" w:color="auto"/>
      </w:divBdr>
      <w:divsChild>
        <w:div w:id="163472865">
          <w:marLeft w:val="0"/>
          <w:marRight w:val="0"/>
          <w:marTop w:val="0"/>
          <w:marBottom w:val="0"/>
          <w:divBdr>
            <w:top w:val="single" w:sz="2" w:space="0" w:color="D9D9E3"/>
            <w:left w:val="single" w:sz="2" w:space="0" w:color="D9D9E3"/>
            <w:bottom w:val="single" w:sz="2" w:space="0" w:color="D9D9E3"/>
            <w:right w:val="single" w:sz="2" w:space="0" w:color="D9D9E3"/>
          </w:divBdr>
          <w:divsChild>
            <w:div w:id="1127314110">
              <w:marLeft w:val="0"/>
              <w:marRight w:val="0"/>
              <w:marTop w:val="0"/>
              <w:marBottom w:val="0"/>
              <w:divBdr>
                <w:top w:val="single" w:sz="2" w:space="0" w:color="D9D9E3"/>
                <w:left w:val="single" w:sz="2" w:space="0" w:color="D9D9E3"/>
                <w:bottom w:val="single" w:sz="2" w:space="0" w:color="D9D9E3"/>
                <w:right w:val="single" w:sz="2" w:space="0" w:color="D9D9E3"/>
              </w:divBdr>
              <w:divsChild>
                <w:div w:id="1274938033">
                  <w:marLeft w:val="0"/>
                  <w:marRight w:val="0"/>
                  <w:marTop w:val="0"/>
                  <w:marBottom w:val="0"/>
                  <w:divBdr>
                    <w:top w:val="single" w:sz="2" w:space="0" w:color="D9D9E3"/>
                    <w:left w:val="single" w:sz="2" w:space="0" w:color="D9D9E3"/>
                    <w:bottom w:val="single" w:sz="2" w:space="0" w:color="D9D9E3"/>
                    <w:right w:val="single" w:sz="2" w:space="0" w:color="D9D9E3"/>
                  </w:divBdr>
                  <w:divsChild>
                    <w:div w:id="1011107436">
                      <w:marLeft w:val="0"/>
                      <w:marRight w:val="0"/>
                      <w:marTop w:val="0"/>
                      <w:marBottom w:val="0"/>
                      <w:divBdr>
                        <w:top w:val="single" w:sz="2" w:space="0" w:color="D9D9E3"/>
                        <w:left w:val="single" w:sz="2" w:space="0" w:color="D9D9E3"/>
                        <w:bottom w:val="single" w:sz="2" w:space="0" w:color="D9D9E3"/>
                        <w:right w:val="single" w:sz="2" w:space="0" w:color="D9D9E3"/>
                      </w:divBdr>
                      <w:divsChild>
                        <w:div w:id="1081221434">
                          <w:marLeft w:val="0"/>
                          <w:marRight w:val="0"/>
                          <w:marTop w:val="0"/>
                          <w:marBottom w:val="0"/>
                          <w:divBdr>
                            <w:top w:val="single" w:sz="2" w:space="0" w:color="auto"/>
                            <w:left w:val="single" w:sz="2" w:space="0" w:color="auto"/>
                            <w:bottom w:val="single" w:sz="6" w:space="0" w:color="auto"/>
                            <w:right w:val="single" w:sz="2" w:space="0" w:color="auto"/>
                          </w:divBdr>
                          <w:divsChild>
                            <w:div w:id="16213771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40316032">
                                  <w:marLeft w:val="0"/>
                                  <w:marRight w:val="0"/>
                                  <w:marTop w:val="0"/>
                                  <w:marBottom w:val="0"/>
                                  <w:divBdr>
                                    <w:top w:val="single" w:sz="2" w:space="0" w:color="D9D9E3"/>
                                    <w:left w:val="single" w:sz="2" w:space="0" w:color="D9D9E3"/>
                                    <w:bottom w:val="single" w:sz="2" w:space="0" w:color="D9D9E3"/>
                                    <w:right w:val="single" w:sz="2" w:space="0" w:color="D9D9E3"/>
                                  </w:divBdr>
                                  <w:divsChild>
                                    <w:div w:id="1822695222">
                                      <w:marLeft w:val="0"/>
                                      <w:marRight w:val="0"/>
                                      <w:marTop w:val="0"/>
                                      <w:marBottom w:val="0"/>
                                      <w:divBdr>
                                        <w:top w:val="single" w:sz="2" w:space="0" w:color="D9D9E3"/>
                                        <w:left w:val="single" w:sz="2" w:space="0" w:color="D9D9E3"/>
                                        <w:bottom w:val="single" w:sz="2" w:space="0" w:color="D9D9E3"/>
                                        <w:right w:val="single" w:sz="2" w:space="0" w:color="D9D9E3"/>
                                      </w:divBdr>
                                      <w:divsChild>
                                        <w:div w:id="1646355349">
                                          <w:marLeft w:val="0"/>
                                          <w:marRight w:val="0"/>
                                          <w:marTop w:val="0"/>
                                          <w:marBottom w:val="0"/>
                                          <w:divBdr>
                                            <w:top w:val="single" w:sz="2" w:space="0" w:color="D9D9E3"/>
                                            <w:left w:val="single" w:sz="2" w:space="0" w:color="D9D9E3"/>
                                            <w:bottom w:val="single" w:sz="2" w:space="0" w:color="D9D9E3"/>
                                            <w:right w:val="single" w:sz="2" w:space="0" w:color="D9D9E3"/>
                                          </w:divBdr>
                                          <w:divsChild>
                                            <w:div w:id="1248148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2264144">
          <w:marLeft w:val="0"/>
          <w:marRight w:val="0"/>
          <w:marTop w:val="0"/>
          <w:marBottom w:val="0"/>
          <w:divBdr>
            <w:top w:val="none" w:sz="0" w:space="0" w:color="auto"/>
            <w:left w:val="none" w:sz="0" w:space="0" w:color="auto"/>
            <w:bottom w:val="none" w:sz="0" w:space="0" w:color="auto"/>
            <w:right w:val="none" w:sz="0" w:space="0" w:color="auto"/>
          </w:divBdr>
          <w:divsChild>
            <w:div w:id="169298632">
              <w:marLeft w:val="0"/>
              <w:marRight w:val="0"/>
              <w:marTop w:val="0"/>
              <w:marBottom w:val="0"/>
              <w:divBdr>
                <w:top w:val="single" w:sz="2" w:space="0" w:color="D9D9E3"/>
                <w:left w:val="single" w:sz="2" w:space="0" w:color="D9D9E3"/>
                <w:bottom w:val="single" w:sz="2" w:space="0" w:color="D9D9E3"/>
                <w:right w:val="single" w:sz="2" w:space="0" w:color="D9D9E3"/>
              </w:divBdr>
              <w:divsChild>
                <w:div w:id="255788309">
                  <w:marLeft w:val="0"/>
                  <w:marRight w:val="0"/>
                  <w:marTop w:val="0"/>
                  <w:marBottom w:val="0"/>
                  <w:divBdr>
                    <w:top w:val="single" w:sz="2" w:space="0" w:color="D9D9E3"/>
                    <w:left w:val="single" w:sz="2" w:space="0" w:color="D9D9E3"/>
                    <w:bottom w:val="single" w:sz="2" w:space="0" w:color="D9D9E3"/>
                    <w:right w:val="single" w:sz="2" w:space="0" w:color="D9D9E3"/>
                  </w:divBdr>
                  <w:divsChild>
                    <w:div w:id="1716002602">
                      <w:marLeft w:val="0"/>
                      <w:marRight w:val="0"/>
                      <w:marTop w:val="0"/>
                      <w:marBottom w:val="0"/>
                      <w:divBdr>
                        <w:top w:val="single" w:sz="2" w:space="0" w:color="D9D9E3"/>
                        <w:left w:val="single" w:sz="2" w:space="0" w:color="D9D9E3"/>
                        <w:bottom w:val="single" w:sz="2" w:space="0" w:color="D9D9E3"/>
                        <w:right w:val="single" w:sz="2" w:space="0" w:color="D9D9E3"/>
                      </w:divBdr>
                      <w:divsChild>
                        <w:div w:id="137184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44596283">
      <w:bodyDiv w:val="1"/>
      <w:marLeft w:val="0"/>
      <w:marRight w:val="0"/>
      <w:marTop w:val="0"/>
      <w:marBottom w:val="0"/>
      <w:divBdr>
        <w:top w:val="none" w:sz="0" w:space="0" w:color="auto"/>
        <w:left w:val="none" w:sz="0" w:space="0" w:color="auto"/>
        <w:bottom w:val="none" w:sz="0" w:space="0" w:color="auto"/>
        <w:right w:val="none" w:sz="0" w:space="0" w:color="auto"/>
      </w:divBdr>
    </w:div>
    <w:div w:id="2137214206">
      <w:bodyDiv w:val="1"/>
      <w:marLeft w:val="0"/>
      <w:marRight w:val="0"/>
      <w:marTop w:val="0"/>
      <w:marBottom w:val="0"/>
      <w:divBdr>
        <w:top w:val="none" w:sz="0" w:space="0" w:color="auto"/>
        <w:left w:val="none" w:sz="0" w:space="0" w:color="auto"/>
        <w:bottom w:val="none" w:sz="0" w:space="0" w:color="auto"/>
        <w:right w:val="none" w:sz="0" w:space="0" w:color="auto"/>
      </w:divBdr>
    </w:div>
    <w:div w:id="2144039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hyperlink" Target="https://publications.parliament.uk/pa/ld199798/ldjudgmt/jd970724/gneral01.htm" TargetMode="External"/><Relationship Id="rId18" Type="http://schemas.openxmlformats.org/officeDocument/2006/relationships/hyperlink" Target="https://s3-eu-west-2.amazonaws.com/lawcom-prod-storage-%2011jsxou24uy7q/uploads/2015/03/lc304_Murder_Manslaughter_and_Infanticide_Repor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researchbriefings.files.parliament.uk/documents/CDP-2016-0094/CDP-2016-0094.pdf" TargetMode="External"/><Relationship Id="rId12" Type="http://schemas.openxmlformats.org/officeDocument/2006/relationships/hyperlink" Target="http://www.corporateaccountability.org.uk/dl/manslaughter/reform/archive/homeofficedraft2000.pdf" TargetMode="External"/><Relationship Id="rId17" Type="http://schemas.openxmlformats.org/officeDocument/2006/relationships/hyperlink" Target="https://s3-eu-west-2.amazonaws.com/lawcom-prod-storage-11jsxou24uy7q/uploads/2015/03/cp177_Murder_Manslaughter_and_Infanticide_consultation_.pdf" TargetMode="External"/><Relationship Id="rId2" Type="http://schemas.openxmlformats.org/officeDocument/2006/relationships/styles" Target="styles.xml"/><Relationship Id="rId16" Type="http://schemas.openxmlformats.org/officeDocument/2006/relationships/hyperlink" Target="https://plus-lexis-com.ezproxy.uwtsd.ac.uk/uk/document/?pdmfid=1001073&amp;crid=54bf717c-9561-4ec6-a36c-b718f356d544&amp;pddocfullpath=%2Fshared%2Fdocument%2Flegislation-uk%2Furn%3AcontentItem%3A7X5W-95G0-Y97X-70VH-00000-00&amp;pdcontentcomponentid=274768&amp;pdteaserkey=&amp;pdislpamode=false&amp;pddocumentnumber=1&amp;ecomp=ft5k&amp;earg=sr0&amp;prid=581e6d50-a9b9-4171-9ec9-43c1c4a0deb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stor-org.ezproxy.uwtsd.ac.uk/stable/4504461?searchText=law%20governing%20Homicide%20in%20England%20and%20Wales&amp;searchUri=%2Faction%2FdoBasicSearch%3FQuery%3Dlaw%2Bgoverning%2BHomicide%2Bin%2BEngland%2Band%2BWales%253F&amp;ab_segments=0%2Fbasic_search_gsv2%2Fcontrol&amp;refreqid=fastly-default%3A6db961df97c7ad4f88f650e1adc00070" TargetMode="External"/><Relationship Id="rId11" Type="http://schemas.openxmlformats.org/officeDocument/2006/relationships/hyperlink" Target="https://ukhumanrightsblog.com/2010/09/14/calls-for-murder-law-reform-may-be-ignored/" TargetMode="External"/><Relationship Id="rId5" Type="http://schemas.openxmlformats.org/officeDocument/2006/relationships/hyperlink" Target="https://plus-lexis-com.ezproxy.uwtsd.ac.uk/uk/analytical-materials-uk/the-pitfalls-in-the-law-of-attempt-a-new-pers?crid=0fde8d45-36c4-4bd5-b87f-01919f840b27&amp;pddocid=urn:contentItem:4GJT-FK00-TWWS-817H-00000-00" TargetMode="External"/><Relationship Id="rId15" Type="http://schemas.openxmlformats.org/officeDocument/2006/relationships/hyperlink" Target="https://plus-lexis-com.ezproxy.uwtsd.ac.uk/uk/analytical-materials-uk/double-jeopardy-law-reform-a-criminal-justice?crid=337a592b-8266-441d-8ff5-aab05dbed02d&amp;pddocid=urn:contentItem:5GF2-SR81-F0CS-G3P4-00000-00" TargetMode="External"/><Relationship Id="rId10" Type="http://schemas.openxmlformats.org/officeDocument/2006/relationships/hyperlink" Target="https://www-jstor-org.ezproxy.uwtsd.ac.uk/stable/43862353?searchText=about+The+concept+of+loss+of+control%2C+introduced+under+the+Coroners+and+Justice+Act+2009%2C&amp;searchUri=%2Faction%2FdoBasicSearch%3FQuery%3Dabout%2BThe%2Bconcept%2Bof%2Bloss%2Bof%2Bcontrol%252C%2Bintroduced%2Bunder%2Bthe%2BCoroners%2Band%2BJustice%2BAct%2B2009%252C&amp;ab_segments=0%2Fbasic_search_gsv2%2Fcontrol&amp;refreqid=fastly-default%3Ac641d9cf4eaf01f36258aaea2cc31704&amp;seq=6" TargetMode="External"/><Relationship Id="rId19" Type="http://schemas.openxmlformats.org/officeDocument/2006/relationships/hyperlink" Target="https://www.lawcom.gov.uk/app/uploads/2015/03/lc304_Murder_Manslaughter_and_Infanticide_Report.pdf" TargetMode="External"/><Relationship Id="rId4" Type="http://schemas.openxmlformats.org/officeDocument/2006/relationships/webSettings" Target="webSettings.xml"/><Relationship Id="rId9" Type="http://schemas.openxmlformats.org/officeDocument/2006/relationships/hyperlink" Target="https://www.cps.gov.uk/legal-guidance/homicide-murder-and-manslaughter" TargetMode="External"/><Relationship Id="rId14" Type="http://schemas.openxmlformats.org/officeDocument/2006/relationships/hyperlink" Target="https://plus-lexis-com.ezproxy.uwtsd.ac.uk/uk/document/?pdmfid=1001073&amp;crid=b5df3dd3-cf66-4cab-b929-49e77bbda2de&amp;pddocfullpath=%2Fshared%2Fdocument%2Fanalytical-materials-uk%2Furn%3AcontentItem%3A4JC4-P5R0-TWWR-G049-00000-00&amp;pdcontentcomponentid=280276&amp;pdteaserkey=&amp;pdislpamode=false&amp;pddocumentnumber=1&amp;ecomp=ft5k&amp;earg=sr0&amp;prid=63a4a678-6039-4547-9e97-a0e2dc2fdd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2694</Words>
  <Characters>15358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2</cp:revision>
  <dcterms:created xsi:type="dcterms:W3CDTF">2023-07-07T16:35:00Z</dcterms:created>
  <dcterms:modified xsi:type="dcterms:W3CDTF">2023-07-07T16:35:00Z</dcterms:modified>
</cp:coreProperties>
</file>