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0606812"/>
        <w:docPartObj>
          <w:docPartGallery w:val="Cover Pages"/>
          <w:docPartUnique/>
        </w:docPartObj>
      </w:sdtPr>
      <w:sdtEndPr/>
      <w:sdtContent>
        <w:p w14:paraId="7216C601" w14:textId="2E64C879" w:rsidR="003A0F34" w:rsidRDefault="003A0F34">
          <w:r>
            <w:rPr>
              <w:noProof/>
            </w:rPr>
            <mc:AlternateContent>
              <mc:Choice Requires="wpg">
                <w:drawing>
                  <wp:anchor distT="0" distB="0" distL="114300" distR="114300" simplePos="0" relativeHeight="251658243" behindDoc="0" locked="0" layoutInCell="1" allowOverlap="1" wp14:anchorId="6EB71B75" wp14:editId="01A544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60BA26"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C42AD9C" wp14:editId="650B06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9F13FD" w14:textId="7A6FF5EB" w:rsidR="003A0F34" w:rsidRDefault="003A0F34">
                                    <w:pPr>
                                      <w:pStyle w:val="NoSpacing"/>
                                      <w:jc w:val="right"/>
                                      <w:rPr>
                                        <w:color w:val="595959" w:themeColor="text1" w:themeTint="A6"/>
                                        <w:sz w:val="28"/>
                                        <w:szCs w:val="28"/>
                                      </w:rPr>
                                    </w:pPr>
                                    <w:r>
                                      <w:rPr>
                                        <w:color w:val="595959" w:themeColor="text1" w:themeTint="A6"/>
                                        <w:sz w:val="28"/>
                                        <w:szCs w:val="28"/>
                                      </w:rPr>
                                      <w:t>Leo Pietrapertosa (2219977)</w:t>
                                    </w:r>
                                  </w:p>
                                </w:sdtContent>
                              </w:sdt>
                              <w:p w14:paraId="09CED9E2" w14:textId="014A1B3E" w:rsidR="003A0F34" w:rsidRDefault="00790E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12B3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42AD9C"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9F13FD" w14:textId="7A6FF5EB" w:rsidR="003A0F34" w:rsidRDefault="003A0F34">
                              <w:pPr>
                                <w:pStyle w:val="NoSpacing"/>
                                <w:jc w:val="right"/>
                                <w:rPr>
                                  <w:color w:val="595959" w:themeColor="text1" w:themeTint="A6"/>
                                  <w:sz w:val="28"/>
                                  <w:szCs w:val="28"/>
                                </w:rPr>
                              </w:pPr>
                              <w:r>
                                <w:rPr>
                                  <w:color w:val="595959" w:themeColor="text1" w:themeTint="A6"/>
                                  <w:sz w:val="28"/>
                                  <w:szCs w:val="28"/>
                                </w:rPr>
                                <w:t>Leo Pietrapertosa (2219977)</w:t>
                              </w:r>
                            </w:p>
                          </w:sdtContent>
                        </w:sdt>
                        <w:p w14:paraId="09CED9E2" w14:textId="014A1B3E" w:rsidR="003A0F34" w:rsidRDefault="00790E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12B3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3129B94" wp14:editId="2BE77A6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5DA0E4" w14:textId="637E281D" w:rsidR="003A0F34" w:rsidRDefault="003A0F3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129B94"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5DA0E4" w14:textId="637E281D" w:rsidR="003A0F34" w:rsidRDefault="003A0F3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A504C3C" wp14:editId="258993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76CE7" w14:textId="2CA64001" w:rsidR="003A0F34" w:rsidRDefault="00790E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2B30">
                                      <w:rPr>
                                        <w:caps/>
                                        <w:color w:val="4472C4" w:themeColor="accent1"/>
                                        <w:sz w:val="64"/>
                                        <w:szCs w:val="64"/>
                                      </w:rPr>
                                      <w:t>Diminished responsibility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79D627" w14:textId="657F6020" w:rsidR="003A0F34" w:rsidRDefault="00512B30">
                                    <w:pPr>
                                      <w:jc w:val="right"/>
                                      <w:rPr>
                                        <w:smallCaps/>
                                        <w:color w:val="404040" w:themeColor="text1" w:themeTint="BF"/>
                                        <w:sz w:val="36"/>
                                        <w:szCs w:val="36"/>
                                      </w:rPr>
                                    </w:pPr>
                                    <w:r w:rsidRPr="00512B30">
                                      <w:rPr>
                                        <w:color w:val="404040" w:themeColor="text1" w:themeTint="BF"/>
                                        <w:sz w:val="36"/>
                                        <w:szCs w:val="36"/>
                                      </w:rPr>
                                      <w:t>BMLW4005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504C3C"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8D76CE7" w14:textId="2CA64001" w:rsidR="003A0F34" w:rsidRDefault="00790E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2B30">
                                <w:rPr>
                                  <w:caps/>
                                  <w:color w:val="4472C4" w:themeColor="accent1"/>
                                  <w:sz w:val="64"/>
                                  <w:szCs w:val="64"/>
                                </w:rPr>
                                <w:t>Diminished responsibility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79D627" w14:textId="657F6020" w:rsidR="003A0F34" w:rsidRDefault="00512B30">
                              <w:pPr>
                                <w:jc w:val="right"/>
                                <w:rPr>
                                  <w:smallCaps/>
                                  <w:color w:val="404040" w:themeColor="text1" w:themeTint="BF"/>
                                  <w:sz w:val="36"/>
                                  <w:szCs w:val="36"/>
                                </w:rPr>
                              </w:pPr>
                              <w:r w:rsidRPr="00512B30">
                                <w:rPr>
                                  <w:color w:val="404040" w:themeColor="text1" w:themeTint="BF"/>
                                  <w:sz w:val="36"/>
                                  <w:szCs w:val="36"/>
                                </w:rPr>
                                <w:t>BMLW4005</w:t>
                              </w:r>
                            </w:p>
                          </w:sdtContent>
                        </w:sdt>
                      </w:txbxContent>
                    </v:textbox>
                    <w10:wrap type="square" anchorx="page" anchory="page"/>
                  </v:shape>
                </w:pict>
              </mc:Fallback>
            </mc:AlternateContent>
          </w:r>
        </w:p>
        <w:p w14:paraId="2F576E07" w14:textId="78300FE8" w:rsidR="29DB4D91" w:rsidRDefault="29DB4D91" w:rsidP="29DB4D91"/>
        <w:p w14:paraId="7B74CF31" w14:textId="218877C8" w:rsidR="29DB4D91" w:rsidRDefault="29DB4D91" w:rsidP="29DB4D91"/>
        <w:p w14:paraId="1B1BD2CF" w14:textId="23916FFF" w:rsidR="003A0F34" w:rsidRDefault="00790E3E"/>
      </w:sdtContent>
    </w:sdt>
    <w:p w14:paraId="3876FA68" w14:textId="77777777" w:rsidR="00512B30" w:rsidRDefault="00512B30" w:rsidP="5AF94645">
      <w:pPr>
        <w:rPr>
          <w:rFonts w:ascii="Arial" w:eastAsia="Arial" w:hAnsi="Arial" w:cs="Arial"/>
          <w:sz w:val="24"/>
          <w:szCs w:val="24"/>
        </w:rPr>
      </w:pPr>
    </w:p>
    <w:p w14:paraId="5F4E1E2A" w14:textId="77777777" w:rsidR="00512B30" w:rsidRDefault="00512B30" w:rsidP="5AF94645">
      <w:pPr>
        <w:rPr>
          <w:rFonts w:ascii="Arial" w:eastAsia="Arial" w:hAnsi="Arial" w:cs="Arial"/>
          <w:sz w:val="24"/>
          <w:szCs w:val="24"/>
        </w:rPr>
      </w:pPr>
    </w:p>
    <w:p w14:paraId="2D8B1266" w14:textId="77777777" w:rsidR="00512B30" w:rsidRDefault="00512B30" w:rsidP="5AF94645">
      <w:pPr>
        <w:rPr>
          <w:rFonts w:ascii="Arial" w:eastAsia="Arial" w:hAnsi="Arial" w:cs="Arial"/>
          <w:sz w:val="24"/>
          <w:szCs w:val="24"/>
        </w:rPr>
      </w:pPr>
    </w:p>
    <w:p w14:paraId="7BA7191D" w14:textId="77777777" w:rsidR="00512B30" w:rsidRDefault="00512B30" w:rsidP="5AF94645">
      <w:pPr>
        <w:rPr>
          <w:rFonts w:ascii="Arial" w:eastAsia="Arial" w:hAnsi="Arial" w:cs="Arial"/>
          <w:sz w:val="24"/>
          <w:szCs w:val="24"/>
        </w:rPr>
      </w:pPr>
    </w:p>
    <w:p w14:paraId="1CFFEB10" w14:textId="77777777" w:rsidR="00512B30" w:rsidRDefault="00512B30" w:rsidP="5AF94645">
      <w:pPr>
        <w:rPr>
          <w:rFonts w:ascii="Arial" w:eastAsia="Arial" w:hAnsi="Arial" w:cs="Arial"/>
          <w:sz w:val="24"/>
          <w:szCs w:val="24"/>
        </w:rPr>
      </w:pPr>
    </w:p>
    <w:p w14:paraId="3B58F6C8" w14:textId="77777777" w:rsidR="00512B30" w:rsidRDefault="00512B30" w:rsidP="5AF94645">
      <w:pPr>
        <w:rPr>
          <w:rFonts w:ascii="Arial" w:eastAsia="Arial" w:hAnsi="Arial" w:cs="Arial"/>
          <w:sz w:val="24"/>
          <w:szCs w:val="24"/>
        </w:rPr>
      </w:pPr>
    </w:p>
    <w:p w14:paraId="26FD968A" w14:textId="77777777" w:rsidR="00512B30" w:rsidRDefault="00512B30" w:rsidP="5AF94645">
      <w:pPr>
        <w:rPr>
          <w:rFonts w:ascii="Arial" w:eastAsia="Arial" w:hAnsi="Arial" w:cs="Arial"/>
          <w:sz w:val="24"/>
          <w:szCs w:val="24"/>
        </w:rPr>
      </w:pPr>
    </w:p>
    <w:p w14:paraId="2F29144B" w14:textId="77777777" w:rsidR="00512B30" w:rsidRDefault="00512B30" w:rsidP="5AF94645">
      <w:pPr>
        <w:rPr>
          <w:rFonts w:ascii="Arial" w:eastAsia="Arial" w:hAnsi="Arial" w:cs="Arial"/>
          <w:sz w:val="24"/>
          <w:szCs w:val="24"/>
        </w:rPr>
      </w:pPr>
    </w:p>
    <w:p w14:paraId="243EAB93" w14:textId="04C55EA9" w:rsidR="3E19F0AB" w:rsidRDefault="3E19F0AB" w:rsidP="5AF94645">
      <w:pPr>
        <w:rPr>
          <w:rFonts w:ascii="Arial" w:eastAsia="Arial" w:hAnsi="Arial" w:cs="Arial"/>
          <w:sz w:val="24"/>
          <w:szCs w:val="24"/>
        </w:rPr>
      </w:pPr>
      <w:r w:rsidRPr="5AF94645">
        <w:rPr>
          <w:rFonts w:ascii="Arial" w:eastAsia="Arial" w:hAnsi="Arial" w:cs="Arial"/>
          <w:sz w:val="24"/>
          <w:szCs w:val="24"/>
        </w:rPr>
        <w:lastRenderedPageBreak/>
        <w:t xml:space="preserve">Within the </w:t>
      </w:r>
      <w:r w:rsidR="1AB62DA7" w:rsidRPr="5AF94645">
        <w:rPr>
          <w:rFonts w:ascii="Arial" w:eastAsia="Arial" w:hAnsi="Arial" w:cs="Arial"/>
          <w:sz w:val="24"/>
          <w:szCs w:val="24"/>
        </w:rPr>
        <w:t>English</w:t>
      </w:r>
      <w:r w:rsidRPr="5AF94645">
        <w:rPr>
          <w:rFonts w:ascii="Arial" w:eastAsia="Arial" w:hAnsi="Arial" w:cs="Arial"/>
          <w:sz w:val="24"/>
          <w:szCs w:val="24"/>
        </w:rPr>
        <w:t xml:space="preserve"> and </w:t>
      </w:r>
      <w:r w:rsidR="4E025489" w:rsidRPr="5AF94645">
        <w:rPr>
          <w:rFonts w:ascii="Arial" w:eastAsia="Arial" w:hAnsi="Arial" w:cs="Arial"/>
          <w:sz w:val="24"/>
          <w:szCs w:val="24"/>
        </w:rPr>
        <w:t>Welsh</w:t>
      </w:r>
      <w:r w:rsidRPr="5AF94645">
        <w:rPr>
          <w:rFonts w:ascii="Arial" w:eastAsia="Arial" w:hAnsi="Arial" w:cs="Arial"/>
          <w:sz w:val="24"/>
          <w:szCs w:val="24"/>
        </w:rPr>
        <w:t xml:space="preserve"> law, statutes and acts are constantly evolving and developing as accordance to the modernisation of the country.</w:t>
      </w:r>
      <w:r w:rsidR="55AAB211" w:rsidRPr="5AF94645">
        <w:rPr>
          <w:rFonts w:ascii="Arial" w:eastAsia="Arial" w:hAnsi="Arial" w:cs="Arial"/>
          <w:sz w:val="24"/>
          <w:szCs w:val="24"/>
        </w:rPr>
        <w:t xml:space="preserve"> One substantial reformation of </w:t>
      </w:r>
      <w:r w:rsidR="79846E1D" w:rsidRPr="5AF94645">
        <w:rPr>
          <w:rFonts w:ascii="Arial" w:eastAsia="Arial" w:hAnsi="Arial" w:cs="Arial"/>
          <w:sz w:val="24"/>
          <w:szCs w:val="24"/>
        </w:rPr>
        <w:t>English</w:t>
      </w:r>
      <w:r w:rsidR="55AAB211" w:rsidRPr="5AF94645">
        <w:rPr>
          <w:rFonts w:ascii="Arial" w:eastAsia="Arial" w:hAnsi="Arial" w:cs="Arial"/>
          <w:sz w:val="24"/>
          <w:szCs w:val="24"/>
        </w:rPr>
        <w:t xml:space="preserve"> law was S. 52 coroners and justice act (2009)</w:t>
      </w:r>
      <w:r w:rsidR="7033DBA6" w:rsidRPr="5AF94645">
        <w:rPr>
          <w:rFonts w:ascii="Arial" w:eastAsia="Arial" w:hAnsi="Arial" w:cs="Arial"/>
          <w:sz w:val="24"/>
          <w:szCs w:val="24"/>
        </w:rPr>
        <w:t xml:space="preserve">, </w:t>
      </w:r>
      <w:r w:rsidR="55AAB211" w:rsidRPr="5AF94645">
        <w:rPr>
          <w:rFonts w:ascii="Arial" w:eastAsia="Arial" w:hAnsi="Arial" w:cs="Arial"/>
          <w:sz w:val="24"/>
          <w:szCs w:val="24"/>
        </w:rPr>
        <w:t xml:space="preserve">where </w:t>
      </w:r>
      <w:r w:rsidR="1A31FB85" w:rsidRPr="5AF94645">
        <w:rPr>
          <w:rFonts w:ascii="Arial" w:eastAsia="Arial" w:hAnsi="Arial" w:cs="Arial"/>
          <w:sz w:val="24"/>
          <w:szCs w:val="24"/>
        </w:rPr>
        <w:t>amendments were made to S. 2. homicide act (1957)</w:t>
      </w:r>
      <w:r w:rsidR="55BC6DB2" w:rsidRPr="5AF94645">
        <w:rPr>
          <w:rFonts w:ascii="Arial" w:eastAsia="Arial" w:hAnsi="Arial" w:cs="Arial"/>
          <w:sz w:val="24"/>
          <w:szCs w:val="24"/>
        </w:rPr>
        <w:t xml:space="preserve">. These amendments further show how the </w:t>
      </w:r>
      <w:r w:rsidR="3E8FE9B3" w:rsidRPr="5AF94645">
        <w:rPr>
          <w:rFonts w:ascii="Arial" w:eastAsia="Arial" w:hAnsi="Arial" w:cs="Arial"/>
          <w:sz w:val="24"/>
          <w:szCs w:val="24"/>
        </w:rPr>
        <w:t>English</w:t>
      </w:r>
      <w:r w:rsidR="55BC6DB2" w:rsidRPr="5AF94645">
        <w:rPr>
          <w:rFonts w:ascii="Arial" w:eastAsia="Arial" w:hAnsi="Arial" w:cs="Arial"/>
          <w:sz w:val="24"/>
          <w:szCs w:val="24"/>
        </w:rPr>
        <w:t xml:space="preserve"> laws are evolving </w:t>
      </w:r>
      <w:r w:rsidR="4024B22A" w:rsidRPr="5AF94645">
        <w:rPr>
          <w:rFonts w:ascii="Arial" w:eastAsia="Arial" w:hAnsi="Arial" w:cs="Arial"/>
          <w:sz w:val="24"/>
          <w:szCs w:val="24"/>
        </w:rPr>
        <w:t xml:space="preserve">to keep laws certain and clear. </w:t>
      </w:r>
    </w:p>
    <w:p w14:paraId="7E60F001" w14:textId="100F9B13" w:rsidR="27D25F17" w:rsidRDefault="27D25F17" w:rsidP="5AF94645">
      <w:pPr>
        <w:rPr>
          <w:rFonts w:ascii="Arial" w:eastAsia="Arial" w:hAnsi="Arial" w:cs="Arial"/>
          <w:color w:val="000000" w:themeColor="text1"/>
          <w:sz w:val="24"/>
          <w:szCs w:val="24"/>
        </w:rPr>
      </w:pPr>
      <w:r w:rsidRPr="29DB4D91">
        <w:rPr>
          <w:rFonts w:ascii="Arial" w:eastAsia="Arial" w:hAnsi="Arial" w:cs="Arial"/>
          <w:sz w:val="24"/>
          <w:szCs w:val="24"/>
        </w:rPr>
        <w:t>The S.2. homicide act (1957) states that. “</w:t>
      </w:r>
      <w:r w:rsidR="66AA4308" w:rsidRPr="29DB4D91">
        <w:rPr>
          <w:rFonts w:ascii="Arial" w:eastAsia="Arial" w:hAnsi="Arial" w:cs="Arial"/>
          <w:i/>
          <w:sz w:val="24"/>
          <w:szCs w:val="24"/>
        </w:rPr>
        <w:t>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59F229A1" w:rsidRPr="29DB4D91">
        <w:rPr>
          <w:rFonts w:ascii="Arial" w:eastAsia="Arial" w:hAnsi="Arial" w:cs="Arial"/>
          <w:i/>
          <w:sz w:val="24"/>
          <w:szCs w:val="24"/>
        </w:rPr>
        <w:t>2) On</w:t>
      </w:r>
      <w:r w:rsidR="66AA4308" w:rsidRPr="29DB4D91">
        <w:rPr>
          <w:rFonts w:ascii="Arial" w:eastAsia="Arial" w:hAnsi="Arial" w:cs="Arial"/>
          <w:i/>
          <w:sz w:val="24"/>
          <w:szCs w:val="24"/>
        </w:rPr>
        <w:t xml:space="preserve"> a charge of murder, it shall be for the defence to prove that the person charged is by virtue of this section not liable to be convicted of murder.(3)A person who but for this section would be liable, whether as principal or as accessory, to be convicted of murder shall be liable instead to be convicted of manslaughter. 4)The fact that one party to a killing is by virtue of this section not liable to be convicted of murder shall not affect the question whether the killing amounted to murder in the case of any other party to it</w:t>
      </w:r>
      <w:r w:rsidRPr="29DB4D91">
        <w:rPr>
          <w:rFonts w:ascii="Arial" w:eastAsia="Arial" w:hAnsi="Arial" w:cs="Arial"/>
          <w:sz w:val="24"/>
          <w:szCs w:val="24"/>
        </w:rPr>
        <w:t xml:space="preserve">” </w:t>
      </w:r>
      <w:r w:rsidR="37478862" w:rsidRPr="29DB4D91">
        <w:rPr>
          <w:rFonts w:ascii="Arial" w:eastAsia="Arial" w:hAnsi="Arial" w:cs="Arial"/>
          <w:sz w:val="24"/>
          <w:szCs w:val="24"/>
        </w:rPr>
        <w:t xml:space="preserve">(Legislation.gov.uk, 2010). </w:t>
      </w:r>
    </w:p>
    <w:p w14:paraId="5B25ADE1" w14:textId="71DBD00D" w:rsidR="7B7F36F3" w:rsidRDefault="7B7F36F3" w:rsidP="5AF94645">
      <w:pPr>
        <w:jc w:val="both"/>
        <w:rPr>
          <w:rFonts w:ascii="Arial" w:eastAsia="Arial" w:hAnsi="Arial" w:cs="Arial"/>
          <w:color w:val="000000" w:themeColor="text1"/>
          <w:sz w:val="24"/>
          <w:szCs w:val="24"/>
        </w:rPr>
      </w:pPr>
      <w:r w:rsidRPr="29DB4D91">
        <w:rPr>
          <w:rFonts w:ascii="Arial" w:eastAsia="Arial" w:hAnsi="Arial" w:cs="Arial"/>
          <w:sz w:val="24"/>
          <w:szCs w:val="24"/>
        </w:rPr>
        <w:t xml:space="preserve">       </w:t>
      </w:r>
      <w:r w:rsidR="37478862" w:rsidRPr="29DB4D91">
        <w:rPr>
          <w:rFonts w:ascii="Arial" w:eastAsia="Arial" w:hAnsi="Arial" w:cs="Arial"/>
          <w:sz w:val="24"/>
          <w:szCs w:val="24"/>
        </w:rPr>
        <w:t>This meaning that a per</w:t>
      </w:r>
      <w:r w:rsidR="046E9C13" w:rsidRPr="29DB4D91">
        <w:rPr>
          <w:rFonts w:ascii="Arial" w:eastAsia="Arial" w:hAnsi="Arial" w:cs="Arial"/>
          <w:sz w:val="24"/>
          <w:szCs w:val="24"/>
        </w:rPr>
        <w:t xml:space="preserve">son cannot be convicted of manslaughter if that person was proved to </w:t>
      </w:r>
      <w:r w:rsidR="342AC9E6" w:rsidRPr="29DB4D91">
        <w:rPr>
          <w:rFonts w:ascii="Arial" w:eastAsia="Arial" w:hAnsi="Arial" w:cs="Arial"/>
          <w:sz w:val="24"/>
          <w:szCs w:val="24"/>
        </w:rPr>
        <w:t>have an</w:t>
      </w:r>
      <w:r w:rsidR="3F5A6CED" w:rsidRPr="29DB4D91">
        <w:rPr>
          <w:rFonts w:ascii="Arial" w:eastAsia="Arial" w:hAnsi="Arial" w:cs="Arial"/>
          <w:sz w:val="24"/>
          <w:szCs w:val="24"/>
        </w:rPr>
        <w:t>y mental disorder, however serious or not serious</w:t>
      </w:r>
      <w:r w:rsidR="342AC9E6" w:rsidRPr="29DB4D91">
        <w:rPr>
          <w:rFonts w:ascii="Arial" w:eastAsia="Arial" w:hAnsi="Arial" w:cs="Arial"/>
          <w:sz w:val="24"/>
          <w:szCs w:val="24"/>
        </w:rPr>
        <w:t xml:space="preserve">, then they would be convicted of manslaughter rather than murder. </w:t>
      </w:r>
      <w:r w:rsidR="5236CAFF" w:rsidRPr="29DB4D91">
        <w:rPr>
          <w:rFonts w:ascii="Arial" w:eastAsia="Arial" w:hAnsi="Arial" w:cs="Arial"/>
          <w:sz w:val="24"/>
          <w:szCs w:val="24"/>
        </w:rPr>
        <w:t>The former s.2 Homicide Act (1957) focused the juries' attention on whether the defendant had an "abnormality of the mind" at the time of the killing, which is an open-textured descriptor that was in any case not a scientifically recognised psychiatric disease</w:t>
      </w:r>
      <w:r w:rsidR="5F366BA6" w:rsidRPr="29DB4D91">
        <w:rPr>
          <w:rFonts w:ascii="Arial" w:eastAsia="Arial" w:hAnsi="Arial" w:cs="Arial"/>
          <w:sz w:val="24"/>
          <w:szCs w:val="24"/>
        </w:rPr>
        <w:t xml:space="preserve"> (Reed and </w:t>
      </w:r>
      <w:proofErr w:type="spellStart"/>
      <w:r w:rsidR="5F366BA6" w:rsidRPr="29DB4D91">
        <w:rPr>
          <w:rFonts w:ascii="Arial" w:eastAsia="Arial" w:hAnsi="Arial" w:cs="Arial"/>
          <w:sz w:val="24"/>
          <w:szCs w:val="24"/>
        </w:rPr>
        <w:t>Bohlander</w:t>
      </w:r>
      <w:proofErr w:type="spellEnd"/>
      <w:r w:rsidR="5F366BA6" w:rsidRPr="29DB4D91">
        <w:rPr>
          <w:rFonts w:ascii="Arial" w:eastAsia="Arial" w:hAnsi="Arial" w:cs="Arial"/>
          <w:sz w:val="24"/>
          <w:szCs w:val="24"/>
        </w:rPr>
        <w:t>, 2018).</w:t>
      </w:r>
      <w:r w:rsidR="54FECA6A" w:rsidRPr="29DB4D91">
        <w:rPr>
          <w:rFonts w:ascii="Arial" w:eastAsia="Arial" w:hAnsi="Arial" w:cs="Arial"/>
          <w:sz w:val="24"/>
          <w:szCs w:val="24"/>
        </w:rPr>
        <w:t xml:space="preserve"> The abnormality must be </w:t>
      </w:r>
      <w:r w:rsidR="370E4CE7" w:rsidRPr="29DB4D91">
        <w:rPr>
          <w:rFonts w:ascii="Arial" w:eastAsia="Arial" w:hAnsi="Arial" w:cs="Arial"/>
          <w:sz w:val="24"/>
          <w:szCs w:val="24"/>
        </w:rPr>
        <w:t>arisen</w:t>
      </w:r>
      <w:r w:rsidR="54FECA6A" w:rsidRPr="29DB4D91">
        <w:rPr>
          <w:rFonts w:ascii="Arial" w:eastAsia="Arial" w:hAnsi="Arial" w:cs="Arial"/>
          <w:sz w:val="24"/>
          <w:szCs w:val="24"/>
        </w:rPr>
        <w:t xml:space="preserve"> from either, a condition of arrested or retarded development of the mind</w:t>
      </w:r>
      <w:r w:rsidR="0279849A" w:rsidRPr="29DB4D91">
        <w:rPr>
          <w:rFonts w:ascii="Arial" w:eastAsia="Arial" w:hAnsi="Arial" w:cs="Arial"/>
          <w:sz w:val="24"/>
          <w:szCs w:val="24"/>
        </w:rPr>
        <w:t xml:space="preserve">, anything inherited or </w:t>
      </w:r>
      <w:r w:rsidR="4EBD1361" w:rsidRPr="29DB4D91">
        <w:rPr>
          <w:rFonts w:ascii="Arial" w:eastAsia="Arial" w:hAnsi="Arial" w:cs="Arial"/>
          <w:sz w:val="24"/>
          <w:szCs w:val="24"/>
        </w:rPr>
        <w:t>disease</w:t>
      </w:r>
      <w:r w:rsidR="0279849A" w:rsidRPr="29DB4D91">
        <w:rPr>
          <w:rFonts w:ascii="Arial" w:eastAsia="Arial" w:hAnsi="Arial" w:cs="Arial"/>
          <w:sz w:val="24"/>
          <w:szCs w:val="24"/>
        </w:rPr>
        <w:t xml:space="preserve"> or injury effecting rational choice</w:t>
      </w:r>
      <w:r w:rsidR="78CFFBFE" w:rsidRPr="29DB4D91">
        <w:rPr>
          <w:rFonts w:ascii="Arial" w:eastAsia="Arial" w:hAnsi="Arial" w:cs="Arial"/>
          <w:sz w:val="24"/>
          <w:szCs w:val="24"/>
        </w:rPr>
        <w:t xml:space="preserve"> (Elliott and Quinn, 2002).</w:t>
      </w:r>
    </w:p>
    <w:p w14:paraId="6DEA7B35" w14:textId="0062FC9A" w:rsidR="6A34A54C" w:rsidRDefault="6A34A54C" w:rsidP="5AF94645">
      <w:pPr>
        <w:rPr>
          <w:rFonts w:ascii="Arial" w:eastAsia="Arial" w:hAnsi="Arial" w:cs="Arial"/>
          <w:sz w:val="24"/>
          <w:szCs w:val="24"/>
        </w:rPr>
      </w:pPr>
      <w:r w:rsidRPr="5AF94645">
        <w:rPr>
          <w:rFonts w:ascii="Arial" w:eastAsia="Arial" w:hAnsi="Arial" w:cs="Arial"/>
          <w:sz w:val="24"/>
          <w:szCs w:val="24"/>
        </w:rPr>
        <w:t xml:space="preserve">In the case of R vs </w:t>
      </w:r>
      <w:proofErr w:type="spellStart"/>
      <w:r w:rsidRPr="5AF94645">
        <w:rPr>
          <w:rFonts w:ascii="Arial" w:eastAsia="Arial" w:hAnsi="Arial" w:cs="Arial"/>
          <w:sz w:val="24"/>
          <w:szCs w:val="24"/>
        </w:rPr>
        <w:t>Dietschmann</w:t>
      </w:r>
      <w:proofErr w:type="spellEnd"/>
      <w:r w:rsidRPr="5AF94645">
        <w:rPr>
          <w:rFonts w:ascii="Arial" w:eastAsia="Arial" w:hAnsi="Arial" w:cs="Arial"/>
          <w:sz w:val="24"/>
          <w:szCs w:val="24"/>
        </w:rPr>
        <w:t xml:space="preserve"> (2003), </w:t>
      </w:r>
      <w:r w:rsidR="024998D5" w:rsidRPr="5AF94645">
        <w:rPr>
          <w:rFonts w:ascii="Arial" w:eastAsia="Arial" w:hAnsi="Arial" w:cs="Arial"/>
          <w:sz w:val="24"/>
          <w:szCs w:val="24"/>
        </w:rPr>
        <w:t>Anthony</w:t>
      </w:r>
      <w:r w:rsidR="35228524" w:rsidRPr="5AF94645">
        <w:rPr>
          <w:rFonts w:ascii="Arial" w:eastAsia="Arial" w:hAnsi="Arial" w:cs="Arial"/>
          <w:sz w:val="24"/>
          <w:szCs w:val="24"/>
        </w:rPr>
        <w:t xml:space="preserve"> </w:t>
      </w:r>
      <w:proofErr w:type="spellStart"/>
      <w:r w:rsidR="35228524" w:rsidRPr="5AF94645">
        <w:rPr>
          <w:rFonts w:ascii="Arial" w:eastAsia="Arial" w:hAnsi="Arial" w:cs="Arial"/>
          <w:sz w:val="24"/>
          <w:szCs w:val="24"/>
        </w:rPr>
        <w:t>Dietchmann</w:t>
      </w:r>
      <w:proofErr w:type="spellEnd"/>
      <w:r w:rsidR="35228524" w:rsidRPr="5AF94645">
        <w:rPr>
          <w:rFonts w:ascii="Arial" w:eastAsia="Arial" w:hAnsi="Arial" w:cs="Arial"/>
          <w:sz w:val="24"/>
          <w:szCs w:val="24"/>
        </w:rPr>
        <w:t xml:space="preserve"> </w:t>
      </w:r>
      <w:r w:rsidR="2A27391B" w:rsidRPr="5AF94645">
        <w:rPr>
          <w:rFonts w:ascii="Arial" w:eastAsia="Arial" w:hAnsi="Arial" w:cs="Arial"/>
          <w:sz w:val="24"/>
          <w:szCs w:val="24"/>
        </w:rPr>
        <w:t>killed Nicholas</w:t>
      </w:r>
      <w:r w:rsidR="7BE30270" w:rsidRPr="5AF94645">
        <w:rPr>
          <w:rFonts w:ascii="Arial" w:eastAsia="Arial" w:hAnsi="Arial" w:cs="Arial"/>
          <w:sz w:val="24"/>
          <w:szCs w:val="24"/>
        </w:rPr>
        <w:t xml:space="preserve"> </w:t>
      </w:r>
      <w:r w:rsidR="204C82CE" w:rsidRPr="5AF94645">
        <w:rPr>
          <w:rFonts w:ascii="Arial" w:eastAsia="Arial" w:hAnsi="Arial" w:cs="Arial"/>
          <w:sz w:val="24"/>
          <w:szCs w:val="24"/>
        </w:rPr>
        <w:t>Davies</w:t>
      </w:r>
      <w:r w:rsidR="7BE30270" w:rsidRPr="5AF94645">
        <w:rPr>
          <w:rFonts w:ascii="Arial" w:eastAsia="Arial" w:hAnsi="Arial" w:cs="Arial"/>
          <w:sz w:val="24"/>
          <w:szCs w:val="24"/>
        </w:rPr>
        <w:t xml:space="preserve"> by striking him</w:t>
      </w:r>
      <w:r w:rsidR="1373C3D7" w:rsidRPr="5AF94645">
        <w:rPr>
          <w:rFonts w:ascii="Arial" w:eastAsia="Arial" w:hAnsi="Arial" w:cs="Arial"/>
          <w:sz w:val="24"/>
          <w:szCs w:val="24"/>
        </w:rPr>
        <w:t xml:space="preserve"> in a “savage attack”. Before </w:t>
      </w:r>
      <w:r w:rsidR="564EA175" w:rsidRPr="5AF94645">
        <w:rPr>
          <w:rFonts w:ascii="Arial" w:eastAsia="Arial" w:hAnsi="Arial" w:cs="Arial"/>
          <w:sz w:val="24"/>
          <w:szCs w:val="24"/>
        </w:rPr>
        <w:t>the killing occurred,</w:t>
      </w:r>
      <w:r w:rsidR="1373C3D7" w:rsidRPr="5AF94645">
        <w:rPr>
          <w:rFonts w:ascii="Arial" w:eastAsia="Arial" w:hAnsi="Arial" w:cs="Arial"/>
          <w:sz w:val="24"/>
          <w:szCs w:val="24"/>
        </w:rPr>
        <w:t xml:space="preserve"> </w:t>
      </w:r>
      <w:proofErr w:type="spellStart"/>
      <w:r w:rsidR="1373C3D7" w:rsidRPr="5AF94645">
        <w:rPr>
          <w:rFonts w:ascii="Arial" w:eastAsia="Arial" w:hAnsi="Arial" w:cs="Arial"/>
          <w:sz w:val="24"/>
          <w:szCs w:val="24"/>
        </w:rPr>
        <w:t>Dietchmann</w:t>
      </w:r>
      <w:proofErr w:type="spellEnd"/>
      <w:r w:rsidR="1373C3D7" w:rsidRPr="5AF94645">
        <w:rPr>
          <w:rFonts w:ascii="Arial" w:eastAsia="Arial" w:hAnsi="Arial" w:cs="Arial"/>
          <w:sz w:val="24"/>
          <w:szCs w:val="24"/>
        </w:rPr>
        <w:t xml:space="preserve"> </w:t>
      </w:r>
      <w:r w:rsidR="2F4C89ED" w:rsidRPr="5AF94645">
        <w:rPr>
          <w:rFonts w:ascii="Arial" w:eastAsia="Arial" w:hAnsi="Arial" w:cs="Arial"/>
          <w:sz w:val="24"/>
          <w:szCs w:val="24"/>
        </w:rPr>
        <w:t>consumed</w:t>
      </w:r>
      <w:r w:rsidR="1373C3D7" w:rsidRPr="5AF94645">
        <w:rPr>
          <w:rFonts w:ascii="Arial" w:eastAsia="Arial" w:hAnsi="Arial" w:cs="Arial"/>
          <w:sz w:val="24"/>
          <w:szCs w:val="24"/>
        </w:rPr>
        <w:t xml:space="preserve"> a lot of alcohol and</w:t>
      </w:r>
      <w:r w:rsidR="49F82745" w:rsidRPr="5AF94645">
        <w:rPr>
          <w:rFonts w:ascii="Arial" w:eastAsia="Arial" w:hAnsi="Arial" w:cs="Arial"/>
          <w:sz w:val="24"/>
          <w:szCs w:val="24"/>
        </w:rPr>
        <w:t xml:space="preserve"> therefore</w:t>
      </w:r>
      <w:r w:rsidR="1373C3D7" w:rsidRPr="5AF94645">
        <w:rPr>
          <w:rFonts w:ascii="Arial" w:eastAsia="Arial" w:hAnsi="Arial" w:cs="Arial"/>
          <w:sz w:val="24"/>
          <w:szCs w:val="24"/>
        </w:rPr>
        <w:t xml:space="preserve"> </w:t>
      </w:r>
      <w:r w:rsidR="78A599A7" w:rsidRPr="5AF94645">
        <w:rPr>
          <w:rFonts w:ascii="Arial" w:eastAsia="Arial" w:hAnsi="Arial" w:cs="Arial"/>
          <w:sz w:val="24"/>
          <w:szCs w:val="24"/>
        </w:rPr>
        <w:t>appealed</w:t>
      </w:r>
      <w:r w:rsidR="1373C3D7" w:rsidRPr="5AF94645">
        <w:rPr>
          <w:rFonts w:ascii="Arial" w:eastAsia="Arial" w:hAnsi="Arial" w:cs="Arial"/>
          <w:sz w:val="24"/>
          <w:szCs w:val="24"/>
        </w:rPr>
        <w:t xml:space="preserve"> to the court on grounds of </w:t>
      </w:r>
      <w:r w:rsidR="41EA0EB4" w:rsidRPr="5AF94645">
        <w:rPr>
          <w:rFonts w:ascii="Arial" w:eastAsia="Arial" w:hAnsi="Arial" w:cs="Arial"/>
          <w:sz w:val="24"/>
          <w:szCs w:val="24"/>
        </w:rPr>
        <w:t>diminished responsibility, after being sentenced to life in 200</w:t>
      </w:r>
      <w:r w:rsidR="658E503C" w:rsidRPr="5AF94645">
        <w:rPr>
          <w:rFonts w:ascii="Arial" w:eastAsia="Arial" w:hAnsi="Arial" w:cs="Arial"/>
          <w:sz w:val="24"/>
          <w:szCs w:val="24"/>
        </w:rPr>
        <w:t>0</w:t>
      </w:r>
      <w:r w:rsidR="1373C3D7" w:rsidRPr="5AF94645">
        <w:rPr>
          <w:rFonts w:ascii="Arial" w:eastAsia="Arial" w:hAnsi="Arial" w:cs="Arial"/>
          <w:sz w:val="24"/>
          <w:szCs w:val="24"/>
        </w:rPr>
        <w:t>.</w:t>
      </w:r>
      <w:r w:rsidR="531439B6" w:rsidRPr="5AF94645">
        <w:rPr>
          <w:rFonts w:ascii="Arial" w:eastAsia="Arial" w:hAnsi="Arial" w:cs="Arial"/>
          <w:sz w:val="24"/>
          <w:szCs w:val="24"/>
        </w:rPr>
        <w:t xml:space="preserve"> </w:t>
      </w:r>
      <w:proofErr w:type="spellStart"/>
      <w:r w:rsidR="531439B6" w:rsidRPr="5AF94645">
        <w:rPr>
          <w:rFonts w:ascii="Arial" w:eastAsia="Arial" w:hAnsi="Arial" w:cs="Arial"/>
          <w:sz w:val="24"/>
          <w:szCs w:val="24"/>
        </w:rPr>
        <w:t>Dietchmann</w:t>
      </w:r>
      <w:proofErr w:type="spellEnd"/>
      <w:r w:rsidR="531439B6" w:rsidRPr="5AF94645">
        <w:rPr>
          <w:rFonts w:ascii="Arial" w:eastAsia="Arial" w:hAnsi="Arial" w:cs="Arial"/>
          <w:sz w:val="24"/>
          <w:szCs w:val="24"/>
        </w:rPr>
        <w:t xml:space="preserve"> also suffered from a “mental abnormality” </w:t>
      </w:r>
      <w:r w:rsidR="40E8DACE" w:rsidRPr="5AF94645">
        <w:rPr>
          <w:rFonts w:ascii="Arial" w:eastAsia="Arial" w:hAnsi="Arial" w:cs="Arial"/>
          <w:sz w:val="24"/>
          <w:szCs w:val="24"/>
        </w:rPr>
        <w:t>which medical witnesses defined as an “adjustment disorder” due to grief of losing his aunt.</w:t>
      </w:r>
      <w:r w:rsidR="4796F872" w:rsidRPr="5AF94645">
        <w:rPr>
          <w:rFonts w:ascii="Arial" w:eastAsia="Arial" w:hAnsi="Arial" w:cs="Arial"/>
          <w:sz w:val="24"/>
          <w:szCs w:val="24"/>
        </w:rPr>
        <w:t xml:space="preserve"> Therefore, </w:t>
      </w:r>
      <w:proofErr w:type="spellStart"/>
      <w:r w:rsidR="4796F872" w:rsidRPr="5AF94645">
        <w:rPr>
          <w:rFonts w:ascii="Arial" w:eastAsia="Arial" w:hAnsi="Arial" w:cs="Arial"/>
          <w:sz w:val="24"/>
          <w:szCs w:val="24"/>
        </w:rPr>
        <w:t>Dietchmann</w:t>
      </w:r>
      <w:proofErr w:type="spellEnd"/>
      <w:r w:rsidR="4796F872" w:rsidRPr="5AF94645">
        <w:rPr>
          <w:rFonts w:ascii="Arial" w:eastAsia="Arial" w:hAnsi="Arial" w:cs="Arial"/>
          <w:sz w:val="24"/>
          <w:szCs w:val="24"/>
        </w:rPr>
        <w:t xml:space="preserve"> was found guilty of manslaughter rather than murder down to </w:t>
      </w:r>
      <w:r w:rsidR="7FD5473F" w:rsidRPr="5AF94645">
        <w:rPr>
          <w:rFonts w:ascii="Arial" w:eastAsia="Arial" w:hAnsi="Arial" w:cs="Arial"/>
          <w:sz w:val="24"/>
          <w:szCs w:val="24"/>
        </w:rPr>
        <w:t>diminished</w:t>
      </w:r>
      <w:r w:rsidR="4796F872" w:rsidRPr="5AF94645">
        <w:rPr>
          <w:rFonts w:ascii="Arial" w:eastAsia="Arial" w:hAnsi="Arial" w:cs="Arial"/>
          <w:sz w:val="24"/>
          <w:szCs w:val="24"/>
        </w:rPr>
        <w:t xml:space="preserve"> responsibility</w:t>
      </w:r>
      <w:r w:rsidR="49BF23E4" w:rsidRPr="5AF94645">
        <w:rPr>
          <w:rFonts w:ascii="Arial" w:eastAsia="Arial" w:hAnsi="Arial" w:cs="Arial"/>
          <w:sz w:val="24"/>
          <w:szCs w:val="24"/>
        </w:rPr>
        <w:t xml:space="preserve"> (publications.parliament.uk, 2003). </w:t>
      </w:r>
      <w:r w:rsidR="7D85C7B0" w:rsidRPr="5AF94645">
        <w:rPr>
          <w:rFonts w:ascii="Arial" w:eastAsia="Arial" w:hAnsi="Arial" w:cs="Arial"/>
          <w:sz w:val="24"/>
          <w:szCs w:val="24"/>
        </w:rPr>
        <w:t xml:space="preserve">The broadness of the phrase “abnormality of the mind” can be seen in this case to be easily open to perception and not </w:t>
      </w:r>
      <w:r w:rsidR="17EA3AC8" w:rsidRPr="5AF94645">
        <w:rPr>
          <w:rFonts w:ascii="Arial" w:eastAsia="Arial" w:hAnsi="Arial" w:cs="Arial"/>
          <w:sz w:val="24"/>
          <w:szCs w:val="24"/>
        </w:rPr>
        <w:t xml:space="preserve">clear. Two different juries interpreted this case differently </w:t>
      </w:r>
      <w:r w:rsidR="422A8D38" w:rsidRPr="5AF94645">
        <w:rPr>
          <w:rFonts w:ascii="Arial" w:eastAsia="Arial" w:hAnsi="Arial" w:cs="Arial"/>
          <w:sz w:val="24"/>
          <w:szCs w:val="24"/>
        </w:rPr>
        <w:t xml:space="preserve">which brings to light the fact that the homicide act (1957) is open for too much interpretation. </w:t>
      </w:r>
      <w:r w:rsidR="02DEEFE8" w:rsidRPr="5AF94645">
        <w:rPr>
          <w:rFonts w:ascii="Arial" w:eastAsia="Arial" w:hAnsi="Arial" w:cs="Arial"/>
          <w:sz w:val="24"/>
          <w:szCs w:val="24"/>
        </w:rPr>
        <w:t xml:space="preserve">Therefore, a reformation of the law was needed. </w:t>
      </w:r>
    </w:p>
    <w:p w14:paraId="6AD01BE5" w14:textId="76A43A63" w:rsidR="33DDABB2" w:rsidRDefault="33DDABB2" w:rsidP="5AF94645">
      <w:pPr>
        <w:rPr>
          <w:rFonts w:ascii="Arial" w:eastAsia="Arial" w:hAnsi="Arial" w:cs="Arial"/>
          <w:sz w:val="24"/>
          <w:szCs w:val="24"/>
        </w:rPr>
      </w:pPr>
      <w:r w:rsidRPr="5AF94645">
        <w:rPr>
          <w:rFonts w:ascii="Arial" w:eastAsia="Arial" w:hAnsi="Arial" w:cs="Arial"/>
          <w:sz w:val="24"/>
          <w:szCs w:val="24"/>
        </w:rPr>
        <w:t xml:space="preserve">In the case of R V Lloyd (1967), there is further evidence of misinterpretation </w:t>
      </w:r>
      <w:r w:rsidR="3A444216" w:rsidRPr="5AF94645">
        <w:rPr>
          <w:rFonts w:ascii="Arial" w:eastAsia="Arial" w:hAnsi="Arial" w:cs="Arial"/>
          <w:sz w:val="24"/>
          <w:szCs w:val="24"/>
        </w:rPr>
        <w:t>and the uncertainty of the act. Lloyd was convicted of murdering his wi</w:t>
      </w:r>
      <w:r w:rsidR="6A66F8C8" w:rsidRPr="5AF94645">
        <w:rPr>
          <w:rFonts w:ascii="Arial" w:eastAsia="Arial" w:hAnsi="Arial" w:cs="Arial"/>
          <w:sz w:val="24"/>
          <w:szCs w:val="24"/>
        </w:rPr>
        <w:t xml:space="preserve">fe but claimed diminished responsibility down to mental abnormality. The </w:t>
      </w:r>
      <w:r w:rsidR="56026607" w:rsidRPr="5AF94645">
        <w:rPr>
          <w:rFonts w:ascii="Arial" w:eastAsia="Arial" w:hAnsi="Arial" w:cs="Arial"/>
          <w:sz w:val="24"/>
          <w:szCs w:val="24"/>
        </w:rPr>
        <w:t xml:space="preserve">jury found him guilty of murder and Lloyd was sentenced to life imprisonment. </w:t>
      </w:r>
      <w:r w:rsidR="16E07F12" w:rsidRPr="5AF94645">
        <w:rPr>
          <w:rFonts w:ascii="Arial" w:eastAsia="Arial" w:hAnsi="Arial" w:cs="Arial"/>
          <w:sz w:val="24"/>
          <w:szCs w:val="24"/>
        </w:rPr>
        <w:t xml:space="preserve">One of the main factors that pushed the jury of finding him guilty of murder was the fact that he used the word </w:t>
      </w:r>
      <w:r w:rsidR="0DC3B311" w:rsidRPr="5AF94645">
        <w:rPr>
          <w:rFonts w:ascii="Arial" w:eastAsia="Arial" w:hAnsi="Arial" w:cs="Arial"/>
          <w:sz w:val="24"/>
          <w:szCs w:val="24"/>
        </w:rPr>
        <w:t>“</w:t>
      </w:r>
      <w:r w:rsidR="16E07F12" w:rsidRPr="5AF94645">
        <w:rPr>
          <w:rFonts w:ascii="Arial" w:eastAsia="Arial" w:hAnsi="Arial" w:cs="Arial"/>
          <w:sz w:val="24"/>
          <w:szCs w:val="24"/>
        </w:rPr>
        <w:t>substantial</w:t>
      </w:r>
      <w:r w:rsidR="14CFF75A" w:rsidRPr="5AF94645">
        <w:rPr>
          <w:rFonts w:ascii="Arial" w:eastAsia="Arial" w:hAnsi="Arial" w:cs="Arial"/>
          <w:sz w:val="24"/>
          <w:szCs w:val="24"/>
        </w:rPr>
        <w:t xml:space="preserve">” </w:t>
      </w:r>
      <w:r w:rsidR="16E07F12" w:rsidRPr="5AF94645">
        <w:rPr>
          <w:rFonts w:ascii="Arial" w:eastAsia="Arial" w:hAnsi="Arial" w:cs="Arial"/>
          <w:sz w:val="24"/>
          <w:szCs w:val="24"/>
        </w:rPr>
        <w:t xml:space="preserve">mental </w:t>
      </w:r>
      <w:r w:rsidR="524D1662" w:rsidRPr="5AF94645">
        <w:rPr>
          <w:rFonts w:ascii="Arial" w:eastAsia="Arial" w:hAnsi="Arial" w:cs="Arial"/>
          <w:sz w:val="24"/>
          <w:szCs w:val="24"/>
        </w:rPr>
        <w:t>abnormality</w:t>
      </w:r>
      <w:r w:rsidR="16E07F12" w:rsidRPr="5AF94645">
        <w:rPr>
          <w:rFonts w:ascii="Arial" w:eastAsia="Arial" w:hAnsi="Arial" w:cs="Arial"/>
          <w:sz w:val="24"/>
          <w:szCs w:val="24"/>
        </w:rPr>
        <w:t xml:space="preserve"> and not </w:t>
      </w:r>
      <w:r w:rsidR="0070C815" w:rsidRPr="5AF94645">
        <w:rPr>
          <w:rFonts w:ascii="Arial" w:eastAsia="Arial" w:hAnsi="Arial" w:cs="Arial"/>
          <w:sz w:val="24"/>
          <w:szCs w:val="24"/>
        </w:rPr>
        <w:t>“</w:t>
      </w:r>
      <w:r w:rsidR="16E07F12" w:rsidRPr="5AF94645">
        <w:rPr>
          <w:rFonts w:ascii="Arial" w:eastAsia="Arial" w:hAnsi="Arial" w:cs="Arial"/>
          <w:sz w:val="24"/>
          <w:szCs w:val="24"/>
        </w:rPr>
        <w:t>to</w:t>
      </w:r>
      <w:r w:rsidR="52466B23" w:rsidRPr="5AF94645">
        <w:rPr>
          <w:rFonts w:ascii="Arial" w:eastAsia="Arial" w:hAnsi="Arial" w:cs="Arial"/>
          <w:sz w:val="24"/>
          <w:szCs w:val="24"/>
        </w:rPr>
        <w:t>tal</w:t>
      </w:r>
      <w:r w:rsidR="56719B31" w:rsidRPr="5AF94645">
        <w:rPr>
          <w:rFonts w:ascii="Arial" w:eastAsia="Arial" w:hAnsi="Arial" w:cs="Arial"/>
          <w:sz w:val="24"/>
          <w:szCs w:val="24"/>
        </w:rPr>
        <w:t>”</w:t>
      </w:r>
      <w:r w:rsidR="5C76959B" w:rsidRPr="5AF94645">
        <w:rPr>
          <w:rFonts w:ascii="Arial" w:eastAsia="Arial" w:hAnsi="Arial" w:cs="Arial"/>
          <w:sz w:val="24"/>
          <w:szCs w:val="24"/>
        </w:rPr>
        <w:t xml:space="preserve"> mental abnormality</w:t>
      </w:r>
      <w:r w:rsidR="796DD722" w:rsidRPr="5AF94645">
        <w:rPr>
          <w:rFonts w:ascii="Arial" w:eastAsia="Arial" w:hAnsi="Arial" w:cs="Arial"/>
          <w:sz w:val="24"/>
          <w:szCs w:val="24"/>
        </w:rPr>
        <w:t xml:space="preserve"> (Regina vs Lloyd, </w:t>
      </w:r>
      <w:r w:rsidR="796DD722" w:rsidRPr="5AF94645">
        <w:rPr>
          <w:rFonts w:ascii="Arial" w:eastAsia="Arial" w:hAnsi="Arial" w:cs="Arial"/>
          <w:sz w:val="24"/>
          <w:szCs w:val="24"/>
        </w:rPr>
        <w:lastRenderedPageBreak/>
        <w:t xml:space="preserve">[1967]). The wording of </w:t>
      </w:r>
      <w:r w:rsidR="570B4804" w:rsidRPr="5AF94645">
        <w:rPr>
          <w:rFonts w:ascii="Arial" w:eastAsia="Arial" w:hAnsi="Arial" w:cs="Arial"/>
          <w:sz w:val="24"/>
          <w:szCs w:val="24"/>
        </w:rPr>
        <w:t>substantial</w:t>
      </w:r>
      <w:r w:rsidR="796DD722" w:rsidRPr="5AF94645">
        <w:rPr>
          <w:rFonts w:ascii="Arial" w:eastAsia="Arial" w:hAnsi="Arial" w:cs="Arial"/>
          <w:sz w:val="24"/>
          <w:szCs w:val="24"/>
        </w:rPr>
        <w:t xml:space="preserve"> </w:t>
      </w:r>
      <w:r w:rsidR="0C1D682D" w:rsidRPr="5AF94645">
        <w:rPr>
          <w:rFonts w:ascii="Arial" w:eastAsia="Arial" w:hAnsi="Arial" w:cs="Arial"/>
          <w:sz w:val="24"/>
          <w:szCs w:val="24"/>
        </w:rPr>
        <w:t xml:space="preserve">can be </w:t>
      </w:r>
      <w:r w:rsidR="1E35C772" w:rsidRPr="5AF94645">
        <w:rPr>
          <w:rFonts w:ascii="Arial" w:eastAsia="Arial" w:hAnsi="Arial" w:cs="Arial"/>
          <w:sz w:val="24"/>
          <w:szCs w:val="24"/>
        </w:rPr>
        <w:t>interpreted</w:t>
      </w:r>
      <w:r w:rsidR="0C1D682D" w:rsidRPr="5AF94645">
        <w:rPr>
          <w:rFonts w:ascii="Arial" w:eastAsia="Arial" w:hAnsi="Arial" w:cs="Arial"/>
          <w:sz w:val="24"/>
          <w:szCs w:val="24"/>
        </w:rPr>
        <w:t xml:space="preserve"> in </w:t>
      </w:r>
      <w:r w:rsidR="733FB245" w:rsidRPr="5AF94645">
        <w:rPr>
          <w:rFonts w:ascii="Arial" w:eastAsia="Arial" w:hAnsi="Arial" w:cs="Arial"/>
          <w:sz w:val="24"/>
          <w:szCs w:val="24"/>
        </w:rPr>
        <w:t>several</w:t>
      </w:r>
      <w:r w:rsidR="0C1D682D" w:rsidRPr="5AF94645">
        <w:rPr>
          <w:rFonts w:ascii="Arial" w:eastAsia="Arial" w:hAnsi="Arial" w:cs="Arial"/>
          <w:sz w:val="24"/>
          <w:szCs w:val="24"/>
        </w:rPr>
        <w:t xml:space="preserve"> </w:t>
      </w:r>
      <w:bookmarkStart w:id="0" w:name="_Int_TQd6Gmuk"/>
      <w:r w:rsidR="0C1D682D" w:rsidRPr="5AF94645">
        <w:rPr>
          <w:rFonts w:ascii="Arial" w:eastAsia="Arial" w:hAnsi="Arial" w:cs="Arial"/>
          <w:sz w:val="24"/>
          <w:szCs w:val="24"/>
        </w:rPr>
        <w:t xml:space="preserve">different </w:t>
      </w:r>
      <w:proofErr w:type="gramStart"/>
      <w:r w:rsidR="0C1D682D" w:rsidRPr="5AF94645">
        <w:rPr>
          <w:rFonts w:ascii="Arial" w:eastAsia="Arial" w:hAnsi="Arial" w:cs="Arial"/>
          <w:sz w:val="24"/>
          <w:szCs w:val="24"/>
        </w:rPr>
        <w:t>ways</w:t>
      </w:r>
      <w:bookmarkEnd w:id="0"/>
      <w:proofErr w:type="gramEnd"/>
      <w:r w:rsidR="0C1D682D" w:rsidRPr="5AF94645">
        <w:rPr>
          <w:rFonts w:ascii="Arial" w:eastAsia="Arial" w:hAnsi="Arial" w:cs="Arial"/>
          <w:sz w:val="24"/>
          <w:szCs w:val="24"/>
        </w:rPr>
        <w:t xml:space="preserve"> and it is open to too much </w:t>
      </w:r>
      <w:r w:rsidR="55AB8849" w:rsidRPr="5AF94645">
        <w:rPr>
          <w:rFonts w:ascii="Arial" w:eastAsia="Arial" w:hAnsi="Arial" w:cs="Arial"/>
          <w:sz w:val="24"/>
          <w:szCs w:val="24"/>
        </w:rPr>
        <w:t>interpretation</w:t>
      </w:r>
      <w:r w:rsidR="0C1D682D" w:rsidRPr="5AF94645">
        <w:rPr>
          <w:rFonts w:ascii="Arial" w:eastAsia="Arial" w:hAnsi="Arial" w:cs="Arial"/>
          <w:sz w:val="24"/>
          <w:szCs w:val="24"/>
        </w:rPr>
        <w:t xml:space="preserve">. </w:t>
      </w:r>
      <w:r w:rsidR="43668D58" w:rsidRPr="5AF94645">
        <w:rPr>
          <w:rFonts w:ascii="Arial" w:eastAsia="Arial" w:hAnsi="Arial" w:cs="Arial"/>
          <w:sz w:val="24"/>
          <w:szCs w:val="24"/>
        </w:rPr>
        <w:t>Therefore,</w:t>
      </w:r>
      <w:r w:rsidR="0C1D682D" w:rsidRPr="5AF94645">
        <w:rPr>
          <w:rFonts w:ascii="Arial" w:eastAsia="Arial" w:hAnsi="Arial" w:cs="Arial"/>
          <w:sz w:val="24"/>
          <w:szCs w:val="24"/>
        </w:rPr>
        <w:t xml:space="preserve"> a reformation was well needed to create certa</w:t>
      </w:r>
      <w:r w:rsidR="44BA3CDA" w:rsidRPr="5AF94645">
        <w:rPr>
          <w:rFonts w:ascii="Arial" w:eastAsia="Arial" w:hAnsi="Arial" w:cs="Arial"/>
          <w:sz w:val="24"/>
          <w:szCs w:val="24"/>
        </w:rPr>
        <w:t xml:space="preserve">inty in the law. </w:t>
      </w:r>
    </w:p>
    <w:p w14:paraId="0C12EAD6" w14:textId="7772DAF2" w:rsidR="0639C59D" w:rsidRDefault="0639C59D" w:rsidP="5AF94645">
      <w:pPr>
        <w:rPr>
          <w:rFonts w:ascii="Arial" w:eastAsia="Arial" w:hAnsi="Arial" w:cs="Arial"/>
          <w:sz w:val="24"/>
          <w:szCs w:val="24"/>
        </w:rPr>
      </w:pPr>
      <w:r w:rsidRPr="5AF94645">
        <w:rPr>
          <w:rFonts w:ascii="Arial" w:eastAsia="Arial" w:hAnsi="Arial" w:cs="Arial"/>
          <w:sz w:val="24"/>
          <w:szCs w:val="24"/>
        </w:rPr>
        <w:t xml:space="preserve">Of course, reforming the homicide act (1957) is important. First, because murder is one of the most serious of all crimes, and a conviction severely limits a criminal's freedom. </w:t>
      </w:r>
      <w:r w:rsidR="5FA9D3F3" w:rsidRPr="5AF94645">
        <w:rPr>
          <w:rFonts w:ascii="Arial" w:eastAsia="Arial" w:hAnsi="Arial" w:cs="Arial"/>
          <w:sz w:val="24"/>
          <w:szCs w:val="24"/>
        </w:rPr>
        <w:t xml:space="preserve">Furthermore, </w:t>
      </w:r>
      <w:r w:rsidR="2A97B3CB" w:rsidRPr="5AF94645">
        <w:rPr>
          <w:rFonts w:ascii="Arial" w:eastAsia="Arial" w:hAnsi="Arial" w:cs="Arial"/>
          <w:sz w:val="24"/>
          <w:szCs w:val="24"/>
        </w:rPr>
        <w:t>it</w:t>
      </w:r>
      <w:r w:rsidR="5FA9D3F3" w:rsidRPr="5AF94645">
        <w:rPr>
          <w:rFonts w:ascii="Arial" w:eastAsia="Arial" w:hAnsi="Arial" w:cs="Arial"/>
          <w:sz w:val="24"/>
          <w:szCs w:val="24"/>
        </w:rPr>
        <w:t xml:space="preserve"> is also part of the State's obligation to protect the right to life under Article 2 of the European Convention on Human Rights (ECHR)</w:t>
      </w:r>
      <w:r w:rsidR="24311D67" w:rsidRPr="5AF94645">
        <w:rPr>
          <w:rFonts w:ascii="Arial" w:eastAsia="Arial" w:hAnsi="Arial" w:cs="Arial"/>
          <w:sz w:val="24"/>
          <w:szCs w:val="24"/>
        </w:rPr>
        <w:t xml:space="preserve"> (JUSTICE, 2008). </w:t>
      </w:r>
    </w:p>
    <w:p w14:paraId="783B56B1" w14:textId="0273A9E2" w:rsidR="510D02D6" w:rsidRDefault="510D02D6" w:rsidP="5AF94645">
      <w:pPr>
        <w:rPr>
          <w:rFonts w:ascii="Arial" w:eastAsia="Arial" w:hAnsi="Arial" w:cs="Arial"/>
          <w:sz w:val="24"/>
          <w:szCs w:val="24"/>
        </w:rPr>
      </w:pPr>
      <w:r w:rsidRPr="5AF94645">
        <w:rPr>
          <w:rFonts w:ascii="Arial" w:eastAsia="Arial" w:hAnsi="Arial" w:cs="Arial"/>
          <w:sz w:val="24"/>
          <w:szCs w:val="24"/>
        </w:rPr>
        <w:t xml:space="preserve">The Homicide act (1957) was </w:t>
      </w:r>
      <w:r w:rsidR="599E93F9" w:rsidRPr="5AF94645">
        <w:rPr>
          <w:rFonts w:ascii="Arial" w:eastAsia="Arial" w:hAnsi="Arial" w:cs="Arial"/>
          <w:sz w:val="24"/>
          <w:szCs w:val="24"/>
        </w:rPr>
        <w:t>extremely broad</w:t>
      </w:r>
      <w:r w:rsidRPr="5AF94645">
        <w:rPr>
          <w:rFonts w:ascii="Arial" w:eastAsia="Arial" w:hAnsi="Arial" w:cs="Arial"/>
          <w:sz w:val="24"/>
          <w:szCs w:val="24"/>
        </w:rPr>
        <w:t xml:space="preserve"> and allowed the law to be flexible</w:t>
      </w:r>
      <w:r w:rsidR="5C54C996" w:rsidRPr="5AF94645">
        <w:rPr>
          <w:rFonts w:ascii="Arial" w:eastAsia="Arial" w:hAnsi="Arial" w:cs="Arial"/>
          <w:sz w:val="24"/>
          <w:szCs w:val="24"/>
        </w:rPr>
        <w:t xml:space="preserve">. This worked in some cases allowing courts and juries to interpret and apply the law to find a </w:t>
      </w:r>
      <w:r w:rsidR="62BB5FFA" w:rsidRPr="5AF94645">
        <w:rPr>
          <w:rFonts w:ascii="Arial" w:eastAsia="Arial" w:hAnsi="Arial" w:cs="Arial"/>
          <w:sz w:val="24"/>
          <w:szCs w:val="24"/>
        </w:rPr>
        <w:t xml:space="preserve">fair result. </w:t>
      </w:r>
      <w:r w:rsidR="56E3093D" w:rsidRPr="5AF94645">
        <w:rPr>
          <w:rFonts w:ascii="Arial" w:eastAsia="Arial" w:hAnsi="Arial" w:cs="Arial"/>
          <w:sz w:val="24"/>
          <w:szCs w:val="24"/>
        </w:rPr>
        <w:t>However,</w:t>
      </w:r>
      <w:r w:rsidR="62BB5FFA" w:rsidRPr="5AF94645">
        <w:rPr>
          <w:rFonts w:ascii="Arial" w:eastAsia="Arial" w:hAnsi="Arial" w:cs="Arial"/>
          <w:sz w:val="24"/>
          <w:szCs w:val="24"/>
        </w:rPr>
        <w:t xml:space="preserve"> the flexible nature of this act also resulted in a cha</w:t>
      </w:r>
      <w:r w:rsidR="7A4C2160" w:rsidRPr="5AF94645">
        <w:rPr>
          <w:rFonts w:ascii="Arial" w:eastAsia="Arial" w:hAnsi="Arial" w:cs="Arial"/>
          <w:sz w:val="24"/>
          <w:szCs w:val="24"/>
        </w:rPr>
        <w:t xml:space="preserve">otic use of defence which </w:t>
      </w:r>
      <w:r w:rsidR="1FE162A0" w:rsidRPr="5AF94645">
        <w:rPr>
          <w:rFonts w:ascii="Arial" w:eastAsia="Arial" w:hAnsi="Arial" w:cs="Arial"/>
          <w:sz w:val="24"/>
          <w:szCs w:val="24"/>
        </w:rPr>
        <w:t>meant</w:t>
      </w:r>
      <w:r w:rsidR="7A4C2160" w:rsidRPr="5AF94645">
        <w:rPr>
          <w:rFonts w:ascii="Arial" w:eastAsia="Arial" w:hAnsi="Arial" w:cs="Arial"/>
          <w:sz w:val="24"/>
          <w:szCs w:val="24"/>
        </w:rPr>
        <w:t xml:space="preserve"> it was abused</w:t>
      </w:r>
      <w:r w:rsidR="38F10692" w:rsidRPr="5AF94645">
        <w:rPr>
          <w:rFonts w:ascii="Arial" w:eastAsia="Arial" w:hAnsi="Arial" w:cs="Arial"/>
          <w:sz w:val="24"/>
          <w:szCs w:val="24"/>
        </w:rPr>
        <w:t xml:space="preserve"> (Child and Ormerod, 2021). </w:t>
      </w:r>
      <w:r w:rsidR="5F0533DB" w:rsidRPr="5AF94645">
        <w:rPr>
          <w:rFonts w:ascii="Arial" w:eastAsia="Arial" w:hAnsi="Arial" w:cs="Arial"/>
          <w:sz w:val="24"/>
          <w:szCs w:val="24"/>
        </w:rPr>
        <w:t xml:space="preserve">The s. 52 coroners and justice act 2009 was the change needed to keep the law modern and to make it clearer. </w:t>
      </w:r>
    </w:p>
    <w:p w14:paraId="601AB3D5" w14:textId="3A290652" w:rsidR="64AA386B" w:rsidRDefault="64AA386B" w:rsidP="5AF94645">
      <w:pPr>
        <w:rPr>
          <w:rFonts w:ascii="Arial" w:eastAsia="Arial" w:hAnsi="Arial" w:cs="Arial"/>
          <w:sz w:val="24"/>
          <w:szCs w:val="24"/>
        </w:rPr>
      </w:pPr>
      <w:r w:rsidRPr="5AF94645">
        <w:rPr>
          <w:rFonts w:ascii="Arial" w:eastAsia="Arial" w:hAnsi="Arial" w:cs="Arial"/>
          <w:sz w:val="24"/>
          <w:szCs w:val="24"/>
        </w:rPr>
        <w:t xml:space="preserve">It was argued that the law of </w:t>
      </w:r>
      <w:r w:rsidR="0BBE0620" w:rsidRPr="5AF94645">
        <w:rPr>
          <w:rFonts w:ascii="Arial" w:eastAsia="Arial" w:hAnsi="Arial" w:cs="Arial"/>
          <w:sz w:val="24"/>
          <w:szCs w:val="24"/>
        </w:rPr>
        <w:t>diminished</w:t>
      </w:r>
      <w:r w:rsidRPr="5AF94645">
        <w:rPr>
          <w:rFonts w:ascii="Arial" w:eastAsia="Arial" w:hAnsi="Arial" w:cs="Arial"/>
          <w:sz w:val="24"/>
          <w:szCs w:val="24"/>
        </w:rPr>
        <w:t xml:space="preserve"> responsibility was to be reformed. Resulting this the recommendation was to make the definition</w:t>
      </w:r>
      <w:r w:rsidR="43FCAB04" w:rsidRPr="5AF94645">
        <w:rPr>
          <w:rFonts w:ascii="Arial" w:eastAsia="Arial" w:hAnsi="Arial" w:cs="Arial"/>
          <w:sz w:val="24"/>
          <w:szCs w:val="24"/>
        </w:rPr>
        <w:t xml:space="preserve"> more “modernised” so that the law would be </w:t>
      </w:r>
      <w:r w:rsidR="29B5B401" w:rsidRPr="5AF94645">
        <w:rPr>
          <w:rFonts w:ascii="Arial" w:eastAsia="Arial" w:hAnsi="Arial" w:cs="Arial"/>
          <w:sz w:val="24"/>
          <w:szCs w:val="24"/>
        </w:rPr>
        <w:t>clearer,</w:t>
      </w:r>
      <w:r w:rsidR="43FCAB04" w:rsidRPr="5AF94645">
        <w:rPr>
          <w:rFonts w:ascii="Arial" w:eastAsia="Arial" w:hAnsi="Arial" w:cs="Arial"/>
          <w:sz w:val="24"/>
          <w:szCs w:val="24"/>
        </w:rPr>
        <w:t xml:space="preserve"> and it would help to </w:t>
      </w:r>
      <w:r w:rsidR="4B613B65" w:rsidRPr="5AF94645">
        <w:rPr>
          <w:rFonts w:ascii="Arial" w:eastAsia="Arial" w:hAnsi="Arial" w:cs="Arial"/>
          <w:sz w:val="24"/>
          <w:szCs w:val="24"/>
        </w:rPr>
        <w:t xml:space="preserve">accommodate </w:t>
      </w:r>
      <w:r w:rsidR="28769EAC" w:rsidRPr="5AF94645">
        <w:rPr>
          <w:rFonts w:ascii="Arial" w:eastAsia="Arial" w:hAnsi="Arial" w:cs="Arial"/>
          <w:sz w:val="24"/>
          <w:szCs w:val="24"/>
        </w:rPr>
        <w:t>developments in diagnostical practices</w:t>
      </w:r>
      <w:r w:rsidR="5203C575" w:rsidRPr="5AF94645">
        <w:rPr>
          <w:rFonts w:ascii="Arial" w:eastAsia="Arial" w:hAnsi="Arial" w:cs="Arial"/>
          <w:sz w:val="24"/>
          <w:szCs w:val="24"/>
        </w:rPr>
        <w:t xml:space="preserve"> (</w:t>
      </w:r>
      <w:proofErr w:type="spellStart"/>
      <w:r w:rsidR="5203C575" w:rsidRPr="5AF94645">
        <w:rPr>
          <w:rFonts w:ascii="Arial" w:eastAsia="Arial" w:hAnsi="Arial" w:cs="Arial"/>
          <w:sz w:val="24"/>
          <w:szCs w:val="24"/>
        </w:rPr>
        <w:t>Kennefick</w:t>
      </w:r>
      <w:proofErr w:type="spellEnd"/>
      <w:r w:rsidR="5203C575" w:rsidRPr="5AF94645">
        <w:rPr>
          <w:rFonts w:ascii="Arial" w:eastAsia="Arial" w:hAnsi="Arial" w:cs="Arial"/>
          <w:sz w:val="24"/>
          <w:szCs w:val="24"/>
        </w:rPr>
        <w:t xml:space="preserve">, 2011). </w:t>
      </w:r>
      <w:r w:rsidR="2C1FB750" w:rsidRPr="5AF94645">
        <w:rPr>
          <w:rFonts w:ascii="Arial" w:eastAsia="Arial" w:hAnsi="Arial" w:cs="Arial"/>
          <w:sz w:val="24"/>
          <w:szCs w:val="24"/>
        </w:rPr>
        <w:t>Therefore,</w:t>
      </w:r>
      <w:r w:rsidR="3C830E46" w:rsidRPr="5AF94645">
        <w:rPr>
          <w:rFonts w:ascii="Arial" w:eastAsia="Arial" w:hAnsi="Arial" w:cs="Arial"/>
          <w:sz w:val="24"/>
          <w:szCs w:val="24"/>
        </w:rPr>
        <w:t xml:space="preserve"> the reformation took place in S.2 coroners and justice act (2009). </w:t>
      </w:r>
    </w:p>
    <w:p w14:paraId="4894798F" w14:textId="2F5D9208" w:rsidR="75A3DB6D" w:rsidRDefault="75A3DB6D" w:rsidP="5AF94645">
      <w:pPr>
        <w:pStyle w:val="Heading5"/>
        <w:rPr>
          <w:rFonts w:ascii="Arial" w:eastAsia="Arial" w:hAnsi="Arial" w:cs="Arial"/>
          <w:color w:val="auto"/>
          <w:sz w:val="24"/>
          <w:szCs w:val="24"/>
        </w:rPr>
      </w:pPr>
      <w:r w:rsidRPr="5AF94645">
        <w:rPr>
          <w:rFonts w:ascii="Arial" w:eastAsia="Arial" w:hAnsi="Arial" w:cs="Arial"/>
          <w:color w:val="auto"/>
          <w:sz w:val="24"/>
          <w:szCs w:val="24"/>
        </w:rPr>
        <w:t xml:space="preserve">S 52 coroners and justice act 2009 states, </w:t>
      </w:r>
      <w:r w:rsidR="0DB8CEF6" w:rsidRPr="5AF94645">
        <w:rPr>
          <w:rFonts w:ascii="Arial" w:eastAsia="Arial" w:hAnsi="Arial" w:cs="Arial"/>
          <w:color w:val="auto"/>
          <w:sz w:val="24"/>
          <w:szCs w:val="24"/>
        </w:rPr>
        <w:t>“</w:t>
      </w:r>
      <w:r w:rsidR="0DB8CEF6" w:rsidRPr="5AF94645">
        <w:rPr>
          <w:rFonts w:ascii="Arial" w:eastAsia="Arial" w:hAnsi="Arial" w:cs="Arial"/>
          <w:i/>
          <w:iCs/>
          <w:color w:val="auto"/>
          <w:sz w:val="24"/>
          <w:szCs w:val="24"/>
        </w:rPr>
        <w:t xml:space="preserve">(1)A person (“D”) who kills or is a party to the killing of another is not to be convicted of murder if D was suffering from an abnormality of mental functioning which—(a)arose from a recognised medical condition, </w:t>
      </w:r>
      <w:r w:rsidR="28F9F123" w:rsidRPr="5AF94645">
        <w:rPr>
          <w:rFonts w:ascii="Arial" w:eastAsia="Arial" w:hAnsi="Arial" w:cs="Arial"/>
          <w:i/>
          <w:iCs/>
          <w:color w:val="auto"/>
          <w:sz w:val="24"/>
          <w:szCs w:val="24"/>
        </w:rPr>
        <w:t>impaired</w:t>
      </w:r>
      <w:r w:rsidR="0DB8CEF6" w:rsidRPr="5AF94645">
        <w:rPr>
          <w:rFonts w:ascii="Arial" w:eastAsia="Arial" w:hAnsi="Arial" w:cs="Arial"/>
          <w:i/>
          <w:iCs/>
          <w:color w:val="auto"/>
          <w:sz w:val="24"/>
          <w:szCs w:val="24"/>
        </w:rPr>
        <w:t xml:space="preserve"> D's ability to do one or more of the things mentioned in subsection (1A), and (c)provides an explanation for D's acts and omissions in doing or being a party to the killing.</w:t>
      </w:r>
      <w:r w:rsidR="190095B6" w:rsidRPr="5AF94645">
        <w:rPr>
          <w:rFonts w:ascii="Arial" w:eastAsia="Arial" w:hAnsi="Arial" w:cs="Arial"/>
          <w:i/>
          <w:iCs/>
          <w:color w:val="auto"/>
          <w:sz w:val="24"/>
          <w:szCs w:val="24"/>
        </w:rPr>
        <w:t xml:space="preserve"> </w:t>
      </w:r>
      <w:r w:rsidR="0DB8CEF6" w:rsidRPr="5AF94645">
        <w:rPr>
          <w:rFonts w:ascii="Arial" w:eastAsia="Arial" w:hAnsi="Arial" w:cs="Arial"/>
          <w:i/>
          <w:iCs/>
          <w:color w:val="auto"/>
          <w:sz w:val="24"/>
          <w:szCs w:val="24"/>
        </w:rPr>
        <w:t xml:space="preserve">Those things </w:t>
      </w:r>
      <w:proofErr w:type="gramStart"/>
      <w:r w:rsidR="389570E6" w:rsidRPr="5AF94645">
        <w:rPr>
          <w:rFonts w:ascii="Arial" w:eastAsia="Arial" w:hAnsi="Arial" w:cs="Arial"/>
          <w:i/>
          <w:iCs/>
          <w:color w:val="auto"/>
          <w:sz w:val="24"/>
          <w:szCs w:val="24"/>
        </w:rPr>
        <w:t>are;</w:t>
      </w:r>
      <w:proofErr w:type="gramEnd"/>
      <w:r w:rsidR="52FC7564" w:rsidRPr="5AF94645">
        <w:rPr>
          <w:rFonts w:ascii="Arial" w:eastAsia="Arial" w:hAnsi="Arial" w:cs="Arial"/>
          <w:i/>
          <w:iCs/>
          <w:color w:val="auto"/>
          <w:sz w:val="24"/>
          <w:szCs w:val="24"/>
        </w:rPr>
        <w:t xml:space="preserve"> </w:t>
      </w:r>
      <w:r w:rsidR="0DB8CEF6" w:rsidRPr="5AF94645">
        <w:rPr>
          <w:rFonts w:ascii="Arial" w:eastAsia="Arial" w:hAnsi="Arial" w:cs="Arial"/>
          <w:i/>
          <w:iCs/>
          <w:color w:val="auto"/>
          <w:sz w:val="24"/>
          <w:szCs w:val="24"/>
        </w:rPr>
        <w:t xml:space="preserve">to understand the nature of D's </w:t>
      </w:r>
      <w:r w:rsidR="2E89ED08" w:rsidRPr="5AF94645">
        <w:rPr>
          <w:rFonts w:ascii="Arial" w:eastAsia="Arial" w:hAnsi="Arial" w:cs="Arial"/>
          <w:i/>
          <w:iCs/>
          <w:color w:val="auto"/>
          <w:sz w:val="24"/>
          <w:szCs w:val="24"/>
        </w:rPr>
        <w:t>conduct; to</w:t>
      </w:r>
      <w:r w:rsidR="0DB8CEF6" w:rsidRPr="5AF94645">
        <w:rPr>
          <w:rFonts w:ascii="Arial" w:eastAsia="Arial" w:hAnsi="Arial" w:cs="Arial"/>
          <w:i/>
          <w:iCs/>
          <w:color w:val="auto"/>
          <w:sz w:val="24"/>
          <w:szCs w:val="24"/>
        </w:rPr>
        <w:t xml:space="preserve"> form a rational </w:t>
      </w:r>
      <w:r w:rsidR="3C81CC2D" w:rsidRPr="5AF94645">
        <w:rPr>
          <w:rFonts w:ascii="Arial" w:eastAsia="Arial" w:hAnsi="Arial" w:cs="Arial"/>
          <w:i/>
          <w:iCs/>
          <w:color w:val="auto"/>
          <w:sz w:val="24"/>
          <w:szCs w:val="24"/>
        </w:rPr>
        <w:t>judgment; to</w:t>
      </w:r>
      <w:r w:rsidR="0DB8CEF6" w:rsidRPr="5AF94645">
        <w:rPr>
          <w:rFonts w:ascii="Arial" w:eastAsia="Arial" w:hAnsi="Arial" w:cs="Arial"/>
          <w:i/>
          <w:iCs/>
          <w:color w:val="auto"/>
          <w:sz w:val="24"/>
          <w:szCs w:val="24"/>
        </w:rPr>
        <w:t xml:space="preserve"> exercise self-control. an abnormality of mental functioning provides an explanation for D's conduct if it causes, or is a significant contributory factor in causing, D to carry out that conduct</w:t>
      </w:r>
      <w:r w:rsidR="0DB8CEF6" w:rsidRPr="5AF94645">
        <w:rPr>
          <w:rFonts w:ascii="Arial" w:eastAsia="Arial" w:hAnsi="Arial" w:cs="Arial"/>
          <w:color w:val="auto"/>
          <w:sz w:val="24"/>
          <w:szCs w:val="24"/>
        </w:rPr>
        <w:t>.”</w:t>
      </w:r>
      <w:r w:rsidR="252097DF" w:rsidRPr="5AF94645">
        <w:rPr>
          <w:rFonts w:ascii="Arial" w:eastAsia="Arial" w:hAnsi="Arial" w:cs="Arial"/>
          <w:color w:val="auto"/>
          <w:sz w:val="24"/>
          <w:szCs w:val="24"/>
        </w:rPr>
        <w:t xml:space="preserve"> (Legislation.gov.uk, 2010).</w:t>
      </w:r>
    </w:p>
    <w:p w14:paraId="2DF2769F" w14:textId="120431DE" w:rsidR="37D1D005" w:rsidRDefault="37D1D005" w:rsidP="5AF94645">
      <w:pPr>
        <w:rPr>
          <w:rFonts w:ascii="Arial" w:eastAsia="Arial" w:hAnsi="Arial" w:cs="Arial"/>
          <w:sz w:val="24"/>
          <w:szCs w:val="24"/>
        </w:rPr>
      </w:pPr>
      <w:r w:rsidRPr="5AF94645">
        <w:rPr>
          <w:rFonts w:ascii="Arial" w:eastAsia="Arial" w:hAnsi="Arial" w:cs="Arial"/>
          <w:sz w:val="24"/>
          <w:szCs w:val="24"/>
        </w:rPr>
        <w:t xml:space="preserve">            </w:t>
      </w:r>
    </w:p>
    <w:p w14:paraId="59B4EEDA" w14:textId="1E8C5CFF" w:rsidR="641CE6D6" w:rsidRDefault="641CE6D6" w:rsidP="5AF94645">
      <w:pPr>
        <w:rPr>
          <w:rFonts w:ascii="Arial" w:eastAsia="Arial" w:hAnsi="Arial" w:cs="Arial"/>
          <w:sz w:val="24"/>
          <w:szCs w:val="24"/>
        </w:rPr>
      </w:pPr>
      <w:r w:rsidRPr="5AF94645">
        <w:rPr>
          <w:rFonts w:ascii="Arial" w:eastAsia="Arial" w:hAnsi="Arial" w:cs="Arial"/>
          <w:sz w:val="24"/>
          <w:szCs w:val="24"/>
        </w:rPr>
        <w:t xml:space="preserve">           </w:t>
      </w:r>
      <w:r w:rsidR="37D1D005" w:rsidRPr="5AF94645">
        <w:rPr>
          <w:rFonts w:ascii="Arial" w:eastAsia="Arial" w:hAnsi="Arial" w:cs="Arial"/>
          <w:sz w:val="24"/>
          <w:szCs w:val="24"/>
        </w:rPr>
        <w:t>Th</w:t>
      </w:r>
      <w:r w:rsidR="7F31C93E" w:rsidRPr="5AF94645">
        <w:rPr>
          <w:rFonts w:ascii="Arial" w:eastAsia="Arial" w:hAnsi="Arial" w:cs="Arial"/>
          <w:sz w:val="24"/>
          <w:szCs w:val="24"/>
        </w:rPr>
        <w:t>e change of the wording was made to make it more clear to the jury. Instead of “</w:t>
      </w:r>
      <w:r w:rsidR="7F31C93E" w:rsidRPr="5AF94645">
        <w:rPr>
          <w:rFonts w:ascii="Arial" w:eastAsia="Arial" w:hAnsi="Arial" w:cs="Arial"/>
          <w:i/>
          <w:iCs/>
          <w:sz w:val="24"/>
          <w:szCs w:val="24"/>
        </w:rPr>
        <w:t>abnormality of the mind</w:t>
      </w:r>
      <w:r w:rsidR="1653C1FB" w:rsidRPr="5AF94645">
        <w:rPr>
          <w:rFonts w:ascii="Arial" w:eastAsia="Arial" w:hAnsi="Arial" w:cs="Arial"/>
          <w:sz w:val="24"/>
          <w:szCs w:val="24"/>
        </w:rPr>
        <w:t>” it is now “</w:t>
      </w:r>
      <w:r w:rsidR="1653C1FB" w:rsidRPr="5AF94645">
        <w:rPr>
          <w:rFonts w:ascii="Arial" w:eastAsia="Arial" w:hAnsi="Arial" w:cs="Arial"/>
          <w:i/>
          <w:iCs/>
          <w:sz w:val="24"/>
          <w:szCs w:val="24"/>
        </w:rPr>
        <w:t>abnormality of mental functioning</w:t>
      </w:r>
      <w:r w:rsidR="1653C1FB" w:rsidRPr="5AF94645">
        <w:rPr>
          <w:rFonts w:ascii="Arial" w:eastAsia="Arial" w:hAnsi="Arial" w:cs="Arial"/>
          <w:sz w:val="24"/>
          <w:szCs w:val="24"/>
        </w:rPr>
        <w:t xml:space="preserve">” this </w:t>
      </w:r>
      <w:r w:rsidR="67A83836" w:rsidRPr="5AF94645">
        <w:rPr>
          <w:rFonts w:ascii="Arial" w:eastAsia="Arial" w:hAnsi="Arial" w:cs="Arial"/>
          <w:sz w:val="24"/>
          <w:szCs w:val="24"/>
        </w:rPr>
        <w:t>must</w:t>
      </w:r>
      <w:r w:rsidR="1653C1FB" w:rsidRPr="5AF94645">
        <w:rPr>
          <w:rFonts w:ascii="Arial" w:eastAsia="Arial" w:hAnsi="Arial" w:cs="Arial"/>
          <w:sz w:val="24"/>
          <w:szCs w:val="24"/>
        </w:rPr>
        <w:t xml:space="preserve"> have stemmed from a recognised men</w:t>
      </w:r>
      <w:r w:rsidR="6141A1D2" w:rsidRPr="5AF94645">
        <w:rPr>
          <w:rFonts w:ascii="Arial" w:eastAsia="Arial" w:hAnsi="Arial" w:cs="Arial"/>
          <w:sz w:val="24"/>
          <w:szCs w:val="24"/>
        </w:rPr>
        <w:t xml:space="preserve">tal condition which </w:t>
      </w:r>
      <w:r w:rsidR="04E31435" w:rsidRPr="5AF94645">
        <w:rPr>
          <w:rFonts w:ascii="Arial" w:eastAsia="Arial" w:hAnsi="Arial" w:cs="Arial"/>
          <w:sz w:val="24"/>
          <w:szCs w:val="24"/>
        </w:rPr>
        <w:t xml:space="preserve">impairs the </w:t>
      </w:r>
      <w:r w:rsidR="29794C0D" w:rsidRPr="5AF94645">
        <w:rPr>
          <w:rFonts w:ascii="Arial" w:eastAsia="Arial" w:hAnsi="Arial" w:cs="Arial"/>
          <w:sz w:val="24"/>
          <w:szCs w:val="24"/>
        </w:rPr>
        <w:t>offender's</w:t>
      </w:r>
      <w:r w:rsidR="04E31435" w:rsidRPr="5AF94645">
        <w:rPr>
          <w:rFonts w:ascii="Arial" w:eastAsia="Arial" w:hAnsi="Arial" w:cs="Arial"/>
          <w:sz w:val="24"/>
          <w:szCs w:val="24"/>
        </w:rPr>
        <w:t xml:space="preserve"> ability to do one or more of three things. </w:t>
      </w:r>
      <w:r w:rsidR="646DD077" w:rsidRPr="5AF94645">
        <w:rPr>
          <w:rFonts w:ascii="Arial" w:eastAsia="Arial" w:hAnsi="Arial" w:cs="Arial"/>
          <w:sz w:val="24"/>
          <w:szCs w:val="24"/>
        </w:rPr>
        <w:t xml:space="preserve">First one of these being the ability to understand the nature of the </w:t>
      </w:r>
      <w:r w:rsidR="3E8E14BC" w:rsidRPr="5AF94645">
        <w:rPr>
          <w:rFonts w:ascii="Arial" w:eastAsia="Arial" w:hAnsi="Arial" w:cs="Arial"/>
          <w:sz w:val="24"/>
          <w:szCs w:val="24"/>
        </w:rPr>
        <w:t>offender's</w:t>
      </w:r>
      <w:r w:rsidR="646DD077" w:rsidRPr="5AF94645">
        <w:rPr>
          <w:rFonts w:ascii="Arial" w:eastAsia="Arial" w:hAnsi="Arial" w:cs="Arial"/>
          <w:sz w:val="24"/>
          <w:szCs w:val="24"/>
        </w:rPr>
        <w:t xml:space="preserve"> conduct. The second being </w:t>
      </w:r>
      <w:r w:rsidR="43C04310" w:rsidRPr="5AF94645">
        <w:rPr>
          <w:rFonts w:ascii="Arial" w:eastAsia="Arial" w:hAnsi="Arial" w:cs="Arial"/>
          <w:sz w:val="24"/>
          <w:szCs w:val="24"/>
        </w:rPr>
        <w:t>to form rational judgment. The third being able to exercise self-control</w:t>
      </w:r>
      <w:r w:rsidR="2E9F609C" w:rsidRPr="5AF94645">
        <w:rPr>
          <w:rFonts w:ascii="Arial" w:eastAsia="Arial" w:hAnsi="Arial" w:cs="Arial"/>
          <w:sz w:val="24"/>
          <w:szCs w:val="24"/>
        </w:rPr>
        <w:t xml:space="preserve"> (Ministry of Justice, 2010).</w:t>
      </w:r>
    </w:p>
    <w:p w14:paraId="51646FD3" w14:textId="241C7D3F" w:rsidR="10123AFE" w:rsidRDefault="10123AFE" w:rsidP="5AF94645">
      <w:pPr>
        <w:rPr>
          <w:rFonts w:ascii="Arial" w:eastAsia="Arial" w:hAnsi="Arial" w:cs="Arial"/>
          <w:sz w:val="24"/>
          <w:szCs w:val="24"/>
        </w:rPr>
      </w:pPr>
      <w:r w:rsidRPr="5AF94645">
        <w:rPr>
          <w:rFonts w:ascii="Arial" w:eastAsia="Arial" w:hAnsi="Arial" w:cs="Arial"/>
          <w:sz w:val="24"/>
          <w:szCs w:val="24"/>
        </w:rPr>
        <w:t>However, on the other hand, t</w:t>
      </w:r>
      <w:r w:rsidR="64433251" w:rsidRPr="5AF94645">
        <w:rPr>
          <w:rFonts w:ascii="Arial" w:eastAsia="Arial" w:hAnsi="Arial" w:cs="Arial"/>
          <w:sz w:val="24"/>
          <w:szCs w:val="24"/>
        </w:rPr>
        <w:t>he latest changes are still criticized and have disadvantages. The phrase "</w:t>
      </w:r>
      <w:r w:rsidR="64433251" w:rsidRPr="5AF94645">
        <w:rPr>
          <w:rFonts w:ascii="Arial" w:eastAsia="Arial" w:hAnsi="Arial" w:cs="Arial"/>
          <w:i/>
          <w:iCs/>
          <w:sz w:val="24"/>
          <w:szCs w:val="24"/>
        </w:rPr>
        <w:t>abnormality of mind</w:t>
      </w:r>
      <w:r w:rsidR="64433251" w:rsidRPr="5AF94645">
        <w:rPr>
          <w:rFonts w:ascii="Arial" w:eastAsia="Arial" w:hAnsi="Arial" w:cs="Arial"/>
          <w:sz w:val="24"/>
          <w:szCs w:val="24"/>
        </w:rPr>
        <w:t>" had long been criticised for not being a psychiatric term; nevertheless, neither is the former. Also, "</w:t>
      </w:r>
      <w:r w:rsidR="64433251" w:rsidRPr="5AF94645">
        <w:rPr>
          <w:rFonts w:ascii="Arial" w:eastAsia="Arial" w:hAnsi="Arial" w:cs="Arial"/>
          <w:i/>
          <w:iCs/>
          <w:sz w:val="24"/>
          <w:szCs w:val="24"/>
        </w:rPr>
        <w:t>abnormality of mental functioning</w:t>
      </w:r>
      <w:r w:rsidR="64433251" w:rsidRPr="5AF94645">
        <w:rPr>
          <w:rFonts w:ascii="Arial" w:eastAsia="Arial" w:hAnsi="Arial" w:cs="Arial"/>
          <w:sz w:val="24"/>
          <w:szCs w:val="24"/>
        </w:rPr>
        <w:t xml:space="preserve">" received little scrutiny, in contrast to the other novel ideas found in Section 52 of the Coroners and Justice Act 2009. The MOJ did not address it in its Consultation Paper, and the Law Commission only noted that "'mental functioning' is a term favoured by psychiatrists </w:t>
      </w:r>
      <w:r w:rsidR="4395A4EA" w:rsidRPr="5AF94645">
        <w:rPr>
          <w:rFonts w:ascii="Arial" w:eastAsia="Arial" w:hAnsi="Arial" w:cs="Arial"/>
          <w:sz w:val="24"/>
          <w:szCs w:val="24"/>
        </w:rPr>
        <w:t>to '</w:t>
      </w:r>
      <w:r w:rsidR="4395A4EA" w:rsidRPr="5AF94645">
        <w:rPr>
          <w:rFonts w:ascii="Arial" w:eastAsia="Arial" w:hAnsi="Arial" w:cs="Arial"/>
          <w:i/>
          <w:iCs/>
          <w:sz w:val="24"/>
          <w:szCs w:val="24"/>
        </w:rPr>
        <w:t>mind</w:t>
      </w:r>
      <w:r w:rsidR="64433251" w:rsidRPr="5AF94645">
        <w:rPr>
          <w:rFonts w:ascii="Arial" w:eastAsia="Arial" w:hAnsi="Arial" w:cs="Arial"/>
          <w:sz w:val="24"/>
          <w:szCs w:val="24"/>
        </w:rPr>
        <w:t>'.</w:t>
      </w:r>
      <w:r w:rsidR="22E81783" w:rsidRPr="5AF94645">
        <w:rPr>
          <w:rFonts w:ascii="Arial" w:eastAsia="Arial" w:hAnsi="Arial" w:cs="Arial"/>
          <w:sz w:val="24"/>
          <w:szCs w:val="24"/>
        </w:rPr>
        <w:t xml:space="preserve"> (Mackay, 2010)</w:t>
      </w:r>
      <w:r w:rsidR="34424E9B" w:rsidRPr="5AF94645">
        <w:rPr>
          <w:rFonts w:ascii="Arial" w:eastAsia="Arial" w:hAnsi="Arial" w:cs="Arial"/>
          <w:sz w:val="24"/>
          <w:szCs w:val="24"/>
        </w:rPr>
        <w:t xml:space="preserve">. Although, on the other </w:t>
      </w:r>
      <w:r w:rsidR="34424E9B" w:rsidRPr="5AF94645">
        <w:rPr>
          <w:rFonts w:ascii="Arial" w:eastAsia="Arial" w:hAnsi="Arial" w:cs="Arial"/>
          <w:sz w:val="24"/>
          <w:szCs w:val="24"/>
        </w:rPr>
        <w:lastRenderedPageBreak/>
        <w:t xml:space="preserve">hand, the term does seem to narrow the </w:t>
      </w:r>
      <w:r w:rsidR="6833BB85" w:rsidRPr="5AF94645">
        <w:rPr>
          <w:rFonts w:ascii="Arial" w:eastAsia="Arial" w:hAnsi="Arial" w:cs="Arial"/>
          <w:sz w:val="24"/>
          <w:szCs w:val="24"/>
        </w:rPr>
        <w:t xml:space="preserve">defence down and bring the </w:t>
      </w:r>
      <w:r w:rsidR="4E79317C" w:rsidRPr="5AF94645">
        <w:rPr>
          <w:rFonts w:ascii="Arial" w:eastAsia="Arial" w:hAnsi="Arial" w:cs="Arial"/>
          <w:sz w:val="24"/>
          <w:szCs w:val="24"/>
        </w:rPr>
        <w:t>defence</w:t>
      </w:r>
      <w:r w:rsidR="6833BB85" w:rsidRPr="5AF94645">
        <w:rPr>
          <w:rFonts w:ascii="Arial" w:eastAsia="Arial" w:hAnsi="Arial" w:cs="Arial"/>
          <w:sz w:val="24"/>
          <w:szCs w:val="24"/>
        </w:rPr>
        <w:t xml:space="preserve"> more in line with psychiatry </w:t>
      </w:r>
      <w:r w:rsidR="07E01507" w:rsidRPr="5AF94645">
        <w:rPr>
          <w:rFonts w:ascii="Arial" w:eastAsia="Arial" w:hAnsi="Arial" w:cs="Arial"/>
          <w:sz w:val="24"/>
          <w:szCs w:val="24"/>
        </w:rPr>
        <w:t xml:space="preserve">(Hodgkinson and </w:t>
      </w:r>
      <w:proofErr w:type="spellStart"/>
      <w:r w:rsidR="07E01507" w:rsidRPr="5AF94645">
        <w:rPr>
          <w:rFonts w:ascii="Arial" w:eastAsia="Arial" w:hAnsi="Arial" w:cs="Arial"/>
          <w:sz w:val="24"/>
          <w:szCs w:val="24"/>
        </w:rPr>
        <w:t>Prins</w:t>
      </w:r>
      <w:proofErr w:type="spellEnd"/>
      <w:r w:rsidR="07E01507" w:rsidRPr="5AF94645">
        <w:rPr>
          <w:rFonts w:ascii="Arial" w:eastAsia="Arial" w:hAnsi="Arial" w:cs="Arial"/>
          <w:sz w:val="24"/>
          <w:szCs w:val="24"/>
        </w:rPr>
        <w:t xml:space="preserve">, 2011). </w:t>
      </w:r>
    </w:p>
    <w:p w14:paraId="1F98C214" w14:textId="1EDC8655" w:rsidR="1272EE4C" w:rsidRDefault="1272EE4C" w:rsidP="29DB4D91">
      <w:pPr>
        <w:rPr>
          <w:rFonts w:ascii="Arial" w:eastAsia="Arial" w:hAnsi="Arial" w:cs="Arial"/>
          <w:sz w:val="24"/>
          <w:szCs w:val="24"/>
        </w:rPr>
      </w:pPr>
      <w:r w:rsidRPr="29DB4D91">
        <w:rPr>
          <w:rFonts w:ascii="Arial" w:eastAsia="Arial" w:hAnsi="Arial" w:cs="Arial"/>
          <w:sz w:val="24"/>
          <w:szCs w:val="24"/>
        </w:rPr>
        <w:t xml:space="preserve">One problem still with the reformation is that Difficulties can also arise in relation to defendants who are in the </w:t>
      </w:r>
      <w:r w:rsidR="1DE6B3FB" w:rsidRPr="29DB4D91">
        <w:rPr>
          <w:rFonts w:ascii="Arial" w:eastAsia="Arial" w:hAnsi="Arial" w:cs="Arial"/>
          <w:sz w:val="24"/>
          <w:szCs w:val="24"/>
        </w:rPr>
        <w:t>initial stages</w:t>
      </w:r>
      <w:r w:rsidRPr="29DB4D91">
        <w:rPr>
          <w:rFonts w:ascii="Arial" w:eastAsia="Arial" w:hAnsi="Arial" w:cs="Arial"/>
          <w:sz w:val="24"/>
          <w:szCs w:val="24"/>
        </w:rPr>
        <w:t xml:space="preserve"> of developing a recognized</w:t>
      </w:r>
      <w:r w:rsidR="6E88DB83" w:rsidRPr="29DB4D91">
        <w:rPr>
          <w:rFonts w:ascii="Arial" w:eastAsia="Arial" w:hAnsi="Arial" w:cs="Arial"/>
          <w:sz w:val="24"/>
          <w:szCs w:val="24"/>
        </w:rPr>
        <w:t xml:space="preserve"> mental</w:t>
      </w:r>
      <w:r w:rsidRPr="29DB4D91">
        <w:rPr>
          <w:rFonts w:ascii="Arial" w:eastAsia="Arial" w:hAnsi="Arial" w:cs="Arial"/>
          <w:sz w:val="24"/>
          <w:szCs w:val="24"/>
        </w:rPr>
        <w:t xml:space="preserve"> illness, especially when there is disagreement among medical professionals on the subject. As with other issues arising from the revised definition of </w:t>
      </w:r>
      <w:r w:rsidR="4A8F93D7" w:rsidRPr="29DB4D91">
        <w:rPr>
          <w:rFonts w:ascii="Arial" w:eastAsia="Arial" w:hAnsi="Arial" w:cs="Arial"/>
          <w:sz w:val="24"/>
          <w:szCs w:val="24"/>
        </w:rPr>
        <w:t>diminished responsibility</w:t>
      </w:r>
      <w:r w:rsidRPr="29DB4D91">
        <w:rPr>
          <w:rFonts w:ascii="Arial" w:eastAsia="Arial" w:hAnsi="Arial" w:cs="Arial"/>
          <w:sz w:val="24"/>
          <w:szCs w:val="24"/>
        </w:rPr>
        <w:t>, these issues will not be resolved until litigation is brought before the Court of Appeals</w:t>
      </w:r>
      <w:r w:rsidR="44D2B564" w:rsidRPr="29DB4D91">
        <w:rPr>
          <w:rFonts w:ascii="Arial" w:eastAsia="Arial" w:hAnsi="Arial" w:cs="Arial"/>
          <w:sz w:val="24"/>
          <w:szCs w:val="24"/>
        </w:rPr>
        <w:t xml:space="preserve"> (Finch, 2021)</w:t>
      </w:r>
      <w:r w:rsidRPr="29DB4D91">
        <w:rPr>
          <w:rFonts w:ascii="Arial" w:eastAsia="Arial" w:hAnsi="Arial" w:cs="Arial"/>
          <w:sz w:val="24"/>
          <w:szCs w:val="24"/>
        </w:rPr>
        <w:t>.</w:t>
      </w:r>
      <w:r w:rsidR="7CC522CA" w:rsidRPr="29DB4D91">
        <w:rPr>
          <w:rFonts w:ascii="Arial" w:eastAsia="Arial" w:hAnsi="Arial" w:cs="Arial"/>
          <w:sz w:val="24"/>
          <w:szCs w:val="24"/>
        </w:rPr>
        <w:t xml:space="preserve"> This showing that </w:t>
      </w:r>
      <w:r w:rsidR="17642D54" w:rsidRPr="29DB4D91">
        <w:rPr>
          <w:rFonts w:ascii="Arial" w:eastAsia="Arial" w:hAnsi="Arial" w:cs="Arial"/>
          <w:sz w:val="24"/>
          <w:szCs w:val="24"/>
        </w:rPr>
        <w:t>the</w:t>
      </w:r>
      <w:r w:rsidR="7CC522CA" w:rsidRPr="29DB4D91">
        <w:rPr>
          <w:rFonts w:ascii="Arial" w:eastAsia="Arial" w:hAnsi="Arial" w:cs="Arial"/>
          <w:sz w:val="24"/>
          <w:szCs w:val="24"/>
        </w:rPr>
        <w:t xml:space="preserve"> term recognised medical condition should be better defined to what stage the offender is at </w:t>
      </w:r>
      <w:r w:rsidR="573129FF" w:rsidRPr="29DB4D91">
        <w:rPr>
          <w:rFonts w:ascii="Arial" w:eastAsia="Arial" w:hAnsi="Arial" w:cs="Arial"/>
          <w:sz w:val="24"/>
          <w:szCs w:val="24"/>
        </w:rPr>
        <w:t>as well</w:t>
      </w:r>
      <w:r w:rsidR="7CC522CA" w:rsidRPr="29DB4D91">
        <w:rPr>
          <w:rFonts w:ascii="Arial" w:eastAsia="Arial" w:hAnsi="Arial" w:cs="Arial"/>
          <w:sz w:val="24"/>
          <w:szCs w:val="24"/>
        </w:rPr>
        <w:t xml:space="preserve"> as the offen</w:t>
      </w:r>
      <w:r w:rsidR="265E5BD6" w:rsidRPr="29DB4D91">
        <w:rPr>
          <w:rFonts w:ascii="Arial" w:eastAsia="Arial" w:hAnsi="Arial" w:cs="Arial"/>
          <w:sz w:val="24"/>
          <w:szCs w:val="24"/>
        </w:rPr>
        <w:t xml:space="preserve">der </w:t>
      </w:r>
      <w:r w:rsidR="597845E1" w:rsidRPr="29DB4D91">
        <w:rPr>
          <w:rFonts w:ascii="Arial" w:eastAsia="Arial" w:hAnsi="Arial" w:cs="Arial"/>
          <w:sz w:val="24"/>
          <w:szCs w:val="24"/>
        </w:rPr>
        <w:t>having</w:t>
      </w:r>
      <w:r w:rsidR="265E5BD6" w:rsidRPr="29DB4D91">
        <w:rPr>
          <w:rFonts w:ascii="Arial" w:eastAsia="Arial" w:hAnsi="Arial" w:cs="Arial"/>
          <w:sz w:val="24"/>
          <w:szCs w:val="24"/>
        </w:rPr>
        <w:t xml:space="preserve"> a condition that is recognised medically. </w:t>
      </w:r>
    </w:p>
    <w:p w14:paraId="4A260CEB" w14:textId="3A1BAAC6" w:rsidR="5A78D642" w:rsidRDefault="5A78D642" w:rsidP="29DB4D91">
      <w:pPr>
        <w:rPr>
          <w:rFonts w:ascii="Arial" w:eastAsia="Arial" w:hAnsi="Arial" w:cs="Arial"/>
          <w:sz w:val="24"/>
          <w:szCs w:val="24"/>
        </w:rPr>
      </w:pPr>
      <w:r w:rsidRPr="29DB4D91">
        <w:rPr>
          <w:rFonts w:ascii="Arial" w:eastAsia="Arial" w:hAnsi="Arial" w:cs="Arial"/>
          <w:sz w:val="24"/>
          <w:szCs w:val="24"/>
        </w:rPr>
        <w:t xml:space="preserve">Unfortunately, legislative reform has opened a new box regarding the </w:t>
      </w:r>
      <w:r w:rsidR="7AFFF2BA" w:rsidRPr="29DB4D91">
        <w:rPr>
          <w:rFonts w:ascii="Arial" w:eastAsia="Arial" w:hAnsi="Arial" w:cs="Arial"/>
          <w:sz w:val="24"/>
          <w:szCs w:val="24"/>
        </w:rPr>
        <w:t>non-transparent</w:t>
      </w:r>
      <w:r w:rsidRPr="29DB4D91">
        <w:rPr>
          <w:rFonts w:ascii="Arial" w:eastAsia="Arial" w:hAnsi="Arial" w:cs="Arial"/>
          <w:sz w:val="24"/>
          <w:szCs w:val="24"/>
        </w:rPr>
        <w:t xml:space="preserve"> and uncertain functioning of defences against loss of control and diminished responsibility. It aims not only to dismantle it from a global perspective, but also to offer new possibilities for reform and to draw lessons from an international and comparative perspective on the most unnatural future paths. The work serves as a clear call for change in an arena ripe for reform and further reflection</w:t>
      </w:r>
      <w:r w:rsidR="35130B5C" w:rsidRPr="29DB4D91">
        <w:rPr>
          <w:rFonts w:ascii="Arial" w:eastAsia="Arial" w:hAnsi="Arial" w:cs="Arial"/>
          <w:sz w:val="24"/>
          <w:szCs w:val="24"/>
        </w:rPr>
        <w:t xml:space="preserve"> (Alan Reed et al, 2021). This showing the need to further reform the laws with diminished responsibility. </w:t>
      </w:r>
    </w:p>
    <w:p w14:paraId="3A198463" w14:textId="539CAF88" w:rsidR="362C339F" w:rsidRDefault="362C339F" w:rsidP="29DB4D91">
      <w:pPr>
        <w:rPr>
          <w:rFonts w:ascii="Arial" w:eastAsia="Arial" w:hAnsi="Arial" w:cs="Arial"/>
          <w:sz w:val="24"/>
          <w:szCs w:val="24"/>
        </w:rPr>
      </w:pPr>
      <w:r w:rsidRPr="29DB4D91">
        <w:rPr>
          <w:rFonts w:ascii="Arial" w:eastAsia="Arial" w:hAnsi="Arial" w:cs="Arial"/>
          <w:sz w:val="24"/>
          <w:szCs w:val="24"/>
        </w:rPr>
        <w:t xml:space="preserve">To conclude, it </w:t>
      </w:r>
      <w:r w:rsidR="75554AF2" w:rsidRPr="29DB4D91">
        <w:rPr>
          <w:rFonts w:ascii="Arial" w:eastAsia="Arial" w:hAnsi="Arial" w:cs="Arial"/>
          <w:sz w:val="24"/>
          <w:szCs w:val="24"/>
        </w:rPr>
        <w:t xml:space="preserve">is </w:t>
      </w:r>
      <w:r w:rsidRPr="29DB4D91">
        <w:rPr>
          <w:rFonts w:ascii="Arial" w:eastAsia="Arial" w:hAnsi="Arial" w:cs="Arial"/>
          <w:sz w:val="24"/>
          <w:szCs w:val="24"/>
        </w:rPr>
        <w:t>evident that the advancement and reformation of the act did change the clarity and cer</w:t>
      </w:r>
      <w:r w:rsidR="5524BF4F" w:rsidRPr="29DB4D91">
        <w:rPr>
          <w:rFonts w:ascii="Arial" w:eastAsia="Arial" w:hAnsi="Arial" w:cs="Arial"/>
          <w:sz w:val="24"/>
          <w:szCs w:val="24"/>
        </w:rPr>
        <w:t xml:space="preserve">tainty of the homicide act. There are still reformations still needed to keep the law </w:t>
      </w:r>
      <w:r w:rsidR="54238B69" w:rsidRPr="29DB4D91">
        <w:rPr>
          <w:rFonts w:ascii="Arial" w:eastAsia="Arial" w:hAnsi="Arial" w:cs="Arial"/>
          <w:sz w:val="24"/>
          <w:szCs w:val="24"/>
        </w:rPr>
        <w:t xml:space="preserve">constantly evolving with the modernisation of the English and Welsh legal system. </w:t>
      </w:r>
      <w:r w:rsidR="0446421C" w:rsidRPr="29DB4D91">
        <w:rPr>
          <w:rFonts w:ascii="Arial" w:eastAsia="Arial" w:hAnsi="Arial" w:cs="Arial"/>
          <w:sz w:val="24"/>
          <w:szCs w:val="24"/>
        </w:rPr>
        <w:t>However, the recent coroners and justice act (2009) has proven that the law is constantly updating and staying in the same era th</w:t>
      </w:r>
      <w:r w:rsidR="7E63DDD9" w:rsidRPr="29DB4D91">
        <w:rPr>
          <w:rFonts w:ascii="Arial" w:eastAsia="Arial" w:hAnsi="Arial" w:cs="Arial"/>
          <w:sz w:val="24"/>
          <w:szCs w:val="24"/>
        </w:rPr>
        <w:t xml:space="preserve">e English and Welsh legal system is getting towards. </w:t>
      </w:r>
    </w:p>
    <w:p w14:paraId="6FCED327" w14:textId="6973F7D1" w:rsidR="29DB4D91" w:rsidRDefault="29DB4D91" w:rsidP="29DB4D91">
      <w:pPr>
        <w:spacing w:line="360" w:lineRule="auto"/>
        <w:rPr>
          <w:rFonts w:ascii="Arial" w:eastAsia="Arial" w:hAnsi="Arial" w:cs="Arial"/>
          <w:sz w:val="24"/>
          <w:szCs w:val="24"/>
        </w:rPr>
      </w:pPr>
    </w:p>
    <w:p w14:paraId="0E501202" w14:textId="44D50C0E" w:rsidR="29DB4D91" w:rsidRDefault="29DB4D91" w:rsidP="29DB4D91">
      <w:pPr>
        <w:spacing w:line="360" w:lineRule="auto"/>
        <w:rPr>
          <w:rFonts w:ascii="Arial" w:eastAsia="Arial" w:hAnsi="Arial" w:cs="Arial"/>
          <w:sz w:val="24"/>
          <w:szCs w:val="24"/>
        </w:rPr>
      </w:pPr>
    </w:p>
    <w:p w14:paraId="69659072" w14:textId="760EA5E5" w:rsidR="29DB4D91" w:rsidRDefault="29DB4D91" w:rsidP="29DB4D91">
      <w:pPr>
        <w:spacing w:line="360" w:lineRule="auto"/>
        <w:rPr>
          <w:rFonts w:ascii="Arial" w:eastAsia="Arial" w:hAnsi="Arial" w:cs="Arial"/>
          <w:sz w:val="24"/>
          <w:szCs w:val="24"/>
        </w:rPr>
      </w:pPr>
    </w:p>
    <w:p w14:paraId="1A40CB2D" w14:textId="2FCE02C1" w:rsidR="29DB4D91" w:rsidRDefault="29DB4D91" w:rsidP="29DB4D91">
      <w:pPr>
        <w:spacing w:line="360" w:lineRule="auto"/>
        <w:rPr>
          <w:rFonts w:ascii="Arial" w:eastAsia="Arial" w:hAnsi="Arial" w:cs="Arial"/>
          <w:sz w:val="24"/>
          <w:szCs w:val="24"/>
        </w:rPr>
      </w:pPr>
    </w:p>
    <w:p w14:paraId="4843DAF3" w14:textId="5AED8918" w:rsidR="29DB4D91" w:rsidRDefault="29DB4D91" w:rsidP="29DB4D91">
      <w:pPr>
        <w:spacing w:line="360" w:lineRule="auto"/>
        <w:rPr>
          <w:rFonts w:ascii="Arial" w:eastAsia="Arial" w:hAnsi="Arial" w:cs="Arial"/>
          <w:sz w:val="24"/>
          <w:szCs w:val="24"/>
        </w:rPr>
      </w:pPr>
    </w:p>
    <w:p w14:paraId="3E8E3B4C" w14:textId="46BAD1EE" w:rsidR="29DB4D91" w:rsidRDefault="29DB4D91" w:rsidP="29DB4D91">
      <w:pPr>
        <w:spacing w:line="360" w:lineRule="auto"/>
        <w:rPr>
          <w:rFonts w:ascii="Arial" w:eastAsia="Arial" w:hAnsi="Arial" w:cs="Arial"/>
          <w:sz w:val="24"/>
          <w:szCs w:val="24"/>
        </w:rPr>
      </w:pPr>
    </w:p>
    <w:p w14:paraId="24498525" w14:textId="4CB06CEE" w:rsidR="29DB4D91" w:rsidRDefault="29DB4D91" w:rsidP="29DB4D91">
      <w:pPr>
        <w:spacing w:line="360" w:lineRule="auto"/>
        <w:rPr>
          <w:rFonts w:ascii="Arial" w:eastAsia="Arial" w:hAnsi="Arial" w:cs="Arial"/>
          <w:sz w:val="24"/>
          <w:szCs w:val="24"/>
        </w:rPr>
      </w:pPr>
    </w:p>
    <w:p w14:paraId="6B3EC9AC" w14:textId="3F666B14" w:rsidR="29DB4D91" w:rsidRDefault="29DB4D91" w:rsidP="29DB4D91">
      <w:pPr>
        <w:spacing w:line="360" w:lineRule="auto"/>
        <w:rPr>
          <w:rFonts w:ascii="Arial" w:eastAsia="Arial" w:hAnsi="Arial" w:cs="Arial"/>
          <w:sz w:val="24"/>
          <w:szCs w:val="24"/>
        </w:rPr>
      </w:pPr>
    </w:p>
    <w:p w14:paraId="0C3B90E5" w14:textId="5ADE98DA" w:rsidR="29DB4D91" w:rsidRDefault="29DB4D91" w:rsidP="29DB4D91">
      <w:pPr>
        <w:spacing w:line="360" w:lineRule="auto"/>
        <w:rPr>
          <w:rFonts w:ascii="Arial" w:eastAsia="Arial" w:hAnsi="Arial" w:cs="Arial"/>
          <w:sz w:val="24"/>
          <w:szCs w:val="24"/>
        </w:rPr>
      </w:pPr>
    </w:p>
    <w:p w14:paraId="5240BE3D" w14:textId="190284AB" w:rsidR="29DB4D91" w:rsidRDefault="29DB4D91" w:rsidP="29DB4D91">
      <w:pPr>
        <w:spacing w:line="360" w:lineRule="auto"/>
        <w:rPr>
          <w:rFonts w:ascii="Arial" w:eastAsia="Arial" w:hAnsi="Arial" w:cs="Arial"/>
          <w:sz w:val="24"/>
          <w:szCs w:val="24"/>
        </w:rPr>
      </w:pPr>
    </w:p>
    <w:p w14:paraId="69ADE8EF" w14:textId="5D5F8E91" w:rsidR="29DB4D91" w:rsidRDefault="29DB4D91" w:rsidP="29DB4D91">
      <w:pPr>
        <w:spacing w:line="360" w:lineRule="auto"/>
        <w:rPr>
          <w:rFonts w:ascii="Arial" w:eastAsia="Arial" w:hAnsi="Arial" w:cs="Arial"/>
          <w:sz w:val="24"/>
          <w:szCs w:val="24"/>
        </w:rPr>
      </w:pPr>
    </w:p>
    <w:p w14:paraId="240CAA11" w14:textId="62E3577D"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lastRenderedPageBreak/>
        <w:t xml:space="preserve">Alan Reed, Nicola Wake and Bethany Simpson (2021). </w:t>
      </w:r>
      <w:r w:rsidRPr="29DB4D91">
        <w:rPr>
          <w:rFonts w:ascii="Arial" w:eastAsia="Arial" w:hAnsi="Arial" w:cs="Arial"/>
          <w:i/>
          <w:iCs/>
          <w:sz w:val="24"/>
          <w:szCs w:val="24"/>
        </w:rPr>
        <w:t>Introduction ‘Domestic and comparative perspectives on loss of self-control and diminished responsibility as partial defences to murder: a 10-year review of the Coroners and Justice Act 2009 reform framework’</w:t>
      </w:r>
      <w:r w:rsidRPr="29DB4D91">
        <w:rPr>
          <w:rFonts w:ascii="Arial" w:eastAsia="Arial" w:hAnsi="Arial" w:cs="Arial"/>
          <w:sz w:val="24"/>
          <w:szCs w:val="24"/>
        </w:rPr>
        <w:t>. [online] Available at: ttps://plus-lexis-com.ezproxy.uwtsd.ac.uk/uk/document/?pdmfid=1001073&amp;crid=bbd5a1f1-5a5e-4208-a4c0-88af12edbb73&amp;pddocfullpath=%2Fshared%2Fdocument%2Fanalytical-materials-uk%2Furn%3AcontentItem%3A63NV-GNX3-GXF6-8136-00000-00&amp;pdcontentcomponentid=469561&amp;pdteaserkey=&amp;pdislpamode=false&amp;pddocumentnumber=1&amp;ecomp=ht5k&amp;earg=sr0&amp;prid=ee938192-eacb-42c5-b0dd-89400ebc16fc.</w:t>
      </w:r>
    </w:p>
    <w:p w14:paraId="19378F51" w14:textId="1251EB9E"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Child, J. and Ormerod, D.C. (2021). </w:t>
      </w:r>
      <w:r w:rsidRPr="29DB4D91">
        <w:rPr>
          <w:rFonts w:ascii="Arial" w:eastAsia="Arial" w:hAnsi="Arial" w:cs="Arial"/>
          <w:i/>
          <w:iCs/>
          <w:sz w:val="24"/>
          <w:szCs w:val="24"/>
        </w:rPr>
        <w:t>Smith, Hogan, &amp; Ormerod’s essentials of criminal law</w:t>
      </w:r>
      <w:r w:rsidRPr="29DB4D91">
        <w:rPr>
          <w:rFonts w:ascii="Arial" w:eastAsia="Arial" w:hAnsi="Arial" w:cs="Arial"/>
          <w:sz w:val="24"/>
          <w:szCs w:val="24"/>
        </w:rPr>
        <w:t>. 2nd ed. Oxford: Oxford University Press.</w:t>
      </w:r>
    </w:p>
    <w:p w14:paraId="0D5AB192" w14:textId="5679FE27" w:rsidR="405AD21C" w:rsidRDefault="405AD21C" w:rsidP="29DB4D91">
      <w:pPr>
        <w:spacing w:line="360" w:lineRule="auto"/>
        <w:rPr>
          <w:rFonts w:ascii="Arial" w:eastAsia="Arial" w:hAnsi="Arial" w:cs="Arial"/>
          <w:sz w:val="24"/>
          <w:szCs w:val="24"/>
        </w:rPr>
      </w:pPr>
      <w:proofErr w:type="spellStart"/>
      <w:r w:rsidRPr="29DB4D91">
        <w:rPr>
          <w:rFonts w:ascii="Arial" w:eastAsia="Arial" w:hAnsi="Arial" w:cs="Arial"/>
          <w:sz w:val="24"/>
          <w:szCs w:val="24"/>
        </w:rPr>
        <w:t>elliott</w:t>
      </w:r>
      <w:proofErr w:type="spellEnd"/>
      <w:r w:rsidRPr="29DB4D91">
        <w:rPr>
          <w:rFonts w:ascii="Arial" w:eastAsia="Arial" w:hAnsi="Arial" w:cs="Arial"/>
          <w:sz w:val="24"/>
          <w:szCs w:val="24"/>
        </w:rPr>
        <w:t xml:space="preserve">, C. and Quinn, F. (2002). </w:t>
      </w:r>
      <w:r w:rsidRPr="29DB4D91">
        <w:rPr>
          <w:rFonts w:ascii="Arial" w:eastAsia="Arial" w:hAnsi="Arial" w:cs="Arial"/>
          <w:i/>
          <w:iCs/>
          <w:sz w:val="24"/>
          <w:szCs w:val="24"/>
        </w:rPr>
        <w:t>Criminal law.</w:t>
      </w:r>
      <w:r w:rsidRPr="29DB4D91">
        <w:rPr>
          <w:rFonts w:ascii="Arial" w:eastAsia="Arial" w:hAnsi="Arial" w:cs="Arial"/>
          <w:sz w:val="24"/>
          <w:szCs w:val="24"/>
        </w:rPr>
        <w:t xml:space="preserve"> 4th ed. </w:t>
      </w:r>
      <w:proofErr w:type="gramStart"/>
      <w:r w:rsidRPr="29DB4D91">
        <w:rPr>
          <w:rFonts w:ascii="Arial" w:eastAsia="Arial" w:hAnsi="Arial" w:cs="Arial"/>
          <w:sz w:val="24"/>
          <w:szCs w:val="24"/>
        </w:rPr>
        <w:t>Harlow ;</w:t>
      </w:r>
      <w:proofErr w:type="gramEnd"/>
      <w:r w:rsidRPr="29DB4D91">
        <w:rPr>
          <w:rFonts w:ascii="Arial" w:eastAsia="Arial" w:hAnsi="Arial" w:cs="Arial"/>
          <w:sz w:val="24"/>
          <w:szCs w:val="24"/>
        </w:rPr>
        <w:t xml:space="preserve"> New York: Pearson Longman.</w:t>
      </w:r>
    </w:p>
    <w:p w14:paraId="72A3F31D" w14:textId="1D992603"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Finch, E. (2021). </w:t>
      </w:r>
      <w:r w:rsidRPr="29DB4D91">
        <w:rPr>
          <w:rFonts w:ascii="Arial" w:eastAsia="Arial" w:hAnsi="Arial" w:cs="Arial"/>
          <w:i/>
          <w:iCs/>
          <w:sz w:val="24"/>
          <w:szCs w:val="24"/>
        </w:rPr>
        <w:t>Criminal law</w:t>
      </w:r>
      <w:r w:rsidRPr="29DB4D91">
        <w:rPr>
          <w:rFonts w:ascii="Arial" w:eastAsia="Arial" w:hAnsi="Arial" w:cs="Arial"/>
          <w:sz w:val="24"/>
          <w:szCs w:val="24"/>
        </w:rPr>
        <w:t>. 8th ed. Upper Saddle River: Pearson.</w:t>
      </w:r>
    </w:p>
    <w:p w14:paraId="2BE65F2C" w14:textId="74A71D78"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Hodgkinson, S. and </w:t>
      </w:r>
      <w:proofErr w:type="spellStart"/>
      <w:r w:rsidRPr="29DB4D91">
        <w:rPr>
          <w:rFonts w:ascii="Arial" w:eastAsia="Arial" w:hAnsi="Arial" w:cs="Arial"/>
          <w:sz w:val="24"/>
          <w:szCs w:val="24"/>
        </w:rPr>
        <w:t>Prins</w:t>
      </w:r>
      <w:proofErr w:type="spellEnd"/>
      <w:r w:rsidRPr="29DB4D91">
        <w:rPr>
          <w:rFonts w:ascii="Arial" w:eastAsia="Arial" w:hAnsi="Arial" w:cs="Arial"/>
          <w:sz w:val="24"/>
          <w:szCs w:val="24"/>
        </w:rPr>
        <w:t xml:space="preserve">, H. (2011). Homicide law reform: </w:t>
      </w:r>
      <w:r w:rsidRPr="29DB4D91">
        <w:rPr>
          <w:rFonts w:ascii="Arial" w:eastAsia="Arial" w:hAnsi="Arial" w:cs="Arial"/>
          <w:i/>
          <w:iCs/>
          <w:sz w:val="24"/>
          <w:szCs w:val="24"/>
        </w:rPr>
        <w:t>Coke v Bumble</w:t>
      </w:r>
      <w:r w:rsidRPr="29DB4D91">
        <w:rPr>
          <w:rFonts w:ascii="Arial" w:eastAsia="Arial" w:hAnsi="Arial" w:cs="Arial"/>
          <w:sz w:val="24"/>
          <w:szCs w:val="24"/>
        </w:rPr>
        <w:t xml:space="preserve"> – revisited and reassessed. </w:t>
      </w:r>
      <w:r w:rsidRPr="29DB4D91">
        <w:rPr>
          <w:rFonts w:ascii="Arial" w:eastAsia="Arial" w:hAnsi="Arial" w:cs="Arial"/>
          <w:i/>
          <w:iCs/>
          <w:sz w:val="24"/>
          <w:szCs w:val="24"/>
        </w:rPr>
        <w:t>Medicine, Science and the Law</w:t>
      </w:r>
      <w:r w:rsidRPr="29DB4D91">
        <w:rPr>
          <w:rFonts w:ascii="Arial" w:eastAsia="Arial" w:hAnsi="Arial" w:cs="Arial"/>
          <w:sz w:val="24"/>
          <w:szCs w:val="24"/>
        </w:rPr>
        <w:t xml:space="preserve">, 51(4), pp.195–202. </w:t>
      </w:r>
      <w:proofErr w:type="spellStart"/>
      <w:proofErr w:type="gramStart"/>
      <w:r w:rsidRPr="29DB4D91">
        <w:rPr>
          <w:rFonts w:ascii="Arial" w:eastAsia="Arial" w:hAnsi="Arial" w:cs="Arial"/>
          <w:sz w:val="24"/>
          <w:szCs w:val="24"/>
        </w:rPr>
        <w:t>doi:https</w:t>
      </w:r>
      <w:proofErr w:type="spellEnd"/>
      <w:r w:rsidRPr="29DB4D91">
        <w:rPr>
          <w:rFonts w:ascii="Arial" w:eastAsia="Arial" w:hAnsi="Arial" w:cs="Arial"/>
          <w:sz w:val="24"/>
          <w:szCs w:val="24"/>
        </w:rPr>
        <w:t>://doi.org/10.1258/msl.2011.010102</w:t>
      </w:r>
      <w:proofErr w:type="gramEnd"/>
      <w:r w:rsidRPr="29DB4D91">
        <w:rPr>
          <w:rFonts w:ascii="Arial" w:eastAsia="Arial" w:hAnsi="Arial" w:cs="Arial"/>
          <w:sz w:val="24"/>
          <w:szCs w:val="24"/>
        </w:rPr>
        <w:t>.</w:t>
      </w:r>
    </w:p>
    <w:p w14:paraId="0E504EB5" w14:textId="21DD25A5"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JUSTICE. (2008). </w:t>
      </w:r>
      <w:r w:rsidRPr="29DB4D91">
        <w:rPr>
          <w:rFonts w:ascii="Arial" w:eastAsia="Arial" w:hAnsi="Arial" w:cs="Arial"/>
          <w:i/>
          <w:iCs/>
          <w:sz w:val="24"/>
          <w:szCs w:val="24"/>
        </w:rPr>
        <w:t>Homicide law reform - JUSTICE</w:t>
      </w:r>
      <w:r w:rsidRPr="29DB4D91">
        <w:rPr>
          <w:rFonts w:ascii="Arial" w:eastAsia="Arial" w:hAnsi="Arial" w:cs="Arial"/>
          <w:sz w:val="24"/>
          <w:szCs w:val="24"/>
        </w:rPr>
        <w:t xml:space="preserve">. [online] Available at: </w:t>
      </w:r>
      <w:hyperlink r:id="rId12">
        <w:r w:rsidRPr="29DB4D91">
          <w:rPr>
            <w:rStyle w:val="Hyperlink"/>
            <w:rFonts w:ascii="Arial" w:eastAsia="Arial" w:hAnsi="Arial" w:cs="Arial"/>
            <w:color w:val="auto"/>
            <w:sz w:val="24"/>
            <w:szCs w:val="24"/>
          </w:rPr>
          <w:t>https://justice.org.uk/homicide-law-reform/</w:t>
        </w:r>
      </w:hyperlink>
      <w:r w:rsidRPr="29DB4D91">
        <w:rPr>
          <w:rFonts w:ascii="Arial" w:eastAsia="Arial" w:hAnsi="Arial" w:cs="Arial"/>
          <w:sz w:val="24"/>
          <w:szCs w:val="24"/>
        </w:rPr>
        <w:t>.</w:t>
      </w:r>
    </w:p>
    <w:p w14:paraId="7F64D5F6" w14:textId="5A507392" w:rsidR="405AD21C" w:rsidRDefault="405AD21C" w:rsidP="29DB4D91">
      <w:pPr>
        <w:spacing w:line="360" w:lineRule="auto"/>
        <w:rPr>
          <w:rFonts w:ascii="Arial" w:eastAsia="Arial" w:hAnsi="Arial" w:cs="Arial"/>
          <w:sz w:val="24"/>
          <w:szCs w:val="24"/>
        </w:rPr>
      </w:pPr>
      <w:proofErr w:type="spellStart"/>
      <w:r w:rsidRPr="29DB4D91">
        <w:rPr>
          <w:rFonts w:ascii="Arial" w:eastAsia="Arial" w:hAnsi="Arial" w:cs="Arial"/>
          <w:sz w:val="24"/>
          <w:szCs w:val="24"/>
        </w:rPr>
        <w:t>Kennefick</w:t>
      </w:r>
      <w:proofErr w:type="spellEnd"/>
      <w:r w:rsidRPr="29DB4D91">
        <w:rPr>
          <w:rFonts w:ascii="Arial" w:eastAsia="Arial" w:hAnsi="Arial" w:cs="Arial"/>
          <w:sz w:val="24"/>
          <w:szCs w:val="24"/>
        </w:rPr>
        <w:t xml:space="preserve">, L. (2011). Introducing a New Diminished Responsibility Defence for England and Wales. </w:t>
      </w:r>
      <w:r w:rsidRPr="29DB4D91">
        <w:rPr>
          <w:rFonts w:ascii="Arial" w:eastAsia="Arial" w:hAnsi="Arial" w:cs="Arial"/>
          <w:i/>
          <w:iCs/>
          <w:sz w:val="24"/>
          <w:szCs w:val="24"/>
        </w:rPr>
        <w:t>The Modern Law Review</w:t>
      </w:r>
      <w:r w:rsidRPr="29DB4D91">
        <w:rPr>
          <w:rFonts w:ascii="Arial" w:eastAsia="Arial" w:hAnsi="Arial" w:cs="Arial"/>
          <w:sz w:val="24"/>
          <w:szCs w:val="24"/>
        </w:rPr>
        <w:t xml:space="preserve">, [online] 74(5), pp.750–766. Available at: </w:t>
      </w:r>
      <w:hyperlink r:id="rId13">
        <w:r w:rsidRPr="29DB4D91">
          <w:rPr>
            <w:rStyle w:val="Hyperlink"/>
            <w:rFonts w:ascii="Arial" w:eastAsia="Arial" w:hAnsi="Arial" w:cs="Arial"/>
            <w:color w:val="auto"/>
            <w:sz w:val="24"/>
            <w:szCs w:val="24"/>
          </w:rPr>
          <w:t>https://www.jstor.org/stable/41302777</w:t>
        </w:r>
      </w:hyperlink>
      <w:r w:rsidRPr="29DB4D91">
        <w:rPr>
          <w:rFonts w:ascii="Arial" w:eastAsia="Arial" w:hAnsi="Arial" w:cs="Arial"/>
          <w:sz w:val="24"/>
          <w:szCs w:val="24"/>
        </w:rPr>
        <w:t>.</w:t>
      </w:r>
    </w:p>
    <w:p w14:paraId="0F7ACF4E" w14:textId="018DF25A"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Legislation.gov.uk. (2010a). </w:t>
      </w:r>
      <w:r w:rsidRPr="29DB4D91">
        <w:rPr>
          <w:rFonts w:ascii="Arial" w:eastAsia="Arial" w:hAnsi="Arial" w:cs="Arial"/>
          <w:i/>
          <w:iCs/>
          <w:sz w:val="24"/>
          <w:szCs w:val="24"/>
        </w:rPr>
        <w:t>Coroners and Justice Act 2009</w:t>
      </w:r>
      <w:r w:rsidRPr="29DB4D91">
        <w:rPr>
          <w:rFonts w:ascii="Arial" w:eastAsia="Arial" w:hAnsi="Arial" w:cs="Arial"/>
          <w:sz w:val="24"/>
          <w:szCs w:val="24"/>
        </w:rPr>
        <w:t xml:space="preserve">. [online] Available at: </w:t>
      </w:r>
      <w:hyperlink r:id="rId14">
        <w:r w:rsidRPr="29DB4D91">
          <w:rPr>
            <w:rStyle w:val="Hyperlink"/>
            <w:rFonts w:ascii="Arial" w:eastAsia="Arial" w:hAnsi="Arial" w:cs="Arial"/>
            <w:color w:val="auto"/>
            <w:sz w:val="24"/>
            <w:szCs w:val="24"/>
          </w:rPr>
          <w:t>https://www.legislation.gov.uk/ukpga/2009/25/section/52</w:t>
        </w:r>
      </w:hyperlink>
      <w:r w:rsidRPr="29DB4D91">
        <w:rPr>
          <w:rFonts w:ascii="Arial" w:eastAsia="Arial" w:hAnsi="Arial" w:cs="Arial"/>
          <w:sz w:val="24"/>
          <w:szCs w:val="24"/>
        </w:rPr>
        <w:t>.</w:t>
      </w:r>
    </w:p>
    <w:p w14:paraId="1A153C53" w14:textId="2433475A"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Legislation.gov.uk. (2010b). </w:t>
      </w:r>
      <w:r w:rsidRPr="29DB4D91">
        <w:rPr>
          <w:rFonts w:ascii="Arial" w:eastAsia="Arial" w:hAnsi="Arial" w:cs="Arial"/>
          <w:i/>
          <w:iCs/>
          <w:sz w:val="24"/>
          <w:szCs w:val="24"/>
        </w:rPr>
        <w:t>Homicide Act 1957</w:t>
      </w:r>
      <w:r w:rsidRPr="29DB4D91">
        <w:rPr>
          <w:rFonts w:ascii="Arial" w:eastAsia="Arial" w:hAnsi="Arial" w:cs="Arial"/>
          <w:sz w:val="24"/>
          <w:szCs w:val="24"/>
        </w:rPr>
        <w:t xml:space="preserve">. [online] Available at: </w:t>
      </w:r>
      <w:hyperlink r:id="rId15">
        <w:r w:rsidRPr="29DB4D91">
          <w:rPr>
            <w:rStyle w:val="Hyperlink"/>
            <w:rFonts w:ascii="Arial" w:eastAsia="Arial" w:hAnsi="Arial" w:cs="Arial"/>
            <w:color w:val="auto"/>
            <w:sz w:val="24"/>
            <w:szCs w:val="24"/>
          </w:rPr>
          <w:t>https://www.legislation.gov.uk/ukpga/Eliz2/5-6/11/section/2</w:t>
        </w:r>
      </w:hyperlink>
      <w:r w:rsidRPr="29DB4D91">
        <w:rPr>
          <w:rFonts w:ascii="Arial" w:eastAsia="Arial" w:hAnsi="Arial" w:cs="Arial"/>
          <w:sz w:val="24"/>
          <w:szCs w:val="24"/>
        </w:rPr>
        <w:t>.</w:t>
      </w:r>
    </w:p>
    <w:p w14:paraId="4560BBC4" w14:textId="5C19755D"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Mackay, R. (2010). </w:t>
      </w:r>
      <w:r w:rsidRPr="29DB4D91">
        <w:rPr>
          <w:rFonts w:ascii="Arial" w:eastAsia="Arial" w:hAnsi="Arial" w:cs="Arial"/>
          <w:i/>
          <w:iCs/>
          <w:sz w:val="24"/>
          <w:szCs w:val="24"/>
        </w:rPr>
        <w:t xml:space="preserve">Criminal Law Review </w:t>
      </w:r>
      <w:proofErr w:type="gramStart"/>
      <w:r w:rsidRPr="29DB4D91">
        <w:rPr>
          <w:rFonts w:ascii="Arial" w:eastAsia="Arial" w:hAnsi="Arial" w:cs="Arial"/>
          <w:i/>
          <w:iCs/>
          <w:sz w:val="24"/>
          <w:szCs w:val="24"/>
        </w:rPr>
        <w:t>The</w:t>
      </w:r>
      <w:proofErr w:type="gramEnd"/>
      <w:r w:rsidRPr="29DB4D91">
        <w:rPr>
          <w:rFonts w:ascii="Arial" w:eastAsia="Arial" w:hAnsi="Arial" w:cs="Arial"/>
          <w:i/>
          <w:iCs/>
          <w:sz w:val="24"/>
          <w:szCs w:val="24"/>
        </w:rPr>
        <w:t xml:space="preserve"> Coroners and Justice Act 2009 -partial defences to murder (2) The new diminished responsibility plea</w:t>
      </w:r>
      <w:r w:rsidRPr="29DB4D91">
        <w:rPr>
          <w:rFonts w:ascii="Arial" w:eastAsia="Arial" w:hAnsi="Arial" w:cs="Arial"/>
          <w:sz w:val="24"/>
          <w:szCs w:val="24"/>
        </w:rPr>
        <w:t>.</w:t>
      </w:r>
    </w:p>
    <w:p w14:paraId="6D783F69" w14:textId="037CDFE2"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publications.parliament.uk. (2003). </w:t>
      </w:r>
      <w:r w:rsidRPr="29DB4D91">
        <w:rPr>
          <w:rFonts w:ascii="Arial" w:eastAsia="Arial" w:hAnsi="Arial" w:cs="Arial"/>
          <w:i/>
          <w:iCs/>
          <w:sz w:val="24"/>
          <w:szCs w:val="24"/>
        </w:rPr>
        <w:t xml:space="preserve">House of Lords - Regina v </w:t>
      </w:r>
      <w:proofErr w:type="spellStart"/>
      <w:r w:rsidRPr="29DB4D91">
        <w:rPr>
          <w:rFonts w:ascii="Arial" w:eastAsia="Arial" w:hAnsi="Arial" w:cs="Arial"/>
          <w:i/>
          <w:iCs/>
          <w:sz w:val="24"/>
          <w:szCs w:val="24"/>
        </w:rPr>
        <w:t>Dietschmann</w:t>
      </w:r>
      <w:proofErr w:type="spellEnd"/>
      <w:r w:rsidRPr="29DB4D91">
        <w:rPr>
          <w:rFonts w:ascii="Arial" w:eastAsia="Arial" w:hAnsi="Arial" w:cs="Arial"/>
          <w:i/>
          <w:iCs/>
          <w:sz w:val="24"/>
          <w:szCs w:val="24"/>
        </w:rPr>
        <w:t xml:space="preserve"> (Appellant) (on appeal from the Court of Appeal (Criminal Division))</w:t>
      </w:r>
      <w:r w:rsidRPr="29DB4D91">
        <w:rPr>
          <w:rFonts w:ascii="Arial" w:eastAsia="Arial" w:hAnsi="Arial" w:cs="Arial"/>
          <w:sz w:val="24"/>
          <w:szCs w:val="24"/>
        </w:rPr>
        <w:t xml:space="preserve">. [online] </w:t>
      </w:r>
      <w:r w:rsidRPr="29DB4D91">
        <w:rPr>
          <w:rFonts w:ascii="Arial" w:eastAsia="Arial" w:hAnsi="Arial" w:cs="Arial"/>
          <w:sz w:val="24"/>
          <w:szCs w:val="24"/>
        </w:rPr>
        <w:lastRenderedPageBreak/>
        <w:t xml:space="preserve">Available at: </w:t>
      </w:r>
      <w:hyperlink r:id="rId16">
        <w:r w:rsidRPr="29DB4D91">
          <w:rPr>
            <w:rStyle w:val="Hyperlink"/>
            <w:rFonts w:ascii="Arial" w:eastAsia="Arial" w:hAnsi="Arial" w:cs="Arial"/>
            <w:color w:val="auto"/>
            <w:sz w:val="24"/>
            <w:szCs w:val="24"/>
          </w:rPr>
          <w:t>https://publications.parliament.uk/pa/ld200203/ldjudgmt/jd030227/diets-1.htm</w:t>
        </w:r>
      </w:hyperlink>
      <w:r w:rsidRPr="29DB4D91">
        <w:rPr>
          <w:rFonts w:ascii="Arial" w:eastAsia="Arial" w:hAnsi="Arial" w:cs="Arial"/>
          <w:sz w:val="24"/>
          <w:szCs w:val="24"/>
        </w:rPr>
        <w:t>.</w:t>
      </w:r>
    </w:p>
    <w:p w14:paraId="019A7949" w14:textId="1C2EFF77"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Reed, A. and </w:t>
      </w:r>
      <w:proofErr w:type="spellStart"/>
      <w:r w:rsidRPr="29DB4D91">
        <w:rPr>
          <w:rFonts w:ascii="Arial" w:eastAsia="Arial" w:hAnsi="Arial" w:cs="Arial"/>
          <w:sz w:val="24"/>
          <w:szCs w:val="24"/>
        </w:rPr>
        <w:t>Bohlander</w:t>
      </w:r>
      <w:proofErr w:type="spellEnd"/>
      <w:r w:rsidRPr="29DB4D91">
        <w:rPr>
          <w:rFonts w:ascii="Arial" w:eastAsia="Arial" w:hAnsi="Arial" w:cs="Arial"/>
          <w:sz w:val="24"/>
          <w:szCs w:val="24"/>
        </w:rPr>
        <w:t xml:space="preserve">, M. (2018). </w:t>
      </w:r>
      <w:r w:rsidRPr="29DB4D91">
        <w:rPr>
          <w:rFonts w:ascii="Arial" w:eastAsia="Arial" w:hAnsi="Arial" w:cs="Arial"/>
          <w:i/>
          <w:iCs/>
          <w:sz w:val="24"/>
          <w:szCs w:val="24"/>
        </w:rPr>
        <w:t>Homicide in Criminal Law</w:t>
      </w:r>
      <w:r w:rsidRPr="29DB4D91">
        <w:rPr>
          <w:rFonts w:ascii="Arial" w:eastAsia="Arial" w:hAnsi="Arial" w:cs="Arial"/>
          <w:sz w:val="24"/>
          <w:szCs w:val="24"/>
        </w:rPr>
        <w:t>. Routledge.</w:t>
      </w:r>
    </w:p>
    <w:p w14:paraId="71A763AD" w14:textId="70869446" w:rsidR="405AD21C" w:rsidRDefault="405AD21C" w:rsidP="29DB4D91">
      <w:pPr>
        <w:spacing w:line="360" w:lineRule="auto"/>
        <w:rPr>
          <w:rFonts w:ascii="Arial" w:eastAsia="Arial" w:hAnsi="Arial" w:cs="Arial"/>
          <w:sz w:val="24"/>
          <w:szCs w:val="24"/>
        </w:rPr>
      </w:pPr>
      <w:r w:rsidRPr="29DB4D91">
        <w:rPr>
          <w:rFonts w:ascii="Arial" w:eastAsia="Arial" w:hAnsi="Arial" w:cs="Arial"/>
          <w:sz w:val="24"/>
          <w:szCs w:val="24"/>
        </w:rPr>
        <w:t xml:space="preserve">TITLE Partial defences to murder: loss of control and diminished responsibility; and infanticide: Implementation of Sections 52, and 54 to 57 of the Coroners and Justice Act 2009 From: Criminal Law Policy Unit Ministry of Justice. (2010). Available at: </w:t>
      </w:r>
      <w:hyperlink r:id="rId17">
        <w:r w:rsidRPr="29DB4D91">
          <w:rPr>
            <w:rStyle w:val="Hyperlink"/>
            <w:rFonts w:ascii="Arial" w:eastAsia="Arial" w:hAnsi="Arial" w:cs="Arial"/>
            <w:color w:val="auto"/>
            <w:sz w:val="24"/>
            <w:szCs w:val="24"/>
          </w:rPr>
          <w:t>https://www.justice.gov.uk/downloads/legislation/bills-acts/circulars/moj/2010/circular-12-2010-coroners-justice-act-homicide-provisions.pdf</w:t>
        </w:r>
      </w:hyperlink>
      <w:r w:rsidRPr="29DB4D91">
        <w:rPr>
          <w:rFonts w:ascii="Arial" w:eastAsia="Arial" w:hAnsi="Arial" w:cs="Arial"/>
          <w:sz w:val="24"/>
          <w:szCs w:val="24"/>
        </w:rPr>
        <w:t>.</w:t>
      </w:r>
    </w:p>
    <w:p w14:paraId="58A237F3" w14:textId="2F713E82" w:rsidR="362C339F" w:rsidRDefault="362C339F" w:rsidP="5AF94645">
      <w:pPr>
        <w:rPr>
          <w:rFonts w:ascii="Arial" w:eastAsia="Arial" w:hAnsi="Arial" w:cs="Arial"/>
          <w:sz w:val="24"/>
          <w:szCs w:val="24"/>
        </w:rPr>
      </w:pPr>
    </w:p>
    <w:sectPr w:rsidR="362C339F" w:rsidSect="003A0F3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63118" w14:textId="77777777" w:rsidR="003A0F34" w:rsidRDefault="003A0F34" w:rsidP="003A0F34">
      <w:pPr>
        <w:spacing w:after="0" w:line="240" w:lineRule="auto"/>
      </w:pPr>
      <w:r>
        <w:separator/>
      </w:r>
    </w:p>
  </w:endnote>
  <w:endnote w:type="continuationSeparator" w:id="0">
    <w:p w14:paraId="223B6FCB" w14:textId="77777777" w:rsidR="003A0F34" w:rsidRDefault="003A0F34" w:rsidP="003A0F34">
      <w:pPr>
        <w:spacing w:after="0" w:line="240" w:lineRule="auto"/>
      </w:pPr>
      <w:r>
        <w:continuationSeparator/>
      </w:r>
    </w:p>
  </w:endnote>
  <w:endnote w:type="continuationNotice" w:id="1">
    <w:p w14:paraId="7ACDB5B0" w14:textId="77777777" w:rsidR="001631A1" w:rsidRDefault="001631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882B8" w14:textId="77777777" w:rsidR="003A0F34" w:rsidRDefault="003A0F34" w:rsidP="003A0F34">
      <w:pPr>
        <w:spacing w:after="0" w:line="240" w:lineRule="auto"/>
      </w:pPr>
      <w:r>
        <w:separator/>
      </w:r>
    </w:p>
  </w:footnote>
  <w:footnote w:type="continuationSeparator" w:id="0">
    <w:p w14:paraId="7FC8C039" w14:textId="77777777" w:rsidR="003A0F34" w:rsidRDefault="003A0F34" w:rsidP="003A0F34">
      <w:pPr>
        <w:spacing w:after="0" w:line="240" w:lineRule="auto"/>
      </w:pPr>
      <w:r>
        <w:continuationSeparator/>
      </w:r>
    </w:p>
  </w:footnote>
  <w:footnote w:type="continuationNotice" w:id="1">
    <w:p w14:paraId="11496F45" w14:textId="77777777" w:rsidR="001631A1" w:rsidRDefault="001631A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vVyb+AcUTfftUZ" int2:id="4Pch0F7j">
      <int2:state int2:value="Rejected" int2:type="AugLoop_Text_Critique"/>
    </int2:textHash>
    <int2:textHash int2:hashCode="FxaPvWJtCDwtLt" int2:id="rEjdm34M">
      <int2:state int2:value="Rejected" int2:type="AugLoop_Text_Critique"/>
    </int2:textHash>
    <int2:bookmark int2:bookmarkName="_Int_TQd6Gmuk" int2:invalidationBookmarkName="" int2:hashCode="SyDlj8g609TV2I" int2:id="UJIYYF5i">
      <int2:state int2:value="Rejected" int2:type="AugLoop_Text_Critique"/>
    </int2:bookmark>
  </int2:observations>
  <int2:intelligenceSettings/>
  <int2:onDemandWorkflows>
    <int2:onDemandWorkflow int2:type="SimilarityCheck" int2:paragraphVersions="5E5787A5-629C0D9A 65CF4453-677ADC17 50EC207F-32864A23 4F6EE018-28C1F599 3BB3A527-37F8F22A 26EF628C-688AFD0B 31DF3C55-7F4774FB 5EE23D2C-1B5C92F8 79DEDFFE-212852D3 294FCF6F-783474C5 2ECEFB6B-4D6C9FB2 56826EE6-48C2EB6C 0D4A1C58-390F5593 78CBB678-75A4950A 335094C5-45E2335C 322DE806-5FF18FC9 493BAE36-7A9E1F18 19DBDA90-4DD17ADF 16FE130B-67E40DCA 496637CC-4BDFD494 12A2EE16-5BE13F6F 7E9C1043-016ECCC9 6E781DC7-2D84696B 79BBB7B0-56480099 4CDBED60-1A781D8B 08EEBEBC-57D36E48 03F01C29-7DFF7DE7 22F4F5DB-462A314D 7B1557B7-4DBFFA15 56811EE0-0D758BAF 273F53AC-1F0854F0 0DB027EF-311F67C9 6411C4E7-41A6DBF0 5CBF84E5-0E4D22F0 7E60F001-6885FFE8 5B25ADE1-37BC9274 6DEA7B35-2FB15AF4 1B729F4E-4752EADF 385DC81B-456B3CBD 783B56B1-31A902AB 1E5520F1-7C84181F 487816D3-3C67F3FB 7FDBCC20-14287248 5E4A4D21-2E063E81 047AD8BF-47BD017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B04913"/>
    <w:rsid w:val="00161175"/>
    <w:rsid w:val="001631A1"/>
    <w:rsid w:val="003A0F34"/>
    <w:rsid w:val="00512B30"/>
    <w:rsid w:val="0070C815"/>
    <w:rsid w:val="00780F63"/>
    <w:rsid w:val="00790E3E"/>
    <w:rsid w:val="008043EF"/>
    <w:rsid w:val="008B3C24"/>
    <w:rsid w:val="00A21A40"/>
    <w:rsid w:val="00A89B82"/>
    <w:rsid w:val="00AC29AF"/>
    <w:rsid w:val="00C029D2"/>
    <w:rsid w:val="00DDB7E6"/>
    <w:rsid w:val="01C4098D"/>
    <w:rsid w:val="024998D5"/>
    <w:rsid w:val="02576E9E"/>
    <w:rsid w:val="026C375D"/>
    <w:rsid w:val="0279849A"/>
    <w:rsid w:val="02DEEFE8"/>
    <w:rsid w:val="0367BC51"/>
    <w:rsid w:val="04226802"/>
    <w:rsid w:val="0446421C"/>
    <w:rsid w:val="046E9C13"/>
    <w:rsid w:val="04BB37EE"/>
    <w:rsid w:val="04C3CDEF"/>
    <w:rsid w:val="04C91855"/>
    <w:rsid w:val="04CB5DD6"/>
    <w:rsid w:val="04E31435"/>
    <w:rsid w:val="05CB4900"/>
    <w:rsid w:val="0606E4BF"/>
    <w:rsid w:val="0639C59D"/>
    <w:rsid w:val="06AA0D5E"/>
    <w:rsid w:val="072ADFC1"/>
    <w:rsid w:val="07C3B666"/>
    <w:rsid w:val="07E01507"/>
    <w:rsid w:val="08092E8F"/>
    <w:rsid w:val="083B2D74"/>
    <w:rsid w:val="08B04913"/>
    <w:rsid w:val="09C5B82F"/>
    <w:rsid w:val="0A628083"/>
    <w:rsid w:val="0BBE0620"/>
    <w:rsid w:val="0C1D682D"/>
    <w:rsid w:val="0C949020"/>
    <w:rsid w:val="0D11FCB3"/>
    <w:rsid w:val="0DB8CEF6"/>
    <w:rsid w:val="0DC3B311"/>
    <w:rsid w:val="0E7A2DA2"/>
    <w:rsid w:val="0E838E3A"/>
    <w:rsid w:val="0E9998C8"/>
    <w:rsid w:val="0EDFD957"/>
    <w:rsid w:val="0F43ACEB"/>
    <w:rsid w:val="0F9502A3"/>
    <w:rsid w:val="0FA10ADB"/>
    <w:rsid w:val="0FCC30E2"/>
    <w:rsid w:val="10123AFE"/>
    <w:rsid w:val="1166E8B4"/>
    <w:rsid w:val="1167956C"/>
    <w:rsid w:val="11B19395"/>
    <w:rsid w:val="11B7FE5B"/>
    <w:rsid w:val="121DEC67"/>
    <w:rsid w:val="1272EE4C"/>
    <w:rsid w:val="12DF39C8"/>
    <w:rsid w:val="1373C3D7"/>
    <w:rsid w:val="139166C4"/>
    <w:rsid w:val="1426D45E"/>
    <w:rsid w:val="14CFF75A"/>
    <w:rsid w:val="14EF9F1D"/>
    <w:rsid w:val="1586708F"/>
    <w:rsid w:val="15B7D3FB"/>
    <w:rsid w:val="15D2FF12"/>
    <w:rsid w:val="1653C1FB"/>
    <w:rsid w:val="166A4217"/>
    <w:rsid w:val="166CCB83"/>
    <w:rsid w:val="16958BE1"/>
    <w:rsid w:val="16E07F12"/>
    <w:rsid w:val="172240F0"/>
    <w:rsid w:val="17642D54"/>
    <w:rsid w:val="1785EA01"/>
    <w:rsid w:val="17EA3AC8"/>
    <w:rsid w:val="1825CA0A"/>
    <w:rsid w:val="1872C198"/>
    <w:rsid w:val="187564D2"/>
    <w:rsid w:val="1885A3A7"/>
    <w:rsid w:val="190095B6"/>
    <w:rsid w:val="194917EC"/>
    <w:rsid w:val="1A31FB85"/>
    <w:rsid w:val="1A8C0DA6"/>
    <w:rsid w:val="1AB62DA7"/>
    <w:rsid w:val="1B27023A"/>
    <w:rsid w:val="1B2CA0E3"/>
    <w:rsid w:val="1B7327BF"/>
    <w:rsid w:val="1B82C228"/>
    <w:rsid w:val="1C4AFBF5"/>
    <w:rsid w:val="1D0EF820"/>
    <w:rsid w:val="1DE6B3FB"/>
    <w:rsid w:val="1E35C772"/>
    <w:rsid w:val="1E968163"/>
    <w:rsid w:val="1F1F88F7"/>
    <w:rsid w:val="1FE162A0"/>
    <w:rsid w:val="203251C4"/>
    <w:rsid w:val="204C82CE"/>
    <w:rsid w:val="208DEACD"/>
    <w:rsid w:val="211BCD1B"/>
    <w:rsid w:val="21CE2225"/>
    <w:rsid w:val="22E81783"/>
    <w:rsid w:val="231E958C"/>
    <w:rsid w:val="23DCBED0"/>
    <w:rsid w:val="2400C3F8"/>
    <w:rsid w:val="242F897F"/>
    <w:rsid w:val="24311D67"/>
    <w:rsid w:val="244E8CDB"/>
    <w:rsid w:val="252097DF"/>
    <w:rsid w:val="2521F78B"/>
    <w:rsid w:val="2550C786"/>
    <w:rsid w:val="2562FD2A"/>
    <w:rsid w:val="25BD27F4"/>
    <w:rsid w:val="25CFFA7F"/>
    <w:rsid w:val="25EFC3EC"/>
    <w:rsid w:val="26464B89"/>
    <w:rsid w:val="265E5BD6"/>
    <w:rsid w:val="268C14AD"/>
    <w:rsid w:val="26C4001D"/>
    <w:rsid w:val="275F5D8C"/>
    <w:rsid w:val="278223B2"/>
    <w:rsid w:val="278795B1"/>
    <w:rsid w:val="27D25F17"/>
    <w:rsid w:val="284DD634"/>
    <w:rsid w:val="285FD07E"/>
    <w:rsid w:val="28769EAC"/>
    <w:rsid w:val="287FD455"/>
    <w:rsid w:val="28F9F123"/>
    <w:rsid w:val="29298D30"/>
    <w:rsid w:val="29420F9E"/>
    <w:rsid w:val="29794C0D"/>
    <w:rsid w:val="29B5B401"/>
    <w:rsid w:val="29BBC41A"/>
    <w:rsid w:val="29DB4D91"/>
    <w:rsid w:val="29F568AE"/>
    <w:rsid w:val="29FBA0DF"/>
    <w:rsid w:val="2A27391B"/>
    <w:rsid w:val="2A8BBE61"/>
    <w:rsid w:val="2A97B3CB"/>
    <w:rsid w:val="2AAD9EA9"/>
    <w:rsid w:val="2AC6C706"/>
    <w:rsid w:val="2AC815BE"/>
    <w:rsid w:val="2AD40CDA"/>
    <w:rsid w:val="2BC873AA"/>
    <w:rsid w:val="2BE8887C"/>
    <w:rsid w:val="2C1FB750"/>
    <w:rsid w:val="2C45F1A1"/>
    <w:rsid w:val="2CB58D0D"/>
    <w:rsid w:val="2CFC084B"/>
    <w:rsid w:val="2D0B01C8"/>
    <w:rsid w:val="2D720198"/>
    <w:rsid w:val="2E57058F"/>
    <w:rsid w:val="2E714078"/>
    <w:rsid w:val="2E89ED08"/>
    <w:rsid w:val="2E900C21"/>
    <w:rsid w:val="2E9F609C"/>
    <w:rsid w:val="2EEF15D9"/>
    <w:rsid w:val="2F4C89ED"/>
    <w:rsid w:val="2F5E795B"/>
    <w:rsid w:val="2F7AFC2E"/>
    <w:rsid w:val="311A9AAC"/>
    <w:rsid w:val="31B756F8"/>
    <w:rsid w:val="32FB8FB5"/>
    <w:rsid w:val="33017278"/>
    <w:rsid w:val="33399CA6"/>
    <w:rsid w:val="333F023B"/>
    <w:rsid w:val="339C4AF4"/>
    <w:rsid w:val="33B6C6F9"/>
    <w:rsid w:val="33DDABB2"/>
    <w:rsid w:val="3403803C"/>
    <w:rsid w:val="34082C6D"/>
    <w:rsid w:val="342AC9E6"/>
    <w:rsid w:val="34424E9B"/>
    <w:rsid w:val="34C26DAB"/>
    <w:rsid w:val="35130B5C"/>
    <w:rsid w:val="35228524"/>
    <w:rsid w:val="354CE6C4"/>
    <w:rsid w:val="35C08150"/>
    <w:rsid w:val="35F922B4"/>
    <w:rsid w:val="360ECFCE"/>
    <w:rsid w:val="362C339F"/>
    <w:rsid w:val="364EFF65"/>
    <w:rsid w:val="36BAC359"/>
    <w:rsid w:val="370E4CE7"/>
    <w:rsid w:val="373270E2"/>
    <w:rsid w:val="37478862"/>
    <w:rsid w:val="374A4216"/>
    <w:rsid w:val="3789DC30"/>
    <w:rsid w:val="37B37A5D"/>
    <w:rsid w:val="37D1D005"/>
    <w:rsid w:val="37EE8253"/>
    <w:rsid w:val="389570E6"/>
    <w:rsid w:val="38DCECD3"/>
    <w:rsid w:val="38E61277"/>
    <w:rsid w:val="38F10692"/>
    <w:rsid w:val="3925AC91"/>
    <w:rsid w:val="394F4ABE"/>
    <w:rsid w:val="39682CD6"/>
    <w:rsid w:val="3969FD4D"/>
    <w:rsid w:val="39B1D4D9"/>
    <w:rsid w:val="3A444216"/>
    <w:rsid w:val="3A8E16CC"/>
    <w:rsid w:val="3B3DE987"/>
    <w:rsid w:val="3BA67306"/>
    <w:rsid w:val="3C1DB339"/>
    <w:rsid w:val="3C81CC2D"/>
    <w:rsid w:val="3C830E46"/>
    <w:rsid w:val="3CAADC0D"/>
    <w:rsid w:val="3CD39E5D"/>
    <w:rsid w:val="3D1B7630"/>
    <w:rsid w:val="3D6F4568"/>
    <w:rsid w:val="3DB2C504"/>
    <w:rsid w:val="3E19F0AB"/>
    <w:rsid w:val="3E6F6EBE"/>
    <w:rsid w:val="3E758A49"/>
    <w:rsid w:val="3E8E14BC"/>
    <w:rsid w:val="3E8FE9B3"/>
    <w:rsid w:val="3EA5EC62"/>
    <w:rsid w:val="3EBF5D70"/>
    <w:rsid w:val="3EF568F1"/>
    <w:rsid w:val="3F5A6CED"/>
    <w:rsid w:val="3FE3C56C"/>
    <w:rsid w:val="40115AAA"/>
    <w:rsid w:val="4024B22A"/>
    <w:rsid w:val="405AD21C"/>
    <w:rsid w:val="40912680"/>
    <w:rsid w:val="40E8DACE"/>
    <w:rsid w:val="4175F949"/>
    <w:rsid w:val="419BC37B"/>
    <w:rsid w:val="41AD2B0B"/>
    <w:rsid w:val="41EA0EB4"/>
    <w:rsid w:val="422A8D38"/>
    <w:rsid w:val="4244C7EB"/>
    <w:rsid w:val="431774FB"/>
    <w:rsid w:val="431E1E9C"/>
    <w:rsid w:val="4342DFE1"/>
    <w:rsid w:val="43668D58"/>
    <w:rsid w:val="436E727D"/>
    <w:rsid w:val="4395A4EA"/>
    <w:rsid w:val="43C04310"/>
    <w:rsid w:val="43FCAB04"/>
    <w:rsid w:val="4453A6F7"/>
    <w:rsid w:val="4455B3A0"/>
    <w:rsid w:val="44BA3CDA"/>
    <w:rsid w:val="44D2B564"/>
    <w:rsid w:val="44DEB042"/>
    <w:rsid w:val="45939BEE"/>
    <w:rsid w:val="463D365E"/>
    <w:rsid w:val="467A80A3"/>
    <w:rsid w:val="467CCF99"/>
    <w:rsid w:val="4695E12C"/>
    <w:rsid w:val="46AB6409"/>
    <w:rsid w:val="46E10FB0"/>
    <w:rsid w:val="4723EED7"/>
    <w:rsid w:val="476D5F2B"/>
    <w:rsid w:val="4796F872"/>
    <w:rsid w:val="47C4AA16"/>
    <w:rsid w:val="47F6334A"/>
    <w:rsid w:val="4849F82A"/>
    <w:rsid w:val="48831008"/>
    <w:rsid w:val="49BF23E4"/>
    <w:rsid w:val="49F82745"/>
    <w:rsid w:val="4A7064D5"/>
    <w:rsid w:val="4A8F93D7"/>
    <w:rsid w:val="4AF1ECCB"/>
    <w:rsid w:val="4B613B65"/>
    <w:rsid w:val="4B78554B"/>
    <w:rsid w:val="4BDCDC33"/>
    <w:rsid w:val="4BDEF74E"/>
    <w:rsid w:val="4C7EF2DC"/>
    <w:rsid w:val="4C9B551B"/>
    <w:rsid w:val="4D33DD3E"/>
    <w:rsid w:val="4D505134"/>
    <w:rsid w:val="4E025489"/>
    <w:rsid w:val="4E79317C"/>
    <w:rsid w:val="4EBD1361"/>
    <w:rsid w:val="4F6E5129"/>
    <w:rsid w:val="4FFF2870"/>
    <w:rsid w:val="50C020D2"/>
    <w:rsid w:val="50E8CB5B"/>
    <w:rsid w:val="50EE30F0"/>
    <w:rsid w:val="5102190A"/>
    <w:rsid w:val="510D02D6"/>
    <w:rsid w:val="512B91CA"/>
    <w:rsid w:val="51325AB6"/>
    <w:rsid w:val="5203C575"/>
    <w:rsid w:val="5236CAFF"/>
    <w:rsid w:val="52377880"/>
    <w:rsid w:val="52466B23"/>
    <w:rsid w:val="524D1662"/>
    <w:rsid w:val="525BF133"/>
    <w:rsid w:val="525F0575"/>
    <w:rsid w:val="52FC7564"/>
    <w:rsid w:val="531439B6"/>
    <w:rsid w:val="5385791F"/>
    <w:rsid w:val="53BB89F8"/>
    <w:rsid w:val="53D0E0D6"/>
    <w:rsid w:val="54238B69"/>
    <w:rsid w:val="5490FF87"/>
    <w:rsid w:val="54CB3CD2"/>
    <w:rsid w:val="54FECA6A"/>
    <w:rsid w:val="550C8F15"/>
    <w:rsid w:val="5524BF4F"/>
    <w:rsid w:val="55AAB211"/>
    <w:rsid w:val="55AB8849"/>
    <w:rsid w:val="55BC6DB2"/>
    <w:rsid w:val="55D58A2D"/>
    <w:rsid w:val="56026607"/>
    <w:rsid w:val="5605EC46"/>
    <w:rsid w:val="564225E6"/>
    <w:rsid w:val="564EA175"/>
    <w:rsid w:val="56719B31"/>
    <w:rsid w:val="56A85F76"/>
    <w:rsid w:val="56E3093D"/>
    <w:rsid w:val="56EFFCB2"/>
    <w:rsid w:val="570B4804"/>
    <w:rsid w:val="571639F9"/>
    <w:rsid w:val="573129FF"/>
    <w:rsid w:val="57DBA93C"/>
    <w:rsid w:val="58A451F9"/>
    <w:rsid w:val="58B20A5A"/>
    <w:rsid w:val="595D75E4"/>
    <w:rsid w:val="597845E1"/>
    <w:rsid w:val="597E0F1D"/>
    <w:rsid w:val="599E93F9"/>
    <w:rsid w:val="59C0F31D"/>
    <w:rsid w:val="59E00038"/>
    <w:rsid w:val="59F229A1"/>
    <w:rsid w:val="5A78D642"/>
    <w:rsid w:val="5AD95D69"/>
    <w:rsid w:val="5AEDD720"/>
    <w:rsid w:val="5AF94645"/>
    <w:rsid w:val="5B0FB0D3"/>
    <w:rsid w:val="5C2A0162"/>
    <w:rsid w:val="5C54C996"/>
    <w:rsid w:val="5C673688"/>
    <w:rsid w:val="5C76959B"/>
    <w:rsid w:val="5CC22A53"/>
    <w:rsid w:val="5DE09C12"/>
    <w:rsid w:val="5E7C262C"/>
    <w:rsid w:val="5F0533DB"/>
    <w:rsid w:val="5F214BDE"/>
    <w:rsid w:val="5F366BA6"/>
    <w:rsid w:val="5F559C20"/>
    <w:rsid w:val="5FA9D3F3"/>
    <w:rsid w:val="604F41BC"/>
    <w:rsid w:val="6080DAAA"/>
    <w:rsid w:val="611AD46B"/>
    <w:rsid w:val="6141A1D2"/>
    <w:rsid w:val="614304AF"/>
    <w:rsid w:val="61F7584A"/>
    <w:rsid w:val="62BB5FFA"/>
    <w:rsid w:val="631AB0AE"/>
    <w:rsid w:val="63575FDE"/>
    <w:rsid w:val="639F0DEC"/>
    <w:rsid w:val="641CE6D6"/>
    <w:rsid w:val="6420832F"/>
    <w:rsid w:val="64433251"/>
    <w:rsid w:val="646DD077"/>
    <w:rsid w:val="64AA386B"/>
    <w:rsid w:val="65667C03"/>
    <w:rsid w:val="656D0219"/>
    <w:rsid w:val="658E503C"/>
    <w:rsid w:val="65F2AF02"/>
    <w:rsid w:val="668065E2"/>
    <w:rsid w:val="66AA4308"/>
    <w:rsid w:val="67372439"/>
    <w:rsid w:val="67A83836"/>
    <w:rsid w:val="6833BB85"/>
    <w:rsid w:val="694E1694"/>
    <w:rsid w:val="69750F66"/>
    <w:rsid w:val="69C6A162"/>
    <w:rsid w:val="69EF8A2A"/>
    <w:rsid w:val="6A34A54C"/>
    <w:rsid w:val="6A43E0B8"/>
    <w:rsid w:val="6A66F8C8"/>
    <w:rsid w:val="6CDA697C"/>
    <w:rsid w:val="6D09D240"/>
    <w:rsid w:val="6D35B24A"/>
    <w:rsid w:val="6D705943"/>
    <w:rsid w:val="6D718DE8"/>
    <w:rsid w:val="6E421B52"/>
    <w:rsid w:val="6E88DB83"/>
    <w:rsid w:val="6ECAA5CD"/>
    <w:rsid w:val="6F05C22E"/>
    <w:rsid w:val="6F632001"/>
    <w:rsid w:val="6FFAF145"/>
    <w:rsid w:val="7033DBA6"/>
    <w:rsid w:val="705DA2DE"/>
    <w:rsid w:val="70BD318C"/>
    <w:rsid w:val="711A99ED"/>
    <w:rsid w:val="71364E24"/>
    <w:rsid w:val="7171F98B"/>
    <w:rsid w:val="717CD0E9"/>
    <w:rsid w:val="72301C3F"/>
    <w:rsid w:val="7295DFBA"/>
    <w:rsid w:val="73123A59"/>
    <w:rsid w:val="733FB245"/>
    <w:rsid w:val="746DEEE6"/>
    <w:rsid w:val="75554AF2"/>
    <w:rsid w:val="75A3DB6D"/>
    <w:rsid w:val="766A32C9"/>
    <w:rsid w:val="76AD11F0"/>
    <w:rsid w:val="77038D62"/>
    <w:rsid w:val="771A89B5"/>
    <w:rsid w:val="773CAD60"/>
    <w:rsid w:val="775997B6"/>
    <w:rsid w:val="7806032A"/>
    <w:rsid w:val="787E5476"/>
    <w:rsid w:val="78A599A7"/>
    <w:rsid w:val="78CFFBFE"/>
    <w:rsid w:val="796DD722"/>
    <w:rsid w:val="79846E1D"/>
    <w:rsid w:val="79B8EC84"/>
    <w:rsid w:val="7A4C2160"/>
    <w:rsid w:val="7A599620"/>
    <w:rsid w:val="7A5B2F17"/>
    <w:rsid w:val="7A63EC57"/>
    <w:rsid w:val="7AFFF2BA"/>
    <w:rsid w:val="7B3B5E6B"/>
    <w:rsid w:val="7B7F36F3"/>
    <w:rsid w:val="7BE30270"/>
    <w:rsid w:val="7C3F5090"/>
    <w:rsid w:val="7C50AAC7"/>
    <w:rsid w:val="7CC522CA"/>
    <w:rsid w:val="7CDB5CB1"/>
    <w:rsid w:val="7D74B466"/>
    <w:rsid w:val="7D85C7B0"/>
    <w:rsid w:val="7D953653"/>
    <w:rsid w:val="7E5C1C51"/>
    <w:rsid w:val="7E63DDD9"/>
    <w:rsid w:val="7EBF2838"/>
    <w:rsid w:val="7F31C93E"/>
    <w:rsid w:val="7FD5473F"/>
    <w:rsid w:val="7FFA9A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BEC69F"/>
  <w15:chartTrackingRefBased/>
  <w15:docId w15:val="{49F29D13-3954-48C4-B1FD-9F937C7BE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3A0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F34"/>
  </w:style>
  <w:style w:type="paragraph" w:styleId="Footer">
    <w:name w:val="footer"/>
    <w:basedOn w:val="Normal"/>
    <w:link w:val="FooterChar"/>
    <w:uiPriority w:val="99"/>
    <w:unhideWhenUsed/>
    <w:rsid w:val="003A0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F34"/>
  </w:style>
  <w:style w:type="paragraph" w:styleId="NoSpacing">
    <w:name w:val="No Spacing"/>
    <w:link w:val="NoSpacingChar"/>
    <w:uiPriority w:val="1"/>
    <w:qFormat/>
    <w:rsid w:val="003A0F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0F34"/>
    <w:rPr>
      <w:rFonts w:eastAsiaTheme="minorEastAsia"/>
      <w:lang w:val="en-US"/>
    </w:rPr>
  </w:style>
  <w:style w:type="character" w:styleId="Hyperlink">
    <w:name w:val="Hyperlink"/>
    <w:basedOn w:val="DefaultParagraphFont"/>
    <w:uiPriority w:val="99"/>
    <w:unhideWhenUsed/>
    <w:rsid w:val="001631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jstor.org/stable/41302777"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justice.org.uk/homicide-law-reform/" TargetMode="External"/><Relationship Id="rId17" Type="http://schemas.openxmlformats.org/officeDocument/2006/relationships/hyperlink" Target="https://www.justice.gov.uk/downloads/legislation/bills-acts/circulars/moj/2010/circular-12-2010-coroners-justice-act-homicide-provisions.pdf" TargetMode="External"/><Relationship Id="rId2" Type="http://schemas.openxmlformats.org/officeDocument/2006/relationships/customXml" Target="../customXml/item2.xml"/><Relationship Id="rId16" Type="http://schemas.openxmlformats.org/officeDocument/2006/relationships/hyperlink" Target="https://publications.parliament.uk/pa/ld200203/ldjudgmt/jd030227/diets-1.htm"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legislation.gov.uk/ukpga/Eliz2/5-6/11/section/2"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9/25/section/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a5f05bd0342ae98f2925842e0f404ee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e3a6b4ad64ac0b7064497501d92b06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4F6B8F0-A483-4F94-A91E-FD53903AE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94AF4C-2C45-41F9-9032-59330F3C6BB9}">
  <ds:schemaRefs>
    <ds:schemaRef ds:uri="http://schemas.microsoft.com/sharepoint/v3/contenttype/forms"/>
  </ds:schemaRefs>
</ds:datastoreItem>
</file>

<file path=customXml/itemProps3.xml><?xml version="1.0" encoding="utf-8"?>
<ds:datastoreItem xmlns:ds="http://schemas.openxmlformats.org/officeDocument/2006/customXml" ds:itemID="{5AE58447-C8B8-41E8-8E9B-5AF6BE6546B3}">
  <ds:schemaRefs>
    <ds:schemaRef ds:uri="0cb976d4-72d8-43fd-a100-21d54766e958"/>
    <ds:schemaRef ds:uri="http://purl.org/dc/terms/"/>
    <ds:schemaRef ds:uri="http://schemas.microsoft.com/office/infopath/2007/PartnerControls"/>
    <ds:schemaRef ds:uri="http://schemas.microsoft.com/office/2006/metadata/properties"/>
    <ds:schemaRef ds:uri="http://www.w3.org/XML/1998/namespace"/>
    <ds:schemaRef ds:uri="da3f2772-8f1e-4acb-bd98-3a0ee892f48a"/>
    <ds:schemaRef ds:uri="http://schemas.microsoft.com/office/2006/documentManagement/types"/>
    <ds:schemaRef ds:uri="http://schemas.openxmlformats.org/package/2006/metadata/core-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1741</Words>
  <Characters>9929</Characters>
  <Application>Microsoft Office Word</Application>
  <DocSecurity>0</DocSecurity>
  <Lines>82</Lines>
  <Paragraphs>23</Paragraphs>
  <ScaleCrop>false</ScaleCrop>
  <Company/>
  <LinksUpToDate>false</LinksUpToDate>
  <CharactersWithSpaces>11647</CharactersWithSpaces>
  <SharedDoc>false</SharedDoc>
  <HLinks>
    <vt:vector size="36" baseType="variant">
      <vt:variant>
        <vt:i4>1114130</vt:i4>
      </vt:variant>
      <vt:variant>
        <vt:i4>15</vt:i4>
      </vt:variant>
      <vt:variant>
        <vt:i4>0</vt:i4>
      </vt:variant>
      <vt:variant>
        <vt:i4>5</vt:i4>
      </vt:variant>
      <vt:variant>
        <vt:lpwstr>https://www.justice.gov.uk/downloads/legislation/bills-acts/circulars/moj/2010/circular-12-2010-coroners-justice-act-homicide-provisions.pdf</vt:lpwstr>
      </vt:variant>
      <vt:variant>
        <vt:lpwstr/>
      </vt:variant>
      <vt:variant>
        <vt:i4>1048667</vt:i4>
      </vt:variant>
      <vt:variant>
        <vt:i4>12</vt:i4>
      </vt:variant>
      <vt:variant>
        <vt:i4>0</vt:i4>
      </vt:variant>
      <vt:variant>
        <vt:i4>5</vt:i4>
      </vt:variant>
      <vt:variant>
        <vt:lpwstr>https://publications.parliament.uk/pa/ld200203/ldjudgmt/jd030227/diets-1.htm</vt:lpwstr>
      </vt:variant>
      <vt:variant>
        <vt:lpwstr/>
      </vt:variant>
      <vt:variant>
        <vt:i4>2162731</vt:i4>
      </vt:variant>
      <vt:variant>
        <vt:i4>9</vt:i4>
      </vt:variant>
      <vt:variant>
        <vt:i4>0</vt:i4>
      </vt:variant>
      <vt:variant>
        <vt:i4>5</vt:i4>
      </vt:variant>
      <vt:variant>
        <vt:lpwstr>https://www.legislation.gov.uk/ukpga/Eliz2/5-6/11/section/2</vt:lpwstr>
      </vt:variant>
      <vt:variant>
        <vt:lpwstr/>
      </vt:variant>
      <vt:variant>
        <vt:i4>6881395</vt:i4>
      </vt:variant>
      <vt:variant>
        <vt:i4>6</vt:i4>
      </vt:variant>
      <vt:variant>
        <vt:i4>0</vt:i4>
      </vt:variant>
      <vt:variant>
        <vt:i4>5</vt:i4>
      </vt:variant>
      <vt:variant>
        <vt:lpwstr>https://www.legislation.gov.uk/ukpga/2009/25/section/52</vt:lpwstr>
      </vt:variant>
      <vt:variant>
        <vt:lpwstr/>
      </vt:variant>
      <vt:variant>
        <vt:i4>5636163</vt:i4>
      </vt:variant>
      <vt:variant>
        <vt:i4>3</vt:i4>
      </vt:variant>
      <vt:variant>
        <vt:i4>0</vt:i4>
      </vt:variant>
      <vt:variant>
        <vt:i4>5</vt:i4>
      </vt:variant>
      <vt:variant>
        <vt:lpwstr>https://www.jstor.org/stable/41302777</vt:lpwstr>
      </vt:variant>
      <vt:variant>
        <vt:lpwstr/>
      </vt:variant>
      <vt:variant>
        <vt:i4>7209072</vt:i4>
      </vt:variant>
      <vt:variant>
        <vt:i4>0</vt:i4>
      </vt:variant>
      <vt:variant>
        <vt:i4>0</vt:i4>
      </vt:variant>
      <vt:variant>
        <vt:i4>5</vt:i4>
      </vt:variant>
      <vt:variant>
        <vt:lpwstr>https://justice.org.uk/homicide-law-reform/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Diminished responsibility</dc:title>
  <dc:subject>BMLW4005</dc:subject>
  <dc:creator>Leo Pietrapertosa (2219977)</dc:creator>
  <cp:keywords/>
  <dc:description/>
  <cp:lastModifiedBy>Leo Pietrapertosa (2219977)</cp:lastModifiedBy>
  <cp:revision>2</cp:revision>
  <dcterms:created xsi:type="dcterms:W3CDTF">2023-03-09T15:55:00Z</dcterms:created>
  <dcterms:modified xsi:type="dcterms:W3CDTF">2023-03-09T15:55:00Z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