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3E114" w14:textId="7510B9AF" w:rsidR="001B2CA9" w:rsidRDefault="001B2CA9">
      <w:pPr>
        <w:pStyle w:val="Heading2"/>
        <w:rPr>
          <w:noProof/>
        </w:rPr>
      </w:pPr>
      <w:r>
        <w:rPr>
          <w:noProof/>
        </w:rPr>
        <w:drawing>
          <wp:inline distT="0" distB="0" distL="0" distR="0" wp14:anchorId="1DB056CD" wp14:editId="10FEC36D">
            <wp:extent cx="4171950" cy="1381125"/>
            <wp:effectExtent l="0" t="0" r="0" b="9525"/>
            <wp:docPr id="363662457" name="Picture 1" descr="UW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662457" name="Picture 1" descr="UWTSD-Logo.pn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1950" cy="1381125"/>
                    </a:xfrm>
                    <a:prstGeom prst="rect">
                      <a:avLst/>
                    </a:prstGeom>
                    <a:noFill/>
                    <a:ln>
                      <a:noFill/>
                    </a:ln>
                  </pic:spPr>
                </pic:pic>
              </a:graphicData>
            </a:graphic>
          </wp:inline>
        </w:drawing>
      </w:r>
    </w:p>
    <w:p w14:paraId="71EC798A" w14:textId="77777777" w:rsidR="001B2CA9" w:rsidRDefault="001B2CA9">
      <w:pPr>
        <w:pStyle w:val="Heading2"/>
        <w:rPr>
          <w:noProof/>
        </w:rPr>
      </w:pPr>
    </w:p>
    <w:p w14:paraId="06E04474" w14:textId="77777777" w:rsidR="001B2CA9" w:rsidRPr="001B2CA9" w:rsidRDefault="001B2CA9" w:rsidP="001B2CA9">
      <w:pPr>
        <w:tabs>
          <w:tab w:val="left" w:pos="840"/>
        </w:tabs>
        <w:rPr>
          <w:rFonts w:cs="Times New Roman"/>
          <w:b/>
          <w:bCs/>
          <w:sz w:val="56"/>
          <w:szCs w:val="56"/>
          <w:lang w:val="nl-NL"/>
        </w:rPr>
      </w:pPr>
      <w:r w:rsidRPr="001B2CA9">
        <w:rPr>
          <w:rFonts w:cs="Times New Roman"/>
          <w:b/>
          <w:bCs/>
          <w:sz w:val="56"/>
          <w:szCs w:val="56"/>
          <w:lang w:val="nl-NL"/>
        </w:rPr>
        <w:t>STUDENT NAME – SUMIT MENARIA</w:t>
      </w:r>
    </w:p>
    <w:p w14:paraId="64AEB77B" w14:textId="77777777" w:rsidR="001B2CA9" w:rsidRPr="001B2CA9" w:rsidRDefault="001B2CA9" w:rsidP="001B2CA9">
      <w:pPr>
        <w:tabs>
          <w:tab w:val="left" w:pos="840"/>
        </w:tabs>
        <w:rPr>
          <w:rFonts w:cs="Times New Roman"/>
          <w:b/>
          <w:bCs/>
          <w:sz w:val="56"/>
          <w:szCs w:val="56"/>
          <w:lang w:val="nl-NL"/>
        </w:rPr>
      </w:pPr>
      <w:r w:rsidRPr="001B2CA9">
        <w:rPr>
          <w:rFonts w:cs="Times New Roman"/>
          <w:b/>
          <w:bCs/>
          <w:sz w:val="56"/>
          <w:szCs w:val="56"/>
          <w:lang w:val="nl-NL"/>
        </w:rPr>
        <w:t>STUDENT ID: 2133409</w:t>
      </w:r>
    </w:p>
    <w:p w14:paraId="1DC1E35F" w14:textId="47AF4BC6" w:rsidR="001B2CA9" w:rsidRPr="001B2CA9" w:rsidRDefault="001B2CA9" w:rsidP="001B2CA9">
      <w:pPr>
        <w:tabs>
          <w:tab w:val="left" w:pos="840"/>
        </w:tabs>
        <w:rPr>
          <w:rFonts w:cs="Times New Roman"/>
          <w:b/>
          <w:bCs/>
          <w:sz w:val="56"/>
          <w:szCs w:val="56"/>
        </w:rPr>
      </w:pPr>
      <w:r w:rsidRPr="001B2CA9">
        <w:rPr>
          <w:rFonts w:cs="Times New Roman"/>
          <w:b/>
          <w:bCs/>
          <w:sz w:val="56"/>
          <w:szCs w:val="56"/>
        </w:rPr>
        <w:t xml:space="preserve">PROGRAME: MBA MASTER OF BUSINESS ADMINISTRATION </w:t>
      </w:r>
    </w:p>
    <w:p w14:paraId="323C6664" w14:textId="77777777" w:rsidR="001B2CA9" w:rsidRPr="001B2CA9" w:rsidRDefault="001B2CA9" w:rsidP="001B2CA9">
      <w:pPr>
        <w:tabs>
          <w:tab w:val="left" w:pos="840"/>
        </w:tabs>
        <w:rPr>
          <w:rFonts w:cs="Times New Roman"/>
          <w:b/>
          <w:bCs/>
          <w:sz w:val="56"/>
          <w:szCs w:val="56"/>
        </w:rPr>
      </w:pPr>
      <w:r w:rsidRPr="001B2CA9">
        <w:rPr>
          <w:rFonts w:cs="Times New Roman"/>
          <w:b/>
          <w:bCs/>
          <w:sz w:val="56"/>
          <w:szCs w:val="56"/>
        </w:rPr>
        <w:t xml:space="preserve">MODULE: MANAGING PEOPLE </w:t>
      </w:r>
    </w:p>
    <w:p w14:paraId="5230CA9E" w14:textId="77777777" w:rsidR="001B2CA9" w:rsidRPr="001B2CA9" w:rsidRDefault="001B2CA9" w:rsidP="001B2CA9">
      <w:pPr>
        <w:tabs>
          <w:tab w:val="left" w:pos="840"/>
        </w:tabs>
        <w:rPr>
          <w:rFonts w:cs="Times New Roman"/>
          <w:b/>
          <w:bCs/>
          <w:sz w:val="56"/>
          <w:szCs w:val="56"/>
        </w:rPr>
      </w:pPr>
      <w:r w:rsidRPr="001B2CA9">
        <w:rPr>
          <w:rFonts w:cs="Times New Roman"/>
          <w:b/>
          <w:bCs/>
          <w:sz w:val="56"/>
          <w:szCs w:val="56"/>
        </w:rPr>
        <w:t>MODULE CODE: LCMB7011</w:t>
      </w:r>
    </w:p>
    <w:p w14:paraId="4194F52B" w14:textId="77777777" w:rsidR="001B2CA9" w:rsidRPr="001B2CA9" w:rsidRDefault="001B2CA9">
      <w:pPr>
        <w:pStyle w:val="Heading2"/>
        <w:rPr>
          <w:noProof/>
          <w:sz w:val="56"/>
          <w:szCs w:val="56"/>
        </w:rPr>
      </w:pPr>
    </w:p>
    <w:p w14:paraId="00000001" w14:textId="16F3B039" w:rsidR="00AB2ADA" w:rsidRPr="001B2CA9" w:rsidRDefault="001B2CA9">
      <w:pPr>
        <w:pStyle w:val="Heading2"/>
        <w:rPr>
          <w:sz w:val="32"/>
          <w:szCs w:val="32"/>
        </w:rPr>
      </w:pPr>
      <w:r w:rsidRPr="001B2CA9">
        <w:rPr>
          <w:sz w:val="32"/>
          <w:szCs w:val="32"/>
        </w:rPr>
        <w:t>Introduction</w:t>
      </w:r>
    </w:p>
    <w:p w14:paraId="00000002"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British Gas is one of the biggest electricity supplier companies in the United Kingdom UK. British Gas is owned by “Centrica Companies”, (</w:t>
      </w:r>
      <w:r>
        <w:rPr>
          <w:rFonts w:ascii="Times New Roman" w:eastAsia="Times New Roman" w:hAnsi="Times New Roman" w:cs="Times New Roman"/>
          <w:color w:val="222222"/>
          <w:sz w:val="24"/>
          <w:szCs w:val="24"/>
          <w:highlight w:val="white"/>
        </w:rPr>
        <w:t>Nolan, 2021</w:t>
      </w:r>
      <w:r>
        <w:rPr>
          <w:rFonts w:ascii="Times New Roman" w:eastAsia="Times New Roman" w:hAnsi="Times New Roman" w:cs="Times New Roman"/>
          <w:color w:val="0E101A"/>
          <w:sz w:val="24"/>
          <w:szCs w:val="24"/>
        </w:rPr>
        <w:t xml:space="preserve">), which stand among the most significant providing services and power distribution across the country. It is also known as British Gas New Heating Limited and British Gas Services </w:t>
      </w:r>
      <w:proofErr w:type="spellStart"/>
      <w:r>
        <w:rPr>
          <w:rFonts w:ascii="Times New Roman" w:eastAsia="Times New Roman" w:hAnsi="Times New Roman" w:cs="Times New Roman"/>
          <w:color w:val="0E101A"/>
          <w:sz w:val="24"/>
          <w:szCs w:val="24"/>
        </w:rPr>
        <w:t>Limited.In</w:t>
      </w:r>
      <w:proofErr w:type="spellEnd"/>
      <w:r>
        <w:rPr>
          <w:rFonts w:ascii="Times New Roman" w:eastAsia="Times New Roman" w:hAnsi="Times New Roman" w:cs="Times New Roman"/>
          <w:color w:val="0E101A"/>
          <w:sz w:val="24"/>
          <w:szCs w:val="24"/>
        </w:rPr>
        <w:t xml:space="preserve"> addition to this, British Gas Service Limited is one of the country’s largest and most recognised names, providing top-notch energy services to almost 12 million households. British Gas Heating Limited is one of the most significant power-supply organisations in the United Kingdom. Furthermore, it is considered one of the UK’s Big Six leading electrical suppliers. However, British Gas has been suffering an economic crisis lately due to numerous identified difficulties in 2023. British Gas was criticised and penalised by the public after repeated media stories highlighted its poor human resource management HRM, customer service and the horrible behaviour of invading homes to pressure consumers. As a result, the firm lost 750,000 of its valuable customers the </w:t>
      </w:r>
      <w:r>
        <w:rPr>
          <w:rFonts w:ascii="Times New Roman" w:eastAsia="Times New Roman" w:hAnsi="Times New Roman" w:cs="Times New Roman"/>
          <w:color w:val="0E101A"/>
          <w:sz w:val="24"/>
          <w:szCs w:val="24"/>
        </w:rPr>
        <w:lastRenderedPageBreak/>
        <w:t xml:space="preserve">year 2017. In an atmosphere of intense competition, the corporation announced the dismissal of 4,000 employees in 2018, </w:t>
      </w:r>
      <w:r>
        <w:rPr>
          <w:rFonts w:ascii="Times New Roman" w:eastAsia="Times New Roman" w:hAnsi="Times New Roman" w:cs="Times New Roman"/>
          <w:color w:val="222222"/>
          <w:sz w:val="24"/>
          <w:szCs w:val="24"/>
          <w:highlight w:val="white"/>
        </w:rPr>
        <w:t xml:space="preserve">(Devereux, and Wadsworth, 2022). </w:t>
      </w:r>
      <w:r>
        <w:rPr>
          <w:rFonts w:ascii="Times New Roman" w:eastAsia="Times New Roman" w:hAnsi="Times New Roman" w:cs="Times New Roman"/>
          <w:color w:val="0E101A"/>
          <w:sz w:val="24"/>
          <w:szCs w:val="24"/>
        </w:rPr>
        <w:t>During the 2020 pandemic, the corporation said it would terminate over 5,000 employees to “stop any continued downfall.” The advent of the Covid-19 pandemic became a problem for every continent for an unknown period of time. The pandemic has been regarded as a historic event since it caused a significant impact on the way of our living and corporate structures worldwide, as well as affected the mechanism of Human Resource Management in a substantial number of business organisations. When no one ultimately realised the significance of unavoidable significant problems, the closing of central business execution and employees working from their homes started replacing standard practise, the pandemic’s influence on industries was evaluated critically.</w:t>
      </w:r>
    </w:p>
    <w:p w14:paraId="00000003" w14:textId="77777777" w:rsidR="00AB2ADA" w:rsidRPr="00052F88" w:rsidRDefault="00000000">
      <w:pPr>
        <w:pStyle w:val="Heading2"/>
        <w:rPr>
          <w:color w:val="FF0000"/>
          <w:sz w:val="28"/>
          <w:szCs w:val="28"/>
        </w:rPr>
      </w:pPr>
      <w:r w:rsidRPr="00052F88">
        <w:rPr>
          <w:color w:val="FF0000"/>
          <w:sz w:val="28"/>
          <w:szCs w:val="28"/>
        </w:rPr>
        <w:t>1.1 Impacts of Fire and Hire on HRM</w:t>
      </w:r>
    </w:p>
    <w:p w14:paraId="00000004" w14:textId="77777777" w:rsidR="00AB2ADA" w:rsidRDefault="00000000">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E101A"/>
          <w:sz w:val="24"/>
          <w:szCs w:val="24"/>
        </w:rPr>
        <w:t xml:space="preserve">One of the practices that also took place during the pandemic period was the implication of “Fire and Hire”. The practice </w:t>
      </w:r>
      <w:r>
        <w:rPr>
          <w:rFonts w:ascii="Times New Roman" w:eastAsia="Times New Roman" w:hAnsi="Times New Roman" w:cs="Times New Roman"/>
          <w:color w:val="222222"/>
          <w:sz w:val="24"/>
          <w:szCs w:val="24"/>
          <w:highlight w:val="white"/>
        </w:rPr>
        <w:t xml:space="preserve">(Cruddas, 2022) </w:t>
      </w:r>
      <w:r>
        <w:rPr>
          <w:rFonts w:ascii="Times New Roman" w:eastAsia="Times New Roman" w:hAnsi="Times New Roman" w:cs="Times New Roman"/>
          <w:color w:val="0E101A"/>
          <w:sz w:val="24"/>
          <w:szCs w:val="24"/>
        </w:rPr>
        <w:t xml:space="preserve">known as “fire and rehire” represents one of the biggest negative impacts in the sector of Human Resource Management. This article will highlight several of the major and long-term conflicts and disagreements between the corporation ‘British Gas’ and its engineers working for the company. ‘British Gas’ and the engineers who are working for the firm concerning the new policy. In addition, modifications were introduced to their workplace conditions. ‘British Gas’ attempted to develop an effective and efficient working structure, perhaps in response to a continuing requirement to reduce staff costs and maintain market dominance. The discussions of nine months between British Gas employers and its employees in mid-2020 resolved several issues, which the GMB trade union supported in favour of the engineers. The corporation asked the engineers to sign another brand-new agreement which demanded them to work more time without any additional pay. Initially, almost 1000 engineers declined to sign because of the changes made in the contract to their employment contracts. As a result, British Gas implemented a “fire and rehire” strategy, forcing the engineers to choose whether to accept the new agreements and terms or risk their job. Despite this, the firm that controls ‘British Gas,’ ‘Centrica,’ fired approximately 500 people, around 2% of the company’s staff members, since those engineers voted to refuse the contract. The British Gas case shows the contentious “fire and rehire” approach. The organisation’s fundamental goal was to create an adjustment to increase productivity while decreasing costs. However, the initiative came under massive criticism, resulting in </w:t>
      </w:r>
      <w:r>
        <w:rPr>
          <w:rFonts w:ascii="Times New Roman" w:eastAsia="Times New Roman" w:hAnsi="Times New Roman" w:cs="Times New Roman"/>
          <w:color w:val="0E101A"/>
          <w:sz w:val="24"/>
          <w:szCs w:val="24"/>
        </w:rPr>
        <w:lastRenderedPageBreak/>
        <w:t xml:space="preserve">consequences, staff reductions in staff, and unemployment. It’s clear how people are affected, and the organisation will react to the changes, which might have significant consequences on employee engagement, motivation and even the atmosphere of the organisation. </w:t>
      </w:r>
      <w:r>
        <w:rPr>
          <w:rFonts w:ascii="Times New Roman" w:eastAsia="Times New Roman" w:hAnsi="Times New Roman" w:cs="Times New Roman"/>
          <w:color w:val="222222"/>
          <w:sz w:val="24"/>
          <w:szCs w:val="24"/>
          <w:highlight w:val="white"/>
        </w:rPr>
        <w:t>(Bogg, 2023)</w:t>
      </w:r>
    </w:p>
    <w:p w14:paraId="00000005" w14:textId="64F0938E" w:rsidR="00AB2ADA" w:rsidRPr="00052F88" w:rsidRDefault="00000000">
      <w:pPr>
        <w:pStyle w:val="Heading2"/>
        <w:rPr>
          <w:color w:val="FF0000"/>
          <w:sz w:val="28"/>
          <w:szCs w:val="28"/>
        </w:rPr>
      </w:pPr>
      <w:r w:rsidRPr="00052F88">
        <w:rPr>
          <w:color w:val="FF0000"/>
          <w:sz w:val="28"/>
          <w:szCs w:val="28"/>
        </w:rPr>
        <w:t>1.</w:t>
      </w:r>
      <w:r w:rsidR="00052F88" w:rsidRPr="00052F88">
        <w:rPr>
          <w:color w:val="FF0000"/>
          <w:sz w:val="28"/>
          <w:szCs w:val="28"/>
        </w:rPr>
        <w:t>2</w:t>
      </w:r>
      <w:r w:rsidR="00052F88">
        <w:rPr>
          <w:color w:val="FF0000"/>
          <w:sz w:val="28"/>
          <w:szCs w:val="28"/>
        </w:rPr>
        <w:t xml:space="preserve"> </w:t>
      </w:r>
      <w:r w:rsidRPr="00052F88">
        <w:rPr>
          <w:color w:val="FF0000"/>
          <w:sz w:val="28"/>
          <w:szCs w:val="28"/>
        </w:rPr>
        <w:t>Examining the practice of fire and rehire.’ </w:t>
      </w:r>
    </w:p>
    <w:p w14:paraId="00000006" w14:textId="0C9F732D"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‘fire and rehire’ concept </w:t>
      </w:r>
      <w:r>
        <w:rPr>
          <w:rFonts w:ascii="Times New Roman" w:eastAsia="Times New Roman" w:hAnsi="Times New Roman" w:cs="Times New Roman"/>
          <w:color w:val="222222"/>
          <w:sz w:val="24"/>
          <w:szCs w:val="24"/>
          <w:highlight w:val="white"/>
        </w:rPr>
        <w:t>(Nolan, 2021),</w:t>
      </w:r>
      <w:r>
        <w:rPr>
          <w:rFonts w:ascii="Arial" w:eastAsia="Arial" w:hAnsi="Arial" w:cs="Arial"/>
          <w:color w:val="222222"/>
          <w:sz w:val="20"/>
          <w:szCs w:val="20"/>
          <w:highlight w:val="white"/>
        </w:rPr>
        <w:t xml:space="preserve"> </w:t>
      </w:r>
      <w:r>
        <w:rPr>
          <w:rFonts w:ascii="Times New Roman" w:eastAsia="Times New Roman" w:hAnsi="Times New Roman" w:cs="Times New Roman"/>
          <w:color w:val="0E101A"/>
          <w:sz w:val="24"/>
          <w:szCs w:val="24"/>
        </w:rPr>
        <w:t xml:space="preserve">resulted in a major controversial disagreement in the UK business community. ‘Fire and rehire’ is the process which applies method of ending a worker’s contract and then rehiring them on new contract conditions, often with lower salaries or fewer incentives and benefits. When studying the method of fire and hire operated by the organisations, it is important to study the arguments given by those who support and those who oppose the strategy of Fire and Rehire. According to research in 2023, the practice was illegal before and after the most recent pandemic of 2020, although it wasn’t banned in the United Kingdom. Firing and rehiring can be considered legal if some of the prior discussed requirements met. Primarily both the employee and the employer must give acceptance and </w:t>
      </w:r>
      <w:r w:rsidR="001B2CA9">
        <w:rPr>
          <w:rFonts w:ascii="Times New Roman" w:eastAsia="Times New Roman" w:hAnsi="Times New Roman" w:cs="Times New Roman"/>
          <w:color w:val="0E101A"/>
          <w:sz w:val="24"/>
          <w:szCs w:val="24"/>
        </w:rPr>
        <w:t>secondly</w:t>
      </w:r>
      <w:r>
        <w:rPr>
          <w:rFonts w:ascii="Times New Roman" w:eastAsia="Times New Roman" w:hAnsi="Times New Roman" w:cs="Times New Roman"/>
          <w:color w:val="0E101A"/>
          <w:sz w:val="24"/>
          <w:szCs w:val="24"/>
        </w:rPr>
        <w:t xml:space="preserve">, both parties must acknowledge and accept any modifications to the contracts.   Regarding the study of </w:t>
      </w:r>
      <w:r>
        <w:rPr>
          <w:rFonts w:ascii="Times New Roman" w:eastAsia="Times New Roman" w:hAnsi="Times New Roman" w:cs="Times New Roman"/>
          <w:color w:val="222222"/>
          <w:sz w:val="24"/>
          <w:szCs w:val="24"/>
          <w:highlight w:val="white"/>
        </w:rPr>
        <w:t xml:space="preserve">(Davis,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Arial" w:eastAsia="Arial" w:hAnsi="Arial" w:cs="Arial"/>
          <w:color w:val="222222"/>
          <w:sz w:val="24"/>
          <w:szCs w:val="24"/>
          <w:highlight w:val="white"/>
        </w:rPr>
        <w:t xml:space="preserve"> </w:t>
      </w:r>
      <w:r>
        <w:rPr>
          <w:rFonts w:ascii="Arial" w:eastAsia="Arial" w:hAnsi="Arial" w:cs="Arial"/>
          <w:color w:val="222222"/>
          <w:sz w:val="20"/>
          <w:szCs w:val="20"/>
          <w:highlight w:val="white"/>
        </w:rPr>
        <w:t xml:space="preserve">the </w:t>
      </w:r>
      <w:r>
        <w:rPr>
          <w:rFonts w:ascii="Times New Roman" w:eastAsia="Times New Roman" w:hAnsi="Times New Roman" w:cs="Times New Roman"/>
          <w:color w:val="0E101A"/>
          <w:sz w:val="24"/>
          <w:szCs w:val="24"/>
        </w:rPr>
        <w:t xml:space="preserve">process of fire and rehire has numerous reasons, some of which are regarded as valid and others of which are denied. Those who support the approach of ‘fire and rehire’ argue that this strategy provides organisations with the adaptability to accept new policies and orders easily and efficiently, which are needed to make a place in the marketplace, maintain competitiveness with other organisations and control the company’s costs and other expenditures. They claim that allow organisations to make certain changes to their staff and working method promotes productivity and effectiveness in a challenging work environment. Furthermore, they claim firms can adapt conditions to market prices and maintain the long-term viability by changing employment contracts. However, on the other hand, critics believe that these firing and rehiring techniques are unjustified and wrong. It is also argued that this technique harms the security and stability of the job, affects employee rights, and converts the atmosphere into discomfort and ambiguity for the employees. Furthermore, it is believed that it may have a negative impact on employee peace of mind and passion and can also affect health, resulting in poorer efficiency and raises. This method may be conducted differently in every organisation. Others may use fire and rehire techniques lightly, but some may want to achieve more effective and massive performance. </w:t>
      </w:r>
    </w:p>
    <w:p w14:paraId="4AC3E202" w14:textId="77777777" w:rsidR="001B2CA9" w:rsidRDefault="001B2CA9">
      <w:pPr>
        <w:spacing w:line="360" w:lineRule="auto"/>
        <w:rPr>
          <w:rFonts w:ascii="Times New Roman" w:eastAsia="Times New Roman" w:hAnsi="Times New Roman" w:cs="Times New Roman"/>
          <w:color w:val="0E101A"/>
          <w:sz w:val="24"/>
          <w:szCs w:val="24"/>
        </w:rPr>
      </w:pPr>
    </w:p>
    <w:p w14:paraId="00000007" w14:textId="15BBE244" w:rsidR="00AB2ADA" w:rsidRPr="00052F88" w:rsidRDefault="00000000">
      <w:pPr>
        <w:pStyle w:val="Heading2"/>
        <w:rPr>
          <w:color w:val="FF0000"/>
          <w:sz w:val="28"/>
          <w:szCs w:val="28"/>
        </w:rPr>
      </w:pPr>
      <w:r w:rsidRPr="00052F88">
        <w:rPr>
          <w:color w:val="FF0000"/>
          <w:sz w:val="28"/>
          <w:szCs w:val="28"/>
        </w:rPr>
        <w:t>1.</w:t>
      </w:r>
      <w:r w:rsidR="00052F88">
        <w:rPr>
          <w:color w:val="FF0000"/>
          <w:sz w:val="28"/>
          <w:szCs w:val="28"/>
        </w:rPr>
        <w:t>3</w:t>
      </w:r>
      <w:r w:rsidRPr="00052F88">
        <w:rPr>
          <w:color w:val="FF0000"/>
          <w:sz w:val="28"/>
          <w:szCs w:val="28"/>
        </w:rPr>
        <w:t xml:space="preserve"> Changes and execution of Fire and Hire strategy</w:t>
      </w:r>
    </w:p>
    <w:p w14:paraId="00000008" w14:textId="57C23B78" w:rsidR="00AB2ADA" w:rsidRDefault="00000000">
      <w:pPr>
        <w:spacing w:line="360" w:lineRule="auto"/>
        <w:rPr>
          <w:rFonts w:ascii="Arial" w:eastAsia="Arial" w:hAnsi="Arial" w:cs="Arial"/>
          <w:color w:val="222222"/>
          <w:sz w:val="20"/>
          <w:szCs w:val="20"/>
          <w:highlight w:val="white"/>
        </w:rPr>
      </w:pPr>
      <w:r>
        <w:rPr>
          <w:rFonts w:ascii="Times New Roman" w:eastAsia="Times New Roman" w:hAnsi="Times New Roman" w:cs="Times New Roman"/>
          <w:color w:val="0E101A"/>
          <w:sz w:val="24"/>
          <w:szCs w:val="24"/>
        </w:rPr>
        <w:lastRenderedPageBreak/>
        <w:t xml:space="preserve">The economic condition of an organisation, the amount of competitiveness, and how they view employment opportunities might be a factor in how they execute the approach Fire and Hire. It is crucial to highlight that labour trade associations have raised concerns about the policy of firing and then employing someone again. It is assumed </w:t>
      </w:r>
      <w:r>
        <w:rPr>
          <w:rFonts w:ascii="Arial" w:eastAsia="Arial" w:hAnsi="Arial" w:cs="Arial"/>
          <w:color w:val="222222"/>
          <w:sz w:val="20"/>
          <w:szCs w:val="20"/>
          <w:highlight w:val="white"/>
        </w:rPr>
        <w:t xml:space="preserve">(Fooks,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xml:space="preserve">, 2023), </w:t>
      </w:r>
      <w:r>
        <w:rPr>
          <w:rFonts w:ascii="Times New Roman" w:eastAsia="Times New Roman" w:hAnsi="Times New Roman" w:cs="Times New Roman"/>
          <w:color w:val="0E101A"/>
          <w:sz w:val="24"/>
          <w:szCs w:val="24"/>
        </w:rPr>
        <w:t xml:space="preserve">as it puts the concept of labour relations at risk, affects trust between business organisations and their employees, and affects the working and interactions between employees and employers. The commitment of the employees to stick with current workplace rules and regulations has made the job situation of fire and rehire methods the focus of labour disagreements and protests. Authorities and politicians have recently focused more on the firing and rehiring process. Some argue for stricter controls and controls on implementing this method to safeguard employee rights and establish ethical hiring practices. Others highlighted the importance of clear organisational communication to create changes to employment terms made by genuine interaction and mutual agreement. Corporations need to adopt the “fire and rehire” strategy in a variety of situations. Before implementing this process, (Collin, 2022), any changes to employment contracts should be made, and both parties must provide consent. The terms of employment must be updated without consideration for the workers’ growth. A contract may become insufficient because of sudden changes made in an industry or any adjustment to how the work is performed. However, it is the employer’s ethical responsibility to carefully analyse why there has been a termination to be hired again under current conditions; when important changes in working practises occur, organisations usually extend prior agreements. When important changes in working practises are made, firms frequently attempt to reestablish previous agreements. The phrase change refers to transformation that make it harder for employees to go to work. Otherwise, it might have a detrimental impact on them. There is another situation in which an employee gets dismissed but still has the required skills that can considerably provide benefits to the company. In such cases, a firm is likely to rehire them at a reduced pay rate to work a few hours to fulfil the new agreement’s terms; the worldwide pandemic has boosted the implementation of the fire and rehire strategy </w:t>
      </w:r>
      <w:r>
        <w:rPr>
          <w:rFonts w:ascii="Times New Roman" w:eastAsia="Times New Roman" w:hAnsi="Times New Roman" w:cs="Times New Roman"/>
          <w:color w:val="222222"/>
          <w:sz w:val="24"/>
          <w:szCs w:val="24"/>
          <w:highlight w:val="white"/>
        </w:rPr>
        <w:t>(Bogg, 2023)</w:t>
      </w:r>
      <w:r>
        <w:rPr>
          <w:rFonts w:ascii="Times New Roman" w:eastAsia="Times New Roman" w:hAnsi="Times New Roman" w:cs="Times New Roman"/>
          <w:color w:val="0E101A"/>
          <w:sz w:val="24"/>
          <w:szCs w:val="24"/>
        </w:rPr>
        <w:t xml:space="preserve">. Several labour organisations in the United Kingdom have stated that a significant percentage of employees were reapplying for employment under illegal terms, with the groups and companies profiting the most. Before implementing the strategy, </w:t>
      </w:r>
      <w:r>
        <w:rPr>
          <w:rFonts w:ascii="Times New Roman" w:eastAsia="Times New Roman" w:hAnsi="Times New Roman" w:cs="Times New Roman"/>
          <w:color w:val="222222"/>
          <w:sz w:val="24"/>
          <w:szCs w:val="24"/>
          <w:highlight w:val="white"/>
        </w:rPr>
        <w:t xml:space="preserve">(Bogg,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2023)</w:t>
      </w:r>
      <w:r>
        <w:rPr>
          <w:rFonts w:ascii="Arial" w:eastAsia="Arial" w:hAnsi="Arial" w:cs="Arial"/>
          <w:color w:val="222222"/>
          <w:sz w:val="20"/>
          <w:szCs w:val="20"/>
          <w:highlight w:val="white"/>
        </w:rPr>
        <w:t xml:space="preserve">, </w:t>
      </w:r>
      <w:r>
        <w:rPr>
          <w:rFonts w:ascii="Times New Roman" w:eastAsia="Times New Roman" w:hAnsi="Times New Roman" w:cs="Times New Roman"/>
          <w:color w:val="0E101A"/>
          <w:sz w:val="24"/>
          <w:szCs w:val="24"/>
        </w:rPr>
        <w:t xml:space="preserve">human resources management HRM departments must examine the possible consequences, as mistakes in the procedures could result in protests and prosecution. For example, a union member is looking into a protest against British Gas after the company forced employees to accept work in poor conditions. Since the lockdown in 2020, around 9% of employees have been forced to reapply for their </w:t>
      </w:r>
      <w:r>
        <w:rPr>
          <w:rFonts w:ascii="Times New Roman" w:eastAsia="Times New Roman" w:hAnsi="Times New Roman" w:cs="Times New Roman"/>
          <w:color w:val="0E101A"/>
          <w:sz w:val="24"/>
          <w:szCs w:val="24"/>
        </w:rPr>
        <w:lastRenderedPageBreak/>
        <w:t xml:space="preserve">employment unfairly with awful terms and conditions of employment. The practice of “fire and rehire” has the greatest impact on the labours and poor workers. People from the working class are mainly affected by the practice of “fire and rehire,” and implementing them again may have harmful effects. If a company fires employees without consulting them first, it may be claimed for unjustified dismissal. In this scenario, an employer will be forced to pay the workers according to the relevant rules; those who have fired or rehired workers without any cause, without following any employment rules, or without any systematic manner may also face penalties. It is an employee’s right to be acknowledged of any action before starting dismissal and rehiring to maintain truthfulness and good relations. Bad administration may cause negative consequences, such as a loss of business opportunities and can affect the organisation’s reputation. As a result of the Covid-19 epidemic, some businesses used “fire and rehire” as one of strategy to reduce the ratio of their employees. According to </w:t>
      </w:r>
      <w:r>
        <w:rPr>
          <w:rFonts w:ascii="Arial" w:eastAsia="Arial" w:hAnsi="Arial" w:cs="Arial"/>
          <w:color w:val="222222"/>
          <w:sz w:val="20"/>
          <w:szCs w:val="20"/>
          <w:highlight w:val="white"/>
        </w:rPr>
        <w:t xml:space="preserve">(Bernstein, 2022), </w:t>
      </w:r>
      <w:r>
        <w:rPr>
          <w:rFonts w:ascii="Times New Roman" w:eastAsia="Times New Roman" w:hAnsi="Times New Roman" w:cs="Times New Roman"/>
          <w:color w:val="0E101A"/>
          <w:sz w:val="24"/>
          <w:szCs w:val="24"/>
        </w:rPr>
        <w:t>the</w:t>
      </w:r>
      <w:r w:rsidR="001B2CA9">
        <w:rPr>
          <w:rFonts w:ascii="Times New Roman" w:eastAsia="Times New Roman" w:hAnsi="Times New Roman" w:cs="Times New Roman"/>
          <w:color w:val="0E101A"/>
          <w:sz w:val="24"/>
          <w:szCs w:val="24"/>
        </w:rPr>
        <w:t xml:space="preserve"> </w:t>
      </w:r>
      <w:r>
        <w:rPr>
          <w:rFonts w:ascii="Times New Roman" w:eastAsia="Times New Roman" w:hAnsi="Times New Roman" w:cs="Times New Roman"/>
          <w:color w:val="0E101A"/>
          <w:sz w:val="24"/>
          <w:szCs w:val="24"/>
        </w:rPr>
        <w:t>Trade Union, 10% of British employees faced the chance of being fired and rehired during the Covid-19 Pandemic in 2020. Young employees and people of different races were at greater risk of being dismissed and hired again. The employers may also face difficulty if the claims of discrimination and biases were proven and it turns out that age or ethnicity took part a role in the firing and rehiring process. Because of the influence of Covid-19 on the industries, some corporations and companies argued that it was difficult and very challenging but needed to reconsider employee contracts rather than just eliminating the staff. Several prominent UK firms have been lauded and chastised for employing the “fire and rehire” method during the COVID-19 outbreak. Several well-known corporations are alleged to have employed firing and rehire techniques throughout the epidemic:</w:t>
      </w:r>
    </w:p>
    <w:p w14:paraId="00000009" w14:textId="401BD409" w:rsidR="00AB2ADA" w:rsidRPr="00052F88" w:rsidRDefault="00000000">
      <w:pPr>
        <w:pStyle w:val="Heading2"/>
        <w:rPr>
          <w:color w:val="FF0000"/>
          <w:sz w:val="28"/>
          <w:szCs w:val="28"/>
        </w:rPr>
      </w:pPr>
      <w:r w:rsidRPr="00052F88">
        <w:rPr>
          <w:color w:val="FF0000"/>
          <w:sz w:val="28"/>
          <w:szCs w:val="28"/>
        </w:rPr>
        <w:t>1.</w:t>
      </w:r>
      <w:r w:rsidR="00052F88" w:rsidRPr="00052F88">
        <w:rPr>
          <w:color w:val="FF0000"/>
          <w:sz w:val="28"/>
          <w:szCs w:val="28"/>
        </w:rPr>
        <w:t>4</w:t>
      </w:r>
      <w:r w:rsidRPr="00052F88">
        <w:rPr>
          <w:color w:val="FF0000"/>
          <w:sz w:val="28"/>
          <w:szCs w:val="28"/>
        </w:rPr>
        <w:t xml:space="preserve"> Implementation of Fire and Rehire strategy by British Airways</w:t>
      </w:r>
    </w:p>
    <w:p w14:paraId="0000000A" w14:textId="77777777" w:rsidR="00AB2ADA" w:rsidRDefault="00000000">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E101A"/>
          <w:sz w:val="24"/>
          <w:szCs w:val="24"/>
        </w:rPr>
        <w:t xml:space="preserve">British Airways is a well-established airline which is known for its remarkable performance in the airline industry in the United Kingdom. However, the pandemic affected the performance and the position of the British airline as it also came up with the idea to implement the strategy ‘Fire and Rehire’. Due to this, British Airlines also came under fire. It also received </w:t>
      </w:r>
      <w:r>
        <w:rPr>
          <w:rFonts w:ascii="Times New Roman" w:eastAsia="Times New Roman" w:hAnsi="Times New Roman" w:cs="Times New Roman"/>
          <w:color w:val="222222"/>
          <w:sz w:val="24"/>
          <w:szCs w:val="24"/>
          <w:highlight w:val="white"/>
        </w:rPr>
        <w:t xml:space="preserve">(Grefe, and Peyrat‐Guillard, 2020), that </w:t>
      </w:r>
      <w:r>
        <w:rPr>
          <w:rFonts w:ascii="Times New Roman" w:eastAsia="Times New Roman" w:hAnsi="Times New Roman" w:cs="Times New Roman"/>
          <w:color w:val="0E101A"/>
          <w:sz w:val="24"/>
          <w:szCs w:val="24"/>
        </w:rPr>
        <w:t xml:space="preserve">a lot of critical remarks and criticism for using the “fire and rehire” method during the COVID-19 outbreak in 2020, which was for sure a difficult period, and the whole world faced its consequences. In addition to the terrible economic crisis and conditions, the aviation sector also suffered all forms of difficulties, and the business looked up to make significant changes to its conditions of employment for those who worked there. </w:t>
      </w:r>
      <w:r>
        <w:rPr>
          <w:rFonts w:ascii="Times New Roman" w:eastAsia="Times New Roman" w:hAnsi="Times New Roman" w:cs="Times New Roman"/>
          <w:color w:val="0E101A"/>
          <w:sz w:val="24"/>
          <w:szCs w:val="24"/>
        </w:rPr>
        <w:lastRenderedPageBreak/>
        <w:t>Considering the terrible impact of the pandemic on the aviation industry, in April 2020, British Airways declared that it would be decreasing the costs and organising its business operations again. As part of these steps, the business suggested significant contract updates for its employees, including reduced salaries with few hours of work and changes in many other extra rewards and bonuses. According to</w:t>
      </w:r>
      <w:r>
        <w:rPr>
          <w:rFonts w:ascii="Times New Roman" w:eastAsia="Times New Roman" w:hAnsi="Times New Roman" w:cs="Times New Roman"/>
          <w:color w:val="222222"/>
          <w:sz w:val="24"/>
          <w:szCs w:val="24"/>
          <w:highlight w:val="white"/>
        </w:rPr>
        <w:t xml:space="preserve"> (Bailey, 2023), </w:t>
      </w:r>
      <w:r>
        <w:rPr>
          <w:rFonts w:ascii="Times New Roman" w:eastAsia="Times New Roman" w:hAnsi="Times New Roman" w:cs="Times New Roman"/>
          <w:color w:val="0E101A"/>
          <w:sz w:val="24"/>
          <w:szCs w:val="24"/>
        </w:rPr>
        <w:t>British Airways’ opponents, this strategic approach affected the security of the job, restricted the rights of employees, and created an environment of worry among staff members. Labour unions protested the methods as unethical and requested extra protection for employees who faced such complex problems. Despite numerous critiques over British Airways’ practise of fire and rehire during the outbreak, it is essential always to remember that the carrier finally achieved deals with some of its unions. The sacrifices and negotiations led to agreements about finding an equilibrium between the company’s economic difficulties and protecting the rights of employees. The debate and arguments stressed British Airways’ participation in the execution of such strategies during the pandemic, as well as the necessity for ongoing discussions on the ethical behaviour, legality, and future impact of such measures on the UK labour market.</w:t>
      </w:r>
    </w:p>
    <w:p w14:paraId="0000000B" w14:textId="1520E1C4" w:rsidR="00AB2ADA" w:rsidRPr="00052F88" w:rsidRDefault="00000000">
      <w:pPr>
        <w:pStyle w:val="Heading2"/>
        <w:rPr>
          <w:color w:val="FF0000"/>
          <w:sz w:val="22"/>
          <w:szCs w:val="22"/>
        </w:rPr>
      </w:pPr>
      <w:r w:rsidRPr="00052F88">
        <w:rPr>
          <w:color w:val="FF0000"/>
          <w:sz w:val="28"/>
          <w:szCs w:val="28"/>
        </w:rPr>
        <w:t>1.</w:t>
      </w:r>
      <w:r w:rsidR="00052F88" w:rsidRPr="00052F88">
        <w:rPr>
          <w:color w:val="FF0000"/>
          <w:sz w:val="28"/>
          <w:szCs w:val="28"/>
        </w:rPr>
        <w:t>5</w:t>
      </w:r>
      <w:r w:rsidRPr="00052F88">
        <w:rPr>
          <w:color w:val="FF0000"/>
          <w:sz w:val="28"/>
          <w:szCs w:val="28"/>
        </w:rPr>
        <w:t xml:space="preserve"> Reason of implementing Fire and Rehire strategy by British </w:t>
      </w:r>
      <w:r w:rsidRPr="00052F88">
        <w:rPr>
          <w:color w:val="FF0000"/>
          <w:sz w:val="22"/>
          <w:szCs w:val="22"/>
        </w:rPr>
        <w:t>Gas</w:t>
      </w:r>
    </w:p>
    <w:p w14:paraId="0000000C" w14:textId="77777777" w:rsidR="00AB2ADA" w:rsidRDefault="00000000">
      <w:pPr>
        <w:spacing w:line="360" w:lineRule="auto"/>
        <w:rPr>
          <w:rFonts w:ascii="Arial" w:eastAsia="Arial" w:hAnsi="Arial" w:cs="Arial"/>
          <w:color w:val="222222"/>
          <w:sz w:val="20"/>
          <w:szCs w:val="20"/>
          <w:highlight w:val="white"/>
        </w:rPr>
      </w:pPr>
      <w:r>
        <w:rPr>
          <w:rFonts w:ascii="Times New Roman" w:eastAsia="Times New Roman" w:hAnsi="Times New Roman" w:cs="Times New Roman"/>
          <w:color w:val="0E101A"/>
          <w:sz w:val="24"/>
          <w:szCs w:val="24"/>
        </w:rPr>
        <w:t xml:space="preserve">In addition to British Airways, British Gas is a significant player among the corporations that have widely adopted the “fire and rehire” strategy. According to the study </w:t>
      </w:r>
      <w:r>
        <w:rPr>
          <w:rFonts w:ascii="Times New Roman" w:eastAsia="Times New Roman" w:hAnsi="Times New Roman" w:cs="Times New Roman"/>
          <w:color w:val="222222"/>
          <w:sz w:val="24"/>
          <w:szCs w:val="24"/>
          <w:highlight w:val="white"/>
        </w:rPr>
        <w:t xml:space="preserve">(Ewing,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 </w:t>
      </w:r>
      <w:r>
        <w:rPr>
          <w:rFonts w:ascii="Arial" w:eastAsia="Arial" w:hAnsi="Arial" w:cs="Arial"/>
          <w:color w:val="222222"/>
          <w:sz w:val="20"/>
          <w:szCs w:val="20"/>
          <w:highlight w:val="white"/>
        </w:rPr>
        <w:t>d</w:t>
      </w:r>
      <w:r>
        <w:rPr>
          <w:rFonts w:ascii="Times New Roman" w:eastAsia="Times New Roman" w:hAnsi="Times New Roman" w:cs="Times New Roman"/>
          <w:color w:val="0E101A"/>
          <w:sz w:val="24"/>
          <w:szCs w:val="24"/>
        </w:rPr>
        <w:t xml:space="preserve">uring the Covid-19 epidemic, the British Gas firm attracted notice for implementing a fire and rehire policy. Because of the firm’s constant adjustments, the company and its boiler experts disagreed. The conflict between British Gas and its engineering personnel started in the middle of 2020 when covid was at its peak. It continued for months, forcing the organisations to implement a new job contract that demanded the employees work longer hours without any extra pay. This debate was paused when approximately one thousand engineers refused the demand and adjustments. The participation of British Gas in the fire and rehire method was criticised and faced employees’ anger. Trade unions and labour groups also rejected this policy, which was against their benefits, stating it destroyed employees’ job security, reduced employee rights, and created a bunch of other problems at work. The disagreement and the subsequent use of “fire and rehire” techniques highlighted the moral and legal concerns with this strategy in the company. Many arguments took place regarding the importance of improving the protection of workers and the need for consultation when making any modification in employment contracts. Although the government of the United Kingdom is </w:t>
      </w:r>
      <w:r>
        <w:rPr>
          <w:rFonts w:ascii="Times New Roman" w:eastAsia="Times New Roman" w:hAnsi="Times New Roman" w:cs="Times New Roman"/>
          <w:color w:val="0E101A"/>
          <w:sz w:val="24"/>
          <w:szCs w:val="24"/>
        </w:rPr>
        <w:lastRenderedPageBreak/>
        <w:t xml:space="preserve">against the “fire and rehire” approach demonstrated by particular companies, </w:t>
      </w:r>
      <w:r>
        <w:rPr>
          <w:rFonts w:ascii="Times New Roman" w:eastAsia="Times New Roman" w:hAnsi="Times New Roman" w:cs="Times New Roman"/>
          <w:color w:val="222222"/>
          <w:sz w:val="24"/>
          <w:szCs w:val="24"/>
          <w:highlight w:val="white"/>
        </w:rPr>
        <w:t>(Collins, 2022),</w:t>
      </w:r>
      <w:r>
        <w:rPr>
          <w:rFonts w:ascii="Arial" w:eastAsia="Arial" w:hAnsi="Arial" w:cs="Arial"/>
          <w:color w:val="222222"/>
          <w:sz w:val="24"/>
          <w:szCs w:val="24"/>
          <w:highlight w:val="white"/>
        </w:rPr>
        <w:t xml:space="preserve"> </w:t>
      </w:r>
      <w:r>
        <w:rPr>
          <w:rFonts w:ascii="Times New Roman" w:eastAsia="Times New Roman" w:hAnsi="Times New Roman" w:cs="Times New Roman"/>
          <w:color w:val="0E101A"/>
          <w:sz w:val="24"/>
          <w:szCs w:val="24"/>
        </w:rPr>
        <w:t>it is charged with creating detailed instructions for organisations and employers to prevent the need for firing and rehiring its workers. The essential components include consulting and addressing with workers concerning the need to update the current employment agreement, avoiding threatening against workers over any upcoming modification, finding solutions to the “fire and rehire” technique, and more. It highlights that the need of positive communication is necessary because communication among the workers and the staff can reduce the risk of termination. Even if a contract is already signed, the bad reputational that is caused by the company’s fire and rehire approach can be decreased if the employer tells the employees and the action, or any further transformation implemented in an organisation. A good level of communication and reasonable terms for employers towards the employees solve many significant problems without making any modifications to the office policies.</w:t>
      </w:r>
      <w:r>
        <w:rPr>
          <w:sz w:val="24"/>
          <w:szCs w:val="24"/>
        </w:rPr>
        <w:t> </w:t>
      </w:r>
    </w:p>
    <w:p w14:paraId="0000000D" w14:textId="77777777" w:rsidR="00AB2ADA" w:rsidRPr="001B2CA9" w:rsidRDefault="00000000">
      <w:pPr>
        <w:pStyle w:val="Heading2"/>
        <w:rPr>
          <w:sz w:val="32"/>
          <w:szCs w:val="32"/>
        </w:rPr>
      </w:pPr>
      <w:r w:rsidRPr="001B2CA9">
        <w:rPr>
          <w:sz w:val="32"/>
          <w:szCs w:val="32"/>
        </w:rPr>
        <w:t>2. Addressing the legal consequences of changing terms in an employment contract: </w:t>
      </w:r>
    </w:p>
    <w:p w14:paraId="0000000E" w14:textId="77777777" w:rsidR="00AB2ADA" w:rsidRPr="001B2CA9" w:rsidRDefault="00000000">
      <w:pPr>
        <w:pStyle w:val="Heading2"/>
        <w:rPr>
          <w:color w:val="FF0000"/>
          <w:sz w:val="28"/>
          <w:szCs w:val="28"/>
        </w:rPr>
      </w:pPr>
      <w:r w:rsidRPr="001B2CA9">
        <w:rPr>
          <w:color w:val="FF0000"/>
          <w:sz w:val="28"/>
          <w:szCs w:val="28"/>
        </w:rPr>
        <w:t>2.1 Employment Laws in the United Kingdom</w:t>
      </w:r>
    </w:p>
    <w:p w14:paraId="0000000F"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Modifying employment contract terms using the fire-and-rehire approach may result in serious legal consequences for employers and employees. Fire and rehire is when an organisation terminate previous contracts with their employees and offers the team new agreements with different rules and regulations. The following are the essential legal factors to consider when implementing the strategy of fire and rehiring in a company or organisation. However, </w:t>
      </w:r>
      <w:r>
        <w:rPr>
          <w:rFonts w:ascii="Times New Roman" w:eastAsia="Times New Roman" w:hAnsi="Times New Roman" w:cs="Times New Roman"/>
          <w:color w:val="222222"/>
          <w:sz w:val="24"/>
          <w:szCs w:val="24"/>
          <w:highlight w:val="white"/>
        </w:rPr>
        <w:t xml:space="preserve">(Galvin, D.J., 2019), while </w:t>
      </w:r>
      <w:r>
        <w:rPr>
          <w:rFonts w:ascii="Times New Roman" w:eastAsia="Times New Roman" w:hAnsi="Times New Roman" w:cs="Times New Roman"/>
          <w:color w:val="0E101A"/>
          <w:sz w:val="24"/>
          <w:szCs w:val="24"/>
        </w:rPr>
        <w:t xml:space="preserve">implementing a fire and rehire approach, it can go against the terms of the existing labour agreements in a company and cause severe difficulties and legal issues. Suppose any policy adjustment is made while neglecting the employees’ permission. In that case, they may be viewed as a forceful action of the terms, giving rise to employee claims of contract breach, and employees can take legal action against the organisation. The tactic to fire and rehire is made to immediately transform the rules and regulations from the existing employment contracts. The arrangements are legal partnerships and agreed agreements between the employers and employees, which need to be agreed upon by both parties or else it might be perceived as a contract violation if an employer or the company makes any king or alteration or change without any proper consent, permission or approval from workers as this could be construed as a breach of the initially agreed-upon terms. A change to a provision in an employment contract allows employers to modify the terms and conditions of employment. </w:t>
      </w:r>
      <w:r>
        <w:rPr>
          <w:rFonts w:ascii="Times New Roman" w:eastAsia="Times New Roman" w:hAnsi="Times New Roman" w:cs="Times New Roman"/>
          <w:color w:val="0E101A"/>
          <w:sz w:val="24"/>
          <w:szCs w:val="24"/>
        </w:rPr>
        <w:lastRenderedPageBreak/>
        <w:t xml:space="preserve">Yet in order to make adjustments to be legally recognised, the changed approach must be clear and straightforward, and the suggested modifications should be in the scope of its significance. Even if the modified part is incorrectly stated or the adjustments go beyond its intended scope, it may still be considered a breach of contract. According to </w:t>
      </w:r>
      <w:r>
        <w:rPr>
          <w:rFonts w:ascii="Times New Roman" w:eastAsia="Times New Roman" w:hAnsi="Times New Roman" w:cs="Times New Roman"/>
          <w:color w:val="222222"/>
          <w:sz w:val="24"/>
          <w:szCs w:val="24"/>
        </w:rPr>
        <w:t xml:space="preserve">(Freedland, </w:t>
      </w:r>
      <w:r>
        <w:rPr>
          <w:rFonts w:ascii="Times New Roman" w:eastAsia="Times New Roman" w:hAnsi="Times New Roman" w:cs="Times New Roman"/>
          <w:i/>
          <w:color w:val="222222"/>
          <w:sz w:val="24"/>
          <w:szCs w:val="24"/>
        </w:rPr>
        <w:t>et al</w:t>
      </w:r>
      <w:r>
        <w:rPr>
          <w:rFonts w:ascii="Times New Roman" w:eastAsia="Times New Roman" w:hAnsi="Times New Roman" w:cs="Times New Roman"/>
          <w:color w:val="222222"/>
          <w:sz w:val="24"/>
          <w:szCs w:val="24"/>
        </w:rPr>
        <w:t>, 2017)</w:t>
      </w:r>
      <w:r>
        <w:rPr>
          <w:rFonts w:ascii="Times New Roman" w:eastAsia="Times New Roman" w:hAnsi="Times New Roman" w:cs="Times New Roman"/>
          <w:color w:val="0E101A"/>
          <w:sz w:val="24"/>
          <w:szCs w:val="24"/>
        </w:rPr>
        <w:t>, the laws to get a job in the United Kingdom is complicated to understand; it even underlines all kind of complexities and elements of the relationship between employers and employees working in any organisation. The main components of this agreement are the contract of employment itself, the employee’s standard salary, termination criteria and health and safety benefits, which should be mentioned in any contractual work. By highlighting all of the topics and difficulties faced by employers and employees, it has become easy to resolve any issues by the member of an organisation. It is our significant responsibility always to note that the laws of employment may be different from before, and there is detailed law to be implemented in any particular problem or circumstance. Therefore, it is constantly recommended by professionals to consult legal or take guidance from appropriate officials for proper and latest, updated reports. </w:t>
      </w:r>
    </w:p>
    <w:p w14:paraId="00000010" w14:textId="77777777" w:rsidR="00AB2ADA" w:rsidRDefault="00000000">
      <w:pPr>
        <w:pStyle w:val="Heading2"/>
        <w:rPr>
          <w:sz w:val="24"/>
          <w:szCs w:val="24"/>
        </w:rPr>
      </w:pPr>
      <w:r w:rsidRPr="001B2CA9">
        <w:rPr>
          <w:sz w:val="32"/>
          <w:szCs w:val="32"/>
        </w:rPr>
        <w:t>3 The potential impact of any changes on employee engagement</w:t>
      </w:r>
    </w:p>
    <w:p w14:paraId="00000011" w14:textId="77777777" w:rsidR="00AB2ADA" w:rsidRPr="00052F88" w:rsidRDefault="00000000">
      <w:pPr>
        <w:pStyle w:val="Heading2"/>
        <w:rPr>
          <w:color w:val="FF0000"/>
          <w:sz w:val="28"/>
          <w:szCs w:val="28"/>
        </w:rPr>
      </w:pPr>
      <w:r w:rsidRPr="00052F88">
        <w:rPr>
          <w:color w:val="FF0000"/>
          <w:sz w:val="28"/>
          <w:szCs w:val="28"/>
        </w:rPr>
        <w:t>3.1 Employment Contract and employee engagement </w:t>
      </w:r>
    </w:p>
    <w:p w14:paraId="00000012" w14:textId="77777777" w:rsidR="00AB2ADA" w:rsidRDefault="00000000">
      <w:pPr>
        <w:spacing w:line="360" w:lineRule="auto"/>
        <w:rPr>
          <w:rFonts w:ascii="Times New Roman" w:eastAsia="Times New Roman" w:hAnsi="Times New Roman" w:cs="Times New Roman"/>
          <w:color w:val="222222"/>
          <w:sz w:val="24"/>
          <w:szCs w:val="24"/>
          <w:highlight w:val="yellow"/>
        </w:rPr>
      </w:pPr>
      <w:r>
        <w:rPr>
          <w:rFonts w:ascii="Times New Roman" w:eastAsia="Times New Roman" w:hAnsi="Times New Roman" w:cs="Times New Roman"/>
          <w:color w:val="0E101A"/>
          <w:sz w:val="24"/>
          <w:szCs w:val="24"/>
        </w:rPr>
        <w:t xml:space="preserve">Employee engagement defines the employees’ dedication and shows how motivated and appreciated an employee is in the organisation. It is vital to enjoy achievements, loyalty bonuses, and creativity certificates from the organisation. Additionally, any kind of change in an organisation, such as investments, restructurings, or advancement in technology, might put the employees’ engagement at risk. A company should create an environment that promotes mental health first and be devoted to adjusting to those transformations. Hence, this research examines the elements to enhance and make improvements, such as commitments and the dedication of the employees to adopt new ways during advancements and uniting and considers when the change in a commitment is made. The most notable employee engagement research developed the previous investigations by determining other motivations. Learning, freedom to work, and psychological needs motivate workers to practice how work is done perfectly, which can help individuals to a prosperous working and development. </w:t>
      </w:r>
      <w:r>
        <w:rPr>
          <w:rFonts w:ascii="Times New Roman" w:eastAsia="Times New Roman" w:hAnsi="Times New Roman" w:cs="Times New Roman"/>
          <w:color w:val="222222"/>
          <w:sz w:val="24"/>
          <w:szCs w:val="24"/>
          <w:highlight w:val="white"/>
        </w:rPr>
        <w:t xml:space="preserve">(Burnett,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2019)</w:t>
      </w:r>
    </w:p>
    <w:p w14:paraId="00000013" w14:textId="77777777" w:rsidR="00AB2ADA" w:rsidRPr="00052F88" w:rsidRDefault="00000000">
      <w:pPr>
        <w:pStyle w:val="Heading2"/>
        <w:rPr>
          <w:color w:val="FF0000"/>
          <w:sz w:val="28"/>
          <w:szCs w:val="28"/>
        </w:rPr>
      </w:pPr>
      <w:r w:rsidRPr="00052F88">
        <w:rPr>
          <w:color w:val="FF0000"/>
          <w:sz w:val="28"/>
          <w:szCs w:val="28"/>
        </w:rPr>
        <w:t>3.2 How beneficial is Employment Contract and Employee Engagement </w:t>
      </w:r>
    </w:p>
    <w:p w14:paraId="00000014"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the research </w:t>
      </w:r>
      <w:r>
        <w:rPr>
          <w:rFonts w:ascii="Arial" w:eastAsia="Arial" w:hAnsi="Arial" w:cs="Arial"/>
          <w:color w:val="222222"/>
          <w:sz w:val="20"/>
          <w:szCs w:val="20"/>
          <w:highlight w:val="white"/>
        </w:rPr>
        <w:t>(</w:t>
      </w:r>
      <w:proofErr w:type="spellStart"/>
      <w:r>
        <w:rPr>
          <w:rFonts w:ascii="Arial" w:eastAsia="Arial" w:hAnsi="Arial" w:cs="Arial"/>
          <w:color w:val="222222"/>
          <w:sz w:val="20"/>
          <w:szCs w:val="20"/>
          <w:highlight w:val="white"/>
        </w:rPr>
        <w:t>Gutermann</w:t>
      </w:r>
      <w:proofErr w:type="spellEnd"/>
      <w:r>
        <w:rPr>
          <w:rFonts w:ascii="Arial" w:eastAsia="Arial" w:hAnsi="Arial" w:cs="Arial"/>
          <w:color w:val="222222"/>
          <w:sz w:val="20"/>
          <w:szCs w:val="20"/>
          <w:highlight w:val="white"/>
        </w:rPr>
        <w:t xml:space="preserve">,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2017),</w:t>
      </w:r>
      <w:r>
        <w:rPr>
          <w:rFonts w:ascii="Times New Roman" w:eastAsia="Times New Roman" w:hAnsi="Times New Roman" w:cs="Times New Roman"/>
          <w:color w:val="0E101A"/>
          <w:sz w:val="24"/>
          <w:szCs w:val="24"/>
        </w:rPr>
        <w:t xml:space="preserve"> engagement defines the employees’ dedication and shows how motivated and appreciated an employee is in the organisation. A firm needs to make </w:t>
      </w:r>
      <w:r>
        <w:rPr>
          <w:rFonts w:ascii="Times New Roman" w:eastAsia="Times New Roman" w:hAnsi="Times New Roman" w:cs="Times New Roman"/>
          <w:color w:val="0E101A"/>
          <w:sz w:val="24"/>
          <w:szCs w:val="24"/>
        </w:rPr>
        <w:lastRenderedPageBreak/>
        <w:t>sure that its employees contend, and the company must also appreciate the achievements of the workers and offer loyalty bonuses and creativity certificates to its employees, As it will bring benefits to the company. Additionally, any kind of change in an organisation, such as investments or advancement of technology, might put the employees’ engagement at risk as they are unaware of such modifications. A company also work to make an office environment which promotes mental health first and encourages its employees to adapt and accept those transformations. Hence, this article examines the elements to enhance and make improvements towards the commitments and dedication of the employees to adopt new ways during advancements and uniting and considers when the change in a commitment is made in an organisation.</w:t>
      </w:r>
    </w:p>
    <w:p w14:paraId="00000015" w14:textId="77777777" w:rsidR="00AB2ADA" w:rsidRPr="00052F88" w:rsidRDefault="00000000">
      <w:pPr>
        <w:pStyle w:val="Heading2"/>
        <w:rPr>
          <w:color w:val="FF0000"/>
          <w:sz w:val="28"/>
          <w:szCs w:val="28"/>
        </w:rPr>
      </w:pPr>
      <w:r w:rsidRPr="00052F88">
        <w:rPr>
          <w:color w:val="FF0000"/>
          <w:sz w:val="28"/>
          <w:szCs w:val="28"/>
        </w:rPr>
        <w:t xml:space="preserve">3.3 New adaptable learning: </w:t>
      </w:r>
    </w:p>
    <w:p w14:paraId="00000016"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most considerable employee engagement research developed on the earlier experience </w:t>
      </w:r>
      <w:r>
        <w:rPr>
          <w:rFonts w:ascii="Times New Roman" w:eastAsia="Times New Roman" w:hAnsi="Times New Roman" w:cs="Times New Roman"/>
          <w:color w:val="222222"/>
          <w:sz w:val="24"/>
          <w:szCs w:val="24"/>
          <w:highlight w:val="white"/>
        </w:rPr>
        <w:t xml:space="preserve">(Eisenberger,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w:t>
      </w:r>
      <w:r>
        <w:rPr>
          <w:rFonts w:ascii="Times New Roman" w:eastAsia="Times New Roman" w:hAnsi="Times New Roman" w:cs="Times New Roman"/>
          <w:color w:val="0E101A"/>
          <w:sz w:val="24"/>
          <w:szCs w:val="24"/>
        </w:rPr>
        <w:t xml:space="preserve"> found that motivation depends on new and adaptable learning, freedom to work, and psychological needs to motivate workers to practice how work is done perfectly. Employee engagement can also help individuals to prosperous working and personal development. The primary demand for satisfaction is closely connected with an employee’s commitment to any organisation. Suppose a company is providing a good environment and joy to its employees. In that case, the employees will undoubtedly be accomplishing their jobs with complete sincerity and dedication while giving value to the work, helping workers realise how important they are to the organisation and keeping them motivated. Furthermore, there is also a chance for the staff member to work with complete freedom, and workers may motivate others to work hard in the association. Moreover, the work will improve the dedication of the workers. Worker commitments and loyalty require space and rewards. Motivation and work sincerity depend on the connection and reasonable terms and conditions of the employers and employees. Analysis has discovered that good mental health helps a person to create a sense of self-growth if we apply a motivational approach, which will increase the chances of group participation and complete concentration of the employees towards the work. However, creating and devoting entirely to such significant aims (</w:t>
      </w:r>
      <w:r>
        <w:rPr>
          <w:rFonts w:ascii="Times New Roman" w:eastAsia="Times New Roman" w:hAnsi="Times New Roman" w:cs="Times New Roman"/>
          <w:color w:val="222222"/>
          <w:sz w:val="24"/>
          <w:szCs w:val="24"/>
          <w:highlight w:val="white"/>
        </w:rPr>
        <w:t xml:space="preserve">Ahmed,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color w:val="0E101A"/>
          <w:sz w:val="24"/>
          <w:szCs w:val="24"/>
        </w:rPr>
        <w:t xml:space="preserve"> involve someone’s values, behaviour, and dreams, which are also helpful elements of the employee’s originality. An experiment has also found a connection between nature and the flow system, in which a link is created between innate stimulation and motivation and natural experience to feel something. Flow is a wide sensation and emotion that employees feel when they are wholly </w:t>
      </w:r>
      <w:r>
        <w:rPr>
          <w:rFonts w:ascii="Times New Roman" w:eastAsia="Times New Roman" w:hAnsi="Times New Roman" w:cs="Times New Roman"/>
          <w:color w:val="0E101A"/>
          <w:sz w:val="24"/>
          <w:szCs w:val="24"/>
        </w:rPr>
        <w:lastRenderedPageBreak/>
        <w:t>involved in their work. The relation between internal motivation and feeling of flow provides belief and self-trust by observing involvement in the need for freedom.</w:t>
      </w:r>
    </w:p>
    <w:p w14:paraId="10B2DCEE" w14:textId="77777777" w:rsidR="00422CD7" w:rsidRPr="001B2CA9" w:rsidRDefault="00422CD7">
      <w:pPr>
        <w:spacing w:line="360" w:lineRule="auto"/>
        <w:rPr>
          <w:rFonts w:ascii="Times New Roman" w:eastAsia="Times New Roman" w:hAnsi="Times New Roman" w:cs="Times New Roman"/>
          <w:b/>
          <w:color w:val="FF0000"/>
          <w:sz w:val="24"/>
          <w:szCs w:val="24"/>
        </w:rPr>
      </w:pPr>
    </w:p>
    <w:p w14:paraId="00000017" w14:textId="6DE54C73" w:rsidR="00AB2ADA" w:rsidRPr="00052F88" w:rsidRDefault="00000000">
      <w:pPr>
        <w:spacing w:line="360" w:lineRule="auto"/>
        <w:rPr>
          <w:rFonts w:ascii="Times New Roman" w:eastAsia="Times New Roman" w:hAnsi="Times New Roman" w:cs="Times New Roman"/>
          <w:b/>
          <w:color w:val="FF0000"/>
          <w:sz w:val="28"/>
          <w:szCs w:val="28"/>
        </w:rPr>
      </w:pPr>
      <w:r w:rsidRPr="00052F88">
        <w:rPr>
          <w:rFonts w:ascii="Times New Roman" w:eastAsia="Times New Roman" w:hAnsi="Times New Roman" w:cs="Times New Roman"/>
          <w:b/>
          <w:color w:val="FF0000"/>
          <w:sz w:val="28"/>
          <w:szCs w:val="28"/>
        </w:rPr>
        <w:t>3.4 Impact of changes in contracts on employee engagement.</w:t>
      </w:r>
    </w:p>
    <w:p w14:paraId="75239C99" w14:textId="77777777" w:rsidR="00422CD7" w:rsidRDefault="00422CD7">
      <w:pPr>
        <w:spacing w:line="360" w:lineRule="auto"/>
        <w:rPr>
          <w:rFonts w:ascii="Times New Roman" w:eastAsia="Times New Roman" w:hAnsi="Times New Roman" w:cs="Times New Roman"/>
          <w:color w:val="0E101A"/>
          <w:sz w:val="24"/>
          <w:szCs w:val="24"/>
        </w:rPr>
      </w:pPr>
    </w:p>
    <w:p w14:paraId="00000018" w14:textId="38D24165"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the study </w:t>
      </w:r>
      <w:r>
        <w:rPr>
          <w:rFonts w:ascii="Arial" w:eastAsia="Arial" w:hAnsi="Arial" w:cs="Arial"/>
          <w:color w:val="222222"/>
          <w:sz w:val="20"/>
          <w:szCs w:val="20"/>
          <w:highlight w:val="white"/>
        </w:rPr>
        <w:t>(Braganza, et al, 2021),</w:t>
      </w:r>
      <w:r>
        <w:rPr>
          <w:rFonts w:ascii="Times New Roman" w:eastAsia="Times New Roman" w:hAnsi="Times New Roman" w:cs="Times New Roman"/>
          <w:color w:val="0E101A"/>
          <w:sz w:val="24"/>
          <w:szCs w:val="24"/>
        </w:rPr>
        <w:t xml:space="preserve"> modifying the employees’ contract can cause different consequences in how the employees are engaged in an organisation. The nature of the modifications depends on the overall job atmosphere and the terms and interaction, and execution of the changes, which will overall influence specific outcomes. Here are some potential consequences. However, the worldwide economic crisis has ended up resulting in significant changes in company work and duties. Employee engagement is crucial for the benefit of the individual and the organisation. Employees may need to understand the boundaries of the contract to stop the company from accomplishing the goals it sets. In any firm, a way to manage employee engagement approaches is necessary. More demanding requirements and constant accomplishment can promote staff devotion and collaboration toward the company and the job. </w:t>
      </w:r>
    </w:p>
    <w:p w14:paraId="00000019" w14:textId="77777777" w:rsidR="00AB2ADA" w:rsidRPr="00052F88" w:rsidRDefault="00000000">
      <w:pPr>
        <w:pStyle w:val="Heading2"/>
        <w:rPr>
          <w:sz w:val="28"/>
          <w:szCs w:val="28"/>
        </w:rPr>
      </w:pPr>
      <w:r w:rsidRPr="00052F88">
        <w:rPr>
          <w:color w:val="FF0000"/>
          <w:sz w:val="28"/>
          <w:szCs w:val="28"/>
        </w:rPr>
        <w:t xml:space="preserve">3.5 Making improvement in employee’s engagement </w:t>
      </w:r>
    </w:p>
    <w:p w14:paraId="0000001A"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According to the study </w:t>
      </w:r>
      <w:r>
        <w:rPr>
          <w:rFonts w:ascii="Arial" w:eastAsia="Arial" w:hAnsi="Arial" w:cs="Arial"/>
          <w:color w:val="222222"/>
          <w:sz w:val="20"/>
          <w:szCs w:val="20"/>
          <w:highlight w:val="white"/>
        </w:rPr>
        <w:t xml:space="preserve">(Naidoo, et al 2019), </w:t>
      </w:r>
      <w:r>
        <w:rPr>
          <w:rFonts w:ascii="Times New Roman" w:eastAsia="Times New Roman" w:hAnsi="Times New Roman" w:cs="Times New Roman"/>
          <w:color w:val="0E101A"/>
          <w:sz w:val="24"/>
          <w:szCs w:val="24"/>
        </w:rPr>
        <w:t xml:space="preserve">since there is a lack of resources, companies are focusing entirely on reducing expenses while improving productivity and desired outcomes, as reducing different steps can reduce costs over the long run. Organisations must also focus on enhancing and making improvements in employee engagement techniques by working on cost reduction strategies, as decreasing expenditures and switching the method could be more consistently helpful. Employee engagement has become one of the most challenging duties in the modern workplace. Also, rigorous rules, strict terms in a firm, and other remaining problems could make employee engagement and work performance easier for any organisation. This component affects management since work, concentration, and commitment are essential to run an organisation successfully and effectively. Organisations with highly involved employees beat their competitors in terms of customer satisfaction, sales, and worker efficiency. If changes to an employee contract are clear, understandable, well-defined, and properly communicated, they may present transparency regarding the worker’s duties, goals, tasks, and earnings. Workers’ dedication and connection towards the organisation’s purposes may increase when they understand their duties and how they are rewarded. Yet implementing </w:t>
      </w:r>
      <w:r>
        <w:rPr>
          <w:rFonts w:ascii="Times New Roman" w:eastAsia="Times New Roman" w:hAnsi="Times New Roman" w:cs="Times New Roman"/>
          <w:color w:val="0E101A"/>
          <w:sz w:val="24"/>
          <w:szCs w:val="24"/>
        </w:rPr>
        <w:lastRenderedPageBreak/>
        <w:t>modifications to contracts with workers, particularly those requiring significant salary, benefits, or job security changes, can generate employee uncertainty and concern. Employee engagement can also suffer due to this instability, resulting in zero motivation and efficiency.</w:t>
      </w:r>
    </w:p>
    <w:p w14:paraId="0000001B" w14:textId="77777777" w:rsidR="00AB2ADA" w:rsidRPr="00052F88" w:rsidRDefault="00000000">
      <w:pPr>
        <w:pStyle w:val="Heading2"/>
        <w:rPr>
          <w:color w:val="FF0000"/>
          <w:sz w:val="28"/>
          <w:szCs w:val="28"/>
        </w:rPr>
      </w:pPr>
      <w:r w:rsidRPr="00052F88">
        <w:rPr>
          <w:color w:val="FF0000"/>
          <w:sz w:val="28"/>
          <w:szCs w:val="28"/>
        </w:rPr>
        <w:t>3.6 Discriminatory modifications</w:t>
      </w:r>
    </w:p>
    <w:p w14:paraId="0000001C"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Modifications made in a contract that is considered discriminatory or in favour of particular persons or groups can be painful feelings, generate jealousy, and reduce employee engagement with one another. Employees might wonder about the organisation’s commitment to their success, leading to quitting form jobs.</w:t>
      </w:r>
      <w:r>
        <w:rPr>
          <w:rFonts w:ascii="Arial" w:eastAsia="Arial" w:hAnsi="Arial" w:cs="Arial"/>
          <w:color w:val="222222"/>
          <w:sz w:val="20"/>
          <w:szCs w:val="20"/>
          <w:highlight w:val="white"/>
        </w:rPr>
        <w:t xml:space="preserve"> (Soares, and Mosquera, 2019).</w:t>
      </w:r>
      <w:r>
        <w:rPr>
          <w:rFonts w:ascii="Times New Roman" w:eastAsia="Times New Roman" w:hAnsi="Times New Roman" w:cs="Times New Roman"/>
          <w:color w:val="0E101A"/>
          <w:sz w:val="24"/>
          <w:szCs w:val="24"/>
        </w:rPr>
        <w:t xml:space="preserve"> Making changes to employees’ contracts might impact their views and cause a loss of confidence within the organisation. Transparency and good communication skills, including of the employees when making important decisions for the firm and solving any problem or difficulties, take part in developing trust—employees who rely on the employers that any issues faced during the job will be solved. The employees will possibly stay determined through the difficulty and development process. The changes made in employment contracts employees might affect how employees see their worth in an organisation. The participation level can decrease if differences are noticed to reduce the importance of anyone’s contributions or to reduce work satisfaction. The company should convince the employees to adapt to new terms of the workplace, the guidelines or other words, if the agreements are changed. Employees who adapt to changes and accept further learning and new skills are more potentially able to grow. </w:t>
      </w:r>
      <w:r>
        <w:rPr>
          <w:rFonts w:ascii="Arial" w:eastAsia="Arial" w:hAnsi="Arial" w:cs="Arial"/>
          <w:color w:val="222222"/>
          <w:sz w:val="20"/>
          <w:szCs w:val="20"/>
          <w:highlight w:val="white"/>
        </w:rPr>
        <w:t xml:space="preserve">(Guarnaccia,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xml:space="preserve"> 2018)</w:t>
      </w:r>
    </w:p>
    <w:p w14:paraId="0000001D" w14:textId="77777777" w:rsidR="00AB2ADA" w:rsidRDefault="00AB2ADA">
      <w:pPr>
        <w:spacing w:line="360" w:lineRule="auto"/>
        <w:rPr>
          <w:rFonts w:ascii="Times New Roman" w:eastAsia="Times New Roman" w:hAnsi="Times New Roman" w:cs="Times New Roman"/>
          <w:color w:val="0E101A"/>
          <w:sz w:val="24"/>
          <w:szCs w:val="24"/>
        </w:rPr>
      </w:pPr>
    </w:p>
    <w:p w14:paraId="0000001E" w14:textId="77777777" w:rsidR="00AB2ADA" w:rsidRPr="001B2CA9" w:rsidRDefault="00000000">
      <w:pPr>
        <w:spacing w:line="360" w:lineRule="auto"/>
        <w:rPr>
          <w:rFonts w:ascii="Times New Roman" w:eastAsia="Times New Roman" w:hAnsi="Times New Roman" w:cs="Times New Roman"/>
          <w:b/>
          <w:color w:val="0E101A"/>
          <w:sz w:val="36"/>
          <w:szCs w:val="36"/>
        </w:rPr>
      </w:pPr>
      <w:r w:rsidRPr="001B2CA9">
        <w:rPr>
          <w:rFonts w:ascii="Times New Roman" w:eastAsia="Times New Roman" w:hAnsi="Times New Roman" w:cs="Times New Roman"/>
          <w:b/>
          <w:sz w:val="32"/>
          <w:szCs w:val="32"/>
        </w:rPr>
        <w:t>HR involvement and traditional models of HRM and the progress of Human Resources Management in four domains</w:t>
      </w:r>
    </w:p>
    <w:p w14:paraId="0000001F" w14:textId="77777777" w:rsidR="00AB2ADA" w:rsidRPr="00052F88" w:rsidRDefault="00000000">
      <w:pPr>
        <w:spacing w:line="360" w:lineRule="auto"/>
        <w:rPr>
          <w:rFonts w:ascii="Times New Roman" w:eastAsia="Times New Roman" w:hAnsi="Times New Roman" w:cs="Times New Roman"/>
          <w:color w:val="0E101A"/>
          <w:sz w:val="28"/>
          <w:szCs w:val="28"/>
        </w:rPr>
      </w:pPr>
      <w:r w:rsidRPr="00052F88">
        <w:rPr>
          <w:rFonts w:ascii="Times New Roman" w:eastAsia="Times New Roman" w:hAnsi="Times New Roman" w:cs="Times New Roman"/>
          <w:b/>
          <w:color w:val="FF0000"/>
          <w:sz w:val="28"/>
          <w:szCs w:val="28"/>
        </w:rPr>
        <w:t>4.1 Human Resources Involvement in Fire and Rehire Strategy </w:t>
      </w:r>
    </w:p>
    <w:p w14:paraId="00000020"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Human resource management or HRM is an organised and detailed approach to an organisation and a prosperous and efficient personnel management process. In the article </w:t>
      </w:r>
      <w:r>
        <w:rPr>
          <w:rFonts w:ascii="Arial" w:eastAsia="Arial" w:hAnsi="Arial" w:cs="Arial"/>
          <w:color w:val="222222"/>
          <w:sz w:val="20"/>
          <w:szCs w:val="20"/>
          <w:highlight w:val="white"/>
        </w:rPr>
        <w:t>(Bal, and Brookes 2022), i</w:t>
      </w:r>
      <w:r>
        <w:rPr>
          <w:rFonts w:ascii="Times New Roman" w:eastAsia="Times New Roman" w:hAnsi="Times New Roman" w:cs="Times New Roman"/>
          <w:color w:val="0E101A"/>
          <w:sz w:val="24"/>
          <w:szCs w:val="24"/>
        </w:rPr>
        <w:t xml:space="preserve">n United Kingdom, to help firms achieve economic power. It helps to increase the efficiency of the staff by supporting them in fulfilling an organisation’s strategic goals. Human resource management thoroughly focuses on methods and strategies for directing staff members of the organisation. The human resources department has the responsibility of monitoring benefits for worker design, employing new workers, training and development of staff, and managing and resolving the problems and other issues in the company, including evaluations of the employee’s work-related performance, and incentive management, in </w:t>
      </w:r>
      <w:r>
        <w:rPr>
          <w:rFonts w:ascii="Times New Roman" w:eastAsia="Times New Roman" w:hAnsi="Times New Roman" w:cs="Times New Roman"/>
          <w:color w:val="0E101A"/>
          <w:sz w:val="24"/>
          <w:szCs w:val="24"/>
        </w:rPr>
        <w:lastRenderedPageBreak/>
        <w:t xml:space="preserve">addition to administering pay and employee insurance policy programs. In the study </w:t>
      </w:r>
      <w:r>
        <w:rPr>
          <w:rFonts w:ascii="Arial" w:eastAsia="Arial" w:hAnsi="Arial" w:cs="Arial"/>
          <w:color w:val="222222"/>
          <w:sz w:val="20"/>
          <w:szCs w:val="20"/>
          <w:highlight w:val="white"/>
        </w:rPr>
        <w:t xml:space="preserve">(Wang, et al, 2022), </w:t>
      </w:r>
      <w:r>
        <w:rPr>
          <w:rFonts w:ascii="Times New Roman" w:eastAsia="Times New Roman" w:hAnsi="Times New Roman" w:cs="Times New Roman"/>
          <w:color w:val="0E101A"/>
          <w:sz w:val="24"/>
          <w:szCs w:val="24"/>
        </w:rPr>
        <w:t>Human resources are additionally associated with organisational improvements and workplace dynamics and keep a balance in-between relationship between the employees and the employers. However, the execution of the fire and rehire strategy, the Department of Human Resource Management HRM policies can provide specific beneficial strategies for firms to participate in the changes made while following the legal standards sincerely. It may help teams in succeeding in court. Furthermore, HR may confirm that the firing and rehiring strategies are followed accurately and with complete sincerity. Similarly, human resource management managers can work with other business leaders to resolve difficulties with employees who are not in trouble and build a hiring strategy again. </w:t>
      </w:r>
      <w:r>
        <w:rPr>
          <w:rFonts w:ascii="Arial" w:eastAsia="Arial" w:hAnsi="Arial" w:cs="Arial"/>
          <w:color w:val="222222"/>
          <w:sz w:val="20"/>
          <w:szCs w:val="20"/>
          <w:highlight w:val="white"/>
        </w:rPr>
        <w:t>(Bernstein, A., 2022)</w:t>
      </w:r>
    </w:p>
    <w:p w14:paraId="74E0763F" w14:textId="77777777" w:rsidR="00422CD7" w:rsidRPr="00052F88" w:rsidRDefault="00422CD7">
      <w:pPr>
        <w:spacing w:line="360" w:lineRule="auto"/>
        <w:rPr>
          <w:rFonts w:ascii="Times New Roman" w:eastAsia="Times New Roman" w:hAnsi="Times New Roman" w:cs="Times New Roman"/>
          <w:b/>
          <w:color w:val="0E101A"/>
          <w:sz w:val="28"/>
          <w:szCs w:val="28"/>
        </w:rPr>
      </w:pPr>
    </w:p>
    <w:p w14:paraId="00000021" w14:textId="723BA2C6" w:rsidR="00AB2ADA" w:rsidRPr="00052F88" w:rsidRDefault="00000000">
      <w:pPr>
        <w:spacing w:line="360" w:lineRule="auto"/>
        <w:rPr>
          <w:rFonts w:ascii="Times New Roman" w:eastAsia="Times New Roman" w:hAnsi="Times New Roman" w:cs="Times New Roman"/>
          <w:color w:val="FF0000"/>
          <w:sz w:val="28"/>
          <w:szCs w:val="28"/>
        </w:rPr>
      </w:pPr>
      <w:r w:rsidRPr="00052F88">
        <w:rPr>
          <w:rFonts w:ascii="Times New Roman" w:eastAsia="Times New Roman" w:hAnsi="Times New Roman" w:cs="Times New Roman"/>
          <w:b/>
          <w:color w:val="FF0000"/>
          <w:sz w:val="28"/>
          <w:szCs w:val="28"/>
        </w:rPr>
        <w:t>4.2 Traditional Human Resource Management Purpose</w:t>
      </w:r>
    </w:p>
    <w:p w14:paraId="483626B2" w14:textId="77777777" w:rsidR="00422CD7" w:rsidRDefault="00422CD7">
      <w:pPr>
        <w:spacing w:line="360" w:lineRule="auto"/>
        <w:rPr>
          <w:rFonts w:ascii="Times New Roman" w:eastAsia="Times New Roman" w:hAnsi="Times New Roman" w:cs="Times New Roman"/>
          <w:color w:val="0E101A"/>
          <w:sz w:val="24"/>
          <w:szCs w:val="24"/>
        </w:rPr>
      </w:pPr>
    </w:p>
    <w:p w14:paraId="00000022" w14:textId="62253383" w:rsidR="00AB2ADA" w:rsidRDefault="00000000">
      <w:pPr>
        <w:spacing w:line="36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E101A"/>
          <w:sz w:val="24"/>
          <w:szCs w:val="24"/>
        </w:rPr>
        <w:t>According to (</w:t>
      </w:r>
      <w:r>
        <w:rPr>
          <w:rFonts w:ascii="Times New Roman" w:eastAsia="Times New Roman" w:hAnsi="Times New Roman" w:cs="Times New Roman"/>
          <w:color w:val="222222"/>
          <w:sz w:val="24"/>
          <w:szCs w:val="24"/>
          <w:highlight w:val="white"/>
        </w:rPr>
        <w:t xml:space="preserve">DeCenzo,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2016),</w:t>
      </w:r>
      <w:r>
        <w:rPr>
          <w:rFonts w:ascii="Arial" w:eastAsia="Arial" w:hAnsi="Arial" w:cs="Arial"/>
          <w:color w:val="222222"/>
          <w:sz w:val="20"/>
          <w:szCs w:val="20"/>
          <w:highlight w:val="white"/>
        </w:rPr>
        <w:t xml:space="preserve"> t</w:t>
      </w:r>
      <w:r>
        <w:rPr>
          <w:rFonts w:ascii="Times New Roman" w:eastAsia="Times New Roman" w:hAnsi="Times New Roman" w:cs="Times New Roman"/>
          <w:color w:val="0E101A"/>
          <w:sz w:val="24"/>
          <w:szCs w:val="24"/>
        </w:rPr>
        <w:t>raditional human resource management mainly concentrates on handling professional relationships and communication in a standard administrative network, which faces challenges in efficiently running everyday jobs and work associations. However, some parts of Traditional Human Resource Management always play a part in prominently managing employer and employee relations. The Role of Traditional HRM Approaches in Managing Modern Employment Relationships “Change” is the key to maintaining business sustainability. The world’s development and continued advancement have similarly changed our way of living. It keeps growing and evolving around us in many ways, including the attractive area of human resource management. Organisations must require an HR department that can grow with them and adapt to new market circumstances to meet the business’s requirements. (</w:t>
      </w:r>
      <w:r>
        <w:rPr>
          <w:rFonts w:ascii="Times New Roman" w:eastAsia="Times New Roman" w:hAnsi="Times New Roman" w:cs="Times New Roman"/>
          <w:color w:val="222222"/>
          <w:sz w:val="24"/>
          <w:szCs w:val="24"/>
          <w:highlight w:val="white"/>
        </w:rPr>
        <w:t>Jabbour, and de Sousa Jabbour 2016),</w:t>
      </w:r>
    </w:p>
    <w:p w14:paraId="00000023" w14:textId="77777777" w:rsidR="00AB2ADA" w:rsidRPr="00052F88" w:rsidRDefault="00000000">
      <w:pPr>
        <w:pStyle w:val="Heading2"/>
        <w:rPr>
          <w:color w:val="FF0000"/>
          <w:sz w:val="28"/>
          <w:szCs w:val="28"/>
        </w:rPr>
      </w:pPr>
      <w:r w:rsidRPr="00052F88">
        <w:rPr>
          <w:color w:val="FF0000"/>
          <w:sz w:val="28"/>
          <w:szCs w:val="28"/>
        </w:rPr>
        <w:t>4.3 The modern department of HRM</w:t>
      </w:r>
    </w:p>
    <w:p w14:paraId="00000024"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modern Department of Human Resources Management in the United Kingdom has a great starting point. HR was once considered to be a managerial component of the company. Human resources professionals in the United Kingdom are responsible for ensuring that hiring guidelines and requirements are followed with honesty. On the other hand, traditional Human Resource Management Systems provide the fundamentals for understanding and carrying out legal requirements associated with some important subjects such as hiring contracts, inequity, safety and securing the rights of employees, and the management of salaries. Employees are </w:t>
      </w:r>
      <w:r>
        <w:rPr>
          <w:rFonts w:ascii="Times New Roman" w:eastAsia="Times New Roman" w:hAnsi="Times New Roman" w:cs="Times New Roman"/>
          <w:color w:val="0E101A"/>
          <w:sz w:val="24"/>
          <w:szCs w:val="24"/>
        </w:rPr>
        <w:lastRenderedPageBreak/>
        <w:t xml:space="preserve">treated in ways that primarily suit the company’s goals under standard HR management. The needs of the organisation are highlighted here. The laws and regulations are created with the most critical goals in mind of the organisation. Staff management in the United Kingdom is growing and evolving as human resource management (HRM) principles are expanding, and demands are increasing daily. It has been interpreted as an increasingly prominent risk for the expert advisors’ entire claims of professional expertise. </w:t>
      </w:r>
    </w:p>
    <w:p w14:paraId="00000025" w14:textId="77777777" w:rsidR="00AB2ADA" w:rsidRPr="00052F88" w:rsidRDefault="00000000">
      <w:pPr>
        <w:pStyle w:val="Heading2"/>
        <w:rPr>
          <w:color w:val="FF0000"/>
          <w:sz w:val="28"/>
          <w:szCs w:val="28"/>
        </w:rPr>
      </w:pPr>
      <w:r w:rsidRPr="00052F88">
        <w:rPr>
          <w:color w:val="FF0000"/>
          <w:sz w:val="28"/>
          <w:szCs w:val="28"/>
        </w:rPr>
        <w:t>4.4 The progress of Human Resources Management in four domains</w:t>
      </w:r>
    </w:p>
    <w:p w14:paraId="00000026" w14:textId="77777777"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research </w:t>
      </w:r>
      <w:r>
        <w:rPr>
          <w:rFonts w:ascii="Arial" w:eastAsia="Arial" w:hAnsi="Arial" w:cs="Arial"/>
          <w:color w:val="222222"/>
          <w:sz w:val="20"/>
          <w:szCs w:val="20"/>
          <w:highlight w:val="white"/>
        </w:rPr>
        <w:t xml:space="preserve">(Mathis, </w:t>
      </w:r>
      <w:r>
        <w:rPr>
          <w:rFonts w:ascii="Arial" w:eastAsia="Arial" w:hAnsi="Arial" w:cs="Arial"/>
          <w:i/>
          <w:color w:val="222222"/>
          <w:sz w:val="20"/>
          <w:szCs w:val="20"/>
          <w:highlight w:val="white"/>
        </w:rPr>
        <w:t>et al</w:t>
      </w:r>
      <w:r>
        <w:rPr>
          <w:rFonts w:ascii="Arial" w:eastAsia="Arial" w:hAnsi="Arial" w:cs="Arial"/>
          <w:color w:val="222222"/>
          <w:sz w:val="20"/>
          <w:szCs w:val="20"/>
          <w:highlight w:val="white"/>
        </w:rPr>
        <w:t>, 2016),</w:t>
      </w:r>
      <w:r>
        <w:rPr>
          <w:rFonts w:ascii="Times New Roman" w:eastAsia="Times New Roman" w:hAnsi="Times New Roman" w:cs="Times New Roman"/>
          <w:color w:val="0E101A"/>
          <w:sz w:val="24"/>
          <w:szCs w:val="24"/>
        </w:rPr>
        <w:t xml:space="preserve"> tries to determine the difference between the two types of real and fake information by measuring the progress of Human Resources Management HRM in four domains commonly associated with Human Resource Management parameters, i.e., commitment, flexibility, outstanding performance, and effective planning. The mentioned elements provide background, but HR must keep updated on law developments to manage interactions with staff members efficiently. Though traditional HRM approaches create a structure for managing employment relations in the UK, they may need to be updated to meet the demands of today’s evolving and modern work environment, Variable hours, satisfaction with career goals, equal opportunity events, and frequent job-related input. Personal growth strategies play a meaningful role in improving an organisation. </w:t>
      </w:r>
    </w:p>
    <w:p w14:paraId="5B39DE52" w14:textId="77777777" w:rsidR="00422CD7" w:rsidRPr="001B2CA9" w:rsidRDefault="00422CD7">
      <w:pPr>
        <w:spacing w:line="360" w:lineRule="auto"/>
        <w:rPr>
          <w:rFonts w:ascii="Times New Roman" w:eastAsia="Times New Roman" w:hAnsi="Times New Roman" w:cs="Times New Roman"/>
          <w:b/>
          <w:color w:val="0E101A"/>
          <w:sz w:val="32"/>
          <w:szCs w:val="32"/>
        </w:rPr>
      </w:pPr>
    </w:p>
    <w:p w14:paraId="00000027" w14:textId="6077490A" w:rsidR="00AB2ADA" w:rsidRDefault="00000000">
      <w:pPr>
        <w:spacing w:line="360" w:lineRule="auto"/>
        <w:rPr>
          <w:rFonts w:ascii="Times New Roman" w:eastAsia="Times New Roman" w:hAnsi="Times New Roman" w:cs="Times New Roman"/>
          <w:b/>
          <w:color w:val="0E101A"/>
          <w:sz w:val="24"/>
          <w:szCs w:val="24"/>
        </w:rPr>
      </w:pPr>
      <w:r w:rsidRPr="001B2CA9">
        <w:rPr>
          <w:rFonts w:ascii="Times New Roman" w:eastAsia="Times New Roman" w:hAnsi="Times New Roman" w:cs="Times New Roman"/>
          <w:b/>
          <w:color w:val="0E101A"/>
          <w:sz w:val="32"/>
          <w:szCs w:val="32"/>
        </w:rPr>
        <w:t>Conclusion:</w:t>
      </w:r>
    </w:p>
    <w:p w14:paraId="2C3DBB19" w14:textId="77777777" w:rsidR="00422CD7" w:rsidRDefault="00422CD7">
      <w:pPr>
        <w:spacing w:line="360" w:lineRule="auto"/>
        <w:rPr>
          <w:rFonts w:ascii="Times New Roman" w:eastAsia="Times New Roman" w:hAnsi="Times New Roman" w:cs="Times New Roman"/>
          <w:color w:val="0E101A"/>
          <w:sz w:val="24"/>
          <w:szCs w:val="24"/>
        </w:rPr>
      </w:pPr>
    </w:p>
    <w:p w14:paraId="00000028" w14:textId="5612D9E3" w:rsidR="00AB2ADA" w:rsidRDefault="00000000">
      <w:pPr>
        <w:spacing w:line="36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To summarize it can be stated that British Gas being one of the biggest electricity supplier companies in the United Kingdom UK has suffered various economic crisis. Along with this, it was also criticised and penalised by the public after repeated media stories highlighted its poor human resource management HRM, customer service and the horrible behaviour of invading homes to pressure consumers. For that fire and rehire strategy was planned by the business community of the UK which was illegal as it creates a major legal risk and could adversely impact motivation, performance, and employee relations with among employee belonging to other sectors as well. Additionally, pandemic also created an indestructible impact on aviation sector as well leading to implementation of fire and rehire strategy by which it faced a lot of criticism. Moreover, economic crisis also led British airways to decrease it cost due to economic crisis. Furthermore, the Fire and rehire is when an organisation terminates previous contracts of employees and offers the team new agreements with different rules and </w:t>
      </w:r>
      <w:r>
        <w:rPr>
          <w:rFonts w:ascii="Times New Roman" w:eastAsia="Times New Roman" w:hAnsi="Times New Roman" w:cs="Times New Roman"/>
          <w:color w:val="0E101A"/>
          <w:sz w:val="24"/>
          <w:szCs w:val="24"/>
        </w:rPr>
        <w:lastRenderedPageBreak/>
        <w:t>regulations. However, modifications of the employees’ contract can cause different consequences in how the employees are engaged in an organisation. Lastly, the employee agreements can be modified by effect human resource management approaches a structure for managing employment relations in the UK would be created.</w:t>
      </w:r>
    </w:p>
    <w:p w14:paraId="00000029" w14:textId="77777777" w:rsidR="00AB2ADA" w:rsidRPr="001B2CA9" w:rsidRDefault="00AB2ADA">
      <w:pPr>
        <w:spacing w:line="360" w:lineRule="auto"/>
        <w:rPr>
          <w:rFonts w:ascii="Times New Roman" w:eastAsia="Times New Roman" w:hAnsi="Times New Roman" w:cs="Times New Roman"/>
          <w:color w:val="0E101A"/>
          <w:sz w:val="32"/>
          <w:szCs w:val="32"/>
        </w:rPr>
      </w:pPr>
    </w:p>
    <w:p w14:paraId="0000002A" w14:textId="77777777" w:rsidR="00AB2ADA" w:rsidRPr="001B2CA9" w:rsidRDefault="00000000">
      <w:pPr>
        <w:spacing w:line="360" w:lineRule="auto"/>
        <w:rPr>
          <w:b/>
          <w:bCs/>
          <w:sz w:val="32"/>
          <w:szCs w:val="32"/>
          <w:highlight w:val="white"/>
        </w:rPr>
      </w:pPr>
      <w:r w:rsidRPr="001B2CA9">
        <w:rPr>
          <w:b/>
          <w:bCs/>
          <w:sz w:val="32"/>
          <w:szCs w:val="32"/>
          <w:highlight w:val="white"/>
        </w:rPr>
        <w:t>References:</w:t>
      </w:r>
    </w:p>
    <w:p w14:paraId="3973EFBF" w14:textId="77777777" w:rsidR="00422CD7" w:rsidRPr="001B2CA9" w:rsidRDefault="00422CD7">
      <w:pPr>
        <w:spacing w:line="360" w:lineRule="auto"/>
        <w:rPr>
          <w:rFonts w:ascii="Times New Roman" w:eastAsia="Times New Roman" w:hAnsi="Times New Roman" w:cs="Times New Roman"/>
          <w:color w:val="222222"/>
          <w:sz w:val="32"/>
          <w:szCs w:val="32"/>
          <w:highlight w:val="white"/>
        </w:rPr>
      </w:pPr>
    </w:p>
    <w:p w14:paraId="0000002B" w14:textId="573F7B8F"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Gas, B., 2019. British Gas.</w:t>
      </w:r>
    </w:p>
    <w:p w14:paraId="0000002C"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Nolan, H., 2021. The British Gas Fire. </w:t>
      </w:r>
      <w:r>
        <w:rPr>
          <w:rFonts w:ascii="Times New Roman" w:eastAsia="Times New Roman" w:hAnsi="Times New Roman" w:cs="Times New Roman"/>
          <w:i/>
          <w:color w:val="222222"/>
          <w:sz w:val="24"/>
          <w:szCs w:val="24"/>
          <w:highlight w:val="white"/>
        </w:rPr>
        <w:t>International Union Rights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(2), pp.22-23.</w:t>
      </w:r>
    </w:p>
    <w:p w14:paraId="0000002D"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Devereux, H. and Wadsworth, E., 2022. Forgotten keyworkers: the experiences of British seafarers during the COVID-19 pandemic. </w:t>
      </w:r>
      <w:r>
        <w:rPr>
          <w:rFonts w:ascii="Times New Roman" w:eastAsia="Times New Roman" w:hAnsi="Times New Roman" w:cs="Times New Roman"/>
          <w:i/>
          <w:color w:val="222222"/>
          <w:sz w:val="24"/>
          <w:szCs w:val="24"/>
          <w:highlight w:val="white"/>
        </w:rPr>
        <w:t>The Economic and Labour Relations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(2), pp.272-289.</w:t>
      </w:r>
    </w:p>
    <w:p w14:paraId="0000002E"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Brook, P., Jane McAlevey’s organising model: is it a rank and file strategy?.</w:t>
      </w:r>
    </w:p>
    <w:p w14:paraId="0000002F"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Bogg, A., 2023. Fire and rehire. In </w:t>
      </w:r>
      <w:proofErr w:type="spellStart"/>
      <w:r>
        <w:rPr>
          <w:rFonts w:ascii="Times New Roman" w:eastAsia="Times New Roman" w:hAnsi="Times New Roman" w:cs="Times New Roman"/>
          <w:i/>
          <w:color w:val="222222"/>
          <w:sz w:val="24"/>
          <w:szCs w:val="24"/>
          <w:highlight w:val="white"/>
        </w:rPr>
        <w:t>Encyclopedia</w:t>
      </w:r>
      <w:proofErr w:type="spellEnd"/>
      <w:r>
        <w:rPr>
          <w:rFonts w:ascii="Times New Roman" w:eastAsia="Times New Roman" w:hAnsi="Times New Roman" w:cs="Times New Roman"/>
          <w:i/>
          <w:color w:val="222222"/>
          <w:sz w:val="24"/>
          <w:szCs w:val="24"/>
          <w:highlight w:val="white"/>
        </w:rPr>
        <w:t xml:space="preserve"> of Human Resource Management</w:t>
      </w:r>
      <w:r>
        <w:rPr>
          <w:rFonts w:ascii="Times New Roman" w:eastAsia="Times New Roman" w:hAnsi="Times New Roman" w:cs="Times New Roman"/>
          <w:color w:val="222222"/>
          <w:sz w:val="24"/>
          <w:szCs w:val="24"/>
          <w:highlight w:val="white"/>
        </w:rPr>
        <w:t> (pp. 131-132). Edward Elgar Publishing.</w:t>
      </w:r>
    </w:p>
    <w:p w14:paraId="00000030" w14:textId="28B334CF" w:rsidR="00AB2ADA" w:rsidRDefault="00000000" w:rsidP="00422CD7">
      <w:pPr>
        <w:spacing w:line="360" w:lineRule="auto"/>
        <w:jc w:val="left"/>
        <w:rPr>
          <w:rFonts w:ascii="Times New Roman" w:eastAsia="Times New Roman" w:hAnsi="Times New Roman" w:cs="Times New Roman"/>
          <w:b/>
          <w:color w:val="222222"/>
          <w:sz w:val="24"/>
          <w:szCs w:val="24"/>
          <w:highlight w:val="white"/>
        </w:rPr>
      </w:pPr>
      <w:r>
        <w:rPr>
          <w:rFonts w:ascii="Times New Roman" w:eastAsia="Times New Roman" w:hAnsi="Times New Roman" w:cs="Times New Roman"/>
          <w:color w:val="222222"/>
          <w:sz w:val="24"/>
          <w:szCs w:val="24"/>
          <w:highlight w:val="white"/>
        </w:rPr>
        <w:t>Cruddas, J., 2022. LABOUR REGULATION AND PRODUCTIVITY IN THE UK SINCE 1945:DEBUNKING</w:t>
      </w:r>
      <w:r w:rsidR="00422CD7">
        <w:rPr>
          <w:rFonts w:ascii="Times New Roman" w:eastAsia="Times New Roman" w:hAnsi="Times New Roman" w:cs="Times New Roman"/>
          <w:color w:val="222222"/>
          <w:sz w:val="24"/>
          <w:szCs w:val="24"/>
          <w:highlight w:val="white"/>
          <w:lang w:val="en-IN"/>
        </w:rPr>
        <w:t xml:space="preserve"> </w:t>
      </w:r>
      <w:r>
        <w:rPr>
          <w:rFonts w:ascii="Times New Roman" w:eastAsia="Times New Roman" w:hAnsi="Times New Roman" w:cs="Times New Roman"/>
          <w:color w:val="222222"/>
          <w:sz w:val="24"/>
          <w:szCs w:val="24"/>
          <w:highlight w:val="white"/>
        </w:rPr>
        <w:t>MYTHS ABOUT ‘DISEASE’,‘MIRACLES’AND ‘PUZZLES’. </w:t>
      </w:r>
      <w:r>
        <w:rPr>
          <w:rFonts w:ascii="Times New Roman" w:eastAsia="Times New Roman" w:hAnsi="Times New Roman" w:cs="Times New Roman"/>
          <w:i/>
          <w:color w:val="222222"/>
          <w:sz w:val="24"/>
          <w:szCs w:val="24"/>
          <w:highlight w:val="white"/>
        </w:rPr>
        <w:t>National Institute Economic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262</w:t>
      </w:r>
      <w:r>
        <w:rPr>
          <w:rFonts w:ascii="Times New Roman" w:eastAsia="Times New Roman" w:hAnsi="Times New Roman" w:cs="Times New Roman"/>
          <w:color w:val="222222"/>
          <w:sz w:val="24"/>
          <w:szCs w:val="24"/>
          <w:highlight w:val="white"/>
        </w:rPr>
        <w:t>, pp.13-21.</w:t>
      </w:r>
    </w:p>
    <w:p w14:paraId="00000031"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Davis, E.J., Wilmsen, C., Machado, M.A. and Alessi, G.M., 2023. Multiple Stories, Multiple Marginalities: The Labor-Intensive Forest and Fire Stewardship Workforce in Oregon. </w:t>
      </w:r>
      <w:r>
        <w:rPr>
          <w:rFonts w:ascii="Times New Roman" w:eastAsia="Times New Roman" w:hAnsi="Times New Roman" w:cs="Times New Roman"/>
          <w:i/>
          <w:color w:val="222222"/>
          <w:sz w:val="24"/>
          <w:szCs w:val="24"/>
          <w:highlight w:val="white"/>
        </w:rPr>
        <w:t>Fire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(7), p.268.</w:t>
      </w:r>
    </w:p>
    <w:p w14:paraId="00000032"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Fooks, G.J., Mullan, K., Yates, D., Mills, T. and Willmott, J., 2023. Who Won? Who Lost? The Distributional Impact of COVID-19 Government Support for Business.: Aston Centre for Health and Society Policy Brief.</w:t>
      </w:r>
    </w:p>
    <w:p w14:paraId="00000033"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Collins, P.M., 2022. Finding Fault in the Law of Unfair Dismissal: The Insubstantiality of Reasons for Dismissal. </w:t>
      </w:r>
      <w:r>
        <w:rPr>
          <w:rFonts w:ascii="Times New Roman" w:eastAsia="Times New Roman" w:hAnsi="Times New Roman" w:cs="Times New Roman"/>
          <w:i/>
          <w:color w:val="222222"/>
          <w:sz w:val="24"/>
          <w:szCs w:val="24"/>
          <w:highlight w:val="white"/>
        </w:rPr>
        <w:t>Industrial Law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(3), pp.598-625.</w:t>
      </w:r>
    </w:p>
    <w:p w14:paraId="3851089E" w14:textId="77777777" w:rsidR="00422CD7"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Bogg, A., 2023. Fire and rehire. In </w:t>
      </w:r>
      <w:proofErr w:type="spellStart"/>
      <w:r>
        <w:rPr>
          <w:rFonts w:ascii="Times New Roman" w:eastAsia="Times New Roman" w:hAnsi="Times New Roman" w:cs="Times New Roman"/>
          <w:i/>
          <w:color w:val="222222"/>
          <w:sz w:val="24"/>
          <w:szCs w:val="24"/>
          <w:highlight w:val="white"/>
        </w:rPr>
        <w:t>Encyclopedia</w:t>
      </w:r>
      <w:proofErr w:type="spellEnd"/>
      <w:r>
        <w:rPr>
          <w:rFonts w:ascii="Times New Roman" w:eastAsia="Times New Roman" w:hAnsi="Times New Roman" w:cs="Times New Roman"/>
          <w:i/>
          <w:color w:val="222222"/>
          <w:sz w:val="24"/>
          <w:szCs w:val="24"/>
          <w:highlight w:val="white"/>
        </w:rPr>
        <w:t xml:space="preserve"> of Human Resource Management</w:t>
      </w:r>
      <w:r>
        <w:rPr>
          <w:rFonts w:ascii="Times New Roman" w:eastAsia="Times New Roman" w:hAnsi="Times New Roman" w:cs="Times New Roman"/>
          <w:color w:val="222222"/>
          <w:sz w:val="24"/>
          <w:szCs w:val="24"/>
          <w:highlight w:val="white"/>
        </w:rPr>
        <w:t> (pp. 131-132). Edward Elgar Publishing.</w:t>
      </w:r>
    </w:p>
    <w:p w14:paraId="00000035" w14:textId="08DA4335"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Bogg, A. and Brodie, D., 2023. Every Little Helps: Permanent Benefits, Contract Interpretation, and ‘Fire and Rehire’. </w:t>
      </w:r>
      <w:r>
        <w:rPr>
          <w:rFonts w:ascii="Times New Roman" w:eastAsia="Times New Roman" w:hAnsi="Times New Roman" w:cs="Times New Roman"/>
          <w:i/>
          <w:color w:val="222222"/>
          <w:sz w:val="24"/>
          <w:szCs w:val="24"/>
          <w:highlight w:val="white"/>
        </w:rPr>
        <w:t>Industrial Law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52</w:t>
      </w:r>
      <w:r>
        <w:rPr>
          <w:rFonts w:ascii="Times New Roman" w:eastAsia="Times New Roman" w:hAnsi="Times New Roman" w:cs="Times New Roman"/>
          <w:color w:val="222222"/>
          <w:sz w:val="24"/>
          <w:szCs w:val="24"/>
          <w:highlight w:val="white"/>
        </w:rPr>
        <w:t>(1), pp.246-272.</w:t>
      </w:r>
    </w:p>
    <w:p w14:paraId="00000036"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Bernstein, A., 2022. Recent trends in employment law. </w:t>
      </w:r>
      <w:r>
        <w:rPr>
          <w:rFonts w:ascii="Times New Roman" w:eastAsia="Times New Roman" w:hAnsi="Times New Roman" w:cs="Times New Roman"/>
          <w:i/>
          <w:color w:val="222222"/>
          <w:sz w:val="24"/>
          <w:szCs w:val="24"/>
          <w:highlight w:val="white"/>
        </w:rPr>
        <w:t>Nursing And Residential Care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(8), pp.1-4.</w:t>
      </w:r>
    </w:p>
    <w:p w14:paraId="00000037"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Rimmer, A., 2016. Government could fire and rehire consultants to introduce new contract, says BMA.</w:t>
      </w:r>
    </w:p>
    <w:p w14:paraId="00000038"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Grefe, G. and Peyrat‐Guillard, D., 2020. Aircrew Conflict Management: Divisions and Continuity within the Ranks of the Majors. </w:t>
      </w:r>
      <w:r>
        <w:rPr>
          <w:rFonts w:ascii="Times New Roman" w:eastAsia="Times New Roman" w:hAnsi="Times New Roman" w:cs="Times New Roman"/>
          <w:i/>
          <w:color w:val="222222"/>
          <w:sz w:val="24"/>
          <w:szCs w:val="24"/>
          <w:highlight w:val="white"/>
        </w:rPr>
        <w:t>Shapes of Tourism Employment: HRM in the Worlds of Hotels and Air Transport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pp.131-154.</w:t>
      </w:r>
    </w:p>
    <w:p w14:paraId="00000039"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Bailey, D.J., 2023. Worker-Led Dissent in the Age of Austerity: Comparing the Conditions of Success. </w:t>
      </w:r>
      <w:r>
        <w:rPr>
          <w:rFonts w:ascii="Times New Roman" w:eastAsia="Times New Roman" w:hAnsi="Times New Roman" w:cs="Times New Roman"/>
          <w:i/>
          <w:color w:val="222222"/>
          <w:sz w:val="24"/>
          <w:szCs w:val="24"/>
          <w:highlight w:val="white"/>
        </w:rPr>
        <w:t>Work, Employment and Society</w:t>
      </w:r>
      <w:r>
        <w:rPr>
          <w:rFonts w:ascii="Times New Roman" w:eastAsia="Times New Roman" w:hAnsi="Times New Roman" w:cs="Times New Roman"/>
          <w:color w:val="222222"/>
          <w:sz w:val="24"/>
          <w:szCs w:val="24"/>
          <w:highlight w:val="white"/>
        </w:rPr>
        <w:t>, p.09500170231169675.</w:t>
      </w:r>
    </w:p>
    <w:p w14:paraId="0000003A"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Ferrell, O.C. and Fraedrich, J., 2021. </w:t>
      </w:r>
      <w:r>
        <w:rPr>
          <w:rFonts w:ascii="Times New Roman" w:eastAsia="Times New Roman" w:hAnsi="Times New Roman" w:cs="Times New Roman"/>
          <w:i/>
          <w:color w:val="222222"/>
          <w:sz w:val="24"/>
          <w:szCs w:val="24"/>
          <w:highlight w:val="white"/>
        </w:rPr>
        <w:t>Business ethics: Ethical decision making and cases</w:t>
      </w:r>
      <w:r>
        <w:rPr>
          <w:rFonts w:ascii="Times New Roman" w:eastAsia="Times New Roman" w:hAnsi="Times New Roman" w:cs="Times New Roman"/>
          <w:color w:val="222222"/>
          <w:sz w:val="24"/>
          <w:szCs w:val="24"/>
          <w:highlight w:val="white"/>
        </w:rPr>
        <w:t>. Cengage learning.</w:t>
      </w:r>
    </w:p>
    <w:p w14:paraId="0000003B"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Magowan, R., Aviation and the just transition. </w:t>
      </w:r>
      <w:r>
        <w:rPr>
          <w:rFonts w:ascii="Times New Roman" w:eastAsia="Times New Roman" w:hAnsi="Times New Roman" w:cs="Times New Roman"/>
          <w:i/>
          <w:color w:val="222222"/>
          <w:sz w:val="24"/>
          <w:szCs w:val="24"/>
          <w:highlight w:val="white"/>
        </w:rPr>
        <w:t>A EUROPEAN JUST TRANSITION FOR A BETTER WORLD</w:t>
      </w:r>
      <w:r>
        <w:rPr>
          <w:rFonts w:ascii="Times New Roman" w:eastAsia="Times New Roman" w:hAnsi="Times New Roman" w:cs="Times New Roman"/>
          <w:color w:val="222222"/>
          <w:sz w:val="24"/>
          <w:szCs w:val="24"/>
          <w:highlight w:val="white"/>
        </w:rPr>
        <w:t>, p.207.</w:t>
      </w:r>
    </w:p>
    <w:p w14:paraId="0000003C"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Collins, P.M., 2022. Finding Fault in the Law of Unfair Dismissal: The Insubstantiality of Reasons for Dismissal. </w:t>
      </w:r>
      <w:r>
        <w:rPr>
          <w:rFonts w:ascii="Times New Roman" w:eastAsia="Times New Roman" w:hAnsi="Times New Roman" w:cs="Times New Roman"/>
          <w:i/>
          <w:color w:val="222222"/>
          <w:sz w:val="24"/>
          <w:szCs w:val="24"/>
          <w:highlight w:val="white"/>
        </w:rPr>
        <w:t>Industrial Law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51</w:t>
      </w:r>
      <w:r>
        <w:rPr>
          <w:rFonts w:ascii="Times New Roman" w:eastAsia="Times New Roman" w:hAnsi="Times New Roman" w:cs="Times New Roman"/>
          <w:color w:val="222222"/>
          <w:sz w:val="24"/>
          <w:szCs w:val="24"/>
          <w:highlight w:val="white"/>
        </w:rPr>
        <w:t>(3), pp.598-625.</w:t>
      </w:r>
    </w:p>
    <w:p w14:paraId="0000003D"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Ewing, K.D. and Hendy, L., 2020. Covid-19 and the failure of labour law: part 1. </w:t>
      </w:r>
      <w:r>
        <w:rPr>
          <w:rFonts w:ascii="Times New Roman" w:eastAsia="Times New Roman" w:hAnsi="Times New Roman" w:cs="Times New Roman"/>
          <w:i/>
          <w:color w:val="222222"/>
          <w:sz w:val="24"/>
          <w:szCs w:val="24"/>
          <w:highlight w:val="white"/>
        </w:rPr>
        <w:t>Industrial Law Journal</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(4), pp.497-538.</w:t>
      </w:r>
    </w:p>
    <w:p w14:paraId="0000003E"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Galvin, D.J., 2019. From </w:t>
      </w:r>
      <w:proofErr w:type="spellStart"/>
      <w:r>
        <w:rPr>
          <w:rFonts w:ascii="Times New Roman" w:eastAsia="Times New Roman" w:hAnsi="Times New Roman" w:cs="Times New Roman"/>
          <w:color w:val="222222"/>
          <w:sz w:val="24"/>
          <w:szCs w:val="24"/>
          <w:highlight w:val="white"/>
        </w:rPr>
        <w:t>labor</w:t>
      </w:r>
      <w:proofErr w:type="spellEnd"/>
      <w:r>
        <w:rPr>
          <w:rFonts w:ascii="Times New Roman" w:eastAsia="Times New Roman" w:hAnsi="Times New Roman" w:cs="Times New Roman"/>
          <w:color w:val="222222"/>
          <w:sz w:val="24"/>
          <w:szCs w:val="24"/>
          <w:highlight w:val="white"/>
        </w:rPr>
        <w:t xml:space="preserve"> law to employment law: The changing politics of workers’ rights. </w:t>
      </w:r>
      <w:r>
        <w:rPr>
          <w:rFonts w:ascii="Times New Roman" w:eastAsia="Times New Roman" w:hAnsi="Times New Roman" w:cs="Times New Roman"/>
          <w:i/>
          <w:color w:val="222222"/>
          <w:sz w:val="24"/>
          <w:szCs w:val="24"/>
          <w:highlight w:val="white"/>
        </w:rPr>
        <w:t>Studies in American Political Development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33</w:t>
      </w:r>
      <w:r>
        <w:rPr>
          <w:rFonts w:ascii="Times New Roman" w:eastAsia="Times New Roman" w:hAnsi="Times New Roman" w:cs="Times New Roman"/>
          <w:color w:val="222222"/>
          <w:sz w:val="24"/>
          <w:szCs w:val="24"/>
          <w:highlight w:val="white"/>
        </w:rPr>
        <w:t>(1), pp.50-86.</w:t>
      </w:r>
    </w:p>
    <w:p w14:paraId="0000003F"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Burnett, J.R. and Lisk, T.C., 2019. The future of employee engagement: Real-time monitoring and digital tools for engaging a workforce. </w:t>
      </w:r>
      <w:r>
        <w:rPr>
          <w:rFonts w:ascii="Times New Roman" w:eastAsia="Times New Roman" w:hAnsi="Times New Roman" w:cs="Times New Roman"/>
          <w:i/>
          <w:color w:val="222222"/>
          <w:sz w:val="24"/>
          <w:szCs w:val="24"/>
          <w:highlight w:val="white"/>
        </w:rPr>
        <w:t>International Studies of Management &amp; Organization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49</w:t>
      </w:r>
      <w:r>
        <w:rPr>
          <w:rFonts w:ascii="Times New Roman" w:eastAsia="Times New Roman" w:hAnsi="Times New Roman" w:cs="Times New Roman"/>
          <w:color w:val="222222"/>
          <w:sz w:val="24"/>
          <w:szCs w:val="24"/>
          <w:highlight w:val="white"/>
        </w:rPr>
        <w:t>(1), pp.108-119.</w:t>
      </w:r>
    </w:p>
    <w:p w14:paraId="00000040"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Albro, M. and McElfresh, J.M., 2021. Job engagement and employee-organization relationship among academic librarians in a modified work environment. </w:t>
      </w:r>
      <w:r>
        <w:rPr>
          <w:rFonts w:ascii="Times New Roman" w:eastAsia="Times New Roman" w:hAnsi="Times New Roman" w:cs="Times New Roman"/>
          <w:i/>
          <w:color w:val="222222"/>
          <w:sz w:val="24"/>
          <w:szCs w:val="24"/>
          <w:highlight w:val="white"/>
        </w:rPr>
        <w:t>The Journal of Academic Librarianship</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47</w:t>
      </w:r>
      <w:r>
        <w:rPr>
          <w:rFonts w:ascii="Times New Roman" w:eastAsia="Times New Roman" w:hAnsi="Times New Roman" w:cs="Times New Roman"/>
          <w:color w:val="222222"/>
          <w:sz w:val="24"/>
          <w:szCs w:val="24"/>
          <w:highlight w:val="white"/>
        </w:rPr>
        <w:t>(5), p.102413.</w:t>
      </w:r>
    </w:p>
    <w:p w14:paraId="00000041"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Sendawula</w:t>
      </w:r>
      <w:proofErr w:type="spellEnd"/>
      <w:r>
        <w:rPr>
          <w:rFonts w:ascii="Times New Roman" w:eastAsia="Times New Roman" w:hAnsi="Times New Roman" w:cs="Times New Roman"/>
          <w:color w:val="222222"/>
          <w:sz w:val="24"/>
          <w:szCs w:val="24"/>
          <w:highlight w:val="white"/>
        </w:rPr>
        <w:t xml:space="preserve">, K., Nakyejwe Kimuli, S., </w:t>
      </w:r>
      <w:proofErr w:type="spellStart"/>
      <w:r>
        <w:rPr>
          <w:rFonts w:ascii="Times New Roman" w:eastAsia="Times New Roman" w:hAnsi="Times New Roman" w:cs="Times New Roman"/>
          <w:color w:val="222222"/>
          <w:sz w:val="24"/>
          <w:szCs w:val="24"/>
          <w:highlight w:val="white"/>
        </w:rPr>
        <w:t>Bananuka</w:t>
      </w:r>
      <w:proofErr w:type="spellEnd"/>
      <w:r>
        <w:rPr>
          <w:rFonts w:ascii="Times New Roman" w:eastAsia="Times New Roman" w:hAnsi="Times New Roman" w:cs="Times New Roman"/>
          <w:color w:val="222222"/>
          <w:sz w:val="24"/>
          <w:szCs w:val="24"/>
          <w:highlight w:val="white"/>
        </w:rPr>
        <w:t xml:space="preserve">, J. and Najjemba </w:t>
      </w:r>
      <w:proofErr w:type="spellStart"/>
      <w:r>
        <w:rPr>
          <w:rFonts w:ascii="Times New Roman" w:eastAsia="Times New Roman" w:hAnsi="Times New Roman" w:cs="Times New Roman"/>
          <w:color w:val="222222"/>
          <w:sz w:val="24"/>
          <w:szCs w:val="24"/>
          <w:highlight w:val="white"/>
        </w:rPr>
        <w:t>Muganga</w:t>
      </w:r>
      <w:proofErr w:type="spellEnd"/>
      <w:r>
        <w:rPr>
          <w:rFonts w:ascii="Times New Roman" w:eastAsia="Times New Roman" w:hAnsi="Times New Roman" w:cs="Times New Roman"/>
          <w:color w:val="222222"/>
          <w:sz w:val="24"/>
          <w:szCs w:val="24"/>
          <w:highlight w:val="white"/>
        </w:rPr>
        <w:t>, G., 2018. Training, employee engagement and employee performance: Evidence from Uganda’s health sector. </w:t>
      </w:r>
      <w:r>
        <w:rPr>
          <w:rFonts w:ascii="Times New Roman" w:eastAsia="Times New Roman" w:hAnsi="Times New Roman" w:cs="Times New Roman"/>
          <w:i/>
          <w:color w:val="222222"/>
          <w:sz w:val="24"/>
          <w:szCs w:val="24"/>
          <w:highlight w:val="white"/>
        </w:rPr>
        <w:t>Cogent Business &amp;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(1), p.1470891.</w:t>
      </w:r>
    </w:p>
    <w:p w14:paraId="00000042"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Van Wingerden, J., Derks, D. and Bakker, A.B., 2017. The impact of personal resources and job crafting interventions on work engagement and performance.</w:t>
      </w:r>
    </w:p>
    <w:p w14:paraId="00000043"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w:t>
      </w:r>
      <w:proofErr w:type="spellStart"/>
      <w:r>
        <w:rPr>
          <w:rFonts w:ascii="Times New Roman" w:eastAsia="Times New Roman" w:hAnsi="Times New Roman" w:cs="Times New Roman"/>
          <w:i/>
          <w:color w:val="222222"/>
          <w:sz w:val="24"/>
          <w:szCs w:val="24"/>
          <w:highlight w:val="white"/>
        </w:rPr>
        <w:t>HumanResourceManagement</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56</w:t>
      </w:r>
      <w:r>
        <w:rPr>
          <w:rFonts w:ascii="Times New Roman" w:eastAsia="Times New Roman" w:hAnsi="Times New Roman" w:cs="Times New Roman"/>
          <w:color w:val="222222"/>
          <w:sz w:val="24"/>
          <w:szCs w:val="24"/>
          <w:highlight w:val="white"/>
        </w:rPr>
        <w:t>(1), pp.51-67.</w:t>
      </w:r>
    </w:p>
    <w:p w14:paraId="00000044"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Wieneke, K.C., </w:t>
      </w:r>
      <w:proofErr w:type="spellStart"/>
      <w:r>
        <w:rPr>
          <w:rFonts w:ascii="Times New Roman" w:eastAsia="Times New Roman" w:hAnsi="Times New Roman" w:cs="Times New Roman"/>
          <w:color w:val="222222"/>
          <w:sz w:val="24"/>
          <w:szCs w:val="24"/>
          <w:highlight w:val="white"/>
        </w:rPr>
        <w:t>Egginton</w:t>
      </w:r>
      <w:proofErr w:type="spellEnd"/>
      <w:r>
        <w:rPr>
          <w:rFonts w:ascii="Times New Roman" w:eastAsia="Times New Roman" w:hAnsi="Times New Roman" w:cs="Times New Roman"/>
          <w:color w:val="222222"/>
          <w:sz w:val="24"/>
          <w:szCs w:val="24"/>
          <w:highlight w:val="white"/>
        </w:rPr>
        <w:t>, J.S., Jenkins, S.M., Kruse, G.C., Lopez-Jimenez, F., Mungo, M.M., Riley, B.A. and Limburg, P.J., 2019. Well-being champion impact on employee engagement, staff satisfaction, and employee well-being. </w:t>
      </w:r>
      <w:r>
        <w:rPr>
          <w:rFonts w:ascii="Times New Roman" w:eastAsia="Times New Roman" w:hAnsi="Times New Roman" w:cs="Times New Roman"/>
          <w:i/>
          <w:color w:val="222222"/>
          <w:sz w:val="24"/>
          <w:szCs w:val="24"/>
          <w:highlight w:val="white"/>
        </w:rPr>
        <w:t>Mayo Clinic Proceedings: Innovations, Quality &amp; Outcomes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w:t>
      </w:r>
      <w:r>
        <w:rPr>
          <w:rFonts w:ascii="Times New Roman" w:eastAsia="Times New Roman" w:hAnsi="Times New Roman" w:cs="Times New Roman"/>
          <w:color w:val="222222"/>
          <w:sz w:val="24"/>
          <w:szCs w:val="24"/>
          <w:highlight w:val="white"/>
        </w:rPr>
        <w:t>(2), pp.106-115.</w:t>
      </w:r>
    </w:p>
    <w:p w14:paraId="00000045"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Pandita, D. and Ray, S., 2018. Talent management and employee engagement–a meta-analysis of their impact on talent retention. </w:t>
      </w:r>
      <w:r>
        <w:rPr>
          <w:rFonts w:ascii="Times New Roman" w:eastAsia="Times New Roman" w:hAnsi="Times New Roman" w:cs="Times New Roman"/>
          <w:i/>
          <w:color w:val="222222"/>
          <w:sz w:val="24"/>
          <w:szCs w:val="24"/>
          <w:highlight w:val="white"/>
        </w:rPr>
        <w:t>Industrial and Commercial Training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50</w:t>
      </w:r>
      <w:r>
        <w:rPr>
          <w:rFonts w:ascii="Times New Roman" w:eastAsia="Times New Roman" w:hAnsi="Times New Roman" w:cs="Times New Roman"/>
          <w:color w:val="222222"/>
          <w:sz w:val="24"/>
          <w:szCs w:val="24"/>
          <w:highlight w:val="white"/>
        </w:rPr>
        <w:t>(4), pp.185-199.</w:t>
      </w:r>
    </w:p>
    <w:p w14:paraId="00000046"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sdt>
        <w:sdtPr>
          <w:tag w:val="goog_rdk_0"/>
          <w:id w:val="1147482166"/>
        </w:sdtPr>
        <w:sdtContent>
          <w:proofErr w:type="spellStart"/>
          <w:r>
            <w:rPr>
              <w:rFonts w:ascii="Gungsuh" w:eastAsia="Gungsuh" w:hAnsi="Gungsuh" w:cs="Gungsuh"/>
              <w:color w:val="222222"/>
              <w:sz w:val="24"/>
              <w:szCs w:val="24"/>
              <w:highlight w:val="white"/>
            </w:rPr>
            <w:t>Gutermann</w:t>
          </w:r>
          <w:proofErr w:type="spellEnd"/>
          <w:r>
            <w:rPr>
              <w:rFonts w:ascii="Gungsuh" w:eastAsia="Gungsuh" w:hAnsi="Gungsuh" w:cs="Gungsuh"/>
              <w:color w:val="222222"/>
              <w:sz w:val="24"/>
              <w:szCs w:val="24"/>
              <w:highlight w:val="white"/>
            </w:rPr>
            <w:t>, D., Lehmann‐Willenbrock, N., Boer, D., Born, M. and Voelpel, S.C., 2017. How leaders affect followers’ work engagement and performance: Integrating leader− member exchange and crossover theory. </w:t>
          </w:r>
        </w:sdtContent>
      </w:sdt>
      <w:r>
        <w:rPr>
          <w:rFonts w:ascii="Times New Roman" w:eastAsia="Times New Roman" w:hAnsi="Times New Roman" w:cs="Times New Roman"/>
          <w:i/>
          <w:color w:val="222222"/>
          <w:sz w:val="24"/>
          <w:szCs w:val="24"/>
          <w:highlight w:val="white"/>
        </w:rPr>
        <w:t>British Journal of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(2), pp.299-314.</w:t>
      </w:r>
    </w:p>
    <w:p w14:paraId="00000047"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Osborne, S. and Hammoud, M.S., 2017. Effective employee engagement in the workplace. </w:t>
      </w:r>
      <w:r>
        <w:rPr>
          <w:rFonts w:ascii="Times New Roman" w:eastAsia="Times New Roman" w:hAnsi="Times New Roman" w:cs="Times New Roman"/>
          <w:i/>
          <w:color w:val="222222"/>
          <w:sz w:val="24"/>
          <w:szCs w:val="24"/>
          <w:highlight w:val="white"/>
        </w:rPr>
        <w:t>International Journal of Applied Management and Technology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(1), p.4.</w:t>
      </w:r>
    </w:p>
    <w:p w14:paraId="00000048"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Eisenberger, R., Malone, G.P. and Presson, W.D., 2016. Optimizing perceived organizational support to enhance employee engagement. </w:t>
      </w:r>
      <w:r>
        <w:rPr>
          <w:rFonts w:ascii="Times New Roman" w:eastAsia="Times New Roman" w:hAnsi="Times New Roman" w:cs="Times New Roman"/>
          <w:i/>
          <w:color w:val="222222"/>
          <w:sz w:val="24"/>
          <w:szCs w:val="24"/>
          <w:highlight w:val="white"/>
        </w:rPr>
        <w:t>Society for Human Resource Management and Society for Industrial and Organizational Psychology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(2016), pp.3-22.</w:t>
      </w:r>
    </w:p>
    <w:p w14:paraId="00000049"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sidRPr="001B2CA9">
        <w:rPr>
          <w:rFonts w:ascii="Times New Roman" w:eastAsia="Times New Roman" w:hAnsi="Times New Roman" w:cs="Times New Roman"/>
          <w:color w:val="222222"/>
          <w:sz w:val="24"/>
          <w:szCs w:val="24"/>
          <w:highlight w:val="white"/>
          <w:lang w:val="it-IT"/>
        </w:rPr>
        <w:t xml:space="preserve">Braganza, A., Chen, W., </w:t>
      </w:r>
      <w:proofErr w:type="spellStart"/>
      <w:r w:rsidRPr="001B2CA9">
        <w:rPr>
          <w:rFonts w:ascii="Times New Roman" w:eastAsia="Times New Roman" w:hAnsi="Times New Roman" w:cs="Times New Roman"/>
          <w:color w:val="222222"/>
          <w:sz w:val="24"/>
          <w:szCs w:val="24"/>
          <w:highlight w:val="white"/>
          <w:lang w:val="it-IT"/>
        </w:rPr>
        <w:t>Canhoto</w:t>
      </w:r>
      <w:proofErr w:type="spellEnd"/>
      <w:r w:rsidRPr="001B2CA9">
        <w:rPr>
          <w:rFonts w:ascii="Times New Roman" w:eastAsia="Times New Roman" w:hAnsi="Times New Roman" w:cs="Times New Roman"/>
          <w:color w:val="222222"/>
          <w:sz w:val="24"/>
          <w:szCs w:val="24"/>
          <w:highlight w:val="white"/>
          <w:lang w:val="it-IT"/>
        </w:rPr>
        <w:t xml:space="preserve">, A. and Sap, S., 2021. </w:t>
      </w:r>
      <w:r>
        <w:rPr>
          <w:rFonts w:ascii="Times New Roman" w:eastAsia="Times New Roman" w:hAnsi="Times New Roman" w:cs="Times New Roman"/>
          <w:color w:val="222222"/>
          <w:sz w:val="24"/>
          <w:szCs w:val="24"/>
          <w:highlight w:val="white"/>
        </w:rPr>
        <w:t>Productive employment and decent work: The impact of AI adoption on psychological contracts, job engagement and employee trust.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131</w:t>
      </w:r>
      <w:r>
        <w:rPr>
          <w:rFonts w:ascii="Times New Roman" w:eastAsia="Times New Roman" w:hAnsi="Times New Roman" w:cs="Times New Roman"/>
          <w:color w:val="222222"/>
          <w:sz w:val="24"/>
          <w:szCs w:val="24"/>
          <w:highlight w:val="white"/>
        </w:rPr>
        <w:t>, pp.485-494.</w:t>
      </w:r>
    </w:p>
    <w:p w14:paraId="0000004A"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Wang, W. and Seifert, R., 2017. Pay reductions and work attitudes: the moderating effect of employee involvement practices. </w:t>
      </w:r>
      <w:r>
        <w:rPr>
          <w:rFonts w:ascii="Times New Roman" w:eastAsia="Times New Roman" w:hAnsi="Times New Roman" w:cs="Times New Roman"/>
          <w:i/>
          <w:color w:val="222222"/>
          <w:sz w:val="24"/>
          <w:szCs w:val="24"/>
          <w:highlight w:val="white"/>
        </w:rPr>
        <w:t>Employee Relations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(7), pp.935-950.</w:t>
      </w:r>
    </w:p>
    <w:p w14:paraId="0000004B"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Ahmed, T., Khan, M.S., </w:t>
      </w:r>
      <w:proofErr w:type="spellStart"/>
      <w:r>
        <w:rPr>
          <w:rFonts w:ascii="Times New Roman" w:eastAsia="Times New Roman" w:hAnsi="Times New Roman" w:cs="Times New Roman"/>
          <w:color w:val="222222"/>
          <w:sz w:val="24"/>
          <w:szCs w:val="24"/>
          <w:highlight w:val="white"/>
        </w:rPr>
        <w:t>Thitivesa</w:t>
      </w:r>
      <w:proofErr w:type="spellEnd"/>
      <w:r>
        <w:rPr>
          <w:rFonts w:ascii="Times New Roman" w:eastAsia="Times New Roman" w:hAnsi="Times New Roman" w:cs="Times New Roman"/>
          <w:color w:val="222222"/>
          <w:sz w:val="24"/>
          <w:szCs w:val="24"/>
          <w:highlight w:val="white"/>
        </w:rPr>
        <w:t xml:space="preserve">, D., </w:t>
      </w:r>
      <w:proofErr w:type="spellStart"/>
      <w:r>
        <w:rPr>
          <w:rFonts w:ascii="Times New Roman" w:eastAsia="Times New Roman" w:hAnsi="Times New Roman" w:cs="Times New Roman"/>
          <w:color w:val="222222"/>
          <w:sz w:val="24"/>
          <w:szCs w:val="24"/>
          <w:highlight w:val="white"/>
        </w:rPr>
        <w:t>Siraphatthada</w:t>
      </w:r>
      <w:proofErr w:type="spellEnd"/>
      <w:r>
        <w:rPr>
          <w:rFonts w:ascii="Times New Roman" w:eastAsia="Times New Roman" w:hAnsi="Times New Roman" w:cs="Times New Roman"/>
          <w:color w:val="222222"/>
          <w:sz w:val="24"/>
          <w:szCs w:val="24"/>
          <w:highlight w:val="white"/>
        </w:rPr>
        <w:t xml:space="preserve">, Y. and </w:t>
      </w:r>
      <w:proofErr w:type="spellStart"/>
      <w:r>
        <w:rPr>
          <w:rFonts w:ascii="Times New Roman" w:eastAsia="Times New Roman" w:hAnsi="Times New Roman" w:cs="Times New Roman"/>
          <w:color w:val="222222"/>
          <w:sz w:val="24"/>
          <w:szCs w:val="24"/>
          <w:highlight w:val="white"/>
        </w:rPr>
        <w:t>Phumdara</w:t>
      </w:r>
      <w:proofErr w:type="spellEnd"/>
      <w:r>
        <w:rPr>
          <w:rFonts w:ascii="Times New Roman" w:eastAsia="Times New Roman" w:hAnsi="Times New Roman" w:cs="Times New Roman"/>
          <w:color w:val="222222"/>
          <w:sz w:val="24"/>
          <w:szCs w:val="24"/>
          <w:highlight w:val="white"/>
        </w:rPr>
        <w:t>, T., 2020. Impact of employees engagement and knowledge sharing on organizational performance: Study of HR challenges in COVID-19 pandemic. </w:t>
      </w:r>
      <w:r>
        <w:rPr>
          <w:rFonts w:ascii="Times New Roman" w:eastAsia="Times New Roman" w:hAnsi="Times New Roman" w:cs="Times New Roman"/>
          <w:i/>
          <w:color w:val="222222"/>
          <w:sz w:val="24"/>
          <w:szCs w:val="24"/>
          <w:highlight w:val="white"/>
        </w:rPr>
        <w:t>Human Systems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39</w:t>
      </w:r>
      <w:r>
        <w:rPr>
          <w:rFonts w:ascii="Times New Roman" w:eastAsia="Times New Roman" w:hAnsi="Times New Roman" w:cs="Times New Roman"/>
          <w:color w:val="222222"/>
          <w:sz w:val="24"/>
          <w:szCs w:val="24"/>
          <w:highlight w:val="white"/>
        </w:rPr>
        <w:t>(4), pp.589-601.</w:t>
      </w:r>
    </w:p>
    <w:p w14:paraId="0000004C"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Braganza, A., Chen, W., </w:t>
      </w:r>
      <w:proofErr w:type="spellStart"/>
      <w:r>
        <w:rPr>
          <w:rFonts w:ascii="Times New Roman" w:eastAsia="Times New Roman" w:hAnsi="Times New Roman" w:cs="Times New Roman"/>
          <w:color w:val="222222"/>
          <w:sz w:val="24"/>
          <w:szCs w:val="24"/>
          <w:highlight w:val="white"/>
        </w:rPr>
        <w:t>Canhoto</w:t>
      </w:r>
      <w:proofErr w:type="spellEnd"/>
      <w:r>
        <w:rPr>
          <w:rFonts w:ascii="Times New Roman" w:eastAsia="Times New Roman" w:hAnsi="Times New Roman" w:cs="Times New Roman"/>
          <w:color w:val="222222"/>
          <w:sz w:val="24"/>
          <w:szCs w:val="24"/>
          <w:highlight w:val="white"/>
        </w:rPr>
        <w:t>, A. and Sap, S., 2021. Productive employment and decent work: The impact of AI adoption on psychological contracts, job engagement and employee trust.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131</w:t>
      </w:r>
      <w:r>
        <w:rPr>
          <w:rFonts w:ascii="Times New Roman" w:eastAsia="Times New Roman" w:hAnsi="Times New Roman" w:cs="Times New Roman"/>
          <w:color w:val="222222"/>
          <w:sz w:val="24"/>
          <w:szCs w:val="24"/>
          <w:highlight w:val="white"/>
        </w:rPr>
        <w:t>, pp.485-494.</w:t>
      </w:r>
    </w:p>
    <w:p w14:paraId="0000004D"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Naidoo, V., </w:t>
      </w:r>
      <w:proofErr w:type="spellStart"/>
      <w:r>
        <w:rPr>
          <w:rFonts w:ascii="Times New Roman" w:eastAsia="Times New Roman" w:hAnsi="Times New Roman" w:cs="Times New Roman"/>
          <w:color w:val="222222"/>
          <w:sz w:val="24"/>
          <w:szCs w:val="24"/>
          <w:highlight w:val="white"/>
        </w:rPr>
        <w:t>Abarantyne</w:t>
      </w:r>
      <w:proofErr w:type="spellEnd"/>
      <w:r>
        <w:rPr>
          <w:rFonts w:ascii="Times New Roman" w:eastAsia="Times New Roman" w:hAnsi="Times New Roman" w:cs="Times New Roman"/>
          <w:color w:val="222222"/>
          <w:sz w:val="24"/>
          <w:szCs w:val="24"/>
          <w:highlight w:val="white"/>
        </w:rPr>
        <w:t xml:space="preserve">, I. and </w:t>
      </w:r>
      <w:proofErr w:type="spellStart"/>
      <w:r>
        <w:rPr>
          <w:rFonts w:ascii="Times New Roman" w:eastAsia="Times New Roman" w:hAnsi="Times New Roman" w:cs="Times New Roman"/>
          <w:color w:val="222222"/>
          <w:sz w:val="24"/>
          <w:szCs w:val="24"/>
          <w:highlight w:val="white"/>
        </w:rPr>
        <w:t>Rugimbana</w:t>
      </w:r>
      <w:proofErr w:type="spellEnd"/>
      <w:r>
        <w:rPr>
          <w:rFonts w:ascii="Times New Roman" w:eastAsia="Times New Roman" w:hAnsi="Times New Roman" w:cs="Times New Roman"/>
          <w:color w:val="222222"/>
          <w:sz w:val="24"/>
          <w:szCs w:val="24"/>
          <w:highlight w:val="white"/>
        </w:rPr>
        <w:t>, R., 2019. The impact of psychological contracts on employee engagement at a university of technology. </w:t>
      </w:r>
      <w:r>
        <w:rPr>
          <w:rFonts w:ascii="Times New Roman" w:eastAsia="Times New Roman" w:hAnsi="Times New Roman" w:cs="Times New Roman"/>
          <w:i/>
          <w:color w:val="222222"/>
          <w:sz w:val="24"/>
          <w:szCs w:val="24"/>
          <w:highlight w:val="white"/>
        </w:rPr>
        <w:t>SA Journal of Human Resource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17</w:t>
      </w:r>
      <w:r>
        <w:rPr>
          <w:rFonts w:ascii="Times New Roman" w:eastAsia="Times New Roman" w:hAnsi="Times New Roman" w:cs="Times New Roman"/>
          <w:color w:val="222222"/>
          <w:sz w:val="24"/>
          <w:szCs w:val="24"/>
          <w:highlight w:val="white"/>
        </w:rPr>
        <w:t>, p.11.</w:t>
      </w:r>
    </w:p>
    <w:p w14:paraId="0000004E"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Soares, M.E. and Mosquera, P., 2019. Fostering work engagement: The role of the psychological contract. </w:t>
      </w:r>
      <w:r>
        <w:rPr>
          <w:rFonts w:ascii="Times New Roman" w:eastAsia="Times New Roman" w:hAnsi="Times New Roman" w:cs="Times New Roman"/>
          <w:i/>
          <w:color w:val="222222"/>
          <w:sz w:val="24"/>
          <w:szCs w:val="24"/>
          <w:highlight w:val="white"/>
        </w:rPr>
        <w:t>Journal of Business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101</w:t>
      </w:r>
      <w:r>
        <w:rPr>
          <w:rFonts w:ascii="Times New Roman" w:eastAsia="Times New Roman" w:hAnsi="Times New Roman" w:cs="Times New Roman"/>
          <w:color w:val="222222"/>
          <w:sz w:val="24"/>
          <w:szCs w:val="24"/>
          <w:highlight w:val="white"/>
        </w:rPr>
        <w:t>, pp.469-476.</w:t>
      </w:r>
    </w:p>
    <w:p w14:paraId="0000004F"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Guarnaccia, C., Scrima, F., </w:t>
      </w:r>
      <w:proofErr w:type="spellStart"/>
      <w:r>
        <w:rPr>
          <w:rFonts w:ascii="Times New Roman" w:eastAsia="Times New Roman" w:hAnsi="Times New Roman" w:cs="Times New Roman"/>
          <w:color w:val="222222"/>
          <w:sz w:val="24"/>
          <w:szCs w:val="24"/>
          <w:highlight w:val="white"/>
        </w:rPr>
        <w:t>Civilleri</w:t>
      </w:r>
      <w:proofErr w:type="spellEnd"/>
      <w:r>
        <w:rPr>
          <w:rFonts w:ascii="Times New Roman" w:eastAsia="Times New Roman" w:hAnsi="Times New Roman" w:cs="Times New Roman"/>
          <w:color w:val="222222"/>
          <w:sz w:val="24"/>
          <w:szCs w:val="24"/>
          <w:highlight w:val="white"/>
        </w:rPr>
        <w:t>, A. and Salerno, L., 2018. The role of occupational self-efficacy in mediating the effect of job insecurity on work engagement, satisfaction and general health. </w:t>
      </w:r>
      <w:r>
        <w:rPr>
          <w:rFonts w:ascii="Times New Roman" w:eastAsia="Times New Roman" w:hAnsi="Times New Roman" w:cs="Times New Roman"/>
          <w:i/>
          <w:color w:val="222222"/>
          <w:sz w:val="24"/>
          <w:szCs w:val="24"/>
          <w:highlight w:val="white"/>
        </w:rPr>
        <w:t>Current Psychology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37</w:t>
      </w:r>
      <w:r>
        <w:rPr>
          <w:rFonts w:ascii="Times New Roman" w:eastAsia="Times New Roman" w:hAnsi="Times New Roman" w:cs="Times New Roman"/>
          <w:color w:val="222222"/>
          <w:sz w:val="24"/>
          <w:szCs w:val="24"/>
          <w:highlight w:val="white"/>
        </w:rPr>
        <w:t>, pp.488-497.</w:t>
      </w:r>
    </w:p>
    <w:p w14:paraId="00000050"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Eldor, L. and Vigoda-Gadot, E., 2017. The nature of employee engagement: Rethinking the employee–organization relationship. </w:t>
      </w:r>
      <w:r>
        <w:rPr>
          <w:rFonts w:ascii="Times New Roman" w:eastAsia="Times New Roman" w:hAnsi="Times New Roman" w:cs="Times New Roman"/>
          <w:i/>
          <w:color w:val="222222"/>
          <w:sz w:val="24"/>
          <w:szCs w:val="24"/>
          <w:highlight w:val="white"/>
        </w:rPr>
        <w:t>The International Journal of Human Resource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(3), pp.526-552.</w:t>
      </w:r>
    </w:p>
    <w:p w14:paraId="00000051"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Peráček</w:t>
      </w:r>
      <w:proofErr w:type="spellEnd"/>
      <w:r>
        <w:rPr>
          <w:rFonts w:ascii="Times New Roman" w:eastAsia="Times New Roman" w:hAnsi="Times New Roman" w:cs="Times New Roman"/>
          <w:color w:val="222222"/>
          <w:sz w:val="24"/>
          <w:szCs w:val="24"/>
          <w:highlight w:val="white"/>
        </w:rPr>
        <w:t>, T., 2021. Flexibility of creating and changing employment in the options of the Slovak Labor Code. </w:t>
      </w:r>
      <w:r>
        <w:rPr>
          <w:rFonts w:ascii="Times New Roman" w:eastAsia="Times New Roman" w:hAnsi="Times New Roman" w:cs="Times New Roman"/>
          <w:i/>
          <w:color w:val="222222"/>
          <w:sz w:val="24"/>
          <w:szCs w:val="24"/>
          <w:highlight w:val="white"/>
        </w:rPr>
        <w:t>Problems and Perspectives in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19</w:t>
      </w:r>
      <w:r>
        <w:rPr>
          <w:rFonts w:ascii="Times New Roman" w:eastAsia="Times New Roman" w:hAnsi="Times New Roman" w:cs="Times New Roman"/>
          <w:color w:val="222222"/>
          <w:sz w:val="24"/>
          <w:szCs w:val="24"/>
          <w:highlight w:val="white"/>
        </w:rPr>
        <w:t>(3), p.373.</w:t>
      </w:r>
    </w:p>
    <w:p w14:paraId="00000052"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Bal, M. and Brookes, A., 2022. How sustainable is human resource management really? An argument for radical sustainability. </w:t>
      </w:r>
      <w:r>
        <w:rPr>
          <w:rFonts w:ascii="Times New Roman" w:eastAsia="Times New Roman" w:hAnsi="Times New Roman" w:cs="Times New Roman"/>
          <w:i/>
          <w:color w:val="222222"/>
          <w:sz w:val="24"/>
          <w:szCs w:val="24"/>
          <w:highlight w:val="white"/>
        </w:rPr>
        <w:t>Sustainability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(7), p.4219.</w:t>
      </w:r>
    </w:p>
    <w:p w14:paraId="00000053"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Wang, J., Bai, W. and Liu, Y., 2022. Optimization for the human resources management strategy of the IoT industry based on AHP. </w:t>
      </w:r>
      <w:r>
        <w:rPr>
          <w:rFonts w:ascii="Times New Roman" w:eastAsia="Times New Roman" w:hAnsi="Times New Roman" w:cs="Times New Roman"/>
          <w:i/>
          <w:color w:val="222222"/>
          <w:sz w:val="24"/>
          <w:szCs w:val="24"/>
          <w:highlight w:val="white"/>
        </w:rPr>
        <w:t>Computational intelligence and neuroscience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2022</w:t>
      </w:r>
      <w:r>
        <w:rPr>
          <w:rFonts w:ascii="Times New Roman" w:eastAsia="Times New Roman" w:hAnsi="Times New Roman" w:cs="Times New Roman"/>
          <w:color w:val="222222"/>
          <w:sz w:val="24"/>
          <w:szCs w:val="24"/>
          <w:highlight w:val="white"/>
        </w:rPr>
        <w:t>.</w:t>
      </w:r>
    </w:p>
    <w:p w14:paraId="00000054"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Johnstone, S., Rodriguez, J.K. and Wilkinson, A. eds., 2023. </w:t>
      </w:r>
      <w:proofErr w:type="spellStart"/>
      <w:r>
        <w:rPr>
          <w:rFonts w:ascii="Times New Roman" w:eastAsia="Times New Roman" w:hAnsi="Times New Roman" w:cs="Times New Roman"/>
          <w:i/>
          <w:color w:val="222222"/>
          <w:sz w:val="24"/>
          <w:szCs w:val="24"/>
          <w:highlight w:val="white"/>
        </w:rPr>
        <w:t>Encyclopedia</w:t>
      </w:r>
      <w:proofErr w:type="spellEnd"/>
      <w:r>
        <w:rPr>
          <w:rFonts w:ascii="Times New Roman" w:eastAsia="Times New Roman" w:hAnsi="Times New Roman" w:cs="Times New Roman"/>
          <w:i/>
          <w:color w:val="222222"/>
          <w:sz w:val="24"/>
          <w:szCs w:val="24"/>
          <w:highlight w:val="white"/>
        </w:rPr>
        <w:t xml:space="preserve"> of human resource management</w:t>
      </w:r>
      <w:r>
        <w:rPr>
          <w:rFonts w:ascii="Times New Roman" w:eastAsia="Times New Roman" w:hAnsi="Times New Roman" w:cs="Times New Roman"/>
          <w:color w:val="222222"/>
          <w:sz w:val="24"/>
          <w:szCs w:val="24"/>
          <w:highlight w:val="white"/>
        </w:rPr>
        <w:t>. Edward Elgar Publishing.</w:t>
      </w:r>
    </w:p>
    <w:p w14:paraId="00000055"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Ngoc Su, D., Luc Tra, D., </w:t>
      </w:r>
      <w:proofErr w:type="spellStart"/>
      <w:r>
        <w:rPr>
          <w:rFonts w:ascii="Times New Roman" w:eastAsia="Times New Roman" w:hAnsi="Times New Roman" w:cs="Times New Roman"/>
          <w:color w:val="222222"/>
          <w:sz w:val="24"/>
          <w:szCs w:val="24"/>
          <w:highlight w:val="white"/>
        </w:rPr>
        <w:t>Thi</w:t>
      </w:r>
      <w:proofErr w:type="spellEnd"/>
      <w:r>
        <w:rPr>
          <w:rFonts w:ascii="Times New Roman" w:eastAsia="Times New Roman" w:hAnsi="Times New Roman" w:cs="Times New Roman"/>
          <w:color w:val="222222"/>
          <w:sz w:val="24"/>
          <w:szCs w:val="24"/>
          <w:highlight w:val="white"/>
        </w:rPr>
        <w:t xml:space="preserve"> Huynh, H.M., Nguyen, H.H.T. and O’Mahony, B., 2021. Enhancing resilience in the Covid-19 crisis: lessons from human resource management practices in Vietnam.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(22), pp.3189-3205.</w:t>
      </w:r>
    </w:p>
    <w:p w14:paraId="00000056"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Bernstein, A., 2022. Recent trends in employment law. </w:t>
      </w:r>
      <w:r>
        <w:rPr>
          <w:rFonts w:ascii="Times New Roman" w:eastAsia="Times New Roman" w:hAnsi="Times New Roman" w:cs="Times New Roman"/>
          <w:i/>
          <w:color w:val="222222"/>
          <w:sz w:val="24"/>
          <w:szCs w:val="24"/>
          <w:highlight w:val="white"/>
        </w:rPr>
        <w:t>Nursing And Residential Care</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24</w:t>
      </w:r>
      <w:r>
        <w:rPr>
          <w:rFonts w:ascii="Times New Roman" w:eastAsia="Times New Roman" w:hAnsi="Times New Roman" w:cs="Times New Roman"/>
          <w:color w:val="222222"/>
          <w:sz w:val="24"/>
          <w:szCs w:val="24"/>
          <w:highlight w:val="white"/>
        </w:rPr>
        <w:t>(8), pp.1-4.</w:t>
      </w:r>
    </w:p>
    <w:p w14:paraId="00000057" w14:textId="77777777" w:rsidR="00AB2ADA" w:rsidRDefault="00000000" w:rsidP="00422CD7">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Leksono, A.B. and </w:t>
      </w:r>
      <w:proofErr w:type="spellStart"/>
      <w:r>
        <w:rPr>
          <w:rFonts w:ascii="Times New Roman" w:eastAsia="Times New Roman" w:hAnsi="Times New Roman" w:cs="Times New Roman"/>
          <w:color w:val="222222"/>
          <w:sz w:val="24"/>
          <w:szCs w:val="24"/>
          <w:highlight w:val="white"/>
        </w:rPr>
        <w:t>Alifah</w:t>
      </w:r>
      <w:proofErr w:type="spellEnd"/>
      <w:r>
        <w:rPr>
          <w:rFonts w:ascii="Times New Roman" w:eastAsia="Times New Roman" w:hAnsi="Times New Roman" w:cs="Times New Roman"/>
          <w:color w:val="222222"/>
          <w:sz w:val="24"/>
          <w:szCs w:val="24"/>
          <w:highlight w:val="white"/>
        </w:rPr>
        <w:t xml:space="preserve">, H.N., 2021. Implementation Of Human Resource Management At </w:t>
      </w:r>
      <w:proofErr w:type="spellStart"/>
      <w:r>
        <w:rPr>
          <w:rFonts w:ascii="Times New Roman" w:eastAsia="Times New Roman" w:hAnsi="Times New Roman" w:cs="Times New Roman"/>
          <w:color w:val="222222"/>
          <w:sz w:val="24"/>
          <w:szCs w:val="24"/>
          <w:highlight w:val="white"/>
        </w:rPr>
        <w:t>Yusro</w:t>
      </w:r>
      <w:proofErr w:type="spellEnd"/>
      <w:r>
        <w:rPr>
          <w:rFonts w:ascii="Times New Roman" w:eastAsia="Times New Roman" w:hAnsi="Times New Roman" w:cs="Times New Roman"/>
          <w:color w:val="222222"/>
          <w:sz w:val="24"/>
          <w:szCs w:val="24"/>
          <w:highlight w:val="white"/>
        </w:rPr>
        <w:t xml:space="preserve"> Hotel Restaurant And Convention </w:t>
      </w:r>
      <w:proofErr w:type="spellStart"/>
      <w:r>
        <w:rPr>
          <w:rFonts w:ascii="Times New Roman" w:eastAsia="Times New Roman" w:hAnsi="Times New Roman" w:cs="Times New Roman"/>
          <w:color w:val="222222"/>
          <w:sz w:val="24"/>
          <w:szCs w:val="24"/>
          <w:highlight w:val="white"/>
        </w:rPr>
        <w:t>Jombang</w:t>
      </w:r>
      <w:proofErr w:type="spellEnd"/>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Journal Research of Social Science, Economics, and Management</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(1), pp.64-72.</w:t>
      </w:r>
    </w:p>
    <w:p w14:paraId="00000058"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Mathis, R.L., Jackson, J.H., Valentine, S.R. and Meglich, P., 2016.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Cengage Learning.</w:t>
      </w:r>
    </w:p>
    <w:p w14:paraId="00000059"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Tambe, P., Cappelli, P. and Yakubovich, V., 2019. Artificial intelligence in human resources management: Challenges and a path forward. </w:t>
      </w:r>
      <w:r>
        <w:rPr>
          <w:rFonts w:ascii="Times New Roman" w:eastAsia="Times New Roman" w:hAnsi="Times New Roman" w:cs="Times New Roman"/>
          <w:i/>
          <w:color w:val="222222"/>
          <w:sz w:val="24"/>
          <w:szCs w:val="24"/>
          <w:highlight w:val="white"/>
        </w:rPr>
        <w:t>California Management Review</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61</w:t>
      </w:r>
      <w:r>
        <w:rPr>
          <w:rFonts w:ascii="Times New Roman" w:eastAsia="Times New Roman" w:hAnsi="Times New Roman" w:cs="Times New Roman"/>
          <w:color w:val="222222"/>
          <w:sz w:val="24"/>
          <w:szCs w:val="24"/>
          <w:highlight w:val="white"/>
        </w:rPr>
        <w:t>(4), pp.15-42.</w:t>
      </w:r>
    </w:p>
    <w:p w14:paraId="0000005A"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Stewart, G.L. and Brown, K.G., 2019.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John Wiley &amp; Sons.</w:t>
      </w:r>
    </w:p>
    <w:p w14:paraId="0000005B"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Lievens, F. and Chapman, D., 2019. Recruitment and selection. </w:t>
      </w:r>
      <w:r>
        <w:rPr>
          <w:rFonts w:ascii="Times New Roman" w:eastAsia="Times New Roman" w:hAnsi="Times New Roman" w:cs="Times New Roman"/>
          <w:i/>
          <w:color w:val="222222"/>
          <w:sz w:val="24"/>
          <w:szCs w:val="24"/>
          <w:highlight w:val="white"/>
        </w:rPr>
        <w:t>The SAGE handbook of human resource management</w:t>
      </w:r>
      <w:r>
        <w:rPr>
          <w:rFonts w:ascii="Times New Roman" w:eastAsia="Times New Roman" w:hAnsi="Times New Roman" w:cs="Times New Roman"/>
          <w:color w:val="222222"/>
          <w:sz w:val="24"/>
          <w:szCs w:val="24"/>
          <w:highlight w:val="white"/>
        </w:rPr>
        <w:t>, pp.123-150.</w:t>
      </w:r>
    </w:p>
    <w:p w14:paraId="0000005C" w14:textId="77777777" w:rsidR="00AB2ADA" w:rsidRDefault="00000000" w:rsidP="00422CD7">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Stone, R.J., Cox, A. and Gavin, M., 2020. </w:t>
      </w:r>
      <w:r>
        <w:rPr>
          <w:rFonts w:ascii="Times New Roman" w:eastAsia="Times New Roman" w:hAnsi="Times New Roman" w:cs="Times New Roman"/>
          <w:i/>
          <w:color w:val="222222"/>
          <w:sz w:val="24"/>
          <w:szCs w:val="24"/>
          <w:highlight w:val="white"/>
        </w:rPr>
        <w:t>Human resource management</w:t>
      </w:r>
      <w:r>
        <w:rPr>
          <w:rFonts w:ascii="Times New Roman" w:eastAsia="Times New Roman" w:hAnsi="Times New Roman" w:cs="Times New Roman"/>
          <w:color w:val="222222"/>
          <w:sz w:val="24"/>
          <w:szCs w:val="24"/>
          <w:highlight w:val="white"/>
        </w:rPr>
        <w:t>. John Wiley &amp; Sons.</w:t>
      </w:r>
    </w:p>
    <w:p w14:paraId="0000005D" w14:textId="77777777" w:rsidR="00AB2ADA" w:rsidRDefault="00000000" w:rsidP="00422CD7">
      <w:pPr>
        <w:spacing w:line="360" w:lineRule="auto"/>
        <w:jc w:val="left"/>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DeCenzo, D.A., Robbins, S.P. and Verhulst, S.L., 2016. </w:t>
      </w:r>
      <w:r>
        <w:rPr>
          <w:rFonts w:ascii="Times New Roman" w:eastAsia="Times New Roman" w:hAnsi="Times New Roman" w:cs="Times New Roman"/>
          <w:i/>
          <w:color w:val="222222"/>
          <w:sz w:val="24"/>
          <w:szCs w:val="24"/>
          <w:highlight w:val="white"/>
        </w:rPr>
        <w:t>Fundamentals of human resource management</w:t>
      </w:r>
      <w:r>
        <w:rPr>
          <w:rFonts w:ascii="Times New Roman" w:eastAsia="Times New Roman" w:hAnsi="Times New Roman" w:cs="Times New Roman"/>
          <w:color w:val="222222"/>
          <w:sz w:val="24"/>
          <w:szCs w:val="24"/>
          <w:highlight w:val="white"/>
        </w:rPr>
        <w:t>. John Wiley &amp; Sons.</w:t>
      </w:r>
    </w:p>
    <w:p w14:paraId="0000005E" w14:textId="77777777" w:rsidR="00AB2ADA" w:rsidRDefault="00000000" w:rsidP="00422CD7">
      <w:pPr>
        <w:spacing w:line="360" w:lineRule="auto"/>
        <w:jc w:val="left"/>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Jabbour, C.J.C. and de Sousa Jabbour, A.B.L., 2016. Green human resource management and green supply chain management: Linking two emerging agendas. </w:t>
      </w:r>
      <w:r>
        <w:rPr>
          <w:rFonts w:ascii="Times New Roman" w:eastAsia="Times New Roman" w:hAnsi="Times New Roman" w:cs="Times New Roman"/>
          <w:i/>
          <w:color w:val="222222"/>
          <w:sz w:val="24"/>
          <w:szCs w:val="24"/>
          <w:highlight w:val="white"/>
        </w:rPr>
        <w:t>Journal of cleaner production</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112</w:t>
      </w:r>
      <w:r>
        <w:rPr>
          <w:rFonts w:ascii="Times New Roman" w:eastAsia="Times New Roman" w:hAnsi="Times New Roman" w:cs="Times New Roman"/>
          <w:color w:val="222222"/>
          <w:sz w:val="24"/>
          <w:szCs w:val="24"/>
          <w:highlight w:val="white"/>
        </w:rPr>
        <w:t>, pp.1824-1833.</w:t>
      </w:r>
    </w:p>
    <w:sectPr w:rsidR="00AB2ADA">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ADA"/>
    <w:rsid w:val="00052F88"/>
    <w:rsid w:val="001B2CA9"/>
    <w:rsid w:val="00422CD7"/>
    <w:rsid w:val="00AB2AD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1C6D6"/>
  <w15:docId w15:val="{C7FD7126-1CDE-49DF-B339-A42C2F034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3F7FAA"/>
    <w:pPr>
      <w:spacing w:before="100" w:beforeAutospacing="1" w:after="100" w:afterAutospacing="1"/>
      <w:jc w:val="left"/>
      <w:outlineLvl w:val="1"/>
    </w:pPr>
    <w:rPr>
      <w:rFonts w:ascii="Times New Roman" w:eastAsia="Times New Roman" w:hAnsi="Times New Roman" w:cs="Times New Roman"/>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basedOn w:val="DefaultParagraphFont"/>
    <w:link w:val="Heading2"/>
    <w:uiPriority w:val="9"/>
    <w:rsid w:val="003F7FAA"/>
    <w:rPr>
      <w:rFonts w:ascii="Times New Roman" w:eastAsia="Times New Roman" w:hAnsi="Times New Roman" w:cs="Times New Roman"/>
      <w:b/>
      <w:bCs/>
      <w:kern w:val="0"/>
      <w:sz w:val="36"/>
      <w:szCs w:val="36"/>
    </w:rPr>
  </w:style>
  <w:style w:type="paragraph" w:styleId="NormalWeb">
    <w:name w:val="Normal (Web)"/>
    <w:basedOn w:val="Normal"/>
    <w:uiPriority w:val="99"/>
    <w:semiHidden/>
    <w:unhideWhenUsed/>
    <w:rsid w:val="00066A10"/>
    <w:pPr>
      <w:spacing w:before="100" w:beforeAutospacing="1" w:after="100" w:afterAutospacing="1"/>
      <w:jc w:val="left"/>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421A6"/>
    <w:pPr>
      <w:tabs>
        <w:tab w:val="center" w:pos="4513"/>
        <w:tab w:val="right" w:pos="9026"/>
      </w:tabs>
    </w:pPr>
  </w:style>
  <w:style w:type="character" w:customStyle="1" w:styleId="HeaderChar">
    <w:name w:val="Header Char"/>
    <w:basedOn w:val="DefaultParagraphFont"/>
    <w:link w:val="Header"/>
    <w:uiPriority w:val="99"/>
    <w:rsid w:val="009421A6"/>
  </w:style>
  <w:style w:type="paragraph" w:styleId="Footer">
    <w:name w:val="footer"/>
    <w:basedOn w:val="Normal"/>
    <w:link w:val="FooterChar"/>
    <w:uiPriority w:val="99"/>
    <w:unhideWhenUsed/>
    <w:rsid w:val="009421A6"/>
    <w:pPr>
      <w:tabs>
        <w:tab w:val="center" w:pos="4513"/>
        <w:tab w:val="right" w:pos="9026"/>
      </w:tabs>
    </w:pPr>
  </w:style>
  <w:style w:type="character" w:customStyle="1" w:styleId="FooterChar">
    <w:name w:val="Footer Char"/>
    <w:basedOn w:val="DefaultParagraphFont"/>
    <w:link w:val="Footer"/>
    <w:uiPriority w:val="99"/>
    <w:rsid w:val="009421A6"/>
  </w:style>
  <w:style w:type="character" w:styleId="Strong">
    <w:name w:val="Strong"/>
    <w:basedOn w:val="DefaultParagraphFont"/>
    <w:uiPriority w:val="22"/>
    <w:qFormat/>
    <w:rsid w:val="00642605"/>
    <w:rPr>
      <w:b/>
      <w:bCs/>
    </w:rPr>
  </w:style>
  <w:style w:type="paragraph" w:styleId="ListParagraph">
    <w:name w:val="List Paragraph"/>
    <w:basedOn w:val="Normal"/>
    <w:uiPriority w:val="34"/>
    <w:qFormat/>
    <w:rsid w:val="000E650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LQ/ayKSdPKUwrw6W0igrKD8c4g==">CgMxLjAaJQoBMBIgCh4IB0IaCg9UaW1lcyBOZXcgUm9tYW4SB0d1bmdzdWg4AHIhMW45WGRUeTlLNG1HeFE3eWx0Yzh3Sk0wTFVlZTByNUpT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6427</Words>
  <Characters>36639</Characters>
  <Application>Microsoft Office Word</Application>
  <DocSecurity>0</DocSecurity>
  <Lines>305</Lines>
  <Paragraphs>85</Paragraphs>
  <ScaleCrop>false</ScaleCrop>
  <Company/>
  <LinksUpToDate>false</LinksUpToDate>
  <CharactersWithSpaces>42981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hareem sohaib</dc:creator>
  <cp:lastModifiedBy>Kusum MENARIYA</cp:lastModifiedBy>
  <cp:revision>3</cp:revision>
  <dcterms:created xsi:type="dcterms:W3CDTF">2023-08-29T12:21:00Z</dcterms:created>
  <dcterms:modified xsi:type="dcterms:W3CDTF">2023-08-29T12:31:00Z</dcterms:modified>
</cp:coreProperties>
</file>