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5F0558F2" w14:textId="77777777" w:rsidR="00E068C8" w:rsidRPr="00137D1F" w:rsidRDefault="00E068C8" w:rsidP="00E068C8">
            <w:pPr>
              <w:overflowPunct/>
              <w:autoSpaceDE/>
              <w:autoSpaceDN/>
              <w:adjustRightInd/>
              <w:ind w:right="-957"/>
              <w:textAlignment w:val="auto"/>
              <w:rPr>
                <w:rFonts w:ascii="Times New Roman" w:hAnsi="Times New Roman" w:cs="Times New Roman"/>
                <w:b/>
                <w:color w:val="auto"/>
                <w:sz w:val="44"/>
                <w:szCs w:val="22"/>
              </w:rPr>
            </w:pPr>
            <w:r w:rsidRPr="00137D1F">
              <w:rPr>
                <w:rFonts w:ascii="Times New Roman" w:hAnsi="Times New Roman" w:cs="Times New Roman"/>
                <w:b/>
                <w:color w:val="auto"/>
                <w:sz w:val="44"/>
                <w:szCs w:val="22"/>
              </w:rPr>
              <w:t xml:space="preserve">Learner’s name: </w:t>
            </w:r>
          </w:p>
          <w:p w14:paraId="6B323525" w14:textId="77777777" w:rsidR="00E068C8" w:rsidRPr="00137D1F" w:rsidRDefault="00E068C8" w:rsidP="00E068C8">
            <w:pPr>
              <w:ind w:right="-957"/>
              <w:rPr>
                <w:rFonts w:ascii="Times New Roman" w:hAnsi="Times New Roman" w:cs="Times New Roman"/>
                <w:sz w:val="44"/>
                <w:szCs w:val="22"/>
              </w:rPr>
            </w:pPr>
            <w:r w:rsidRPr="00137D1F">
              <w:rPr>
                <w:rFonts w:ascii="Times New Roman" w:hAnsi="Times New Roman" w:cs="Times New Roman"/>
                <w:sz w:val="44"/>
                <w:szCs w:val="22"/>
              </w:rPr>
              <w:t xml:space="preserve">James Wynne </w:t>
            </w:r>
          </w:p>
          <w:p w14:paraId="002DC89A" w14:textId="77777777" w:rsidR="00E068C8" w:rsidRPr="00137D1F" w:rsidRDefault="00E068C8" w:rsidP="00E068C8">
            <w:pPr>
              <w:overflowPunct/>
              <w:autoSpaceDE/>
              <w:autoSpaceDN/>
              <w:adjustRightInd/>
              <w:ind w:right="-957"/>
              <w:textAlignment w:val="auto"/>
              <w:rPr>
                <w:rFonts w:ascii="Times New Roman" w:hAnsi="Times New Roman" w:cs="Times New Roman"/>
                <w:color w:val="auto"/>
                <w:sz w:val="44"/>
                <w:szCs w:val="22"/>
              </w:rPr>
            </w:pPr>
          </w:p>
          <w:p w14:paraId="77756EAB" w14:textId="77777777" w:rsidR="00E068C8" w:rsidRPr="00137D1F" w:rsidRDefault="00E068C8" w:rsidP="00E068C8">
            <w:pPr>
              <w:overflowPunct/>
              <w:autoSpaceDE/>
              <w:autoSpaceDN/>
              <w:adjustRightInd/>
              <w:ind w:right="-957"/>
              <w:textAlignment w:val="auto"/>
              <w:rPr>
                <w:rFonts w:ascii="Times New Roman" w:hAnsi="Times New Roman" w:cs="Times New Roman"/>
                <w:b/>
                <w:color w:val="auto"/>
                <w:sz w:val="44"/>
                <w:szCs w:val="22"/>
              </w:rPr>
            </w:pPr>
            <w:r w:rsidRPr="00137D1F">
              <w:rPr>
                <w:rFonts w:ascii="Times New Roman" w:hAnsi="Times New Roman" w:cs="Times New Roman"/>
                <w:b/>
                <w:color w:val="auto"/>
                <w:sz w:val="44"/>
                <w:szCs w:val="22"/>
              </w:rPr>
              <w:t>Email address:</w:t>
            </w:r>
          </w:p>
          <w:p w14:paraId="6F239533" w14:textId="77777777" w:rsidR="00E068C8" w:rsidRPr="00137D1F" w:rsidRDefault="00E068C8" w:rsidP="00E068C8">
            <w:pPr>
              <w:ind w:right="-957"/>
              <w:rPr>
                <w:rFonts w:ascii="Times New Roman" w:hAnsi="Times New Roman" w:cs="Times New Roman"/>
                <w:sz w:val="44"/>
                <w:szCs w:val="22"/>
              </w:rPr>
            </w:pPr>
            <w:r w:rsidRPr="00137D1F">
              <w:rPr>
                <w:rFonts w:ascii="Times New Roman" w:hAnsi="Times New Roman" w:cs="Times New Roman"/>
                <w:sz w:val="44"/>
                <w:szCs w:val="22"/>
              </w:rPr>
              <w:t>2328790@student.uwtsd.ac.uk</w:t>
            </w:r>
          </w:p>
          <w:p w14:paraId="431FB027" w14:textId="77777777" w:rsidR="00E068C8" w:rsidRPr="00137D1F" w:rsidRDefault="00E068C8" w:rsidP="00E068C8">
            <w:pPr>
              <w:overflowPunct/>
              <w:autoSpaceDE/>
              <w:autoSpaceDN/>
              <w:adjustRightInd/>
              <w:ind w:right="-957"/>
              <w:textAlignment w:val="auto"/>
              <w:rPr>
                <w:rFonts w:ascii="Times New Roman" w:hAnsi="Times New Roman" w:cs="Times New Roman"/>
                <w:b/>
                <w:color w:val="auto"/>
                <w:sz w:val="44"/>
                <w:szCs w:val="22"/>
              </w:rPr>
            </w:pPr>
          </w:p>
          <w:p w14:paraId="31B58DED" w14:textId="77777777" w:rsidR="00E068C8" w:rsidRPr="00137D1F" w:rsidRDefault="00E068C8" w:rsidP="00E068C8">
            <w:pPr>
              <w:overflowPunct/>
              <w:autoSpaceDE/>
              <w:autoSpaceDN/>
              <w:adjustRightInd/>
              <w:ind w:right="-957"/>
              <w:textAlignment w:val="auto"/>
              <w:rPr>
                <w:rFonts w:ascii="Times New Roman" w:hAnsi="Times New Roman" w:cs="Times New Roman"/>
                <w:b/>
                <w:color w:val="auto"/>
                <w:sz w:val="44"/>
                <w:szCs w:val="22"/>
              </w:rPr>
            </w:pPr>
            <w:r w:rsidRPr="00137D1F">
              <w:rPr>
                <w:rFonts w:ascii="Times New Roman" w:hAnsi="Times New Roman" w:cs="Times New Roman"/>
                <w:b/>
                <w:color w:val="auto"/>
                <w:sz w:val="44"/>
                <w:szCs w:val="22"/>
              </w:rPr>
              <w:t>Learner’s University Registration Number:</w:t>
            </w:r>
          </w:p>
          <w:p w14:paraId="1D129B0F" w14:textId="77777777" w:rsidR="00E068C8" w:rsidRPr="00137D1F" w:rsidRDefault="00E068C8" w:rsidP="00E068C8">
            <w:pPr>
              <w:ind w:right="-957"/>
              <w:rPr>
                <w:rFonts w:ascii="Times New Roman" w:hAnsi="Times New Roman" w:cs="Times New Roman"/>
                <w:sz w:val="44"/>
                <w:szCs w:val="22"/>
              </w:rPr>
            </w:pPr>
            <w:r w:rsidRPr="00137D1F">
              <w:rPr>
                <w:rFonts w:ascii="Times New Roman" w:hAnsi="Times New Roman" w:cs="Times New Roman"/>
                <w:sz w:val="44"/>
                <w:szCs w:val="22"/>
              </w:rPr>
              <w:t>2328790</w:t>
            </w:r>
          </w:p>
          <w:p w14:paraId="6DD35FBE" w14:textId="77777777" w:rsidR="00E068C8" w:rsidRPr="00137D1F" w:rsidRDefault="00E068C8" w:rsidP="00E068C8">
            <w:pPr>
              <w:overflowPunct/>
              <w:autoSpaceDE/>
              <w:autoSpaceDN/>
              <w:adjustRightInd/>
              <w:ind w:right="-957"/>
              <w:textAlignment w:val="auto"/>
              <w:rPr>
                <w:rFonts w:ascii="Times New Roman" w:hAnsi="Times New Roman" w:cs="Times New Roman"/>
                <w:b/>
                <w:color w:val="auto"/>
                <w:sz w:val="44"/>
                <w:szCs w:val="22"/>
              </w:rPr>
            </w:pPr>
          </w:p>
          <w:p w14:paraId="5F84129B" w14:textId="610CFF4C" w:rsidR="0085230E" w:rsidRPr="005D3F07" w:rsidRDefault="00E068C8" w:rsidP="00E068C8">
            <w:pPr>
              <w:overflowPunct/>
              <w:autoSpaceDE/>
              <w:autoSpaceDN/>
              <w:adjustRightInd/>
              <w:ind w:right="-957"/>
              <w:textAlignment w:val="auto"/>
              <w:rPr>
                <w:rFonts w:ascii="Times New Roman" w:hAnsi="Times New Roman" w:cs="Times New Roman"/>
                <w:b/>
                <w:color w:val="auto"/>
                <w:sz w:val="48"/>
              </w:rPr>
            </w:pPr>
            <w:r w:rsidRPr="00137D1F">
              <w:rPr>
                <w:rFonts w:ascii="Times New Roman" w:hAnsi="Times New Roman" w:cs="Times New Roman"/>
                <w:b/>
                <w:color w:val="auto"/>
                <w:sz w:val="44"/>
                <w:szCs w:val="22"/>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E068C8">
      <w:pP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DE7C47" w14:textId="77777777" w:rsidR="00672E00"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6DD3B2EF" w14:textId="77777777" w:rsidR="00672E00" w:rsidRDefault="00672E00" w:rsidP="00FF7EBB">
            <w:pPr>
              <w:jc w:val="both"/>
              <w:rPr>
                <w:sz w:val="24"/>
                <w:szCs w:val="24"/>
              </w:rPr>
            </w:pPr>
          </w:p>
          <w:p w14:paraId="6D846239" w14:textId="77777777" w:rsidR="00672E00" w:rsidRDefault="00672E00" w:rsidP="00672E00">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FBBCFA0" w14:textId="0AB91806" w:rsidR="006108C9" w:rsidRDefault="00BB7FD2" w:rsidP="00FF7EBB">
            <w:pPr>
              <w:jc w:val="both"/>
              <w:rPr>
                <w:sz w:val="24"/>
                <w:szCs w:val="24"/>
              </w:rPr>
            </w:pPr>
            <w:r>
              <w:rPr>
                <w:sz w:val="24"/>
                <w:szCs w:val="24"/>
              </w:rPr>
              <w:t xml:space="preserve"> </w:t>
            </w:r>
          </w:p>
          <w:p w14:paraId="0318E819" w14:textId="77777777" w:rsidR="00FC0334" w:rsidRDefault="00FC0334" w:rsidP="00FF7EBB">
            <w:pPr>
              <w:jc w:val="both"/>
              <w:rPr>
                <w:sz w:val="24"/>
                <w:szCs w:val="24"/>
              </w:rPr>
            </w:pPr>
          </w:p>
          <w:p w14:paraId="30CF5FA8" w14:textId="7886010D" w:rsidR="00672E00" w:rsidRPr="00672E00" w:rsidRDefault="00672E00" w:rsidP="00672E00">
            <w:pPr>
              <w:spacing w:line="360" w:lineRule="auto"/>
              <w:jc w:val="both"/>
              <w:rPr>
                <w:sz w:val="22"/>
                <w:szCs w:val="22"/>
              </w:rPr>
            </w:pPr>
            <w:r w:rsidRPr="00672E00">
              <w:rPr>
                <w:sz w:val="22"/>
                <w:szCs w:val="22"/>
              </w:rPr>
              <w:t xml:space="preserve">While my primary focus is on children's services, I’m also involved in adult safeguarding, which is a vital part of the Social Services and Well-being (Wales) Act 2014 (SSWBA). </w:t>
            </w:r>
            <w:r w:rsidR="001759BB" w:rsidRPr="001759BB">
              <w:rPr>
                <w:sz w:val="22"/>
                <w:szCs w:val="22"/>
              </w:rPr>
              <w:t>This legislation created a strong legal framework for safeguarding adults in Wales. It outlines</w:t>
            </w:r>
            <w:r w:rsidR="001759BB">
              <w:rPr>
                <w:sz w:val="22"/>
                <w:szCs w:val="22"/>
              </w:rPr>
              <w:t xml:space="preserve"> and describes</w:t>
            </w:r>
            <w:r w:rsidR="001759BB" w:rsidRPr="001759BB">
              <w:rPr>
                <w:sz w:val="22"/>
                <w:szCs w:val="22"/>
              </w:rPr>
              <w:t xml:space="preserve"> an "adult at risk" as an individual who is either currently experiencing or at risk of abuse or neglect, has care and support needs, and is unable to protect themselves (Welsh Government, 2014).</w:t>
            </w:r>
            <w:r w:rsidRPr="00672E00">
              <w:rPr>
                <w:sz w:val="22"/>
                <w:szCs w:val="22"/>
              </w:rPr>
              <w:t>The Act replaced older guidance and made sure that local authorities and partner agencies now have clear, legal responsibilities to protect these adults and provide a consistent response.</w:t>
            </w:r>
          </w:p>
          <w:p w14:paraId="20A9CCD2" w14:textId="77777777" w:rsidR="00672E00" w:rsidRPr="00672E00" w:rsidRDefault="00672E00" w:rsidP="00672E00">
            <w:pPr>
              <w:spacing w:line="360" w:lineRule="auto"/>
              <w:jc w:val="both"/>
              <w:rPr>
                <w:sz w:val="22"/>
                <w:szCs w:val="22"/>
              </w:rPr>
            </w:pPr>
          </w:p>
          <w:p w14:paraId="1E9575CB" w14:textId="77777777" w:rsidR="00672E00" w:rsidRDefault="00672E00" w:rsidP="00672E00">
            <w:pPr>
              <w:spacing w:line="360" w:lineRule="auto"/>
              <w:jc w:val="both"/>
              <w:rPr>
                <w:sz w:val="22"/>
                <w:szCs w:val="22"/>
              </w:rPr>
            </w:pPr>
            <w:r w:rsidRPr="00672E00">
              <w:rPr>
                <w:sz w:val="22"/>
                <w:szCs w:val="22"/>
              </w:rPr>
              <w:t>The Wales Safeguarding Procedures (Welsh Government, 2019) offer national guidelines to ensure that safeguarding practices are consistent across Wales. These guidelines emphasise a person-centred, strengths-based approach, which tries to balance the need for protection while respecting people’s autonomy and dignity in line with social work values and ethics. In my local authority, the Single Point of Access (</w:t>
            </w:r>
            <w:proofErr w:type="spellStart"/>
            <w:r w:rsidRPr="00672E00">
              <w:rPr>
                <w:sz w:val="22"/>
                <w:szCs w:val="22"/>
              </w:rPr>
              <w:t>SPoA</w:t>
            </w:r>
            <w:proofErr w:type="spellEnd"/>
            <w:r w:rsidRPr="00672E00">
              <w:rPr>
                <w:sz w:val="22"/>
                <w:szCs w:val="22"/>
              </w:rPr>
              <w:t>) team plays a crucial role in assessing adult safeguarding referrals. The team checks incoming concerns to see if they meet the thresholds for safeguarding, ensuring that responses are proportionate and avoid unnecessary intervention.</w:t>
            </w:r>
          </w:p>
          <w:p w14:paraId="5C0D2DEB" w14:textId="77777777" w:rsidR="00672E00" w:rsidRPr="00672E00" w:rsidRDefault="00672E00" w:rsidP="00672E00">
            <w:pPr>
              <w:spacing w:line="360" w:lineRule="auto"/>
              <w:jc w:val="both"/>
              <w:rPr>
                <w:sz w:val="22"/>
                <w:szCs w:val="22"/>
              </w:rPr>
            </w:pPr>
          </w:p>
          <w:p w14:paraId="66D4A457" w14:textId="77777777" w:rsidR="00672E00" w:rsidRPr="00672E00" w:rsidRDefault="00672E00" w:rsidP="00672E00">
            <w:pPr>
              <w:spacing w:line="360" w:lineRule="auto"/>
              <w:jc w:val="both"/>
              <w:rPr>
                <w:sz w:val="22"/>
                <w:szCs w:val="22"/>
              </w:rPr>
            </w:pPr>
            <w:r w:rsidRPr="00672E00">
              <w:rPr>
                <w:sz w:val="22"/>
                <w:szCs w:val="22"/>
              </w:rPr>
              <w:t xml:space="preserve">On a regional level, the Safeguarding Adults Board makes sure that local safeguarding efforts align with national standards. The board also reviews serious incidents through Safeguarding Adult Reviews </w:t>
            </w:r>
            <w:r w:rsidRPr="00672E00">
              <w:rPr>
                <w:sz w:val="22"/>
                <w:szCs w:val="22"/>
              </w:rPr>
              <w:lastRenderedPageBreak/>
              <w:t>(SARs) and works to promote shared learning among agencies, in line with the statutory duties set out by the SSWBA (Welsh Government, 2014).</w:t>
            </w:r>
          </w:p>
          <w:p w14:paraId="5A52BEDF" w14:textId="77777777" w:rsidR="00672E00" w:rsidRPr="00672E00" w:rsidRDefault="00672E00" w:rsidP="00672E00">
            <w:pPr>
              <w:spacing w:line="360" w:lineRule="auto"/>
              <w:jc w:val="both"/>
              <w:rPr>
                <w:sz w:val="22"/>
                <w:szCs w:val="22"/>
              </w:rPr>
            </w:pPr>
          </w:p>
          <w:p w14:paraId="06B19545" w14:textId="77777777" w:rsidR="00672E00" w:rsidRPr="00672E00" w:rsidRDefault="00672E00" w:rsidP="00672E00">
            <w:pPr>
              <w:spacing w:line="360" w:lineRule="auto"/>
              <w:jc w:val="both"/>
              <w:rPr>
                <w:sz w:val="22"/>
                <w:szCs w:val="22"/>
              </w:rPr>
            </w:pPr>
            <w:r w:rsidRPr="00672E00">
              <w:rPr>
                <w:sz w:val="22"/>
                <w:szCs w:val="22"/>
              </w:rPr>
              <w:t>Before the SSWBA, adult safeguarding in Wales was governed by the In Safe Hands policy (Welsh Government, 2000). While this policy outlined the roles and responsibilities of local authorities and agencies, it didn’t have the force of law, leading to uneven implementation across Wales (Preston-Shoot, 2018). Additional legislation, like the Mental Health Act 1983 (as amended) and the Mental Capacity Act 2005, offered protections for individuals who struggled with decision-making, but these laws didn’t provide a complete safeguarding framework, leaving gaps in protection (Braye, Orr &amp; Preston-Shoot, 2017). The SSWBA addressed these gaps by making safeguarding a statutory duty, focusing on protecting rights while safeguarding adults (Williams, 2019). But even with these improvements, there are still challenges, especially with workforce capacity, inter-agency collaboration, and making sure that safeguarding always respects individuals' rights (Braye, Orr &amp; Preston-Shoot, 2017).</w:t>
            </w:r>
          </w:p>
          <w:p w14:paraId="65B82E9D" w14:textId="77777777" w:rsidR="00672E00" w:rsidRPr="00672E00" w:rsidRDefault="00672E00" w:rsidP="00672E00">
            <w:pPr>
              <w:spacing w:line="360" w:lineRule="auto"/>
              <w:jc w:val="both"/>
              <w:rPr>
                <w:sz w:val="22"/>
                <w:szCs w:val="22"/>
              </w:rPr>
            </w:pPr>
          </w:p>
          <w:p w14:paraId="65E11FDD" w14:textId="77777777" w:rsidR="00672E00" w:rsidRDefault="00672E00" w:rsidP="00672E00">
            <w:pPr>
              <w:spacing w:line="360" w:lineRule="auto"/>
              <w:jc w:val="both"/>
              <w:rPr>
                <w:sz w:val="22"/>
                <w:szCs w:val="22"/>
              </w:rPr>
            </w:pPr>
            <w:r w:rsidRPr="00672E00">
              <w:rPr>
                <w:sz w:val="22"/>
                <w:szCs w:val="22"/>
              </w:rPr>
              <w:t>Safeguarding works best when there’s strong collaboration between agencies. Social care, health services, police, and third-sector organisations need to work together, especially when handling more complex cases like financial exploitation or self-neglect. This multi-agency approach allows for shared risk assessments and intervention plans (Williams, 2019). The Wales Safeguarding Procedures (Welsh Government, 2019) emphasise the importance of early intervention and information-sharing to respond quickly and appropriately.</w:t>
            </w:r>
          </w:p>
          <w:p w14:paraId="360658B9" w14:textId="77777777" w:rsidR="00672E00" w:rsidRPr="00672E00" w:rsidRDefault="00672E00" w:rsidP="00672E00">
            <w:pPr>
              <w:spacing w:line="360" w:lineRule="auto"/>
              <w:jc w:val="both"/>
              <w:rPr>
                <w:sz w:val="22"/>
                <w:szCs w:val="22"/>
              </w:rPr>
            </w:pPr>
          </w:p>
          <w:p w14:paraId="08905188" w14:textId="77777777" w:rsidR="00672E00" w:rsidRPr="00672E00" w:rsidRDefault="00672E00" w:rsidP="00672E00">
            <w:pPr>
              <w:spacing w:line="360" w:lineRule="auto"/>
              <w:jc w:val="both"/>
              <w:rPr>
                <w:sz w:val="22"/>
                <w:szCs w:val="22"/>
              </w:rPr>
            </w:pPr>
            <w:r w:rsidRPr="00672E00">
              <w:rPr>
                <w:sz w:val="22"/>
                <w:szCs w:val="22"/>
              </w:rPr>
              <w:t xml:space="preserve">The SSWBA has made a significant difference in adult safeguarding by offering a solid legal framework and clearer accountability for local authorities and agencies. But, as with any system, challenges remain, particularly around capacity, collaboration, and keeping safeguarding truly </w:t>
            </w:r>
            <w:proofErr w:type="gramStart"/>
            <w:r w:rsidRPr="00672E00">
              <w:rPr>
                <w:sz w:val="22"/>
                <w:szCs w:val="22"/>
              </w:rPr>
              <w:t>rights-based</w:t>
            </w:r>
            <w:proofErr w:type="gramEnd"/>
            <w:r w:rsidRPr="00672E00">
              <w:rPr>
                <w:sz w:val="22"/>
                <w:szCs w:val="22"/>
              </w:rPr>
              <w:t>. Looking forward, improving training, strengthening partnerships, and ensuring enough resources will be essential in making sure safeguarding works effectively for adults at risk.</w:t>
            </w:r>
          </w:p>
          <w:p w14:paraId="6D8CB8AF" w14:textId="7C24FF40" w:rsidR="00FC0334" w:rsidRPr="00672E00" w:rsidRDefault="00672E00" w:rsidP="00FF7EBB">
            <w:pPr>
              <w:jc w:val="both"/>
              <w:rPr>
                <w:sz w:val="22"/>
                <w:szCs w:val="22"/>
              </w:rPr>
            </w:pPr>
            <w:r w:rsidRPr="00672E00">
              <w:rPr>
                <w:sz w:val="22"/>
                <w:szCs w:val="22"/>
              </w:rPr>
              <w:t xml:space="preserve"> </w:t>
            </w:r>
          </w:p>
          <w:p w14:paraId="547443B0" w14:textId="4203219A" w:rsidR="00672E00" w:rsidRPr="00672E00" w:rsidRDefault="00672E00" w:rsidP="00FF7EBB">
            <w:pPr>
              <w:jc w:val="both"/>
              <w:rPr>
                <w:b/>
                <w:bCs/>
                <w:sz w:val="22"/>
                <w:szCs w:val="22"/>
              </w:rPr>
            </w:pPr>
            <w:r w:rsidRPr="00672E00">
              <w:rPr>
                <w:b/>
                <w:bCs/>
                <w:sz w:val="22"/>
                <w:szCs w:val="22"/>
              </w:rPr>
              <w:t>Word count: 5</w:t>
            </w:r>
            <w:r w:rsidR="001759BB">
              <w:rPr>
                <w:b/>
                <w:bCs/>
                <w:sz w:val="22"/>
                <w:szCs w:val="22"/>
              </w:rPr>
              <w:t xml:space="preserve">12. </w:t>
            </w:r>
          </w:p>
          <w:p w14:paraId="4A95F4DB" w14:textId="77777777" w:rsidR="00FC0334" w:rsidRDefault="00FC0334" w:rsidP="00FF7EBB">
            <w:pPr>
              <w:jc w:val="both"/>
              <w:rPr>
                <w:sz w:val="24"/>
                <w:szCs w:val="24"/>
              </w:rPr>
            </w:pPr>
          </w:p>
          <w:p w14:paraId="03BD6D93" w14:textId="56AD433A" w:rsidR="007A628F" w:rsidRPr="008B28E7" w:rsidRDefault="007A628F" w:rsidP="00672E00">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Default="00AA666E" w:rsidP="00FF7EBB">
      <w:pPr>
        <w:jc w:val="both"/>
        <w:rPr>
          <w:sz w:val="24"/>
          <w:szCs w:val="24"/>
        </w:rPr>
      </w:pPr>
    </w:p>
    <w:p w14:paraId="3FB7D3D3" w14:textId="77777777" w:rsidR="00672E00" w:rsidRDefault="00672E00" w:rsidP="00FF7EBB">
      <w:pPr>
        <w:jc w:val="both"/>
        <w:rPr>
          <w:sz w:val="24"/>
          <w:szCs w:val="24"/>
        </w:rPr>
      </w:pPr>
    </w:p>
    <w:p w14:paraId="401EABD7" w14:textId="77777777" w:rsidR="00672E00" w:rsidRPr="008B28E7" w:rsidRDefault="00672E00"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70FD477D" w14:textId="3FAC8351" w:rsidR="00672E00"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3D71F9B0" w14:textId="77777777" w:rsidR="00672E00" w:rsidRDefault="00672E00" w:rsidP="00FC0334">
            <w:pPr>
              <w:jc w:val="both"/>
              <w:rPr>
                <w:i/>
                <w:sz w:val="24"/>
                <w:szCs w:val="24"/>
              </w:rPr>
            </w:pPr>
          </w:p>
          <w:p w14:paraId="4D2FB172" w14:textId="77777777" w:rsidR="00672E00" w:rsidRDefault="00672E00" w:rsidP="00672E00">
            <w:pPr>
              <w:spacing w:line="360" w:lineRule="auto"/>
              <w:jc w:val="both"/>
              <w:rPr>
                <w:sz w:val="22"/>
                <w:szCs w:val="22"/>
              </w:rPr>
            </w:pPr>
            <w:r w:rsidRPr="00672E00">
              <w:rPr>
                <w:sz w:val="22"/>
                <w:szCs w:val="22"/>
              </w:rPr>
              <w:t xml:space="preserve">When comparing the </w:t>
            </w:r>
            <w:proofErr w:type="gramStart"/>
            <w:r w:rsidRPr="00672E00">
              <w:rPr>
                <w:sz w:val="22"/>
                <w:szCs w:val="22"/>
              </w:rPr>
              <w:t>legislation</w:t>
            </w:r>
            <w:proofErr w:type="gramEnd"/>
            <w:r w:rsidRPr="00672E00">
              <w:rPr>
                <w:sz w:val="22"/>
                <w:szCs w:val="22"/>
              </w:rPr>
              <w:t xml:space="preserve"> I use in children’s services to that in adult safeguarding, the first major difference is the legal threshold for intervention. In children’s safeguarding, the Children Act </w:t>
            </w:r>
            <w:proofErr w:type="gramStart"/>
            <w:r w:rsidRPr="00672E00">
              <w:rPr>
                <w:sz w:val="22"/>
                <w:szCs w:val="22"/>
              </w:rPr>
              <w:t>1989</w:t>
            </w:r>
            <w:proofErr w:type="gramEnd"/>
            <w:r w:rsidRPr="00672E00">
              <w:rPr>
                <w:sz w:val="22"/>
                <w:szCs w:val="22"/>
              </w:rPr>
              <w:t xml:space="preserve"> and the Social Services and Well-being (Wales) Act 2014 require local authorities to step in when a child is at risk of significant harm (Children Act 1989, Section 47).</w:t>
            </w:r>
          </w:p>
          <w:p w14:paraId="48B0F464" w14:textId="77777777" w:rsidR="00920812" w:rsidRPr="00672E00" w:rsidRDefault="00920812" w:rsidP="00672E00">
            <w:pPr>
              <w:spacing w:line="360" w:lineRule="auto"/>
              <w:jc w:val="both"/>
              <w:rPr>
                <w:sz w:val="22"/>
                <w:szCs w:val="22"/>
              </w:rPr>
            </w:pPr>
          </w:p>
          <w:p w14:paraId="39B73D61" w14:textId="77777777" w:rsidR="00672E00" w:rsidRPr="00672E00" w:rsidRDefault="00672E00" w:rsidP="00672E00">
            <w:pPr>
              <w:spacing w:line="360" w:lineRule="auto"/>
              <w:jc w:val="both"/>
              <w:rPr>
                <w:sz w:val="22"/>
                <w:szCs w:val="22"/>
              </w:rPr>
            </w:pPr>
            <w:r w:rsidRPr="00672E00">
              <w:rPr>
                <w:sz w:val="22"/>
                <w:szCs w:val="22"/>
              </w:rPr>
              <w:t xml:space="preserve">In contrast, adult safeguarding under the Social Services and Well-being (Wales) Act 2014 is only triggered when an adult meets certain criteria. They must be experiencing or at risk of abuse or neglect, have care and support needs, and be unable to protect themselves (Welsh Government, 2014). This is quite different from my role in children’s services, where safeguarding applies to all children, regardless of specific circumstances. Adults have more autonomy, and even if they are at risk, they can make decisions that professionals may see as unwise (Mental Capacity Act 2005). In children’s safeguarding, we tend to take a proactive approach and intervene early to prevent harm, but in adult safeguarding, the focus shifts to balancing protection with respecting the adult’s choices. </w:t>
            </w:r>
          </w:p>
          <w:p w14:paraId="45BA7958" w14:textId="77777777" w:rsidR="00672E00" w:rsidRPr="00672E00" w:rsidRDefault="00672E00" w:rsidP="00672E00">
            <w:pPr>
              <w:spacing w:line="360" w:lineRule="auto"/>
              <w:jc w:val="both"/>
              <w:rPr>
                <w:sz w:val="22"/>
                <w:szCs w:val="22"/>
              </w:rPr>
            </w:pPr>
          </w:p>
          <w:p w14:paraId="1DCE0D45" w14:textId="77777777" w:rsidR="00672E00" w:rsidRPr="00672E00" w:rsidRDefault="00672E00" w:rsidP="00672E00">
            <w:pPr>
              <w:spacing w:line="360" w:lineRule="auto"/>
              <w:jc w:val="both"/>
              <w:rPr>
                <w:sz w:val="22"/>
                <w:szCs w:val="22"/>
              </w:rPr>
            </w:pPr>
            <w:r w:rsidRPr="00672E00">
              <w:rPr>
                <w:sz w:val="22"/>
                <w:szCs w:val="22"/>
              </w:rPr>
              <w:t>Another key difference lies in the role of parental responsibility versus adult autonomy. In children’s safeguarding, decisions are usually made in consultation with parents or carers, unless they present a risk to the child (Children Act 1989). However, in adult safeguarding, interventions must respect the person’s wishes, unless they lack capacity or are at significant risk (Making Safeguarding Personal, Local Government Association, 2014). This often leads to ethical dilemmas, particularly when adults refuse help, even though there are clear risks to their well-being.</w:t>
            </w:r>
          </w:p>
          <w:p w14:paraId="003278DF" w14:textId="77777777" w:rsidR="00672E00" w:rsidRPr="00672E00" w:rsidRDefault="00672E00" w:rsidP="00672E00">
            <w:pPr>
              <w:spacing w:line="360" w:lineRule="auto"/>
              <w:jc w:val="both"/>
              <w:rPr>
                <w:sz w:val="22"/>
                <w:szCs w:val="22"/>
              </w:rPr>
            </w:pPr>
          </w:p>
          <w:p w14:paraId="04DFE3EA" w14:textId="77777777" w:rsidR="00672E00" w:rsidRPr="00672E00" w:rsidRDefault="00672E00" w:rsidP="00672E00">
            <w:pPr>
              <w:spacing w:line="360" w:lineRule="auto"/>
              <w:jc w:val="both"/>
              <w:rPr>
                <w:sz w:val="22"/>
                <w:szCs w:val="22"/>
              </w:rPr>
            </w:pPr>
            <w:r w:rsidRPr="00672E00">
              <w:rPr>
                <w:sz w:val="22"/>
                <w:szCs w:val="22"/>
              </w:rPr>
              <w:t>Multi-agency collaboration also works differently. In children’s safeguarding, agencies like social services, education, health, and the police follow set statutory procedures and often work under child protection plans. In adult safeguarding, although multi-agency working is still essential, the response is less structured because of the focus on proportionality and respecting the adult’s right to choose how involved they want to be (Wales Safeguarding Procedures, 2019).</w:t>
            </w:r>
          </w:p>
          <w:p w14:paraId="437EA2C0" w14:textId="77777777" w:rsidR="00672E00" w:rsidRPr="00672E00" w:rsidRDefault="00672E00" w:rsidP="00672E00">
            <w:pPr>
              <w:spacing w:line="360" w:lineRule="auto"/>
              <w:jc w:val="both"/>
              <w:rPr>
                <w:sz w:val="22"/>
                <w:szCs w:val="22"/>
              </w:rPr>
            </w:pPr>
          </w:p>
          <w:p w14:paraId="0F6A64C8" w14:textId="7595B74C" w:rsidR="00672E00" w:rsidRPr="00672E00" w:rsidRDefault="00672E00" w:rsidP="00672E00">
            <w:pPr>
              <w:spacing w:line="360" w:lineRule="auto"/>
              <w:jc w:val="both"/>
              <w:rPr>
                <w:sz w:val="22"/>
                <w:szCs w:val="22"/>
              </w:rPr>
            </w:pPr>
            <w:r w:rsidRPr="00672E00">
              <w:rPr>
                <w:sz w:val="22"/>
                <w:szCs w:val="22"/>
              </w:rPr>
              <w:t xml:space="preserve">Risk assessment and intervention models vary. In children’s services, we focus on early intervention like Team Around the Family so we can put support in place before risks become serious. In adult safeguarding, the response is often more reactive, coming into play when harm has already happened </w:t>
            </w:r>
            <w:r w:rsidRPr="00672E00">
              <w:rPr>
                <w:sz w:val="22"/>
                <w:szCs w:val="22"/>
              </w:rPr>
              <w:lastRenderedPageBreak/>
              <w:t>or when risks have increased significantly. While both approaches prioritise a person-centred approach, adult safeguarding empha</w:t>
            </w:r>
            <w:r w:rsidR="003E351D">
              <w:rPr>
                <w:sz w:val="22"/>
                <w:szCs w:val="22"/>
              </w:rPr>
              <w:t>s</w:t>
            </w:r>
            <w:r w:rsidRPr="00672E00">
              <w:rPr>
                <w:sz w:val="22"/>
                <w:szCs w:val="22"/>
              </w:rPr>
              <w:t>i</w:t>
            </w:r>
            <w:r w:rsidR="003E351D">
              <w:rPr>
                <w:sz w:val="22"/>
                <w:szCs w:val="22"/>
              </w:rPr>
              <w:t>s</w:t>
            </w:r>
            <w:r w:rsidRPr="00672E00">
              <w:rPr>
                <w:sz w:val="22"/>
                <w:szCs w:val="22"/>
              </w:rPr>
              <w:t>es empowerment and choice, whereas children’s safeguarding prioriti</w:t>
            </w:r>
            <w:r w:rsidR="003E351D">
              <w:rPr>
                <w:sz w:val="22"/>
                <w:szCs w:val="22"/>
              </w:rPr>
              <w:t>s</w:t>
            </w:r>
            <w:r w:rsidRPr="00672E00">
              <w:rPr>
                <w:sz w:val="22"/>
                <w:szCs w:val="22"/>
              </w:rPr>
              <w:t>es protection.</w:t>
            </w:r>
            <w:r w:rsidR="000F3CC2">
              <w:rPr>
                <w:sz w:val="22"/>
                <w:szCs w:val="22"/>
              </w:rPr>
              <w:t xml:space="preserve"> </w:t>
            </w:r>
            <w:r w:rsidRPr="00672E00">
              <w:rPr>
                <w:sz w:val="22"/>
                <w:szCs w:val="22"/>
              </w:rPr>
              <w:t>Although the core principles of safeguarding protection, prevention, and partnership remain the same, the legal frameworks, ethical considerations, and practical approaches differ significantly. These differences reflect the distinct needs and rights of children and adults.</w:t>
            </w:r>
          </w:p>
          <w:p w14:paraId="5804DA18" w14:textId="77777777" w:rsidR="00672E00" w:rsidRDefault="00672E00" w:rsidP="00FC0334">
            <w:pPr>
              <w:jc w:val="both"/>
              <w:rPr>
                <w:i/>
                <w:sz w:val="24"/>
                <w:szCs w:val="24"/>
              </w:rPr>
            </w:pPr>
          </w:p>
          <w:p w14:paraId="0103061C" w14:textId="504CE8AB" w:rsidR="00672E00" w:rsidRPr="00672E00" w:rsidRDefault="00672E00" w:rsidP="00672E00">
            <w:pPr>
              <w:jc w:val="both"/>
              <w:rPr>
                <w:b/>
                <w:bCs/>
                <w:sz w:val="22"/>
                <w:szCs w:val="22"/>
              </w:rPr>
            </w:pPr>
            <w:r w:rsidRPr="00672E00">
              <w:rPr>
                <w:b/>
                <w:bCs/>
                <w:sz w:val="22"/>
                <w:szCs w:val="22"/>
              </w:rPr>
              <w:t xml:space="preserve">Word count: </w:t>
            </w:r>
            <w:r>
              <w:rPr>
                <w:b/>
                <w:bCs/>
                <w:sz w:val="22"/>
                <w:szCs w:val="22"/>
              </w:rPr>
              <w:t>437.</w:t>
            </w:r>
          </w:p>
          <w:p w14:paraId="75D2D2B8" w14:textId="77777777" w:rsidR="00672E00" w:rsidRDefault="00672E00"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6340BC" w14:textId="77777777" w:rsidR="00212265" w:rsidRDefault="00212265">
      <w:r>
        <w:separator/>
      </w:r>
    </w:p>
  </w:endnote>
  <w:endnote w:type="continuationSeparator" w:id="0">
    <w:p w14:paraId="24A970D3" w14:textId="77777777" w:rsidR="00212265" w:rsidRDefault="002122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458B7" w14:textId="77777777" w:rsidR="00212265" w:rsidRDefault="00212265">
      <w:r>
        <w:separator/>
      </w:r>
    </w:p>
  </w:footnote>
  <w:footnote w:type="continuationSeparator" w:id="0">
    <w:p w14:paraId="4536F772" w14:textId="77777777" w:rsidR="00212265" w:rsidRDefault="002122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3CC2"/>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59BB"/>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22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6BC3"/>
    <w:rsid w:val="003B16C7"/>
    <w:rsid w:val="003B3115"/>
    <w:rsid w:val="003C19F1"/>
    <w:rsid w:val="003C3C67"/>
    <w:rsid w:val="003C4186"/>
    <w:rsid w:val="003C6185"/>
    <w:rsid w:val="003D0D2D"/>
    <w:rsid w:val="003D1885"/>
    <w:rsid w:val="003D1BC0"/>
    <w:rsid w:val="003D20F1"/>
    <w:rsid w:val="003D4710"/>
    <w:rsid w:val="003E16D7"/>
    <w:rsid w:val="003E197E"/>
    <w:rsid w:val="003E351D"/>
    <w:rsid w:val="003E4B70"/>
    <w:rsid w:val="003E54CF"/>
    <w:rsid w:val="003E5FBA"/>
    <w:rsid w:val="003E63EC"/>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2E00"/>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295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81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70D"/>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7B8"/>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68C8"/>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1E54"/>
    <w:rsid w:val="00EE39D6"/>
    <w:rsid w:val="00EE52AD"/>
    <w:rsid w:val="00EE56E5"/>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158"/>
    <w:rsid w:val="00F4043E"/>
    <w:rsid w:val="00F412D9"/>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4A95"/>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5</Pages>
  <Words>1200</Words>
  <Characters>6846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Wynne (2328790)</cp:lastModifiedBy>
  <cp:revision>7</cp:revision>
  <cp:lastPrinted>2020-02-11T19:20:00Z</cp:lastPrinted>
  <dcterms:created xsi:type="dcterms:W3CDTF">2025-02-09T17:15:00Z</dcterms:created>
  <dcterms:modified xsi:type="dcterms:W3CDTF">2025-02-13T18:55:00Z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