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C2C77" w14:textId="77777777" w:rsidR="008F358B" w:rsidRDefault="00000000">
      <w:pPr>
        <w:jc w:val="center"/>
      </w:pPr>
      <w:r>
        <w:rPr>
          <w:noProof/>
        </w:rPr>
        <w:drawing>
          <wp:inline distT="0" distB="0" distL="0" distR="0" wp14:anchorId="64D9A5F3" wp14:editId="0CC03C63">
            <wp:extent cx="5943600" cy="116713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4"/>
                    <a:stretch>
                      <a:fillRect/>
                    </a:stretch>
                  </pic:blipFill>
                  <pic:spPr bwMode="auto">
                    <a:xfrm>
                      <a:off x="0" y="0"/>
                      <a:ext cx="5943600" cy="1167130"/>
                    </a:xfrm>
                    <a:prstGeom prst="rect">
                      <a:avLst/>
                    </a:prstGeom>
                  </pic:spPr>
                </pic:pic>
              </a:graphicData>
            </a:graphic>
          </wp:inline>
        </w:drawing>
      </w:r>
    </w:p>
    <w:p w14:paraId="40428B86" w14:textId="77777777" w:rsidR="008F358B" w:rsidRDefault="00000000">
      <w:pPr>
        <w:pStyle w:val="Title"/>
        <w:jc w:val="right"/>
      </w:pPr>
      <w:r>
        <w:rPr>
          <w:color w:val="156082"/>
        </w:rPr>
        <w:t>Cybersecurity and Data Governance Policy for Steel Form Manufacturing Ltd (SFM)</w:t>
      </w:r>
    </w:p>
    <w:p w14:paraId="53EF79A8" w14:textId="77777777" w:rsidR="008F358B" w:rsidRDefault="00000000">
      <w:pPr>
        <w:spacing w:after="100"/>
        <w:jc w:val="right"/>
      </w:pPr>
      <w:r>
        <w:rPr>
          <w:color w:val="595959"/>
          <w:sz w:val="22"/>
        </w:rPr>
        <w:t>Module Name: Networks and Cyber Security Essentials</w:t>
      </w:r>
      <w:r>
        <w:br/>
      </w:r>
      <w:r>
        <w:rPr>
          <w:color w:val="595959"/>
          <w:sz w:val="22"/>
        </w:rPr>
        <w:t>Module Code: ACCA4024</w:t>
      </w:r>
      <w:r>
        <w:br/>
      </w:r>
      <w:r>
        <w:rPr>
          <w:color w:val="595959"/>
          <w:sz w:val="22"/>
        </w:rPr>
        <w:t>Student Name: Maria Carolina Murani De Diego</w:t>
      </w:r>
      <w:r>
        <w:br/>
      </w:r>
      <w:r>
        <w:rPr>
          <w:color w:val="595959"/>
          <w:sz w:val="22"/>
        </w:rPr>
        <w:t>Student ID: 2508280</w:t>
      </w:r>
      <w:r>
        <w:br/>
      </w:r>
      <w:r>
        <w:rPr>
          <w:color w:val="595959"/>
          <w:sz w:val="22"/>
        </w:rPr>
        <w:t>Lecturer's Name: Anum Paracha</w:t>
      </w:r>
    </w:p>
    <w:p w14:paraId="251B040A" w14:textId="77777777" w:rsidR="008F358B" w:rsidRDefault="00000000">
      <w:pPr>
        <w:spacing w:after="100"/>
        <w:jc w:val="center"/>
      </w:pPr>
      <w:r>
        <w:br w:type="page"/>
      </w:r>
    </w:p>
    <w:p w14:paraId="1876BD97" w14:textId="77777777" w:rsidR="008F358B" w:rsidRDefault="00000000">
      <w:pPr>
        <w:pStyle w:val="Heading1"/>
        <w:spacing w:before="0"/>
      </w:pPr>
      <w:bookmarkStart w:id="0" w:name="__RefHeading___Toc312_3166590948"/>
      <w:bookmarkStart w:id="1" w:name="_Toc236220877"/>
      <w:bookmarkEnd w:id="0"/>
      <w:r>
        <w:lastRenderedPageBreak/>
        <w:t>Table of Contents</w:t>
      </w:r>
      <w:bookmarkEnd w:id="1"/>
    </w:p>
    <w:sdt>
      <w:sdtPr>
        <w:id w:val="-1237241086"/>
        <w:docPartObj>
          <w:docPartGallery w:val="Table of Contents"/>
          <w:docPartUnique/>
        </w:docPartObj>
      </w:sdtPr>
      <w:sdtContent>
        <w:p w14:paraId="1E54080C" w14:textId="77777777" w:rsidR="008F358B" w:rsidRDefault="00000000">
          <w:pPr>
            <w:pStyle w:val="TOC1"/>
            <w:tabs>
              <w:tab w:val="right" w:leader="dot" w:pos="9025"/>
            </w:tabs>
          </w:pPr>
          <w:r>
            <w:fldChar w:fldCharType="begin"/>
          </w:r>
          <w:r>
            <w:rPr>
              <w:rStyle w:val="IndexLink"/>
              <w:webHidden/>
            </w:rPr>
            <w:instrText xml:space="preserve"> TOC \z \o "1-3" \u \h</w:instrText>
          </w:r>
          <w:r>
            <w:rPr>
              <w:rStyle w:val="IndexLink"/>
            </w:rPr>
            <w:fldChar w:fldCharType="separate"/>
          </w:r>
          <w:hyperlink w:anchor="__RefHeading___Toc312_3166590948">
            <w:r>
              <w:rPr>
                <w:rStyle w:val="IndexLink"/>
                <w:webHidden/>
              </w:rPr>
              <w:t>Table of Contents</w:t>
            </w:r>
            <w:r>
              <w:rPr>
                <w:rStyle w:val="IndexLink"/>
                <w:webHidden/>
              </w:rPr>
              <w:tab/>
              <w:t>2</w:t>
            </w:r>
          </w:hyperlink>
        </w:p>
        <w:p w14:paraId="18C5850F" w14:textId="77777777" w:rsidR="008F358B" w:rsidRDefault="00000000">
          <w:pPr>
            <w:pStyle w:val="TOC1"/>
            <w:tabs>
              <w:tab w:val="right" w:leader="dot" w:pos="9025"/>
            </w:tabs>
          </w:pPr>
          <w:hyperlink w:anchor="__RefHeading___Toc314_3166590948">
            <w:r>
              <w:rPr>
                <w:rStyle w:val="IndexLink"/>
                <w:webHidden/>
              </w:rPr>
              <w:t>Abstract</w:t>
            </w:r>
            <w:r>
              <w:rPr>
                <w:rStyle w:val="IndexLink"/>
                <w:webHidden/>
              </w:rPr>
              <w:tab/>
              <w:t>3</w:t>
            </w:r>
          </w:hyperlink>
        </w:p>
        <w:p w14:paraId="6C8E5BF9" w14:textId="77777777" w:rsidR="008F358B" w:rsidRDefault="00000000">
          <w:pPr>
            <w:pStyle w:val="TOC1"/>
            <w:tabs>
              <w:tab w:val="right" w:leader="dot" w:pos="9025"/>
            </w:tabs>
          </w:pPr>
          <w:hyperlink w:anchor="__RefHeading___Toc316_3166590948">
            <w:r>
              <w:rPr>
                <w:rStyle w:val="IndexLink"/>
                <w:webHidden/>
              </w:rPr>
              <w:t>Introduction</w:t>
            </w:r>
            <w:r>
              <w:rPr>
                <w:rStyle w:val="IndexLink"/>
                <w:webHidden/>
              </w:rPr>
              <w:tab/>
              <w:t>3</w:t>
            </w:r>
          </w:hyperlink>
        </w:p>
        <w:p w14:paraId="2C6B6342" w14:textId="77777777" w:rsidR="008F358B" w:rsidRDefault="00000000">
          <w:pPr>
            <w:pStyle w:val="TOC1"/>
            <w:tabs>
              <w:tab w:val="right" w:leader="dot" w:pos="9025"/>
            </w:tabs>
          </w:pPr>
          <w:hyperlink w:anchor="__RefHeading___Toc318_3166590948">
            <w:r>
              <w:rPr>
                <w:rStyle w:val="IndexLink"/>
                <w:webHidden/>
              </w:rPr>
              <w:t>1. Identification of Internal and External Threats</w:t>
            </w:r>
            <w:r>
              <w:rPr>
                <w:rStyle w:val="IndexLink"/>
                <w:webHidden/>
              </w:rPr>
              <w:tab/>
              <w:t>3</w:t>
            </w:r>
          </w:hyperlink>
        </w:p>
        <w:p w14:paraId="2ECBA1EF" w14:textId="77777777" w:rsidR="008F358B" w:rsidRDefault="00000000">
          <w:pPr>
            <w:pStyle w:val="TOC2"/>
            <w:tabs>
              <w:tab w:val="right" w:leader="dot" w:pos="9025"/>
            </w:tabs>
          </w:pPr>
          <w:hyperlink w:anchor="__RefHeading___Toc320_3166590948">
            <w:r>
              <w:rPr>
                <w:rStyle w:val="IndexLink"/>
                <w:webHidden/>
              </w:rPr>
              <w:t>1.1 Internal Threats</w:t>
            </w:r>
            <w:r>
              <w:rPr>
                <w:rStyle w:val="IndexLink"/>
                <w:webHidden/>
              </w:rPr>
              <w:tab/>
              <w:t>3</w:t>
            </w:r>
          </w:hyperlink>
        </w:p>
        <w:p w14:paraId="55102830" w14:textId="77777777" w:rsidR="008F358B" w:rsidRDefault="00000000">
          <w:pPr>
            <w:pStyle w:val="TOC2"/>
            <w:tabs>
              <w:tab w:val="right" w:leader="dot" w:pos="9025"/>
            </w:tabs>
          </w:pPr>
          <w:hyperlink w:anchor="__RefHeading___Toc322_3166590948">
            <w:r>
              <w:rPr>
                <w:rStyle w:val="IndexLink"/>
                <w:webHidden/>
              </w:rPr>
              <w:t>1.2 External Threats</w:t>
            </w:r>
            <w:r>
              <w:rPr>
                <w:rStyle w:val="IndexLink"/>
                <w:webHidden/>
              </w:rPr>
              <w:tab/>
              <w:t>3</w:t>
            </w:r>
          </w:hyperlink>
        </w:p>
        <w:p w14:paraId="67E29586" w14:textId="77777777" w:rsidR="008F358B" w:rsidRDefault="00000000">
          <w:pPr>
            <w:pStyle w:val="TOC1"/>
            <w:tabs>
              <w:tab w:val="right" w:leader="dot" w:pos="9025"/>
            </w:tabs>
          </w:pPr>
          <w:hyperlink w:anchor="__RefHeading___Toc324_3166590948">
            <w:r>
              <w:rPr>
                <w:rStyle w:val="IndexLink"/>
                <w:webHidden/>
              </w:rPr>
              <w:t>2. Security Policies</w:t>
            </w:r>
            <w:r>
              <w:rPr>
                <w:rStyle w:val="IndexLink"/>
                <w:webHidden/>
              </w:rPr>
              <w:tab/>
              <w:t>4</w:t>
            </w:r>
          </w:hyperlink>
        </w:p>
        <w:p w14:paraId="7A8F1895" w14:textId="77777777" w:rsidR="008F358B" w:rsidRDefault="00000000">
          <w:pPr>
            <w:pStyle w:val="TOC3"/>
            <w:tabs>
              <w:tab w:val="right" w:leader="dot" w:pos="9025"/>
            </w:tabs>
          </w:pPr>
          <w:hyperlink w:anchor="__RefHeading___Toc326_3166590948">
            <w:r>
              <w:rPr>
                <w:rStyle w:val="IndexLink"/>
                <w:webHidden/>
              </w:rPr>
              <w:t>Phishing Awareness and Email Security Policy</w:t>
            </w:r>
            <w:r>
              <w:rPr>
                <w:rStyle w:val="IndexLink"/>
                <w:webHidden/>
              </w:rPr>
              <w:tab/>
              <w:t>4</w:t>
            </w:r>
          </w:hyperlink>
        </w:p>
        <w:p w14:paraId="5EAF0357" w14:textId="77777777" w:rsidR="008F358B" w:rsidRDefault="00000000">
          <w:pPr>
            <w:pStyle w:val="TOC3"/>
            <w:tabs>
              <w:tab w:val="right" w:leader="dot" w:pos="9025"/>
            </w:tabs>
          </w:pPr>
          <w:hyperlink w:anchor="__RefHeading___Toc328_3166590948">
            <w:r>
              <w:rPr>
                <w:rStyle w:val="IndexLink"/>
                <w:webHidden/>
              </w:rPr>
              <w:t>Password and Access Control Policy</w:t>
            </w:r>
            <w:r>
              <w:rPr>
                <w:rStyle w:val="IndexLink"/>
                <w:webHidden/>
              </w:rPr>
              <w:tab/>
              <w:t>4</w:t>
            </w:r>
          </w:hyperlink>
        </w:p>
        <w:p w14:paraId="7B1FFA24" w14:textId="77777777" w:rsidR="008F358B" w:rsidRDefault="00000000">
          <w:pPr>
            <w:pStyle w:val="TOC3"/>
            <w:tabs>
              <w:tab w:val="right" w:leader="dot" w:pos="9025"/>
            </w:tabs>
          </w:pPr>
          <w:hyperlink w:anchor="__RefHeading___Toc330_3166590948">
            <w:r>
              <w:rPr>
                <w:rStyle w:val="IndexLink"/>
                <w:webHidden/>
              </w:rPr>
              <w:t>Patch Management Policy</w:t>
            </w:r>
            <w:r>
              <w:rPr>
                <w:rStyle w:val="IndexLink"/>
                <w:webHidden/>
              </w:rPr>
              <w:tab/>
              <w:t>4</w:t>
            </w:r>
          </w:hyperlink>
        </w:p>
        <w:p w14:paraId="14CC399B" w14:textId="77777777" w:rsidR="008F358B" w:rsidRDefault="00000000">
          <w:pPr>
            <w:pStyle w:val="TOC3"/>
            <w:tabs>
              <w:tab w:val="right" w:leader="dot" w:pos="9025"/>
            </w:tabs>
          </w:pPr>
          <w:hyperlink w:anchor="__RefHeading___Toc332_3166590948">
            <w:r>
              <w:rPr>
                <w:rStyle w:val="IndexLink"/>
                <w:webHidden/>
              </w:rPr>
              <w:t>Removable Media and USB Device Policy</w:t>
            </w:r>
            <w:r>
              <w:rPr>
                <w:rStyle w:val="IndexLink"/>
                <w:webHidden/>
              </w:rPr>
              <w:tab/>
              <w:t>4</w:t>
            </w:r>
          </w:hyperlink>
        </w:p>
        <w:p w14:paraId="79CAB2F7" w14:textId="77777777" w:rsidR="008F358B" w:rsidRDefault="00000000">
          <w:pPr>
            <w:pStyle w:val="TOC3"/>
            <w:tabs>
              <w:tab w:val="right" w:leader="dot" w:pos="9025"/>
            </w:tabs>
          </w:pPr>
          <w:hyperlink w:anchor="__RefHeading___Toc334_3166590948">
            <w:r>
              <w:rPr>
                <w:rStyle w:val="IndexLink"/>
                <w:webHidden/>
              </w:rPr>
              <w:t>Third-Party and Supplier Security Policy</w:t>
            </w:r>
            <w:r>
              <w:rPr>
                <w:rStyle w:val="IndexLink"/>
                <w:webHidden/>
              </w:rPr>
              <w:tab/>
              <w:t>5</w:t>
            </w:r>
          </w:hyperlink>
        </w:p>
        <w:p w14:paraId="7040AEC1" w14:textId="77777777" w:rsidR="008F358B" w:rsidRDefault="00000000">
          <w:pPr>
            <w:pStyle w:val="TOC1"/>
            <w:tabs>
              <w:tab w:val="right" w:leader="dot" w:pos="9025"/>
            </w:tabs>
          </w:pPr>
          <w:hyperlink w:anchor="__RefHeading___Toc336_3166590948">
            <w:r>
              <w:rPr>
                <w:rStyle w:val="IndexLink"/>
                <w:webHidden/>
              </w:rPr>
              <w:t>3. Mitigation Measures</w:t>
            </w:r>
            <w:r>
              <w:rPr>
                <w:rStyle w:val="IndexLink"/>
                <w:webHidden/>
              </w:rPr>
              <w:tab/>
              <w:t>5</w:t>
            </w:r>
          </w:hyperlink>
        </w:p>
        <w:p w14:paraId="7C7D1A38" w14:textId="77777777" w:rsidR="008F358B" w:rsidRDefault="00000000">
          <w:pPr>
            <w:pStyle w:val="TOC3"/>
            <w:tabs>
              <w:tab w:val="right" w:leader="dot" w:pos="9025"/>
            </w:tabs>
          </w:pPr>
          <w:hyperlink w:anchor="__RefHeading___Toc338_3166590948">
            <w:r>
              <w:rPr>
                <w:rStyle w:val="IndexLink"/>
                <w:webHidden/>
              </w:rPr>
              <w:t>Phishing Awareness and Email Security</w:t>
            </w:r>
            <w:r>
              <w:rPr>
                <w:rStyle w:val="IndexLink"/>
                <w:webHidden/>
              </w:rPr>
              <w:tab/>
              <w:t>5</w:t>
            </w:r>
          </w:hyperlink>
        </w:p>
        <w:p w14:paraId="6663DD23" w14:textId="77777777" w:rsidR="008F358B" w:rsidRDefault="00000000">
          <w:pPr>
            <w:pStyle w:val="TOC3"/>
            <w:tabs>
              <w:tab w:val="right" w:leader="dot" w:pos="9025"/>
            </w:tabs>
          </w:pPr>
          <w:hyperlink w:anchor="__RefHeading___Toc340_3166590948">
            <w:r>
              <w:rPr>
                <w:rStyle w:val="IndexLink"/>
                <w:webHidden/>
              </w:rPr>
              <w:t>Password and Access Control</w:t>
            </w:r>
            <w:r>
              <w:rPr>
                <w:rStyle w:val="IndexLink"/>
                <w:webHidden/>
              </w:rPr>
              <w:tab/>
              <w:t>5</w:t>
            </w:r>
          </w:hyperlink>
        </w:p>
        <w:p w14:paraId="20277F3A" w14:textId="77777777" w:rsidR="008F358B" w:rsidRDefault="00000000">
          <w:pPr>
            <w:pStyle w:val="TOC3"/>
            <w:tabs>
              <w:tab w:val="right" w:leader="dot" w:pos="9025"/>
            </w:tabs>
          </w:pPr>
          <w:hyperlink w:anchor="__RefHeading___Toc342_3166590948">
            <w:r>
              <w:rPr>
                <w:rStyle w:val="IndexLink"/>
                <w:webHidden/>
              </w:rPr>
              <w:t>Patch Management</w:t>
            </w:r>
            <w:r>
              <w:rPr>
                <w:rStyle w:val="IndexLink"/>
                <w:webHidden/>
              </w:rPr>
              <w:tab/>
              <w:t>5</w:t>
            </w:r>
          </w:hyperlink>
        </w:p>
        <w:p w14:paraId="2648A30C" w14:textId="77777777" w:rsidR="008F358B" w:rsidRDefault="00000000">
          <w:pPr>
            <w:pStyle w:val="TOC3"/>
            <w:tabs>
              <w:tab w:val="right" w:leader="dot" w:pos="9025"/>
            </w:tabs>
          </w:pPr>
          <w:hyperlink w:anchor="__RefHeading___Toc344_3166590948">
            <w:r>
              <w:rPr>
                <w:rStyle w:val="IndexLink"/>
                <w:webHidden/>
              </w:rPr>
              <w:t>Removable Media and USB Devices</w:t>
            </w:r>
            <w:r>
              <w:rPr>
                <w:rStyle w:val="IndexLink"/>
                <w:webHidden/>
              </w:rPr>
              <w:tab/>
              <w:t>5</w:t>
            </w:r>
          </w:hyperlink>
        </w:p>
        <w:p w14:paraId="4BA3C811" w14:textId="77777777" w:rsidR="008F358B" w:rsidRDefault="00000000">
          <w:pPr>
            <w:pStyle w:val="TOC3"/>
            <w:tabs>
              <w:tab w:val="right" w:leader="dot" w:pos="9025"/>
            </w:tabs>
          </w:pPr>
          <w:hyperlink w:anchor="__RefHeading___Toc346_3166590948">
            <w:r>
              <w:rPr>
                <w:rStyle w:val="IndexLink"/>
                <w:webHidden/>
              </w:rPr>
              <w:t>Third-Party and Supplier Security</w:t>
            </w:r>
            <w:r>
              <w:rPr>
                <w:rStyle w:val="IndexLink"/>
                <w:webHidden/>
              </w:rPr>
              <w:tab/>
              <w:t>6</w:t>
            </w:r>
          </w:hyperlink>
        </w:p>
        <w:p w14:paraId="653F23AB" w14:textId="77777777" w:rsidR="008F358B" w:rsidRDefault="00000000">
          <w:pPr>
            <w:pStyle w:val="TOC1"/>
            <w:tabs>
              <w:tab w:val="right" w:leader="dot" w:pos="9025"/>
            </w:tabs>
          </w:pPr>
          <w:hyperlink w:anchor="__RefHeading___Toc348_3166590948">
            <w:r>
              <w:rPr>
                <w:rStyle w:val="IndexLink"/>
                <w:webHidden/>
              </w:rPr>
              <w:t>4. Monitoring and Incident Response</w:t>
            </w:r>
            <w:r>
              <w:rPr>
                <w:rStyle w:val="IndexLink"/>
                <w:webHidden/>
              </w:rPr>
              <w:tab/>
              <w:t>6</w:t>
            </w:r>
          </w:hyperlink>
        </w:p>
        <w:p w14:paraId="42483BC0" w14:textId="77777777" w:rsidR="008F358B" w:rsidRDefault="00000000">
          <w:pPr>
            <w:pStyle w:val="TOC1"/>
            <w:tabs>
              <w:tab w:val="right" w:leader="dot" w:pos="9025"/>
            </w:tabs>
          </w:pPr>
          <w:hyperlink w:anchor="__RefHeading___Toc350_3166590948">
            <w:r>
              <w:rPr>
                <w:rStyle w:val="IndexLink"/>
                <w:webHidden/>
              </w:rPr>
              <w:t>5. Training and Awareness</w:t>
            </w:r>
            <w:r>
              <w:rPr>
                <w:rStyle w:val="IndexLink"/>
                <w:webHidden/>
              </w:rPr>
              <w:tab/>
              <w:t>7</w:t>
            </w:r>
          </w:hyperlink>
        </w:p>
        <w:p w14:paraId="68290C6A" w14:textId="77777777" w:rsidR="008F358B" w:rsidRDefault="00000000">
          <w:pPr>
            <w:pStyle w:val="TOC1"/>
            <w:tabs>
              <w:tab w:val="right" w:leader="dot" w:pos="9025"/>
            </w:tabs>
          </w:pPr>
          <w:hyperlink w:anchor="__RefHeading___Toc352_3166590948">
            <w:r>
              <w:rPr>
                <w:rStyle w:val="IndexLink"/>
                <w:webHidden/>
              </w:rPr>
              <w:t>Conclusion</w:t>
            </w:r>
            <w:r>
              <w:rPr>
                <w:rStyle w:val="IndexLink"/>
                <w:webHidden/>
              </w:rPr>
              <w:tab/>
              <w:t>7</w:t>
            </w:r>
          </w:hyperlink>
        </w:p>
        <w:p w14:paraId="09CE2C48" w14:textId="77777777" w:rsidR="008F358B" w:rsidRDefault="00000000">
          <w:pPr>
            <w:pStyle w:val="TOC1"/>
            <w:tabs>
              <w:tab w:val="right" w:leader="dot" w:pos="9025"/>
            </w:tabs>
          </w:pPr>
          <w:hyperlink w:anchor="__RefHeading___Toc354_3166590948">
            <w:r>
              <w:rPr>
                <w:rStyle w:val="IndexLink"/>
                <w:webHidden/>
              </w:rPr>
              <w:t>References</w:t>
            </w:r>
            <w:r>
              <w:rPr>
                <w:rStyle w:val="IndexLink"/>
                <w:webHidden/>
              </w:rPr>
              <w:tab/>
              <w:t>7</w:t>
            </w:r>
          </w:hyperlink>
        </w:p>
        <w:p w14:paraId="45857D9A" w14:textId="77777777" w:rsidR="008F358B" w:rsidRDefault="00000000">
          <w:pPr>
            <w:pStyle w:val="TOC1"/>
            <w:tabs>
              <w:tab w:val="right" w:leader="dot" w:pos="9025"/>
            </w:tabs>
          </w:pPr>
          <w:hyperlink w:anchor="__RefHeading___Toc356_3166590948">
            <w:r>
              <w:rPr>
                <w:rStyle w:val="IndexLink"/>
                <w:webHidden/>
              </w:rPr>
              <w:t>Appendix: PowerPoint Presentation Slides</w:t>
            </w:r>
            <w:r>
              <w:rPr>
                <w:rStyle w:val="IndexLink"/>
                <w:webHidden/>
              </w:rPr>
              <w:tab/>
              <w:t>8</w:t>
            </w:r>
          </w:hyperlink>
          <w:r>
            <w:rPr>
              <w:rStyle w:val="IndexLink"/>
            </w:rPr>
            <w:fldChar w:fldCharType="end"/>
          </w:r>
        </w:p>
      </w:sdtContent>
    </w:sdt>
    <w:p w14:paraId="2D3066AC" w14:textId="77777777" w:rsidR="008F358B" w:rsidRDefault="008F358B"/>
    <w:p w14:paraId="34DF9346" w14:textId="77777777" w:rsidR="008F358B" w:rsidRDefault="00000000">
      <w:r>
        <w:br w:type="page"/>
      </w:r>
    </w:p>
    <w:p w14:paraId="0021C684" w14:textId="77777777" w:rsidR="008F358B" w:rsidRDefault="00000000">
      <w:pPr>
        <w:pStyle w:val="Heading1"/>
        <w:spacing w:before="0"/>
      </w:pPr>
      <w:bookmarkStart w:id="2" w:name="__RefHeading___Toc314_3166590948"/>
      <w:bookmarkEnd w:id="2"/>
      <w:r>
        <w:lastRenderedPageBreak/>
        <w:t>Abstract</w:t>
      </w:r>
    </w:p>
    <w:p w14:paraId="2AC96084" w14:textId="77777777" w:rsidR="008F358B" w:rsidRDefault="00000000">
      <w:r>
        <w:t xml:space="preserve">This report looks at the main cybersecurity and data governance challenges faced by Steel Form Manufacturing Ltd (SFM). As the company has introduced cloud systems, IoT devices, and automated production processes, protecting its information and keeping its operations secure has become increasingly important. The report identifies the main threats that could affect the business, including phishing attacks, ransomware, unauthorised access, insecure USB devices, and risks linked to third-party suppliers. It also recommends practical measures to reduce these risks, such as improving staff awareness through regular training, strengthening access controls, keeping systems up to date, monitoring the network continuously, and following a clear incident response process. By putting these recommendations into practice, SFM can reduce the risk of </w:t>
      </w:r>
      <w:proofErr w:type="spellStart"/>
      <w:r>
        <w:t>cyber attacks</w:t>
      </w:r>
      <w:proofErr w:type="spellEnd"/>
      <w:r>
        <w:t>, better protect its systems and sensitive information, and build a stronger security culture that supports the company's long-term success.</w:t>
      </w:r>
    </w:p>
    <w:p w14:paraId="0A886207" w14:textId="77777777" w:rsidR="008F358B" w:rsidRDefault="00000000">
      <w:pPr>
        <w:pStyle w:val="Heading1"/>
      </w:pPr>
      <w:bookmarkStart w:id="3" w:name="__RefHeading___Toc316_3166590948"/>
      <w:bookmarkStart w:id="4" w:name="_Toc236220878"/>
      <w:bookmarkEnd w:id="3"/>
      <w:r>
        <w:t>Introduction</w:t>
      </w:r>
      <w:bookmarkEnd w:id="4"/>
    </w:p>
    <w:p w14:paraId="2D255FA4" w14:textId="77777777" w:rsidR="008F358B" w:rsidRDefault="00000000">
      <w:pPr>
        <w:spacing w:after="300"/>
      </w:pPr>
      <w:r>
        <w:t xml:space="preserve">The increasing use of digital technologies, cloud computing, and Internet of Things (IoT) devices has transformed the manufacturing industry, improving productivity and operational efficiency. However, these technologies have also increased the risk of </w:t>
      </w:r>
      <w:proofErr w:type="spellStart"/>
      <w:r>
        <w:t>cyber attacks</w:t>
      </w:r>
      <w:proofErr w:type="spellEnd"/>
      <w:r>
        <w:t>, making cybersecurity an essential part of protecting business operations and sensitive information. In the case of SFM, previous cybersecurity incidents, including phishing attempts and unauthorised access to the production network, highlight the need for stronger security measures. As the IT Security Manager, the purpose of this report is to identify the main cyber threats facing the company, assess their potential impact on business operations, and recommend appropriate security policies and practical controls to reduce these risks. The report also outlines network monitoring, incident response, and employee training measures to strengthen SFM's overall cybersecurity posture. The recommendations in this report are based on recognised cybersecurity best practices, including ISO/IEC 27001 [1] and the NIST Cybersecurity Framework [2], which help organisations improve information security and reduce cyber risks.</w:t>
      </w:r>
    </w:p>
    <w:p w14:paraId="0DD2D9CB" w14:textId="77777777" w:rsidR="008F358B" w:rsidRDefault="00000000">
      <w:pPr>
        <w:pStyle w:val="Heading1"/>
      </w:pPr>
      <w:bookmarkStart w:id="5" w:name="__RefHeading___Toc318_3166590948"/>
      <w:bookmarkStart w:id="6" w:name="_Toc236220879"/>
      <w:bookmarkEnd w:id="5"/>
      <w:r>
        <w:t>1. Identification of Internal and External Threats</w:t>
      </w:r>
      <w:bookmarkEnd w:id="6"/>
    </w:p>
    <w:p w14:paraId="6CF9F199" w14:textId="77777777" w:rsidR="008F358B" w:rsidRDefault="00000000">
      <w:pPr>
        <w:pStyle w:val="Heading2"/>
      </w:pPr>
      <w:bookmarkStart w:id="7" w:name="__RefHeading___Toc320_3166590948"/>
      <w:bookmarkStart w:id="8" w:name="_Toc236220880"/>
      <w:bookmarkEnd w:id="7"/>
      <w:r>
        <w:t>1.1 Internal Threats</w:t>
      </w:r>
      <w:bookmarkEnd w:id="8"/>
    </w:p>
    <w:p w14:paraId="4BB664E8" w14:textId="77777777" w:rsidR="008F358B" w:rsidRDefault="00000000">
      <w:pPr>
        <w:spacing w:after="200"/>
      </w:pPr>
      <w:r>
        <w:t>Without formal cybersecurity training, employees in the production and purchasing departments could cause significant security incidents through human error.</w:t>
      </w:r>
    </w:p>
    <w:p w14:paraId="2F49E888" w14:textId="77777777" w:rsidR="008F358B" w:rsidRDefault="00000000">
      <w:pPr>
        <w:pStyle w:val="ListParagraph"/>
        <w:spacing w:after="200"/>
      </w:pPr>
      <w:r>
        <w:t xml:space="preserve">•  </w:t>
      </w:r>
      <w:r>
        <w:rPr>
          <w:b/>
        </w:rPr>
        <w:t xml:space="preserve">Phishing (Purchasing Department): </w:t>
      </w:r>
      <w:r>
        <w:t>In the purchasing department, phishing is a significant threat because employees regularly communicate with suppliers and process financial transactions. Fraudulent emails may impersonate legitimate suppliers to obtain sensitive information or steal login credentials.</w:t>
      </w:r>
    </w:p>
    <w:p w14:paraId="416A717D" w14:textId="77777777" w:rsidR="008F358B" w:rsidRDefault="00000000">
      <w:pPr>
        <w:pStyle w:val="ListParagraph"/>
        <w:spacing w:after="300"/>
      </w:pPr>
      <w:r>
        <w:t xml:space="preserve">•  </w:t>
      </w:r>
      <w:r>
        <w:rPr>
          <w:b/>
        </w:rPr>
        <w:t xml:space="preserve">Unauthorised USB Devices and Unattended Workstations (Production Department): </w:t>
      </w:r>
      <w:r>
        <w:t>The production department is vulnerable because it relies on automated machinery, connected IoT devices, and cloud-based production systems. The use of unauthorised USB devices and unattended workstations increases the risk of malware infections and unauthorised access to the production network.</w:t>
      </w:r>
    </w:p>
    <w:p w14:paraId="2B909836" w14:textId="77777777" w:rsidR="008F358B" w:rsidRDefault="00000000">
      <w:pPr>
        <w:pStyle w:val="Heading2"/>
      </w:pPr>
      <w:bookmarkStart w:id="9" w:name="__RefHeading___Toc322_3166590948"/>
      <w:bookmarkStart w:id="10" w:name="_Toc236220881"/>
      <w:bookmarkEnd w:id="9"/>
      <w:r>
        <w:t>1.2 External Threats</w:t>
      </w:r>
      <w:bookmarkEnd w:id="10"/>
    </w:p>
    <w:p w14:paraId="652C1440" w14:textId="77777777" w:rsidR="008F358B" w:rsidRDefault="00000000">
      <w:pPr>
        <w:pStyle w:val="ListParagraph"/>
        <w:spacing w:after="300"/>
      </w:pPr>
      <w:r>
        <w:t xml:space="preserve">•  Industrial Espionage and Supply Chain Attacks: SFM is an attractive target for industrial espionage because it manufactures customised components for the automotive and aerospace industries. Its cloud systems store valuable engineering designs that could provide competitors with a significant advantage if stolen. Large manufacturers usually have stronger cybersecurity defences, so attackers often target smaller suppliers such as SFM as an easier entry point. According to a 2025 industry report by BitSight [3], the manufacturing sector has been the most targeted industry for </w:t>
      </w:r>
      <w:proofErr w:type="spellStart"/>
      <w:r>
        <w:t>cyber attacks</w:t>
      </w:r>
      <w:proofErr w:type="spellEnd"/>
      <w:r>
        <w:t xml:space="preserve"> for three consecutive </w:t>
      </w:r>
      <w:r>
        <w:lastRenderedPageBreak/>
        <w:t>years. Attackers may target SFM to gain access to confidential information belonging to its major automotive and aerospace clients.</w:t>
      </w:r>
    </w:p>
    <w:p w14:paraId="6711C3C6" w14:textId="77777777" w:rsidR="008F358B" w:rsidRDefault="00000000">
      <w:pPr>
        <w:pStyle w:val="ListParagraph"/>
        <w:spacing w:after="300"/>
      </w:pPr>
      <w:r>
        <w:t>•  Ransomware: Ransomware is a significant threat to SFM because it could encrypt the company's production systems and disrupt manufacturing operations. This risk is particularly important in a manufacturing environment, where production depends on the availability of connected systems. According to Sophos [4], 32% of ransomware attacks in manufacturing begin through the exploitation of unpatched vulnerabilities.</w:t>
      </w:r>
    </w:p>
    <w:p w14:paraId="2F906BAE" w14:textId="77777777" w:rsidR="008F358B" w:rsidRDefault="00000000">
      <w:pPr>
        <w:pStyle w:val="ListParagraph"/>
        <w:spacing w:after="300"/>
      </w:pPr>
      <w:r>
        <w:t xml:space="preserve">•  </w:t>
      </w:r>
      <w:r>
        <w:rPr>
          <w:b/>
        </w:rPr>
        <w:t xml:space="preserve">Malware and Unauthorised Access: </w:t>
      </w:r>
      <w:r>
        <w:t>Phishing emails, infected USB devices, and stolen credentials are common ways for attackers to gain unauthorised access to SFM's systems. As the company has already experienced unauthorised access attempts, these threats should be considered a significant cybersecurity risk.</w:t>
      </w:r>
    </w:p>
    <w:p w14:paraId="527FC980" w14:textId="77777777" w:rsidR="008F358B" w:rsidRDefault="00000000">
      <w:pPr>
        <w:pStyle w:val="Heading1"/>
      </w:pPr>
      <w:bookmarkStart w:id="11" w:name="__RefHeading___Toc324_3166590948"/>
      <w:bookmarkStart w:id="12" w:name="_Toc236220882"/>
      <w:bookmarkEnd w:id="11"/>
      <w:r>
        <w:t>2. Security Policies</w:t>
      </w:r>
      <w:bookmarkEnd w:id="12"/>
    </w:p>
    <w:p w14:paraId="0B6224CC" w14:textId="77777777" w:rsidR="008F358B" w:rsidRDefault="00000000">
      <w:r>
        <w:t>The following security policies are based on recognised information security principles and reflect good practices recommended by ISO/IEC 27001 [1] and the NIST Cybersecurity Framework [2].</w:t>
      </w:r>
    </w:p>
    <w:p w14:paraId="4F2A4BCC" w14:textId="77777777" w:rsidR="008F358B" w:rsidRDefault="00000000">
      <w:pPr>
        <w:pStyle w:val="Heading3"/>
      </w:pPr>
      <w:bookmarkStart w:id="13" w:name="__RefHeading___Toc326_3166590948"/>
      <w:bookmarkStart w:id="14" w:name="_Toc236220883"/>
      <w:bookmarkEnd w:id="13"/>
      <w:r>
        <w:t>Phishing Awareness and Email Security Policy</w:t>
      </w:r>
      <w:bookmarkEnd w:id="14"/>
    </w:p>
    <w:p w14:paraId="24AAB8F6" w14:textId="77777777" w:rsidR="008F358B" w:rsidRDefault="00000000">
      <w:pPr>
        <w:spacing w:after="300"/>
      </w:pPr>
      <w:r>
        <w:t>Employees, particularly those working in the purchasing department, must complete regular phishing awareness training. They must verify requests involving payments, supplier bank account changes, or confidential information through a trusted communication channel before taking any action. Suspicious emails, links, or attachments must not be opened and should be reported immediately to the IT department. This policy reduces the risk of fraud and unauthorised access caused by social engineering.</w:t>
      </w:r>
    </w:p>
    <w:p w14:paraId="448685C4" w14:textId="77777777" w:rsidR="008F358B" w:rsidRDefault="00000000">
      <w:pPr>
        <w:pStyle w:val="Heading3"/>
      </w:pPr>
      <w:bookmarkStart w:id="15" w:name="__RefHeading___Toc328_3166590948"/>
      <w:bookmarkStart w:id="16" w:name="_Toc236220884"/>
      <w:bookmarkEnd w:id="15"/>
      <w:r>
        <w:t>Password and Access Control Policy</w:t>
      </w:r>
      <w:bookmarkEnd w:id="16"/>
    </w:p>
    <w:p w14:paraId="77C68638" w14:textId="77777777" w:rsidR="008F358B" w:rsidRDefault="00000000">
      <w:pPr>
        <w:spacing w:after="200"/>
      </w:pPr>
      <w:r>
        <w:t>All employees must use strong, unique passwords that meet the company's password requirements and must not share their passwords with anyone. Multi-factor authentication (MFA) must be enabled for all remote access services, including VPNs and remote desktop connections. Access to company systems must follow the principle of least privilege, meaning employees should only have access to the information and systems required for their job roles. User accounts must be reviewed regularly, and access rights must be removed immediately when an employee changes roles or leaves the company.</w:t>
      </w:r>
    </w:p>
    <w:p w14:paraId="16180044" w14:textId="77777777" w:rsidR="008F358B" w:rsidRDefault="00000000">
      <w:pPr>
        <w:spacing w:after="300"/>
      </w:pPr>
      <w:r>
        <w:t>This policy reduces the risk of unauthorised access by strengthening authentication, limiting unnecessary system access, and protecting SFM's production network from compromised credentials.</w:t>
      </w:r>
    </w:p>
    <w:p w14:paraId="31CEF62A" w14:textId="77777777" w:rsidR="008F358B" w:rsidRDefault="00000000">
      <w:pPr>
        <w:pStyle w:val="Heading3"/>
      </w:pPr>
      <w:bookmarkStart w:id="17" w:name="__RefHeading___Toc330_3166590948"/>
      <w:bookmarkStart w:id="18" w:name="_Toc236220885"/>
      <w:bookmarkEnd w:id="17"/>
      <w:r>
        <w:t>Patch Management Policy</w:t>
      </w:r>
      <w:bookmarkEnd w:id="18"/>
    </w:p>
    <w:p w14:paraId="6BC66B58" w14:textId="77777777" w:rsidR="008F358B" w:rsidRDefault="00000000">
      <w:pPr>
        <w:spacing w:after="200"/>
      </w:pPr>
      <w:r>
        <w:t>All company servers, production systems, and software applications must be regularly updated with the latest security patches. Critical security updates must be installed as soon as possible after they have been tested and approved by the IT department. IoT devices and production equipment shall be included in the company's patch management process and checked regularly to ensure that firmware and software remain up to date. Where devices cannot be patched immediately due to operational requirements, temporary security controls must be implemented, and the updates should be scheduled during the next planned maintenance window.</w:t>
      </w:r>
    </w:p>
    <w:p w14:paraId="3610F0C0" w14:textId="77777777" w:rsidR="008F358B" w:rsidRDefault="00000000">
      <w:pPr>
        <w:spacing w:after="300"/>
      </w:pPr>
      <w:r>
        <w:t xml:space="preserve">This policy reduces the risk of </w:t>
      </w:r>
      <w:proofErr w:type="spellStart"/>
      <w:r>
        <w:t>cyber attacks</w:t>
      </w:r>
      <w:proofErr w:type="spellEnd"/>
      <w:r>
        <w:t xml:space="preserve"> caused by unpatched vulnerabilities, helping to protect SFM's production network and minimise the likelihood of ransomware and unauthorised access, which are common threats in the manufacturing sector [4].</w:t>
      </w:r>
    </w:p>
    <w:p w14:paraId="42F0D13D" w14:textId="77777777" w:rsidR="008F358B" w:rsidRDefault="00000000">
      <w:pPr>
        <w:pStyle w:val="Heading3"/>
      </w:pPr>
      <w:bookmarkStart w:id="19" w:name="__RefHeading___Toc332_3166590948"/>
      <w:bookmarkStart w:id="20" w:name="_Toc236220886"/>
      <w:bookmarkEnd w:id="19"/>
      <w:r>
        <w:t>Removable Media and USB Device Policy</w:t>
      </w:r>
      <w:bookmarkEnd w:id="20"/>
    </w:p>
    <w:p w14:paraId="2B97E2AF" w14:textId="77777777" w:rsidR="008F358B" w:rsidRDefault="00000000">
      <w:pPr>
        <w:spacing w:after="200"/>
      </w:pPr>
      <w:r>
        <w:t xml:space="preserve">Employees must not connect personal USB devices or other removable media to company computers, production equipment, or IoT devices. Only company-approved and encrypted USB devices may be used when there is a legitimate business need. All approved removable media must be scanned with the company's antivirus software before being connected to any system. USB ports on production machines should be disabled or physically blocked where they are not required for operational purposes. Any file transfers needed for </w:t>
      </w:r>
      <w:r>
        <w:lastRenderedPageBreak/>
        <w:t>maintenance or production activities must be carried out using secure company-approved methods whenever possible.</w:t>
      </w:r>
    </w:p>
    <w:p w14:paraId="7CE01F06" w14:textId="77777777" w:rsidR="008F358B" w:rsidRDefault="00000000">
      <w:pPr>
        <w:spacing w:after="300"/>
      </w:pPr>
      <w:r>
        <w:t>This policy reduces the risk of malware entering SFM's production network through removable media, helping to protect automated machinery, IoT devices, and critical production systems from disruption.</w:t>
      </w:r>
    </w:p>
    <w:p w14:paraId="3D132603" w14:textId="77777777" w:rsidR="008F358B" w:rsidRDefault="00000000">
      <w:pPr>
        <w:pStyle w:val="Heading3"/>
      </w:pPr>
      <w:bookmarkStart w:id="21" w:name="__RefHeading___Toc334_3166590948"/>
      <w:bookmarkStart w:id="22" w:name="_Toc236220887"/>
      <w:bookmarkEnd w:id="21"/>
      <w:r>
        <w:t>Third-Party and Supplier Security Policy</w:t>
      </w:r>
      <w:bookmarkEnd w:id="22"/>
    </w:p>
    <w:p w14:paraId="22A60C3F" w14:textId="77777777" w:rsidR="008F358B" w:rsidRDefault="00000000">
      <w:pPr>
        <w:spacing w:after="200"/>
      </w:pPr>
      <w:r>
        <w:t>All third-party suppliers and contractors with access to SFM's systems or confidential information must comply with the company's cybersecurity requirements. Before access is granted, suppliers must undergo a security assessment to ensure they meet SFM's security standards. Access must be limited to the systems and information required for their work and reviewed regularly to ensure it remains appropriate. Suppliers must immediately report any security incident that could affect SFM's systems or data, and their access must be removed once the work or contract has ended.</w:t>
      </w:r>
    </w:p>
    <w:p w14:paraId="5730877B" w14:textId="77777777" w:rsidR="008F358B" w:rsidRDefault="00000000">
      <w:pPr>
        <w:spacing w:after="300"/>
      </w:pPr>
      <w:r>
        <w:t>This policy reduces the risk of supply chain attacks by ensuring that third-party access is properly managed and monitored, helping to protect SFM's production systems and confidential information from unauthorised access and industrial espionage [3].</w:t>
      </w:r>
    </w:p>
    <w:p w14:paraId="7BCA552B" w14:textId="77777777" w:rsidR="008F358B" w:rsidRDefault="00000000">
      <w:pPr>
        <w:pStyle w:val="Heading1"/>
      </w:pPr>
      <w:bookmarkStart w:id="23" w:name="__RefHeading___Toc336_3166590948"/>
      <w:bookmarkStart w:id="24" w:name="_Toc236220888"/>
      <w:bookmarkEnd w:id="23"/>
      <w:r>
        <w:t>3. Mitigation Measures</w:t>
      </w:r>
      <w:bookmarkEnd w:id="24"/>
    </w:p>
    <w:p w14:paraId="1C324A82" w14:textId="77777777" w:rsidR="008F358B" w:rsidRDefault="00000000">
      <w:pPr>
        <w:pStyle w:val="Heading3"/>
      </w:pPr>
      <w:bookmarkStart w:id="25" w:name="__RefHeading___Toc338_3166590948"/>
      <w:bookmarkStart w:id="26" w:name="_Toc236220889"/>
      <w:bookmarkEnd w:id="25"/>
      <w:r>
        <w:t>Phishing Awareness and Email Security</w:t>
      </w:r>
      <w:bookmarkEnd w:id="26"/>
    </w:p>
    <w:p w14:paraId="506128AE" w14:textId="77777777" w:rsidR="008F358B" w:rsidRDefault="00000000">
      <w:pPr>
        <w:spacing w:after="300"/>
      </w:pPr>
      <w:r>
        <w:t>To implement the Phishing Awareness and Email Security Policy, SFM should use email filtering software to detect and block suspicious emails, malicious links, and infected attachments before they reach employees. Staff, particularly those working in the purchasing department, should complete annual phishing awareness training, supported by regular refresher sessions and simulated phishing exercises. Any request involving payments, supplier bank details, or confidential information should be verified through a trusted communication channel, such as a phone call to the supplier's registered contact. Employees should also be encouraged to report suspicious emails immediately to the IT department so that potential threats can be investigated and contained quickly.</w:t>
      </w:r>
    </w:p>
    <w:p w14:paraId="3A6271AE" w14:textId="77777777" w:rsidR="008F358B" w:rsidRDefault="00000000">
      <w:pPr>
        <w:pStyle w:val="Heading3"/>
      </w:pPr>
      <w:bookmarkStart w:id="27" w:name="__RefHeading___Toc340_3166590948"/>
      <w:bookmarkStart w:id="28" w:name="_Toc236220890"/>
      <w:bookmarkEnd w:id="27"/>
      <w:r>
        <w:t>Password and Access Control</w:t>
      </w:r>
      <w:bookmarkEnd w:id="28"/>
    </w:p>
    <w:p w14:paraId="6DAFEB36" w14:textId="77777777" w:rsidR="008F358B" w:rsidRDefault="00000000">
      <w:pPr>
        <w:spacing w:after="300"/>
      </w:pPr>
      <w:r>
        <w:t>To implement the Password and Access Control Policy, SFM should use an identity and access management system to enforce strong password requirements and multi-factor authentication (MFA) for all employees, particularly those accessing systems remotely. User permissions should be assigned according to job responsibilities and reviewed regularly by the IT department to ensure that employees only have access to the systems they need. Access should also be removed immediately when an employee leaves the company or changes roles, reducing the risk of unauthorised access through unused accounts.</w:t>
      </w:r>
    </w:p>
    <w:p w14:paraId="10DF7001" w14:textId="77777777" w:rsidR="008F358B" w:rsidRDefault="00000000">
      <w:pPr>
        <w:pStyle w:val="Heading3"/>
      </w:pPr>
      <w:bookmarkStart w:id="29" w:name="__RefHeading___Toc342_3166590948"/>
      <w:bookmarkStart w:id="30" w:name="_Toc236220891"/>
      <w:bookmarkEnd w:id="29"/>
      <w:r>
        <w:t>Patch Management</w:t>
      </w:r>
      <w:bookmarkEnd w:id="30"/>
    </w:p>
    <w:p w14:paraId="66D893BA" w14:textId="77777777" w:rsidR="008F358B" w:rsidRDefault="00000000">
      <w:pPr>
        <w:spacing w:after="300"/>
      </w:pPr>
      <w:r>
        <w:t>To implement the Patch Management Policy, the IT department should use patch management software to monitor and deploy security updates across servers, production systems, and employee devices. IoT devices and production equipment should be included in a regular maintenance schedule to ensure that firmware and software updates are installed without disrupting production. Critical security updates should be tested before deployment and applied as quickly as possible to reduce the risk of attackers exploiting known vulnerabilities.</w:t>
      </w:r>
    </w:p>
    <w:p w14:paraId="1DA83DB5" w14:textId="77777777" w:rsidR="008F358B" w:rsidRDefault="00000000">
      <w:pPr>
        <w:pStyle w:val="Heading3"/>
      </w:pPr>
      <w:bookmarkStart w:id="31" w:name="__RefHeading___Toc344_3166590948"/>
      <w:bookmarkStart w:id="32" w:name="_Toc236220892"/>
      <w:bookmarkEnd w:id="31"/>
      <w:r>
        <w:t>Removable Media and USB Devices</w:t>
      </w:r>
      <w:bookmarkEnd w:id="32"/>
    </w:p>
    <w:p w14:paraId="5A541B40" w14:textId="77777777" w:rsidR="008F358B" w:rsidRDefault="00000000">
      <w:pPr>
        <w:spacing w:after="300"/>
      </w:pPr>
      <w:r>
        <w:t>To implement the Removable Media and USB Device Policy, SFM should disable or physically block USB ports on production machines where they are not required. Only company-approved encrypted USB devices should be permitted, and all removable media should be scanned automatically using antivirus software before use. Regular inspections and employee awareness training should also be carried out to ensure that staff follow the company's procedures when transferring files.</w:t>
      </w:r>
    </w:p>
    <w:p w14:paraId="67A63F90" w14:textId="77777777" w:rsidR="008F358B" w:rsidRDefault="00000000">
      <w:pPr>
        <w:pStyle w:val="Heading3"/>
      </w:pPr>
      <w:bookmarkStart w:id="33" w:name="__RefHeading___Toc346_3166590948"/>
      <w:bookmarkStart w:id="34" w:name="_Toc236220893"/>
      <w:bookmarkEnd w:id="33"/>
      <w:r>
        <w:lastRenderedPageBreak/>
        <w:t>Third-Party and Supplier Security</w:t>
      </w:r>
      <w:bookmarkEnd w:id="34"/>
    </w:p>
    <w:p w14:paraId="6FE164EE" w14:textId="77777777" w:rsidR="008F358B" w:rsidRDefault="00000000">
      <w:pPr>
        <w:spacing w:after="300"/>
      </w:pPr>
      <w:r>
        <w:t>To implement the Third-Party and Supplier Security Policy, SFM should carry out a security assessment before granting suppliers or contractors access to its systems. This assessment could include reviewing the supplier's cybersecurity policies, security certifications, and incident response procedures. Third-party access should be limited to the systems required for their work, monitored regularly, and removed immediately once the contract or project has ended. These measures help reduce the risk of supply chain attacks and protect SFM's production systems and confidential information.</w:t>
      </w:r>
    </w:p>
    <w:p w14:paraId="34E9F4B3" w14:textId="77777777" w:rsidR="008F358B" w:rsidRDefault="00000000">
      <w:pPr>
        <w:pStyle w:val="Heading1"/>
      </w:pPr>
      <w:bookmarkStart w:id="35" w:name="__RefHeading___Toc348_3166590948"/>
      <w:bookmarkStart w:id="36" w:name="_Toc236220894"/>
      <w:bookmarkEnd w:id="35"/>
      <w:r>
        <w:t>4. Monitoring and Incident Response</w:t>
      </w:r>
      <w:bookmarkEnd w:id="36"/>
    </w:p>
    <w:p w14:paraId="0E5D42C9" w14:textId="77777777" w:rsidR="008F358B" w:rsidRDefault="00000000">
      <w:pPr>
        <w:spacing w:after="200"/>
      </w:pPr>
      <w:r>
        <w:t xml:space="preserve">SFM should continuously monitor its network using a central security monitoring system, such as a Security Information and Event Management (SIEM) solution, which collects and analyses logs from servers, cloud services, IoT devices, firewalls, and production systems. This system should generate automatic alerts whenever suspicious activity is detected, allowing the IT team to respond quickly. Examples of warning signs include repeated failed login attempts, unusual remote access, unexpected communication from IoT devices, abnormal network traffic, or large numbers of files being accessed or modified within a short period of time. Continuous monitoring helps SFM identify potential </w:t>
      </w:r>
      <w:proofErr w:type="spellStart"/>
      <w:r>
        <w:t>cyber attacks</w:t>
      </w:r>
      <w:proofErr w:type="spellEnd"/>
      <w:r>
        <w:t xml:space="preserve"> at an early stage and reduce their impact on production operations. This approach also reflects the Detect and Respond functions of the NIST Cybersecurity Framework [2] by helping SFM identify potential threats early and respond quickly to minimise their impact.</w:t>
      </w:r>
    </w:p>
    <w:p w14:paraId="2AD7BEA3" w14:textId="77777777" w:rsidR="008F358B" w:rsidRDefault="00000000">
      <w:pPr>
        <w:spacing w:after="200"/>
      </w:pPr>
      <w:r>
        <w:t>When a threat is identified, SFM should follow a structured incident response plan, illustrated in Figure 1 below. The affected device must first be isolated from the network, rather than shut down, so that evidence is preserved. The IT team should then investigate system logs to trace how the attack occurred before containing it, recovering affected systems from clean backups, and reviewing security controls to prevent similar incidents in the future.</w:t>
      </w:r>
    </w:p>
    <w:p w14:paraId="31B92DBC" w14:textId="77777777" w:rsidR="008F358B" w:rsidRDefault="00000000">
      <w:pPr>
        <w:spacing w:after="100"/>
        <w:jc w:val="center"/>
      </w:pPr>
      <w:r>
        <w:rPr>
          <w:noProof/>
        </w:rPr>
        <w:drawing>
          <wp:inline distT="0" distB="0" distL="0" distR="0" wp14:anchorId="45D96507" wp14:editId="400586D3">
            <wp:extent cx="3810000" cy="44767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5"/>
                    <a:stretch>
                      <a:fillRect/>
                    </a:stretch>
                  </pic:blipFill>
                  <pic:spPr bwMode="auto">
                    <a:xfrm>
                      <a:off x="0" y="0"/>
                      <a:ext cx="3810000" cy="4476750"/>
                    </a:xfrm>
                    <a:prstGeom prst="rect">
                      <a:avLst/>
                    </a:prstGeom>
                  </pic:spPr>
                </pic:pic>
              </a:graphicData>
            </a:graphic>
          </wp:inline>
        </w:drawing>
      </w:r>
    </w:p>
    <w:p w14:paraId="281C59D1" w14:textId="77777777" w:rsidR="008F358B" w:rsidRDefault="00000000">
      <w:pPr>
        <w:spacing w:after="300"/>
        <w:jc w:val="center"/>
      </w:pPr>
      <w:r>
        <w:rPr>
          <w:i/>
          <w:iCs/>
        </w:rPr>
        <w:t>Figure 1: SFM incident monitoring and response process</w:t>
      </w:r>
    </w:p>
    <w:p w14:paraId="62AE7C91" w14:textId="77777777" w:rsidR="008F358B" w:rsidRDefault="00000000">
      <w:pPr>
        <w:pStyle w:val="Heading1"/>
      </w:pPr>
      <w:bookmarkStart w:id="37" w:name="__RefHeading___Toc350_3166590948"/>
      <w:bookmarkStart w:id="38" w:name="_Toc236220895"/>
      <w:bookmarkEnd w:id="37"/>
      <w:r>
        <w:lastRenderedPageBreak/>
        <w:t>5. Training and Awareness</w:t>
      </w:r>
      <w:bookmarkEnd w:id="38"/>
    </w:p>
    <w:p w14:paraId="5AEDB81E" w14:textId="77777777" w:rsidR="008F358B" w:rsidRDefault="00000000">
      <w:pPr>
        <w:spacing w:after="200"/>
      </w:pPr>
      <w:r>
        <w:t>SFM should provide cybersecurity awareness training to all employees as part of their induction process, followed by mandatory annual refresher training. Short awareness sessions or security updates should also be delivered throughout the year to keep staff informed about new cyber threats. While all employees should receive general cybersecurity training, additional role-specific training should be provided for departments facing higher risks. For example, employees in the purchasing department should receive extra training on phishing, supplier fraud, and social engineering, while production staff should focus on the safe use of USB devices, workstation security, and reporting suspicious activity. The training should also cover password security, multi-factor authentication, and the safe use of artificial intelligence tools, ensuring that employees understand what company information can be shared with AI systems and what confidential information must never be disclosed. Regular training helps reduce human error and strengthens SFM's overall cybersecurity posture.</w:t>
      </w:r>
    </w:p>
    <w:p w14:paraId="6CBD30E3" w14:textId="77777777" w:rsidR="008F358B" w:rsidRDefault="00000000">
      <w:pPr>
        <w:spacing w:after="300"/>
      </w:pPr>
      <w:r>
        <w:t>The effectiveness of the training programme should be assessed regularly through simulated phishing exercises and employee participation records. A reduction in the number of employees who click on simulated phishing emails, together with an increase in reported suspicious emails, would help SFM measure whether the training is improving staff awareness and reducing cyber risks.</w:t>
      </w:r>
    </w:p>
    <w:p w14:paraId="31095413" w14:textId="77777777" w:rsidR="008F358B" w:rsidRDefault="00000000">
      <w:pPr>
        <w:pStyle w:val="Heading1"/>
      </w:pPr>
      <w:bookmarkStart w:id="39" w:name="__RefHeading___Toc352_3166590948"/>
      <w:bookmarkStart w:id="40" w:name="_Toc236220896"/>
      <w:bookmarkEnd w:id="39"/>
      <w:r>
        <w:t>Conclusion</w:t>
      </w:r>
      <w:bookmarkEnd w:id="40"/>
    </w:p>
    <w:p w14:paraId="4DEB2E0D" w14:textId="77777777" w:rsidR="008F358B" w:rsidRDefault="00000000">
      <w:pPr>
        <w:spacing w:after="300"/>
      </w:pPr>
      <w:r>
        <w:t xml:space="preserve">This report has identified the main cybersecurity threats facing SFM and examined how they could affect the company's production systems, business operations, and confidential information. It has also proposed a range of security policies, practical implementation measures, network monitoring procedures, and employee training to reduce these risks. Together, these recommendations show that effective cybersecurity depends not only on technology but also on well-defined processes and informed employees who understand their role in protecting the organisation. By implementing these measures, SFM can strengthen its overall security posture, reduce the likelihood of future cyber incidents, and protect its operations, reputation, and relationships with its automotive and aerospace clients. Following recognised frameworks such as ISO/IEC 27001 [1] and the NIST Cybersecurity Framework [2] will help SFM improve its cybersecurity and reduce the risk of future </w:t>
      </w:r>
      <w:proofErr w:type="spellStart"/>
      <w:r>
        <w:t>cyber attacks</w:t>
      </w:r>
      <w:proofErr w:type="spellEnd"/>
      <w:r>
        <w:t>.</w:t>
      </w:r>
    </w:p>
    <w:p w14:paraId="525277B2" w14:textId="77777777" w:rsidR="008F358B" w:rsidRDefault="00000000">
      <w:pPr>
        <w:pStyle w:val="Heading1"/>
      </w:pPr>
      <w:bookmarkStart w:id="41" w:name="__RefHeading___Toc354_3166590948"/>
      <w:bookmarkStart w:id="42" w:name="_Toc236220897"/>
      <w:bookmarkEnd w:id="41"/>
      <w:r>
        <w:t>References</w:t>
      </w:r>
      <w:bookmarkEnd w:id="42"/>
    </w:p>
    <w:p w14:paraId="40C6D2BD" w14:textId="77777777" w:rsidR="008F358B" w:rsidRDefault="00000000">
      <w:r>
        <w:t>[1] International Organization for Standardization, ISO/IEC 27001:2022 Information security, cybersecurity and privacy protection — Information security management systems — Requirements. Geneva: ISO, 2022.</w:t>
      </w:r>
    </w:p>
    <w:p w14:paraId="268F65CB" w14:textId="77777777" w:rsidR="008F358B" w:rsidRDefault="00000000">
      <w:r>
        <w:t>[2] National Institute of Standards and Technology, The NIST Cybersecurity Framework (CSF) 2.0. Gaithersburg, MD: U.S. Department of Commerce, 2024.</w:t>
      </w:r>
    </w:p>
    <w:p w14:paraId="6640DB02" w14:textId="77777777" w:rsidR="008F358B" w:rsidRDefault="00000000">
      <w:pPr>
        <w:spacing w:after="100"/>
      </w:pPr>
      <w:r>
        <w:t>[3] BitSight, "Top 3 Cyber Threats on Manufacturing in 2025," BitSight TRACE Research, 2025. [Online]. Available: https://www.bitsight.com/blog/inside-cyber-threats-in-manufacturing-2025 [Accessed: 14-Jul-2026].</w:t>
      </w:r>
    </w:p>
    <w:p w14:paraId="611ED9C1" w14:textId="77777777" w:rsidR="008F358B" w:rsidRDefault="00000000">
      <w:pPr>
        <w:spacing w:after="100"/>
      </w:pPr>
      <w:r>
        <w:t>[4] Sophos, "The State of Ransomware in Manufacturing and Production 2025," 2025. [Online]. Available: https://www.sophos.com/en-us/blog/the-state-of-ransomware-in-manufacturing-and-production-2025 [Accessed: 14-Jul-2026].</w:t>
      </w:r>
    </w:p>
    <w:p w14:paraId="7794AEE1" w14:textId="77777777" w:rsidR="008F358B" w:rsidRDefault="008F358B"/>
    <w:p w14:paraId="1E05F1EA" w14:textId="77777777" w:rsidR="008F358B" w:rsidRDefault="008F358B"/>
    <w:p w14:paraId="651E615E" w14:textId="77777777" w:rsidR="008F358B" w:rsidRDefault="00000000">
      <w:r>
        <w:br w:type="page"/>
      </w:r>
    </w:p>
    <w:p w14:paraId="598A384D" w14:textId="77777777" w:rsidR="008F358B" w:rsidRDefault="00000000">
      <w:pPr>
        <w:pStyle w:val="Heading1"/>
        <w:spacing w:before="0"/>
      </w:pPr>
      <w:bookmarkStart w:id="43" w:name="__RefHeading___Toc356_3166590948"/>
      <w:bookmarkStart w:id="44" w:name="_Toc236220898"/>
      <w:bookmarkEnd w:id="43"/>
      <w:r>
        <w:lastRenderedPageBreak/>
        <w:t>Appendix: PowerPoint Presentation Slides</w:t>
      </w:r>
      <w:bookmarkEnd w:id="44"/>
    </w:p>
    <w:p w14:paraId="269EC40E" w14:textId="77777777" w:rsidR="008F358B" w:rsidRDefault="00000000">
      <w:pPr>
        <w:jc w:val="center"/>
      </w:pPr>
      <w:r>
        <w:rPr>
          <w:noProof/>
        </w:rPr>
        <w:drawing>
          <wp:inline distT="0" distB="0" distL="0" distR="0" wp14:anchorId="2F1218DB" wp14:editId="645058FB">
            <wp:extent cx="5760720" cy="30651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6"/>
                    <a:stretch>
                      <a:fillRect/>
                    </a:stretch>
                  </pic:blipFill>
                  <pic:spPr bwMode="auto">
                    <a:xfrm>
                      <a:off x="0" y="0"/>
                      <a:ext cx="5760720" cy="3065145"/>
                    </a:xfrm>
                    <a:prstGeom prst="rect">
                      <a:avLst/>
                    </a:prstGeom>
                  </pic:spPr>
                </pic:pic>
              </a:graphicData>
            </a:graphic>
          </wp:inline>
        </w:drawing>
      </w:r>
    </w:p>
    <w:p w14:paraId="33D41E02" w14:textId="77777777" w:rsidR="008F358B" w:rsidRDefault="00000000">
      <w:pPr>
        <w:jc w:val="center"/>
      </w:pPr>
      <w:r>
        <w:rPr>
          <w:i/>
        </w:rPr>
        <w:t>Slide 1</w:t>
      </w:r>
    </w:p>
    <w:p w14:paraId="6B901328" w14:textId="77777777" w:rsidR="008F358B" w:rsidRDefault="008F358B"/>
    <w:p w14:paraId="113BDCF8" w14:textId="77777777" w:rsidR="008F358B" w:rsidRDefault="00000000">
      <w:pPr>
        <w:jc w:val="center"/>
      </w:pPr>
      <w:r>
        <w:rPr>
          <w:noProof/>
        </w:rPr>
        <w:drawing>
          <wp:inline distT="0" distB="0" distL="0" distR="0" wp14:anchorId="797283B3" wp14:editId="39336729">
            <wp:extent cx="5760720" cy="30537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7"/>
                    <a:stretch>
                      <a:fillRect/>
                    </a:stretch>
                  </pic:blipFill>
                  <pic:spPr bwMode="auto">
                    <a:xfrm>
                      <a:off x="0" y="0"/>
                      <a:ext cx="5760720" cy="3053715"/>
                    </a:xfrm>
                    <a:prstGeom prst="rect">
                      <a:avLst/>
                    </a:prstGeom>
                  </pic:spPr>
                </pic:pic>
              </a:graphicData>
            </a:graphic>
          </wp:inline>
        </w:drawing>
      </w:r>
    </w:p>
    <w:p w14:paraId="4098DE40" w14:textId="77777777" w:rsidR="008F358B" w:rsidRDefault="00000000">
      <w:pPr>
        <w:jc w:val="center"/>
      </w:pPr>
      <w:r>
        <w:rPr>
          <w:i/>
        </w:rPr>
        <w:t>Slide 2</w:t>
      </w:r>
    </w:p>
    <w:p w14:paraId="43931404" w14:textId="77777777" w:rsidR="008F358B" w:rsidRDefault="008F358B"/>
    <w:p w14:paraId="7C73C454" w14:textId="77777777" w:rsidR="008F358B" w:rsidRDefault="00000000">
      <w:pPr>
        <w:jc w:val="center"/>
      </w:pPr>
      <w:r>
        <w:rPr>
          <w:noProof/>
        </w:rPr>
        <w:lastRenderedPageBreak/>
        <w:drawing>
          <wp:inline distT="0" distB="0" distL="0" distR="0" wp14:anchorId="04095090" wp14:editId="74644E6B">
            <wp:extent cx="5760720" cy="3067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8"/>
                    <a:stretch>
                      <a:fillRect/>
                    </a:stretch>
                  </pic:blipFill>
                  <pic:spPr bwMode="auto">
                    <a:xfrm>
                      <a:off x="0" y="0"/>
                      <a:ext cx="5760720" cy="3067050"/>
                    </a:xfrm>
                    <a:prstGeom prst="rect">
                      <a:avLst/>
                    </a:prstGeom>
                  </pic:spPr>
                </pic:pic>
              </a:graphicData>
            </a:graphic>
          </wp:inline>
        </w:drawing>
      </w:r>
    </w:p>
    <w:p w14:paraId="003FB36B" w14:textId="77777777" w:rsidR="008F358B" w:rsidRDefault="00000000">
      <w:pPr>
        <w:jc w:val="center"/>
      </w:pPr>
      <w:r>
        <w:rPr>
          <w:i/>
        </w:rPr>
        <w:t>Slide 3</w:t>
      </w:r>
    </w:p>
    <w:p w14:paraId="26D2CEBD" w14:textId="77777777" w:rsidR="008F358B" w:rsidRDefault="008F358B"/>
    <w:p w14:paraId="0051EB5A" w14:textId="77777777" w:rsidR="008F358B" w:rsidRDefault="00000000">
      <w:pPr>
        <w:jc w:val="center"/>
      </w:pPr>
      <w:r>
        <w:rPr>
          <w:noProof/>
        </w:rPr>
        <w:drawing>
          <wp:inline distT="0" distB="0" distL="0" distR="0" wp14:anchorId="47216238" wp14:editId="66C1E837">
            <wp:extent cx="5760720" cy="30873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9"/>
                    <a:stretch>
                      <a:fillRect/>
                    </a:stretch>
                  </pic:blipFill>
                  <pic:spPr bwMode="auto">
                    <a:xfrm>
                      <a:off x="0" y="0"/>
                      <a:ext cx="5760720" cy="3087370"/>
                    </a:xfrm>
                    <a:prstGeom prst="rect">
                      <a:avLst/>
                    </a:prstGeom>
                  </pic:spPr>
                </pic:pic>
              </a:graphicData>
            </a:graphic>
          </wp:inline>
        </w:drawing>
      </w:r>
    </w:p>
    <w:p w14:paraId="61BE9085" w14:textId="77777777" w:rsidR="008F358B" w:rsidRDefault="00000000">
      <w:pPr>
        <w:jc w:val="center"/>
      </w:pPr>
      <w:r>
        <w:rPr>
          <w:i/>
        </w:rPr>
        <w:t>Slide 4</w:t>
      </w:r>
    </w:p>
    <w:p w14:paraId="66BB1A54" w14:textId="77777777" w:rsidR="008F358B" w:rsidRDefault="008F358B"/>
    <w:p w14:paraId="32EDF2D7" w14:textId="77777777" w:rsidR="008F358B" w:rsidRDefault="00000000">
      <w:pPr>
        <w:jc w:val="center"/>
      </w:pPr>
      <w:r>
        <w:rPr>
          <w:noProof/>
        </w:rPr>
        <w:lastRenderedPageBreak/>
        <w:drawing>
          <wp:inline distT="0" distB="0" distL="0" distR="0" wp14:anchorId="37F67912" wp14:editId="058F8162">
            <wp:extent cx="5760720" cy="30626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tretch>
                      <a:fillRect/>
                    </a:stretch>
                  </pic:blipFill>
                  <pic:spPr bwMode="auto">
                    <a:xfrm>
                      <a:off x="0" y="0"/>
                      <a:ext cx="5760720" cy="3062605"/>
                    </a:xfrm>
                    <a:prstGeom prst="rect">
                      <a:avLst/>
                    </a:prstGeom>
                  </pic:spPr>
                </pic:pic>
              </a:graphicData>
            </a:graphic>
          </wp:inline>
        </w:drawing>
      </w:r>
    </w:p>
    <w:p w14:paraId="6D89F247" w14:textId="77777777" w:rsidR="008F358B" w:rsidRDefault="00000000">
      <w:pPr>
        <w:jc w:val="center"/>
        <w:rPr>
          <w:i/>
        </w:rPr>
      </w:pPr>
      <w:r>
        <w:rPr>
          <w:i/>
        </w:rPr>
        <w:t>Slide 5</w:t>
      </w:r>
    </w:p>
    <w:p w14:paraId="60207544" w14:textId="77777777" w:rsidR="008F358B" w:rsidRDefault="008F358B">
      <w:pPr>
        <w:jc w:val="center"/>
      </w:pPr>
    </w:p>
    <w:p w14:paraId="583FAC0F" w14:textId="77777777" w:rsidR="008F358B" w:rsidRDefault="00000000">
      <w:pPr>
        <w:jc w:val="center"/>
      </w:pPr>
      <w:r>
        <w:rPr>
          <w:noProof/>
        </w:rPr>
        <w:drawing>
          <wp:inline distT="0" distB="0" distL="0" distR="0" wp14:anchorId="6D6337E8" wp14:editId="1264BF09">
            <wp:extent cx="5760720" cy="30651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1"/>
                    <a:stretch>
                      <a:fillRect/>
                    </a:stretch>
                  </pic:blipFill>
                  <pic:spPr bwMode="auto">
                    <a:xfrm>
                      <a:off x="0" y="0"/>
                      <a:ext cx="5760720" cy="3065145"/>
                    </a:xfrm>
                    <a:prstGeom prst="rect">
                      <a:avLst/>
                    </a:prstGeom>
                  </pic:spPr>
                </pic:pic>
              </a:graphicData>
            </a:graphic>
          </wp:inline>
        </w:drawing>
      </w:r>
    </w:p>
    <w:p w14:paraId="1DB8AD0B" w14:textId="77777777" w:rsidR="008F358B" w:rsidRDefault="00000000">
      <w:pPr>
        <w:jc w:val="center"/>
      </w:pPr>
      <w:r>
        <w:rPr>
          <w:i/>
        </w:rPr>
        <w:t>Slide 6</w:t>
      </w:r>
    </w:p>
    <w:p w14:paraId="50D3408F" w14:textId="77777777" w:rsidR="008F358B" w:rsidRDefault="008F358B"/>
    <w:p w14:paraId="53608551" w14:textId="77777777" w:rsidR="008F358B" w:rsidRDefault="00000000">
      <w:pPr>
        <w:jc w:val="center"/>
      </w:pPr>
      <w:r>
        <w:rPr>
          <w:noProof/>
        </w:rPr>
        <w:lastRenderedPageBreak/>
        <w:drawing>
          <wp:inline distT="0" distB="0" distL="0" distR="0" wp14:anchorId="3E018A92" wp14:editId="5C2DD5C2">
            <wp:extent cx="5760720" cy="30568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12"/>
                    <a:stretch>
                      <a:fillRect/>
                    </a:stretch>
                  </pic:blipFill>
                  <pic:spPr bwMode="auto">
                    <a:xfrm>
                      <a:off x="0" y="0"/>
                      <a:ext cx="5760720" cy="3056890"/>
                    </a:xfrm>
                    <a:prstGeom prst="rect">
                      <a:avLst/>
                    </a:prstGeom>
                  </pic:spPr>
                </pic:pic>
              </a:graphicData>
            </a:graphic>
          </wp:inline>
        </w:drawing>
      </w:r>
    </w:p>
    <w:p w14:paraId="38E74653" w14:textId="77777777" w:rsidR="008F358B" w:rsidRDefault="00000000">
      <w:pPr>
        <w:jc w:val="center"/>
        <w:rPr>
          <w:i/>
        </w:rPr>
      </w:pPr>
      <w:r>
        <w:rPr>
          <w:i/>
        </w:rPr>
        <w:t>Slide 7</w:t>
      </w:r>
    </w:p>
    <w:p w14:paraId="1B81A616" w14:textId="77777777" w:rsidR="008F358B" w:rsidRDefault="008F358B">
      <w:pPr>
        <w:jc w:val="center"/>
      </w:pPr>
    </w:p>
    <w:p w14:paraId="57CD5BDA" w14:textId="77777777" w:rsidR="008F358B" w:rsidRDefault="00000000">
      <w:pPr>
        <w:jc w:val="center"/>
      </w:pPr>
      <w:r>
        <w:rPr>
          <w:noProof/>
        </w:rPr>
        <w:drawing>
          <wp:inline distT="0" distB="0" distL="0" distR="0" wp14:anchorId="656E61B2" wp14:editId="56A6CAEC">
            <wp:extent cx="5760720" cy="31095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3"/>
                    <a:stretch>
                      <a:fillRect/>
                    </a:stretch>
                  </pic:blipFill>
                  <pic:spPr bwMode="auto">
                    <a:xfrm>
                      <a:off x="0" y="0"/>
                      <a:ext cx="5760720" cy="3109595"/>
                    </a:xfrm>
                    <a:prstGeom prst="rect">
                      <a:avLst/>
                    </a:prstGeom>
                  </pic:spPr>
                </pic:pic>
              </a:graphicData>
            </a:graphic>
          </wp:inline>
        </w:drawing>
      </w:r>
    </w:p>
    <w:p w14:paraId="7C49AD6F" w14:textId="77777777" w:rsidR="008F358B" w:rsidRDefault="00000000">
      <w:pPr>
        <w:jc w:val="center"/>
      </w:pPr>
      <w:r>
        <w:rPr>
          <w:i/>
        </w:rPr>
        <w:t>Slide 8</w:t>
      </w:r>
    </w:p>
    <w:p w14:paraId="318F631A" w14:textId="77777777" w:rsidR="008F358B" w:rsidRDefault="008F358B"/>
    <w:sectPr w:rsidR="008F358B">
      <w:pgSz w:w="11906" w:h="16838"/>
      <w:pgMar w:top="1440" w:right="1440" w:bottom="1440" w:left="144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iberation Sans">
    <w:altName w:val="Arial"/>
    <w:charset w:val="00"/>
    <w:family w:val="swiss"/>
    <w:pitch w:val="variable"/>
  </w:font>
  <w:font w:name="Noto Sans CJK SC">
    <w:panose1 w:val="00000000000000000000"/>
    <w:charset w:val="00"/>
    <w:family w:val="roman"/>
    <w:notTrueType/>
    <w:pitch w:val="default"/>
  </w:font>
  <w:font w:name="FreeSans">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58B"/>
    <w:rsid w:val="0042357C"/>
    <w:rsid w:val="008F358B"/>
    <w:rsid w:val="00BE4EDF"/>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61B8B"/>
  <w15:docId w15:val="{90F5A873-B040-48D7-9C87-3B2FEF7A7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E13"/>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70E13"/>
    <w:pPr>
      <w:keepNext/>
      <w:keepLines/>
      <w:spacing w:before="360" w:after="80" w:line="276"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070E13"/>
    <w:pPr>
      <w:keepNext/>
      <w:keepLines/>
      <w:spacing w:before="160" w:after="80" w:line="276"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070E13"/>
    <w:pPr>
      <w:keepNext/>
      <w:keepLines/>
      <w:spacing w:before="160" w:after="80" w:line="276"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70E13"/>
    <w:pPr>
      <w:keepNext/>
      <w:keepLines/>
      <w:spacing w:before="80" w:after="40" w:line="276"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070E13"/>
    <w:pPr>
      <w:keepNext/>
      <w:keepLines/>
      <w:spacing w:before="80" w:after="40" w:line="276"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070E13"/>
    <w:pPr>
      <w:keepNext/>
      <w:keepLines/>
      <w:spacing w:before="40" w:line="276"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070E13"/>
    <w:pPr>
      <w:keepNext/>
      <w:keepLines/>
      <w:spacing w:before="40" w:line="276"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070E13"/>
    <w:pPr>
      <w:keepNext/>
      <w:keepLines/>
      <w:spacing w:line="276"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070E13"/>
    <w:pPr>
      <w:keepNext/>
      <w:keepLines/>
      <w:spacing w:line="276"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070E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sid w:val="00070E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sid w:val="00070E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070E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070E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070E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070E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070E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070E13"/>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070E13"/>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070E13"/>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070E13"/>
    <w:rPr>
      <w:i/>
      <w:iCs/>
      <w:color w:val="404040" w:themeColor="text1" w:themeTint="BF"/>
    </w:rPr>
  </w:style>
  <w:style w:type="character" w:styleId="IntenseEmphasis">
    <w:name w:val="Intense Emphasis"/>
    <w:basedOn w:val="DefaultParagraphFont"/>
    <w:uiPriority w:val="21"/>
    <w:qFormat/>
    <w:rsid w:val="00070E13"/>
    <w:rPr>
      <w:i/>
      <w:iCs/>
      <w:color w:val="0F4761" w:themeColor="accent1" w:themeShade="BF"/>
    </w:rPr>
  </w:style>
  <w:style w:type="character" w:customStyle="1" w:styleId="IntenseQuoteChar">
    <w:name w:val="Intense Quote Char"/>
    <w:basedOn w:val="DefaultParagraphFont"/>
    <w:link w:val="IntenseQuote"/>
    <w:uiPriority w:val="30"/>
    <w:qFormat/>
    <w:rsid w:val="00070E13"/>
    <w:rPr>
      <w:i/>
      <w:iCs/>
      <w:color w:val="0F4761" w:themeColor="accent1" w:themeShade="BF"/>
    </w:rPr>
  </w:style>
  <w:style w:type="character" w:styleId="IntenseReference">
    <w:name w:val="Intense Reference"/>
    <w:basedOn w:val="DefaultParagraphFont"/>
    <w:uiPriority w:val="32"/>
    <w:qFormat/>
    <w:rsid w:val="00070E13"/>
    <w:rPr>
      <w:b/>
      <w:bCs/>
      <w:smallCaps/>
      <w:color w:val="0F4761" w:themeColor="accent1" w:themeShade="BF"/>
      <w:spacing w:val="5"/>
    </w:rPr>
  </w:style>
  <w:style w:type="character" w:styleId="Hyperlink">
    <w:name w:val="Hyperlink"/>
    <w:basedOn w:val="DefaultParagraphFont"/>
    <w:uiPriority w:val="99"/>
    <w:unhideWhenUsed/>
    <w:rsid w:val="00851E22"/>
    <w:rPr>
      <w:color w:val="467886"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FreeSans"/>
      <w:sz w:val="28"/>
      <w:szCs w:val="28"/>
    </w:rPr>
  </w:style>
  <w:style w:type="paragraph" w:styleId="BodyText">
    <w:name w:val="Body Text"/>
    <w:basedOn w:val="Normal"/>
    <w:pPr>
      <w:spacing w:after="140" w:line="276" w:lineRule="auto"/>
    </w:pPr>
  </w:style>
  <w:style w:type="paragraph" w:styleId="List">
    <w:name w:val="List"/>
    <w:basedOn w:val="BodyText"/>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Title">
    <w:name w:val="Title"/>
    <w:basedOn w:val="Normal"/>
    <w:next w:val="Normal"/>
    <w:link w:val="TitleChar"/>
    <w:uiPriority w:val="10"/>
    <w:qFormat/>
    <w:rsid w:val="00070E13"/>
    <w:pPr>
      <w:spacing w:after="80"/>
      <w:contextualSpacing/>
    </w:pPr>
    <w:rPr>
      <w:rFonts w:asciiTheme="majorHAnsi" w:eastAsiaTheme="majorEastAsia" w:hAnsiTheme="majorHAnsi" w:cstheme="majorBidi"/>
      <w:spacing w:val="-10"/>
      <w:kern w:val="2"/>
      <w:sz w:val="56"/>
      <w:szCs w:val="56"/>
      <w:lang w:eastAsia="en-US"/>
      <w14:ligatures w14:val="standardContextual"/>
    </w:rPr>
  </w:style>
  <w:style w:type="paragraph" w:styleId="Subtitle">
    <w:name w:val="Subtitle"/>
    <w:basedOn w:val="Normal"/>
    <w:next w:val="Normal"/>
    <w:link w:val="SubtitleChar"/>
    <w:uiPriority w:val="11"/>
    <w:qFormat/>
    <w:rsid w:val="00070E13"/>
    <w:pPr>
      <w:spacing w:after="160" w:line="276"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paragraph" w:styleId="Quote">
    <w:name w:val="Quote"/>
    <w:basedOn w:val="Normal"/>
    <w:next w:val="Normal"/>
    <w:link w:val="QuoteChar"/>
    <w:uiPriority w:val="29"/>
    <w:qFormat/>
    <w:rsid w:val="00070E13"/>
    <w:pPr>
      <w:spacing w:before="160" w:after="160" w:line="276"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paragraph" w:styleId="ListParagraph">
    <w:name w:val="List Paragraph"/>
    <w:basedOn w:val="Normal"/>
    <w:uiPriority w:val="34"/>
    <w:qFormat/>
    <w:rsid w:val="00070E13"/>
    <w:pPr>
      <w:spacing w:after="160" w:line="276" w:lineRule="auto"/>
      <w:ind w:left="720"/>
      <w:contextualSpacing/>
    </w:pPr>
    <w:rPr>
      <w:kern w:val="2"/>
      <w:szCs w:val="24"/>
      <w:lang w:eastAsia="en-US"/>
      <w14:ligatures w14:val="standardContextual"/>
    </w:rPr>
  </w:style>
  <w:style w:type="paragraph" w:styleId="IntenseQuote">
    <w:name w:val="Intense Quote"/>
    <w:basedOn w:val="Normal"/>
    <w:next w:val="Normal"/>
    <w:link w:val="IntenseQuoteChar"/>
    <w:uiPriority w:val="30"/>
    <w:qFormat/>
    <w:rsid w:val="00070E13"/>
    <w:pPr>
      <w:pBdr>
        <w:top w:val="single" w:sz="4" w:space="10" w:color="0F4761" w:themeColor="accent1" w:themeShade="BF"/>
        <w:bottom w:val="single" w:sz="4" w:space="10" w:color="0F4761" w:themeColor="accent1" w:themeShade="BF"/>
      </w:pBdr>
      <w:spacing w:before="360" w:after="360" w:line="276"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paragraph" w:styleId="TOC1">
    <w:name w:val="toc 1"/>
    <w:basedOn w:val="Normal"/>
    <w:next w:val="Normal"/>
    <w:autoRedefine/>
    <w:uiPriority w:val="39"/>
    <w:unhideWhenUsed/>
    <w:rsid w:val="00851E22"/>
    <w:pPr>
      <w:spacing w:after="100"/>
    </w:pPr>
  </w:style>
  <w:style w:type="paragraph" w:styleId="TOC2">
    <w:name w:val="toc 2"/>
    <w:basedOn w:val="Normal"/>
    <w:next w:val="Normal"/>
    <w:autoRedefine/>
    <w:uiPriority w:val="39"/>
    <w:unhideWhenUsed/>
    <w:rsid w:val="00851E22"/>
    <w:pPr>
      <w:spacing w:after="100"/>
      <w:ind w:left="200"/>
    </w:pPr>
  </w:style>
  <w:style w:type="paragraph" w:styleId="TOC3">
    <w:name w:val="toc 3"/>
    <w:basedOn w:val="Normal"/>
    <w:next w:val="Normal"/>
    <w:autoRedefine/>
    <w:uiPriority w:val="39"/>
    <w:unhideWhenUsed/>
    <w:rsid w:val="00851E22"/>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12700" cap="flat" cmpd="sng" algn="ctr">
          <a:prstDash val="solid"/>
          <a:miter lim="800000"/>
        </a:ln>
        <a:ln w="19050" cap="flat" cmpd="sng" algn="ctr">
          <a:prstDash val="solid"/>
          <a:miter lim="800000"/>
        </a:ln>
        <a:ln w="2540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2857</Words>
  <Characters>16287</Characters>
  <Application>Microsoft Office Word</Application>
  <DocSecurity>0</DocSecurity>
  <Lines>135</Lines>
  <Paragraphs>38</Paragraphs>
  <ScaleCrop>false</ScaleCrop>
  <Company/>
  <LinksUpToDate>false</LinksUpToDate>
  <CharactersWithSpaces>19106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Carolina Murani De Diego (2508280)</dc:creator>
  <dc:description/>
  <cp:lastModifiedBy>Maria Carolina Murani De Diego (2508280)</cp:lastModifiedBy>
  <cp:revision>2</cp:revision>
  <dcterms:created xsi:type="dcterms:W3CDTF">2026-08-12T21:13:00Z</dcterms:created>
  <dcterms:modified xsi:type="dcterms:W3CDTF">2026-08-12T21:13:00Z</dcterms:modified>
  <dc:language>en-US</dc:language>
</cp:coreProperties>
</file>