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1382D" w14:textId="541680BB" w:rsidR="008E2B08" w:rsidRDefault="008E2B08">
      <w:pPr>
        <w:spacing w:after="400"/>
        <w:jc w:val="center"/>
        <w:rPr>
          <w:b/>
          <w:bCs/>
          <w:sz w:val="28"/>
          <w:szCs w:val="28"/>
        </w:rPr>
      </w:pPr>
      <w:r>
        <w:rPr>
          <w:b/>
          <w:bCs/>
          <w:sz w:val="28"/>
          <w:szCs w:val="28"/>
        </w:rPr>
        <w:t xml:space="preserve">Marian Raducanu </w:t>
      </w:r>
    </w:p>
    <w:p w14:paraId="300B0C48" w14:textId="1EAB40AB" w:rsidR="008E2B08" w:rsidRDefault="008E2B08">
      <w:pPr>
        <w:spacing w:after="400"/>
        <w:jc w:val="center"/>
        <w:rPr>
          <w:b/>
          <w:bCs/>
          <w:sz w:val="28"/>
          <w:szCs w:val="28"/>
        </w:rPr>
      </w:pPr>
      <w:r>
        <w:rPr>
          <w:b/>
          <w:bCs/>
          <w:sz w:val="28"/>
          <w:szCs w:val="28"/>
        </w:rPr>
        <w:t>Introduction to Ethics (HPPH4902)</w:t>
      </w:r>
    </w:p>
    <w:p w14:paraId="4CC61E18" w14:textId="77777777" w:rsidR="008E2B08" w:rsidRDefault="008E2B08">
      <w:pPr>
        <w:spacing w:after="400"/>
        <w:jc w:val="center"/>
        <w:rPr>
          <w:b/>
          <w:bCs/>
          <w:sz w:val="28"/>
          <w:szCs w:val="28"/>
        </w:rPr>
      </w:pPr>
    </w:p>
    <w:p w14:paraId="4E2B7E16" w14:textId="5AAAA6BD" w:rsidR="008E2B08" w:rsidRDefault="008E2B08">
      <w:pPr>
        <w:spacing w:after="400"/>
        <w:jc w:val="center"/>
        <w:rPr>
          <w:b/>
          <w:bCs/>
          <w:sz w:val="28"/>
          <w:szCs w:val="28"/>
        </w:rPr>
      </w:pPr>
      <w:r>
        <w:rPr>
          <w:b/>
          <w:bCs/>
          <w:sz w:val="28"/>
          <w:szCs w:val="28"/>
        </w:rPr>
        <w:t>Essay</w:t>
      </w:r>
    </w:p>
    <w:p w14:paraId="7CBBF952" w14:textId="1D0CC97F" w:rsidR="00584AD8" w:rsidRDefault="00454CDC" w:rsidP="008E2B08">
      <w:pPr>
        <w:spacing w:after="400"/>
        <w:jc w:val="center"/>
      </w:pPr>
      <w:r>
        <w:rPr>
          <w:b/>
          <w:bCs/>
          <w:sz w:val="28"/>
          <w:szCs w:val="28"/>
        </w:rPr>
        <w:t>Should the Moral Worth of Our Actions Be Judged Solely on Their Consequences?</w:t>
      </w:r>
    </w:p>
    <w:p w14:paraId="5258B088" w14:textId="77777777" w:rsidR="00584AD8" w:rsidRDefault="00454CDC">
      <w:pPr>
        <w:pStyle w:val="Heading1"/>
      </w:pPr>
      <w:r>
        <w:t>Introduction</w:t>
      </w:r>
    </w:p>
    <w:p w14:paraId="2F792C72" w14:textId="77777777" w:rsidR="00584AD8" w:rsidRDefault="00454CDC">
      <w:pPr>
        <w:spacing w:after="240"/>
        <w:ind w:firstLine="720"/>
        <w:jc w:val="both"/>
      </w:pPr>
      <w:r>
        <w:t>One of the most enduring questions in moral philosophy concerns the basis upon which we ought to evaluate human actions. Should we judge an act by what it produces, or does morality demand that we look beyond outcomes to consider the intentions, rules, or character of the agent involved? Consequentialism, the view that the moral worth of an action is determined entirely by its consequences, has exercised a powerful influence over both philosophical thought and practical ethics. Yet it has also attracted sus</w:t>
      </w:r>
      <w:r>
        <w:t>tained and formidable criticism. This essay argues that whilst consequences are a morally significant consideration, they cannot alone constitute the entirety of moral evaluation. Drawing on the critiques offered by deontological and virtue-ethical traditions, it will be contended that a purely consequentialist account is insufficient, and that a more pluralistic approach is required.</w:t>
      </w:r>
    </w:p>
    <w:p w14:paraId="56AADF7D" w14:textId="77777777" w:rsidR="00584AD8" w:rsidRDefault="00454CDC">
      <w:pPr>
        <w:pStyle w:val="Heading1"/>
      </w:pPr>
      <w:r>
        <w:t>The Consequentialist Position</w:t>
      </w:r>
    </w:p>
    <w:p w14:paraId="744CA296" w14:textId="6F3616CA" w:rsidR="00584AD8" w:rsidRDefault="00454CDC">
      <w:pPr>
        <w:spacing w:after="240"/>
        <w:ind w:firstLine="720"/>
        <w:jc w:val="both"/>
      </w:pPr>
      <w:r>
        <w:t xml:space="preserve">Consequentialism holds that actions are to be judged right or wrong solely in virtue of the states of affairs they bring about. The most prominent version of this view is utilitarianism, developed in systematic form by Jeremy Bentham and later refined by John Stuart Mill. For Bentham, the principle of utility dictates that we ought always to act </w:t>
      </w:r>
      <w:r w:rsidR="008E2B08">
        <w:t>to</w:t>
      </w:r>
      <w:r>
        <w:t xml:space="preserve"> maximise the greatest happiness of the greatest number, where happiness is understood in terms of pleasure and the absence of pain.</w:t>
      </w:r>
    </w:p>
    <w:p w14:paraId="3B064F13" w14:textId="77777777" w:rsidR="00584AD8" w:rsidRDefault="00454CDC">
      <w:pPr>
        <w:spacing w:after="240"/>
        <w:ind w:firstLine="720"/>
        <w:jc w:val="both"/>
      </w:pPr>
      <w:r>
        <w:t>Mill's reformulation sought to address some of the cruder implications of Benthamite hedonism by distinguishing between higher and lower pleasures, insisting that intellectual and moral satisfactions are qualitatively superior to mere bodily gratification.¹ The appeal of consequentialism lies in its apparent common sense: surely what ultimately matters, morally speaking, is whether the world is made better or worse by what we do. If an action produces widespread suffering, it seems reasonable to judge it ne</w:t>
      </w:r>
      <w:r>
        <w:t>gatively; if it promotes well-being, positively.</w:t>
      </w:r>
    </w:p>
    <w:p w14:paraId="7C146C08" w14:textId="77777777" w:rsidR="00584AD8" w:rsidRDefault="00454CDC">
      <w:pPr>
        <w:spacing w:after="240"/>
        <w:ind w:firstLine="720"/>
        <w:jc w:val="both"/>
      </w:pPr>
      <w:r>
        <w:t>Peter Singer's influential work in applied ethics demonstrates the continuing relevance of consequentialist thinking. His argument that affluent individuals are morally required to donate significantly to alleviate global poverty rests on the straightforward consequentialist premise that if we can prevent something bad from happening without sacrificing anything of comparable moral importance, we ought to do it.² The intuitive force of this position is difficult to deny: consequences palpably matter to mora</w:t>
      </w:r>
      <w:r>
        <w:t>l assessment.</w:t>
      </w:r>
    </w:p>
    <w:p w14:paraId="368170D5" w14:textId="77777777" w:rsidR="00584AD8" w:rsidRDefault="00454CDC">
      <w:pPr>
        <w:pStyle w:val="Heading1"/>
      </w:pPr>
      <w:r>
        <w:lastRenderedPageBreak/>
        <w:t>The Deontological Challenge</w:t>
      </w:r>
    </w:p>
    <w:p w14:paraId="1ED27405" w14:textId="76001E07" w:rsidR="00584AD8" w:rsidRDefault="00454CDC">
      <w:pPr>
        <w:spacing w:after="240"/>
        <w:ind w:firstLine="720"/>
        <w:jc w:val="both"/>
      </w:pPr>
      <w:r>
        <w:t>The most trenchant philosophical challenge to consequentialism comes from the deontological tradition, most powerfully articulated by Immanuel Kant. For Kant, the moral worth of an action derives not from its consequences but from the principle, or maxim, from which it is performed. An action has genuine moral worth only when it is undertaken out of a sense of duty and in accordance with the categorical imperative: act only according to that maxim by which you can at the same time will that it should become</w:t>
      </w:r>
      <w:r>
        <w:t xml:space="preserve"> a universal </w:t>
      </w:r>
      <w:r w:rsidR="008E2B08">
        <w:t>law. ³</w:t>
      </w:r>
    </w:p>
    <w:p w14:paraId="0AB9B917" w14:textId="20863AF3" w:rsidR="00584AD8" w:rsidRDefault="00454CDC">
      <w:pPr>
        <w:spacing w:after="240"/>
        <w:ind w:firstLine="720"/>
        <w:jc w:val="both"/>
      </w:pPr>
      <w:r>
        <w:t xml:space="preserve">On Kant's account, consequences are morally irrelevant in themselves. What matters is whether the agent acts from a good will, that is, a will </w:t>
      </w:r>
      <w:r w:rsidR="008E2B08">
        <w:t>govern</w:t>
      </w:r>
      <w:r>
        <w:t xml:space="preserve"> by reason and duty rather than by inclination or the desire for favourable outcomes. A person who tells the truth </w:t>
      </w:r>
      <w:proofErr w:type="gramStart"/>
      <w:r>
        <w:t>in order to</w:t>
      </w:r>
      <w:proofErr w:type="gramEnd"/>
      <w:r>
        <w:t xml:space="preserve"> curry favour does not act morally, even if the consequences are beneficial; only the person who tells the truth because honesty is their duty acts with genuine moral worth.</w:t>
      </w:r>
    </w:p>
    <w:p w14:paraId="11FE4F98" w14:textId="0F97D06B" w:rsidR="00584AD8" w:rsidRDefault="00454CDC">
      <w:pPr>
        <w:spacing w:after="240"/>
        <w:ind w:firstLine="720"/>
        <w:jc w:val="both"/>
      </w:pPr>
      <w:r>
        <w:t xml:space="preserve">This Kantian framework generates powerful objections to consequentialism. Consider the classic case of a murderer who asks where your friend is </w:t>
      </w:r>
      <w:r w:rsidR="008E2B08">
        <w:t>hiding</w:t>
      </w:r>
      <w:r>
        <w:t xml:space="preserve"> on a purely consequentialist basis, lying would be justified to save your friend's life. Yet Kant famously argued that lying is wrong in all circumstances, since the maxim of lying cannot be universalised without contradiction. Whilst this </w:t>
      </w:r>
      <w:r w:rsidR="008E2B08">
        <w:t>conclusion</w:t>
      </w:r>
      <w:r>
        <w:t xml:space="preserve"> has been widely criticised as too rigid, the underlying intuition that certain acts, such as torture, deception, or the killing of the innocent, are wrong regardless of their consequences commands widespread moral assent. The problem of dirty hands in political philosophy reflects precisely this tension: even when consequentialist reasoning appears to justify morally questionable means, we sense that something morally significant has been violated.</w:t>
      </w:r>
    </w:p>
    <w:p w14:paraId="64404273" w14:textId="32C7315C" w:rsidR="00584AD8" w:rsidRDefault="00454CDC">
      <w:pPr>
        <w:spacing w:after="240"/>
        <w:ind w:firstLine="720"/>
        <w:jc w:val="both"/>
      </w:pPr>
      <w:r>
        <w:t xml:space="preserve">W. D. Ross offered a more flexible deontological framework through his theory of prima facie duties. Rather than insisting on absolute moral rules, Ross argued that we have a plurality of duties, including fidelity, gratitude, non-maleficence, and justice, each of which carries moral weight independently of </w:t>
      </w:r>
      <w:r w:rsidR="008E2B08">
        <w:t>consequences. ⁴</w:t>
      </w:r>
      <w:r>
        <w:t xml:space="preserve"> These duties may conflict, and practical wisdom is needed to determine which takes precedence </w:t>
      </w:r>
      <w:proofErr w:type="gramStart"/>
      <w:r>
        <w:t>in a given</w:t>
      </w:r>
      <w:proofErr w:type="gramEnd"/>
      <w:r>
        <w:t xml:space="preserve"> situation. Crucially, however, their moral force is not reducible to the outcomes they produce. Ross's pluralism captures the moral complexity that pure consequentialism tends to flatten.</w:t>
      </w:r>
    </w:p>
    <w:p w14:paraId="10421384" w14:textId="77777777" w:rsidR="00584AD8" w:rsidRDefault="00454CDC">
      <w:pPr>
        <w:pStyle w:val="Heading1"/>
      </w:pPr>
      <w:r>
        <w:t>Problems Internal to Consequentialism</w:t>
      </w:r>
    </w:p>
    <w:p w14:paraId="51F36B58" w14:textId="77777777" w:rsidR="00584AD8" w:rsidRDefault="00454CDC">
      <w:pPr>
        <w:spacing w:after="240"/>
        <w:ind w:firstLine="720"/>
        <w:jc w:val="both"/>
      </w:pPr>
      <w:r>
        <w:t>Beyond the external challenge from deontology, consequentialism faces serious difficulties from within its own framework. Bernard Williams raised the problem of integrity, arguing that utilitarianism is alienating because it demands that agents treat their own projects, commitments, and relationships as merely instrumental to the general welfare.⁵ If I am required to sacrifice my deepest personal commitments whenever doing so would marginally increase aggregate well-being, something fundamental to my identi</w:t>
      </w:r>
      <w:r>
        <w:t>ty and moral agency is undermined. Williams' critique highlights that moral philosophy cannot be indifferent to the agent's perspective and commitments.</w:t>
      </w:r>
    </w:p>
    <w:p w14:paraId="0269F83F" w14:textId="77777777" w:rsidR="00584AD8" w:rsidRDefault="00454CDC">
      <w:pPr>
        <w:spacing w:after="240"/>
        <w:ind w:firstLine="720"/>
        <w:jc w:val="both"/>
      </w:pPr>
      <w:r>
        <w:t xml:space="preserve">A further difficulty concerns the measurement and commensurability of consequences. The utilitarian calculus requires that we sum and compare different types of welfare across individuals, yet it is far from obvious that this is coherent. How are we to weigh, say, a modest gain in happiness for </w:t>
      </w:r>
      <w:proofErr w:type="gramStart"/>
      <w:r>
        <w:t>a large number of</w:t>
      </w:r>
      <w:proofErr w:type="gramEnd"/>
      <w:r>
        <w:t xml:space="preserve"> people against a severe loss of freedom for a few? The problem of interpersonal comparisons of utility has never been </w:t>
      </w:r>
      <w:r>
        <w:lastRenderedPageBreak/>
        <w:t>satisfactorily resolved, and this casts doubt on whether consequences can in practice serve as the sole criterion of moral worth.</w:t>
      </w:r>
    </w:p>
    <w:p w14:paraId="3665443B" w14:textId="3CA5A764" w:rsidR="00584AD8" w:rsidRDefault="00454CDC">
      <w:pPr>
        <w:spacing w:after="240"/>
        <w:ind w:firstLine="720"/>
        <w:jc w:val="both"/>
      </w:pPr>
      <w:r>
        <w:t>There is also the problem of moral luck: since consequences are partly determined by factors beyond the agent's control, a purely outcome-based morality seems to hold agents responsible for what they could not foresee or prevent. A surgeon who performs an operation with utmost skill and care is not morally blameworthy if an unforeseeable complication causes the patient's death. Thomas Nagel's influential discussion of moral luck demonstrates that our ordinary moral practices cannot be explained solely by re</w:t>
      </w:r>
      <w:r>
        <w:t xml:space="preserve">ference to outcomes; intention, effort, and character also play an indispensable </w:t>
      </w:r>
      <w:r w:rsidR="008E2B08">
        <w:t>role. ⁶</w:t>
      </w:r>
    </w:p>
    <w:p w14:paraId="65F75FE1" w14:textId="77777777" w:rsidR="00584AD8" w:rsidRDefault="00454CDC">
      <w:pPr>
        <w:pStyle w:val="Heading1"/>
      </w:pPr>
      <w:r>
        <w:t>The Virtue-Ethical Perspective</w:t>
      </w:r>
    </w:p>
    <w:p w14:paraId="5E26206A" w14:textId="3F540836" w:rsidR="00584AD8" w:rsidRDefault="00454CDC">
      <w:pPr>
        <w:spacing w:after="240"/>
        <w:ind w:firstLine="720"/>
        <w:jc w:val="both"/>
      </w:pPr>
      <w:r>
        <w:t xml:space="preserve">Virtue ethics, revived in the twentieth century through the work of Elizabeth Anscombe and developed by Alasdair MacIntyre and Rosalind </w:t>
      </w:r>
      <w:r w:rsidR="008E2B08">
        <w:t>Hurst house</w:t>
      </w:r>
      <w:r>
        <w:t xml:space="preserve">, offers a third perspective that is irreducible to either consequences or duties. On this view, the primary question of ethics is not "What should I do?" but "What kind of person should I be?" Moral worth </w:t>
      </w:r>
      <w:r w:rsidR="008E2B08">
        <w:t>is in</w:t>
      </w:r>
      <w:r>
        <w:t xml:space="preserve"> the character of the agent, in the stable dispositions of courage, honesty, justice, and practical wisdom (phronesis) that Aristotle termed the </w:t>
      </w:r>
      <w:r w:rsidR="008E2B08">
        <w:t>virtues. ⁷</w:t>
      </w:r>
    </w:p>
    <w:p w14:paraId="77B66F00" w14:textId="77777777" w:rsidR="00584AD8" w:rsidRDefault="00454CDC">
      <w:pPr>
        <w:spacing w:after="240"/>
        <w:ind w:firstLine="720"/>
        <w:jc w:val="both"/>
      </w:pPr>
      <w:r>
        <w:t>The virtue-ethical critique of consequentialism is that it focuses on what is done rather than on who does it and from what motivational source the action springs. An action performed out of genuine compassion is morally different from an identical action performed merely for the sake of social approval, even if the consequences are the same. Furthermore, virtue ethics emphasises the importance of practical wisdom in navigating the complexities of moral life: no simple algorithm based on maximising outcomes</w:t>
      </w:r>
      <w:r>
        <w:t xml:space="preserve"> can capture the nuanced, context-sensitive judgements that good character requires.</w:t>
      </w:r>
    </w:p>
    <w:p w14:paraId="2CCD53CE" w14:textId="0DB67C3C" w:rsidR="00584AD8" w:rsidRDefault="008E2B08">
      <w:pPr>
        <w:spacing w:after="240"/>
        <w:ind w:firstLine="720"/>
        <w:jc w:val="both"/>
      </w:pPr>
      <w:r>
        <w:t>Hurst house’s</w:t>
      </w:r>
      <w:r w:rsidR="00454CDC">
        <w:t xml:space="preserve"> work on abortion illustrates this point well: rather than asking simply what consequences flow from different choices, she argues that we must also ask what a virtuous person, one who takes seriously the significance of human life and of human relationships, would do.⁸ This is not to ignore consequences altogether, but to insist that they cannot be the sole or even primary consideration.</w:t>
      </w:r>
    </w:p>
    <w:p w14:paraId="5C14C29A" w14:textId="77777777" w:rsidR="00584AD8" w:rsidRDefault="00454CDC">
      <w:pPr>
        <w:pStyle w:val="Heading1"/>
      </w:pPr>
      <w:r>
        <w:t>In Defence of Consequences: Rule Consequentialism and Moderate Views</w:t>
      </w:r>
    </w:p>
    <w:p w14:paraId="237A73B3" w14:textId="0162614B" w:rsidR="00584AD8" w:rsidRDefault="00454CDC">
      <w:pPr>
        <w:spacing w:after="240"/>
        <w:ind w:firstLine="720"/>
        <w:jc w:val="both"/>
      </w:pPr>
      <w:r>
        <w:t xml:space="preserve">It would be unfair to dismiss the consequentialist tradition without acknowledging the sophisticated responses it has generated to its critics. Rule consequentialism, associated with Brad Hooker, attempts to circumvent many of the standard objections by grounding morality not in the consequences of individual acts but in the consequences of following general </w:t>
      </w:r>
      <w:r w:rsidR="008E2B08">
        <w:t>rules. ⁹</w:t>
      </w:r>
      <w:r>
        <w:t xml:space="preserve"> </w:t>
      </w:r>
      <w:proofErr w:type="gramStart"/>
      <w:r>
        <w:t>On</w:t>
      </w:r>
      <w:proofErr w:type="gramEnd"/>
      <w:r>
        <w:t xml:space="preserve"> this view, we should follow those rules whose general acceptance would produce the best overall consequences. This approach can accommodate moral intuitions about rights and duties whilst retaining a fundamentally consequentialist foundation.</w:t>
      </w:r>
    </w:p>
    <w:p w14:paraId="2BB56721" w14:textId="77777777" w:rsidR="00584AD8" w:rsidRDefault="00454CDC">
      <w:pPr>
        <w:spacing w:after="240"/>
        <w:ind w:firstLine="720"/>
        <w:jc w:val="both"/>
      </w:pPr>
      <w:r>
        <w:t>Moreover, consequentialists are right to insist that a moral framework that is wholly indifferent to outcomes is deeply problematic. A deontological agent who adheres rigidly to rules whilst millions suffer avoidable harm cannot plausibly claim to occupy the moral high ground. The consequentialist emphasis on the practical, welfare-enhancing dimension of morality is a genuine and important contribution to ethical thought. Nevertheless, even in its most sophisticated forms, consequentialism struggles to acco</w:t>
      </w:r>
      <w:r>
        <w:t>unt for the full range of our moral commitments.</w:t>
      </w:r>
    </w:p>
    <w:p w14:paraId="6942334E" w14:textId="77777777" w:rsidR="00584AD8" w:rsidRDefault="00454CDC">
      <w:pPr>
        <w:pStyle w:val="Heading1"/>
      </w:pPr>
      <w:r>
        <w:lastRenderedPageBreak/>
        <w:t>Conclusion</w:t>
      </w:r>
    </w:p>
    <w:p w14:paraId="2BB71AC4" w14:textId="77777777" w:rsidR="00584AD8" w:rsidRDefault="00454CDC">
      <w:pPr>
        <w:spacing w:after="240"/>
        <w:ind w:firstLine="720"/>
        <w:jc w:val="both"/>
      </w:pPr>
      <w:r>
        <w:t>The question of whether the moral worth of our actions should be judged solely on their consequences admits of no simple answer. This essay has argued that whilst consequences are morally relevant and must feature in any adequate ethical theory, they cannot serve as the sole criterion of moral evaluation. The deontological tradition correctly identifies that certain actions are wrong regardless of their outcomes, and that respect for persons as rational agents imposes constraints on how we may treat one ano</w:t>
      </w:r>
      <w:r>
        <w:t>ther. Virtue ethics rightly insists that moral worth is bound up with character, intention, and practical wisdom, not merely with what is produced. And the internal difficulties of consequentialism, including the problems of integrity, moral luck, and the commensurability of outcomes, suggest that it is insufficient on its own terms.</w:t>
      </w:r>
    </w:p>
    <w:p w14:paraId="2A8AAC78" w14:textId="77777777" w:rsidR="00584AD8" w:rsidRDefault="00454CDC">
      <w:pPr>
        <w:spacing w:after="240"/>
        <w:ind w:firstLine="720"/>
        <w:jc w:val="both"/>
      </w:pPr>
      <w:r>
        <w:t>A pluralistic approach, sensitive to consequences, duties, and character alike, offers a more faithful representation of the complexity of moral life. To reduce morality to a single dimension, however elegant the theory, is to impoverish our understanding of what it means to act well. The moral worth of our actions is a richer and more multifaceted matter than the consequentialist account allows.</w:t>
      </w:r>
    </w:p>
    <w:p w14:paraId="25073436" w14:textId="77777777" w:rsidR="00584AD8" w:rsidRDefault="00454CDC">
      <w:pPr>
        <w:pStyle w:val="Heading1"/>
        <w:spacing w:before="480"/>
      </w:pPr>
      <w:r>
        <w:t>Bibliography</w:t>
      </w:r>
    </w:p>
    <w:p w14:paraId="206AD36F" w14:textId="77777777" w:rsidR="00584AD8" w:rsidRDefault="00454CDC">
      <w:pPr>
        <w:spacing w:after="160"/>
        <w:ind w:left="720" w:hanging="720"/>
        <w:jc w:val="both"/>
      </w:pPr>
      <w:r>
        <w:t>Aristotle, Nicomachean Ethics, trans. by Roger Crisp (Cambridge: Cambridge University Press, 2000)</w:t>
      </w:r>
    </w:p>
    <w:p w14:paraId="3D3E1EAB" w14:textId="77777777" w:rsidR="00584AD8" w:rsidRDefault="00454CDC">
      <w:pPr>
        <w:spacing w:after="160"/>
        <w:ind w:left="720" w:hanging="720"/>
        <w:jc w:val="both"/>
      </w:pPr>
      <w:r>
        <w:t>Bentham, Jeremy, An Introduction to the Principles of Morals and Legislation, ed. by J. H. Burns and H. L. A. Hart (Oxford: Clarendon Press, 1996)</w:t>
      </w:r>
    </w:p>
    <w:p w14:paraId="132B5BB1" w14:textId="77777777" w:rsidR="00584AD8" w:rsidRDefault="00454CDC">
      <w:pPr>
        <w:spacing w:after="160"/>
        <w:ind w:left="720" w:hanging="720"/>
        <w:jc w:val="both"/>
      </w:pPr>
      <w:r>
        <w:t>Hooker, Brad, Ideal Code, Real World: A Rule-Consequentialist Theory of Morality (Oxford: Clarendon Press, 2000)</w:t>
      </w:r>
    </w:p>
    <w:p w14:paraId="0169596A" w14:textId="77777777" w:rsidR="00584AD8" w:rsidRDefault="00454CDC">
      <w:pPr>
        <w:spacing w:after="160"/>
        <w:ind w:left="720" w:hanging="720"/>
        <w:jc w:val="both"/>
      </w:pPr>
      <w:proofErr w:type="spellStart"/>
      <w:r>
        <w:t>Hursthouse</w:t>
      </w:r>
      <w:proofErr w:type="spellEnd"/>
      <w:r>
        <w:t>, Rosalind, On Virtue Ethics (Oxford: Oxford University Press, 1999)</w:t>
      </w:r>
    </w:p>
    <w:p w14:paraId="4197EF41" w14:textId="77777777" w:rsidR="00584AD8" w:rsidRDefault="00454CDC">
      <w:pPr>
        <w:spacing w:after="160"/>
        <w:ind w:left="720" w:hanging="720"/>
        <w:jc w:val="both"/>
      </w:pPr>
      <w:r>
        <w:t>Kant, Immanuel, Groundwork of the Metaphysics of Morals, trans. by Mary Gregor (Cambridge: Cambridge University Press, 1997)</w:t>
      </w:r>
    </w:p>
    <w:p w14:paraId="7CC26FD8" w14:textId="77777777" w:rsidR="00584AD8" w:rsidRDefault="00454CDC">
      <w:pPr>
        <w:spacing w:after="160"/>
        <w:ind w:left="720" w:hanging="720"/>
        <w:jc w:val="both"/>
      </w:pPr>
      <w:r>
        <w:t xml:space="preserve">MacIntyre, Alasdair, After Virtue: A Study in Moral Theory, 2nd </w:t>
      </w:r>
      <w:proofErr w:type="spellStart"/>
      <w:r>
        <w:t>edn</w:t>
      </w:r>
      <w:proofErr w:type="spellEnd"/>
      <w:r>
        <w:t xml:space="preserve"> (London: Duckworth, 1985)</w:t>
      </w:r>
    </w:p>
    <w:p w14:paraId="4A49B7F7" w14:textId="77777777" w:rsidR="00584AD8" w:rsidRDefault="00454CDC">
      <w:pPr>
        <w:spacing w:after="160"/>
        <w:ind w:left="720" w:hanging="720"/>
        <w:jc w:val="both"/>
      </w:pPr>
      <w:r>
        <w:t>Mill, John Stuart, Utilitarianism, ed. by Roger Crisp (Oxford: Oxford University Press, 1998)</w:t>
      </w:r>
    </w:p>
    <w:p w14:paraId="09235A5F" w14:textId="77777777" w:rsidR="00584AD8" w:rsidRDefault="00454CDC">
      <w:pPr>
        <w:spacing w:after="160"/>
        <w:ind w:left="720" w:hanging="720"/>
        <w:jc w:val="both"/>
      </w:pPr>
      <w:r>
        <w:t>Nagel, Thomas, 'Moral Luck', in Mortal Questions (Cambridge: Cambridge University Press, 1979), pp. 24–38</w:t>
      </w:r>
    </w:p>
    <w:p w14:paraId="2C4EA79C" w14:textId="77777777" w:rsidR="00584AD8" w:rsidRDefault="00454CDC">
      <w:pPr>
        <w:spacing w:after="160"/>
        <w:ind w:left="720" w:hanging="720"/>
        <w:jc w:val="both"/>
      </w:pPr>
      <w:r>
        <w:t>Ross, W. D., The Right and the Good (Oxford: Clarendon Press, 1930)</w:t>
      </w:r>
    </w:p>
    <w:p w14:paraId="6080CEE2" w14:textId="77777777" w:rsidR="00584AD8" w:rsidRDefault="00454CDC">
      <w:pPr>
        <w:spacing w:after="160"/>
        <w:ind w:left="720" w:hanging="720"/>
        <w:jc w:val="both"/>
      </w:pPr>
      <w:r>
        <w:t>Singer, Peter, 'Famine, Affluence, and Morality', Philosophy and Public Affairs, 1 (1972), 229–243</w:t>
      </w:r>
    </w:p>
    <w:p w14:paraId="488D8B51" w14:textId="77777777" w:rsidR="00584AD8" w:rsidRDefault="00454CDC">
      <w:pPr>
        <w:spacing w:after="160"/>
        <w:ind w:left="720" w:hanging="720"/>
        <w:jc w:val="both"/>
      </w:pPr>
      <w:r>
        <w:t>Williams, Bernard, 'A Critique of Utilitarianism', in Utilitarianism: For and Against, by J. J. C. Smart and Bernard Williams (Cambridge: Cambridge University Press, 1973), pp. 77–150</w:t>
      </w:r>
    </w:p>
    <w:p w14:paraId="79268CBF" w14:textId="77777777" w:rsidR="00584AD8" w:rsidRDefault="00454CDC">
      <w:pPr>
        <w:pBdr>
          <w:top w:val="single" w:sz="6" w:space="4" w:color="000000"/>
        </w:pBdr>
        <w:spacing w:before="480" w:after="120"/>
      </w:pPr>
      <w:r>
        <w:rPr>
          <w:b/>
          <w:bCs/>
          <w:sz w:val="22"/>
          <w:szCs w:val="22"/>
        </w:rPr>
        <w:t>Notes</w:t>
      </w:r>
    </w:p>
    <w:p w14:paraId="56F271EC" w14:textId="77777777" w:rsidR="00584AD8" w:rsidRDefault="00454CDC">
      <w:pPr>
        <w:spacing w:after="120"/>
        <w:ind w:left="431" w:hanging="431"/>
      </w:pPr>
      <w:r>
        <w:rPr>
          <w:sz w:val="20"/>
          <w:szCs w:val="20"/>
          <w:vertAlign w:val="superscript"/>
        </w:rPr>
        <w:lastRenderedPageBreak/>
        <w:t xml:space="preserve">1 </w:t>
      </w:r>
      <w:r>
        <w:rPr>
          <w:sz w:val="20"/>
          <w:szCs w:val="20"/>
        </w:rPr>
        <w:t>John Stuart Mill, Utilitarianism, ed. by Roger Crisp (Oxford: Oxford University Press, 1998), p. 56.</w:t>
      </w:r>
    </w:p>
    <w:p w14:paraId="2E09525D" w14:textId="77777777" w:rsidR="00584AD8" w:rsidRDefault="00454CDC">
      <w:pPr>
        <w:spacing w:after="120"/>
        <w:ind w:left="431" w:hanging="431"/>
      </w:pPr>
      <w:r>
        <w:rPr>
          <w:sz w:val="20"/>
          <w:szCs w:val="20"/>
          <w:vertAlign w:val="superscript"/>
        </w:rPr>
        <w:t xml:space="preserve">2 </w:t>
      </w:r>
      <w:r>
        <w:rPr>
          <w:sz w:val="20"/>
          <w:szCs w:val="20"/>
        </w:rPr>
        <w:t>Peter Singer, 'Famine, Affluence, and Morality', Philosophy and Public Affairs, 1 (1972), 229–243 (p. 231).</w:t>
      </w:r>
    </w:p>
    <w:p w14:paraId="36A97547" w14:textId="77777777" w:rsidR="00584AD8" w:rsidRDefault="00454CDC">
      <w:pPr>
        <w:spacing w:after="120"/>
        <w:ind w:left="431" w:hanging="431"/>
      </w:pPr>
      <w:r>
        <w:rPr>
          <w:sz w:val="20"/>
          <w:szCs w:val="20"/>
          <w:vertAlign w:val="superscript"/>
        </w:rPr>
        <w:t xml:space="preserve">3 </w:t>
      </w:r>
      <w:r>
        <w:rPr>
          <w:sz w:val="20"/>
          <w:szCs w:val="20"/>
        </w:rPr>
        <w:t>Immanuel Kant, Groundwork of the Metaphysics of Morals, trans. by Mary Gregor (Cambridge: Cambridge University Press, 1997), p. 31.</w:t>
      </w:r>
    </w:p>
    <w:p w14:paraId="1E05072D" w14:textId="77777777" w:rsidR="00584AD8" w:rsidRDefault="00454CDC">
      <w:pPr>
        <w:spacing w:after="120"/>
        <w:ind w:left="431" w:hanging="431"/>
      </w:pPr>
      <w:r>
        <w:rPr>
          <w:sz w:val="20"/>
          <w:szCs w:val="20"/>
          <w:vertAlign w:val="superscript"/>
        </w:rPr>
        <w:t xml:space="preserve">4 </w:t>
      </w:r>
      <w:r>
        <w:rPr>
          <w:sz w:val="20"/>
          <w:szCs w:val="20"/>
        </w:rPr>
        <w:t>W. D. Ross, The Right and the Good (Oxford: Clarendon Press, 1930), pp. 19–27.</w:t>
      </w:r>
    </w:p>
    <w:p w14:paraId="41F10FC8" w14:textId="77777777" w:rsidR="00584AD8" w:rsidRDefault="00454CDC">
      <w:pPr>
        <w:spacing w:after="120"/>
        <w:ind w:left="431" w:hanging="431"/>
      </w:pPr>
      <w:r>
        <w:rPr>
          <w:sz w:val="20"/>
          <w:szCs w:val="20"/>
          <w:vertAlign w:val="superscript"/>
        </w:rPr>
        <w:t xml:space="preserve">5 </w:t>
      </w:r>
      <w:r>
        <w:rPr>
          <w:sz w:val="20"/>
          <w:szCs w:val="20"/>
        </w:rPr>
        <w:t>Bernard Williams, 'A Critique of Utilitarianism', in Utilitarianism: For and Against, by J. J. C. Smart and Bernard Williams (Cambridge: Cambridge University Press, 1973), pp. 77–150 (p. 116).</w:t>
      </w:r>
    </w:p>
    <w:p w14:paraId="57F73B9B" w14:textId="77777777" w:rsidR="00584AD8" w:rsidRDefault="00454CDC">
      <w:pPr>
        <w:spacing w:after="120"/>
        <w:ind w:left="431" w:hanging="431"/>
      </w:pPr>
      <w:r>
        <w:rPr>
          <w:sz w:val="20"/>
          <w:szCs w:val="20"/>
          <w:vertAlign w:val="superscript"/>
        </w:rPr>
        <w:t xml:space="preserve">6 </w:t>
      </w:r>
      <w:r>
        <w:rPr>
          <w:sz w:val="20"/>
          <w:szCs w:val="20"/>
        </w:rPr>
        <w:t>Thomas Nagel, 'Moral Luck', in Mortal Questions (Cambridge: Cambridge University Press, 1979), pp. 24–38 (p. 26).</w:t>
      </w:r>
    </w:p>
    <w:p w14:paraId="42B67BE1" w14:textId="77777777" w:rsidR="00584AD8" w:rsidRDefault="00454CDC">
      <w:pPr>
        <w:spacing w:after="120"/>
        <w:ind w:left="431" w:hanging="431"/>
      </w:pPr>
      <w:r>
        <w:rPr>
          <w:sz w:val="20"/>
          <w:szCs w:val="20"/>
          <w:vertAlign w:val="superscript"/>
        </w:rPr>
        <w:t xml:space="preserve">7 </w:t>
      </w:r>
      <w:r>
        <w:rPr>
          <w:sz w:val="20"/>
          <w:szCs w:val="20"/>
        </w:rPr>
        <w:t>Aristotle, Nicomachean Ethics, trans. by Roger Crisp (Cambridge: Cambridge University Press, 2000), p. 23.</w:t>
      </w:r>
    </w:p>
    <w:p w14:paraId="6DBB4705" w14:textId="77777777" w:rsidR="00584AD8" w:rsidRDefault="00454CDC">
      <w:pPr>
        <w:spacing w:after="120"/>
        <w:ind w:left="431" w:hanging="431"/>
      </w:pPr>
      <w:r>
        <w:rPr>
          <w:sz w:val="20"/>
          <w:szCs w:val="20"/>
          <w:vertAlign w:val="superscript"/>
        </w:rPr>
        <w:t xml:space="preserve">8 </w:t>
      </w:r>
      <w:r>
        <w:rPr>
          <w:sz w:val="20"/>
          <w:szCs w:val="20"/>
        </w:rPr>
        <w:t xml:space="preserve">Rosalind </w:t>
      </w:r>
      <w:proofErr w:type="spellStart"/>
      <w:r>
        <w:rPr>
          <w:sz w:val="20"/>
          <w:szCs w:val="20"/>
        </w:rPr>
        <w:t>Hursthouse</w:t>
      </w:r>
      <w:proofErr w:type="spellEnd"/>
      <w:r>
        <w:rPr>
          <w:sz w:val="20"/>
          <w:szCs w:val="20"/>
        </w:rPr>
        <w:t>, On Virtue Ethics (Oxford: Oxford University Press, 1999), p. 34.</w:t>
      </w:r>
    </w:p>
    <w:p w14:paraId="44A07451" w14:textId="77777777" w:rsidR="00584AD8" w:rsidRDefault="00454CDC">
      <w:pPr>
        <w:spacing w:after="120"/>
        <w:ind w:left="431" w:hanging="431"/>
      </w:pPr>
      <w:r>
        <w:rPr>
          <w:sz w:val="20"/>
          <w:szCs w:val="20"/>
          <w:vertAlign w:val="superscript"/>
        </w:rPr>
        <w:t xml:space="preserve">9 </w:t>
      </w:r>
      <w:r>
        <w:rPr>
          <w:sz w:val="20"/>
          <w:szCs w:val="20"/>
        </w:rPr>
        <w:t>Brad Hooker, Ideal Code, Real World: A Rule-Consequentialist Theory of Morality (Oxford: Clarendon Press, 2000), p. 32.</w:t>
      </w:r>
    </w:p>
    <w:sectPr w:rsidR="00584AD8">
      <w:pgSz w:w="11906" w:h="16838"/>
      <w:pgMar w:top="1440" w:right="144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2DEB8" w14:textId="77777777" w:rsidR="00454CDC" w:rsidRDefault="00454CDC">
      <w:r>
        <w:separator/>
      </w:r>
    </w:p>
  </w:endnote>
  <w:endnote w:type="continuationSeparator" w:id="0">
    <w:p w14:paraId="5F9B223C" w14:textId="77777777" w:rsidR="00454CDC" w:rsidRDefault="00454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24C9A" w14:textId="77777777" w:rsidR="00454CDC" w:rsidRDefault="00454CDC">
      <w:r>
        <w:separator/>
      </w:r>
    </w:p>
  </w:footnote>
  <w:footnote w:type="continuationSeparator" w:id="0">
    <w:p w14:paraId="40A8B093" w14:textId="77777777" w:rsidR="00454CDC" w:rsidRDefault="00454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96D7C"/>
    <w:multiLevelType w:val="hybridMultilevel"/>
    <w:tmpl w:val="0416229E"/>
    <w:lvl w:ilvl="0" w:tplc="6374C3EC">
      <w:start w:val="1"/>
      <w:numFmt w:val="bullet"/>
      <w:lvlText w:val="●"/>
      <w:lvlJc w:val="left"/>
      <w:pPr>
        <w:ind w:left="720" w:hanging="360"/>
      </w:pPr>
    </w:lvl>
    <w:lvl w:ilvl="1" w:tplc="C1B49AEA">
      <w:start w:val="1"/>
      <w:numFmt w:val="bullet"/>
      <w:lvlText w:val="○"/>
      <w:lvlJc w:val="left"/>
      <w:pPr>
        <w:ind w:left="1440" w:hanging="360"/>
      </w:pPr>
    </w:lvl>
    <w:lvl w:ilvl="2" w:tplc="7CC0586A">
      <w:start w:val="1"/>
      <w:numFmt w:val="bullet"/>
      <w:lvlText w:val="■"/>
      <w:lvlJc w:val="left"/>
      <w:pPr>
        <w:ind w:left="2160" w:hanging="360"/>
      </w:pPr>
    </w:lvl>
    <w:lvl w:ilvl="3" w:tplc="711E2038">
      <w:start w:val="1"/>
      <w:numFmt w:val="bullet"/>
      <w:lvlText w:val="●"/>
      <w:lvlJc w:val="left"/>
      <w:pPr>
        <w:ind w:left="2880" w:hanging="360"/>
      </w:pPr>
    </w:lvl>
    <w:lvl w:ilvl="4" w:tplc="45D0B424">
      <w:start w:val="1"/>
      <w:numFmt w:val="bullet"/>
      <w:lvlText w:val="○"/>
      <w:lvlJc w:val="left"/>
      <w:pPr>
        <w:ind w:left="3600" w:hanging="360"/>
      </w:pPr>
    </w:lvl>
    <w:lvl w:ilvl="5" w:tplc="6DC6DF62">
      <w:start w:val="1"/>
      <w:numFmt w:val="bullet"/>
      <w:lvlText w:val="■"/>
      <w:lvlJc w:val="left"/>
      <w:pPr>
        <w:ind w:left="4320" w:hanging="360"/>
      </w:pPr>
    </w:lvl>
    <w:lvl w:ilvl="6" w:tplc="5EE4D70A">
      <w:start w:val="1"/>
      <w:numFmt w:val="bullet"/>
      <w:lvlText w:val="●"/>
      <w:lvlJc w:val="left"/>
      <w:pPr>
        <w:ind w:left="5040" w:hanging="360"/>
      </w:pPr>
    </w:lvl>
    <w:lvl w:ilvl="7" w:tplc="2386200C">
      <w:start w:val="1"/>
      <w:numFmt w:val="bullet"/>
      <w:lvlText w:val="●"/>
      <w:lvlJc w:val="left"/>
      <w:pPr>
        <w:ind w:left="5760" w:hanging="360"/>
      </w:pPr>
    </w:lvl>
    <w:lvl w:ilvl="8" w:tplc="B0AA02A0">
      <w:start w:val="1"/>
      <w:numFmt w:val="bullet"/>
      <w:lvlText w:val="●"/>
      <w:lvlJc w:val="left"/>
      <w:pPr>
        <w:ind w:left="6480" w:hanging="360"/>
      </w:pPr>
    </w:lvl>
  </w:abstractNum>
  <w:num w:numId="1" w16cid:durableId="18650536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AD8"/>
    <w:rsid w:val="000C7782"/>
    <w:rsid w:val="00454CDC"/>
    <w:rsid w:val="00584AD8"/>
    <w:rsid w:val="008E2B08"/>
    <w:rsid w:val="00A66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00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000000"/>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C7782"/>
    <w:pPr>
      <w:tabs>
        <w:tab w:val="center" w:pos="4513"/>
        <w:tab w:val="right" w:pos="9026"/>
      </w:tabs>
    </w:pPr>
  </w:style>
  <w:style w:type="character" w:customStyle="1" w:styleId="HeaderChar">
    <w:name w:val="Header Char"/>
    <w:basedOn w:val="DefaultParagraphFont"/>
    <w:link w:val="Header"/>
    <w:uiPriority w:val="99"/>
    <w:rsid w:val="000C7782"/>
  </w:style>
  <w:style w:type="paragraph" w:styleId="Footer">
    <w:name w:val="footer"/>
    <w:basedOn w:val="Normal"/>
    <w:link w:val="FooterChar"/>
    <w:uiPriority w:val="99"/>
    <w:unhideWhenUsed/>
    <w:rsid w:val="000C7782"/>
    <w:pPr>
      <w:tabs>
        <w:tab w:val="center" w:pos="4513"/>
        <w:tab w:val="right" w:pos="9026"/>
      </w:tabs>
    </w:pPr>
  </w:style>
  <w:style w:type="character" w:customStyle="1" w:styleId="FooterChar">
    <w:name w:val="Footer Char"/>
    <w:basedOn w:val="DefaultParagraphFont"/>
    <w:link w:val="Footer"/>
    <w:uiPriority w:val="99"/>
    <w:rsid w:val="000C7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1990</Words>
  <Characters>11344</Characters>
  <Application>Microsoft Office Word</Application>
  <DocSecurity>0</DocSecurity>
  <Lines>182</Lines>
  <Paragraphs>58</Paragraphs>
  <ScaleCrop>false</ScaleCrop>
  <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2026-05-04T09:25:00Z</dcterms:created>
  <dcterms:modified xsi:type="dcterms:W3CDTF">2026-05-04T09:25:00Z</dcterms:modified>
</cp:coreProperties>
</file>