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1F13" w:rsidRDefault="00381F13" w:rsidP="00381F13">
      <w:pPr>
        <w:pStyle w:val="Normal1"/>
        <w:spacing w:line="480" w:lineRule="auto"/>
        <w:jc w:val="center"/>
        <w:rPr>
          <w:sz w:val="24"/>
          <w:szCs w:val="24"/>
        </w:rPr>
      </w:pPr>
      <w:bookmarkStart w:id="0" w:name="_GoBack"/>
      <w:bookmarkEnd w:id="0"/>
    </w:p>
    <w:p w:rsidR="00381F13" w:rsidRDefault="00381F13" w:rsidP="00381F13">
      <w:pPr>
        <w:pStyle w:val="Normal1"/>
        <w:spacing w:line="480" w:lineRule="auto"/>
        <w:rPr>
          <w:sz w:val="24"/>
          <w:szCs w:val="24"/>
        </w:rPr>
      </w:pPr>
      <w:r>
        <w:rPr>
          <w:sz w:val="24"/>
          <w:szCs w:val="24"/>
        </w:rPr>
        <w:t xml:space="preserve"> </w:t>
      </w:r>
    </w:p>
    <w:p w:rsidR="00381F13" w:rsidRDefault="00381F13" w:rsidP="00381F13">
      <w:pPr>
        <w:pStyle w:val="Normal1"/>
        <w:spacing w:line="480" w:lineRule="auto"/>
        <w:jc w:val="center"/>
        <w:rPr>
          <w:sz w:val="24"/>
          <w:szCs w:val="24"/>
        </w:rPr>
      </w:pPr>
      <w:r>
        <w:rPr>
          <w:sz w:val="24"/>
          <w:szCs w:val="24"/>
        </w:rPr>
        <w:t>Jeff Brown</w:t>
      </w:r>
    </w:p>
    <w:p w:rsidR="00381F13" w:rsidRDefault="00381F13" w:rsidP="00381F13">
      <w:pPr>
        <w:pStyle w:val="Normal1"/>
        <w:spacing w:line="480" w:lineRule="auto"/>
        <w:jc w:val="center"/>
        <w:rPr>
          <w:sz w:val="24"/>
          <w:szCs w:val="24"/>
        </w:rPr>
      </w:pPr>
      <w:r>
        <w:rPr>
          <w:sz w:val="24"/>
          <w:szCs w:val="24"/>
        </w:rPr>
        <w:t>(26002243)</w:t>
      </w:r>
    </w:p>
    <w:p w:rsidR="00381F13" w:rsidRDefault="00381F13" w:rsidP="00381F13">
      <w:pPr>
        <w:pStyle w:val="Normal1"/>
        <w:spacing w:line="480" w:lineRule="auto"/>
        <w:jc w:val="center"/>
        <w:rPr>
          <w:sz w:val="24"/>
          <w:szCs w:val="24"/>
        </w:rPr>
      </w:pPr>
      <w:r>
        <w:rPr>
          <w:sz w:val="24"/>
          <w:szCs w:val="24"/>
        </w:rPr>
        <w:t>The Doctrine of the Trinity</w:t>
      </w:r>
    </w:p>
    <w:p w:rsidR="00381F13" w:rsidRDefault="00381F13" w:rsidP="00381F13">
      <w:pPr>
        <w:pStyle w:val="Normal1"/>
        <w:spacing w:line="480" w:lineRule="auto"/>
        <w:jc w:val="center"/>
        <w:rPr>
          <w:sz w:val="24"/>
          <w:szCs w:val="24"/>
        </w:rPr>
      </w:pPr>
      <w:r>
        <w:rPr>
          <w:sz w:val="24"/>
          <w:szCs w:val="24"/>
        </w:rPr>
        <w:t>(HPRS7021)</w:t>
      </w:r>
    </w:p>
    <w:p w:rsidR="00381F13" w:rsidRDefault="00381F13" w:rsidP="00381F13">
      <w:pPr>
        <w:pStyle w:val="Normal1"/>
        <w:spacing w:line="480" w:lineRule="auto"/>
        <w:jc w:val="center"/>
        <w:rPr>
          <w:sz w:val="24"/>
          <w:szCs w:val="24"/>
        </w:rPr>
      </w:pPr>
      <w:r>
        <w:rPr>
          <w:sz w:val="24"/>
          <w:szCs w:val="24"/>
        </w:rPr>
        <w:t>Essay</w:t>
      </w:r>
    </w:p>
    <w:p w:rsidR="00381F13" w:rsidRDefault="00381F13" w:rsidP="00381F13">
      <w:pPr>
        <w:pStyle w:val="Normal1"/>
        <w:spacing w:line="480" w:lineRule="auto"/>
        <w:rPr>
          <w:sz w:val="24"/>
          <w:szCs w:val="24"/>
        </w:rPr>
      </w:pPr>
      <w:r>
        <w:rPr>
          <w:sz w:val="24"/>
          <w:szCs w:val="24"/>
        </w:rPr>
        <w:t xml:space="preserve">                                                                       18/05/21</w:t>
      </w: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sz w:val="24"/>
          <w:szCs w:val="24"/>
        </w:rPr>
      </w:pPr>
    </w:p>
    <w:p w:rsidR="00381F13" w:rsidRDefault="00381F13" w:rsidP="00381F13">
      <w:pPr>
        <w:pStyle w:val="Normal1"/>
        <w:spacing w:line="480" w:lineRule="auto"/>
        <w:jc w:val="center"/>
        <w:rPr>
          <w:b/>
          <w:sz w:val="28"/>
          <w:szCs w:val="28"/>
        </w:rPr>
      </w:pPr>
      <w:r>
        <w:rPr>
          <w:b/>
          <w:sz w:val="28"/>
          <w:szCs w:val="28"/>
        </w:rPr>
        <w:lastRenderedPageBreak/>
        <w:t>To what extent, if at all, is the Doctrine of the Trinity significant in understanding the Doctrine of Creation? Give reasons for your answer.</w:t>
      </w:r>
    </w:p>
    <w:p w:rsidR="00381F13" w:rsidRDefault="00381F13" w:rsidP="00381F13">
      <w:pPr>
        <w:pStyle w:val="Normal1"/>
        <w:spacing w:line="480" w:lineRule="auto"/>
        <w:jc w:val="center"/>
        <w:rPr>
          <w:sz w:val="24"/>
          <w:szCs w:val="24"/>
        </w:rPr>
      </w:pPr>
      <w:r>
        <w:rPr>
          <w:sz w:val="24"/>
          <w:szCs w:val="24"/>
        </w:rPr>
        <w:t>‘</w:t>
      </w:r>
      <w:r>
        <w:rPr>
          <w:i/>
          <w:sz w:val="24"/>
          <w:szCs w:val="24"/>
        </w:rPr>
        <w:t>In the beginning, God created the heaven and the earth</w:t>
      </w:r>
      <w:r>
        <w:rPr>
          <w:sz w:val="24"/>
          <w:szCs w:val="24"/>
        </w:rPr>
        <w:t>’</w:t>
      </w:r>
    </w:p>
    <w:p w:rsidR="00381F13" w:rsidRDefault="00381F13" w:rsidP="00381F13">
      <w:pPr>
        <w:pStyle w:val="Normal1"/>
        <w:numPr>
          <w:ilvl w:val="0"/>
          <w:numId w:val="1"/>
        </w:numPr>
        <w:spacing w:line="480" w:lineRule="auto"/>
        <w:jc w:val="center"/>
        <w:rPr>
          <w:sz w:val="24"/>
          <w:szCs w:val="24"/>
        </w:rPr>
      </w:pPr>
      <w:r>
        <w:rPr>
          <w:sz w:val="24"/>
          <w:szCs w:val="24"/>
        </w:rPr>
        <w:t>The First Verse of Genesis</w:t>
      </w:r>
    </w:p>
    <w:p w:rsidR="00381F13" w:rsidRDefault="00381F13" w:rsidP="00381F13">
      <w:pPr>
        <w:pStyle w:val="Normal1"/>
        <w:spacing w:line="480" w:lineRule="auto"/>
        <w:ind w:firstLine="720"/>
        <w:rPr>
          <w:sz w:val="24"/>
          <w:szCs w:val="24"/>
        </w:rPr>
      </w:pPr>
      <w:r>
        <w:rPr>
          <w:sz w:val="24"/>
          <w:szCs w:val="24"/>
        </w:rPr>
        <w:t xml:space="preserve">The </w:t>
      </w:r>
      <w:proofErr w:type="spellStart"/>
      <w:r>
        <w:rPr>
          <w:sz w:val="24"/>
          <w:szCs w:val="24"/>
        </w:rPr>
        <w:t>ongoing</w:t>
      </w:r>
      <w:proofErr w:type="spellEnd"/>
      <w:r>
        <w:rPr>
          <w:sz w:val="24"/>
          <w:szCs w:val="24"/>
        </w:rPr>
        <w:t xml:space="preserve"> dialogue regarding the Christian Doctrine of Creation and its intrinsic relation to the Triune nature of God, has at different times and stages, encompassed thinkers, theories and works as diverse as the early church fathers, personified by the orthodoxy and plurality of </w:t>
      </w:r>
      <w:proofErr w:type="spellStart"/>
      <w:r>
        <w:rPr>
          <w:sz w:val="24"/>
          <w:szCs w:val="24"/>
        </w:rPr>
        <w:t>Irenaeus</w:t>
      </w:r>
      <w:proofErr w:type="spellEnd"/>
      <w:r>
        <w:rPr>
          <w:sz w:val="24"/>
          <w:szCs w:val="24"/>
        </w:rPr>
        <w:t xml:space="preserve"> and Athanasius, both of whom saw ‘Christology as the key to the doctrine of creation’ </w:t>
      </w:r>
      <w:sdt>
        <w:sdtPr>
          <w:rPr>
            <w:sz w:val="24"/>
            <w:szCs w:val="24"/>
          </w:rPr>
          <w:id w:val="6700399"/>
          <w:citation/>
        </w:sdtPr>
        <w:sdtEndPr/>
        <w:sdtContent>
          <w:r>
            <w:rPr>
              <w:sz w:val="24"/>
              <w:szCs w:val="24"/>
            </w:rPr>
            <w:fldChar w:fldCharType="begin"/>
          </w:r>
          <w:r>
            <w:rPr>
              <w:sz w:val="24"/>
              <w:szCs w:val="24"/>
            </w:rPr>
            <w:instrText xml:space="preserve"> CITATION Gun97 \l 2057 </w:instrText>
          </w:r>
          <w:r>
            <w:rPr>
              <w:sz w:val="24"/>
              <w:szCs w:val="24"/>
            </w:rPr>
            <w:fldChar w:fldCharType="separate"/>
          </w:r>
          <w:r>
            <w:rPr>
              <w:noProof/>
              <w:sz w:val="24"/>
              <w:szCs w:val="24"/>
            </w:rPr>
            <w:t>(C. (. Gunton, The Doctrine of Creation: Essays in Dogmatics, History and Philosophy 1997)</w:t>
          </w:r>
          <w:r>
            <w:rPr>
              <w:sz w:val="24"/>
              <w:szCs w:val="24"/>
            </w:rPr>
            <w:fldChar w:fldCharType="end"/>
          </w:r>
        </w:sdtContent>
      </w:sdt>
      <w:r>
        <w:rPr>
          <w:sz w:val="24"/>
          <w:szCs w:val="24"/>
        </w:rPr>
        <w:t xml:space="preserve">; Pre-Socratics like Parmenides, the father of western-ontology and ‘being’, juxtaposed with Heraclitus and his notion of ‘becoming’; Plato’s </w:t>
      </w:r>
      <w:proofErr w:type="spellStart"/>
      <w:r>
        <w:rPr>
          <w:i/>
          <w:sz w:val="24"/>
          <w:szCs w:val="24"/>
        </w:rPr>
        <w:t>Timaeus</w:t>
      </w:r>
      <w:proofErr w:type="spellEnd"/>
      <w:r>
        <w:rPr>
          <w:rStyle w:val="FootnoteReference"/>
          <w:sz w:val="24"/>
          <w:szCs w:val="24"/>
        </w:rPr>
        <w:footnoteReference w:id="1"/>
      </w:r>
      <w:r>
        <w:rPr>
          <w:i/>
          <w:sz w:val="24"/>
          <w:szCs w:val="24"/>
        </w:rPr>
        <w:t xml:space="preserve"> </w:t>
      </w:r>
      <w:r>
        <w:rPr>
          <w:sz w:val="24"/>
          <w:szCs w:val="24"/>
        </w:rPr>
        <w:t xml:space="preserve">with its references to the </w:t>
      </w:r>
      <w:r>
        <w:rPr>
          <w:i/>
          <w:sz w:val="24"/>
          <w:szCs w:val="24"/>
        </w:rPr>
        <w:t>demiurge</w:t>
      </w:r>
      <w:r>
        <w:rPr>
          <w:sz w:val="24"/>
          <w:szCs w:val="24"/>
        </w:rPr>
        <w:t xml:space="preserve"> or Craftsman(360 BC); the neo-Platonic school exemplified by Origen, who  in his interpretation of the </w:t>
      </w:r>
      <w:r>
        <w:rPr>
          <w:i/>
          <w:sz w:val="24"/>
          <w:szCs w:val="24"/>
        </w:rPr>
        <w:t>Parable of the Lost Coin</w:t>
      </w:r>
      <w:r>
        <w:rPr>
          <w:sz w:val="24"/>
          <w:szCs w:val="24"/>
        </w:rPr>
        <w:t xml:space="preserve">, made a significant, if </w:t>
      </w:r>
      <w:proofErr w:type="spellStart"/>
      <w:r>
        <w:rPr>
          <w:sz w:val="24"/>
          <w:szCs w:val="24"/>
        </w:rPr>
        <w:t>apophatic</w:t>
      </w:r>
      <w:proofErr w:type="spellEnd"/>
      <w:r>
        <w:rPr>
          <w:sz w:val="24"/>
          <w:szCs w:val="24"/>
        </w:rPr>
        <w:t>, contribution to the idea of the Trinity by suggesting the Holy Spirit was part of the Godhead</w:t>
      </w:r>
      <w:r>
        <w:rPr>
          <w:rStyle w:val="FootnoteReference"/>
          <w:sz w:val="24"/>
          <w:szCs w:val="24"/>
        </w:rPr>
        <w:footnoteReference w:id="2"/>
      </w:r>
      <w:r>
        <w:rPr>
          <w:sz w:val="24"/>
          <w:szCs w:val="24"/>
        </w:rPr>
        <w:t xml:space="preserve">; Saint Augustine’s own millennium defining thoughts on The Trinity, which paid little attention to the role of Christology or the </w:t>
      </w:r>
      <w:proofErr w:type="spellStart"/>
      <w:r>
        <w:rPr>
          <w:sz w:val="24"/>
          <w:szCs w:val="24"/>
        </w:rPr>
        <w:t>pneumatological</w:t>
      </w:r>
      <w:proofErr w:type="spellEnd"/>
      <w:r>
        <w:rPr>
          <w:sz w:val="24"/>
          <w:szCs w:val="24"/>
        </w:rPr>
        <w:t xml:space="preserve">  aspects of creation, and tended more towards Platonic particularism, gathered from extracts from his </w:t>
      </w:r>
      <w:r>
        <w:rPr>
          <w:i/>
          <w:sz w:val="24"/>
          <w:szCs w:val="24"/>
        </w:rPr>
        <w:t>Retractions</w:t>
      </w:r>
      <w:r>
        <w:rPr>
          <w:sz w:val="24"/>
          <w:szCs w:val="24"/>
        </w:rPr>
        <w:t xml:space="preserve">, in 400 A.D. and various letters between 410-415 A.D.; and Aquinas’s exposition on materiality in his </w:t>
      </w:r>
      <w:r>
        <w:rPr>
          <w:i/>
          <w:sz w:val="24"/>
          <w:szCs w:val="24"/>
        </w:rPr>
        <w:t xml:space="preserve">Summa </w:t>
      </w:r>
      <w:proofErr w:type="spellStart"/>
      <w:r>
        <w:rPr>
          <w:i/>
          <w:sz w:val="24"/>
          <w:szCs w:val="24"/>
        </w:rPr>
        <w:t>Theologica</w:t>
      </w:r>
      <w:proofErr w:type="spellEnd"/>
      <w:r>
        <w:rPr>
          <w:i/>
          <w:sz w:val="24"/>
          <w:szCs w:val="24"/>
        </w:rPr>
        <w:t xml:space="preserve"> </w:t>
      </w:r>
      <w:r>
        <w:rPr>
          <w:sz w:val="24"/>
          <w:szCs w:val="24"/>
        </w:rPr>
        <w:t>part 1a.45.</w:t>
      </w:r>
    </w:p>
    <w:p w:rsidR="00381F13" w:rsidRDefault="00381F13" w:rsidP="00381F13">
      <w:pPr>
        <w:pStyle w:val="Normal1"/>
        <w:spacing w:line="480" w:lineRule="auto"/>
        <w:ind w:firstLine="720"/>
        <w:rPr>
          <w:sz w:val="24"/>
          <w:szCs w:val="24"/>
        </w:rPr>
      </w:pPr>
      <w:r>
        <w:rPr>
          <w:sz w:val="24"/>
          <w:szCs w:val="24"/>
        </w:rPr>
        <w:t xml:space="preserve">That is to say nothing of the contentious argument, that the Doctrine of Creation, as claimed by many, was the catalyst for modern science and the fact that many exponents of </w:t>
      </w:r>
      <w:r>
        <w:rPr>
          <w:sz w:val="24"/>
          <w:szCs w:val="24"/>
        </w:rPr>
        <w:lastRenderedPageBreak/>
        <w:t xml:space="preserve">natural theology </w:t>
      </w:r>
      <w:r>
        <w:rPr>
          <w:rFonts w:cstheme="minorHAnsi"/>
          <w:color w:val="000000"/>
          <w:spacing w:val="7"/>
          <w:sz w:val="24"/>
          <w:szCs w:val="24"/>
        </w:rPr>
        <w:t>writing between 1665 and 1800, were either clerics or extremely pious</w:t>
      </w:r>
      <w:r>
        <w:rPr>
          <w:rStyle w:val="FootnoteReference"/>
          <w:rFonts w:cstheme="minorHAnsi"/>
          <w:color w:val="000000"/>
          <w:spacing w:val="7"/>
          <w:sz w:val="24"/>
          <w:szCs w:val="24"/>
        </w:rPr>
        <w:footnoteReference w:id="3"/>
      </w:r>
      <w:r>
        <w:rPr>
          <w:rFonts w:cstheme="minorHAnsi"/>
          <w:color w:val="000000"/>
          <w:spacing w:val="7"/>
          <w:sz w:val="24"/>
          <w:szCs w:val="24"/>
        </w:rPr>
        <w:t xml:space="preserve"> and that eminent 19</w:t>
      </w:r>
      <w:r>
        <w:rPr>
          <w:rFonts w:cstheme="minorHAnsi"/>
          <w:color w:val="000000"/>
          <w:spacing w:val="7"/>
          <w:sz w:val="24"/>
          <w:szCs w:val="24"/>
          <w:vertAlign w:val="superscript"/>
        </w:rPr>
        <w:t>th</w:t>
      </w:r>
      <w:r>
        <w:rPr>
          <w:rFonts w:cstheme="minorHAnsi"/>
          <w:color w:val="000000"/>
          <w:spacing w:val="7"/>
          <w:sz w:val="24"/>
          <w:szCs w:val="24"/>
        </w:rPr>
        <w:t xml:space="preserve"> century </w:t>
      </w:r>
      <w:r>
        <w:rPr>
          <w:sz w:val="24"/>
          <w:szCs w:val="24"/>
        </w:rPr>
        <w:t>physicists like Faraday and Maxwell had sympathy for the Christian Doctrine of Creation</w:t>
      </w:r>
      <w:r>
        <w:rPr>
          <w:rStyle w:val="FootnoteReference"/>
          <w:sz w:val="24"/>
          <w:szCs w:val="24"/>
        </w:rPr>
        <w:footnoteReference w:id="4"/>
      </w:r>
      <w:r>
        <w:rPr>
          <w:sz w:val="24"/>
          <w:szCs w:val="24"/>
        </w:rPr>
        <w:t xml:space="preserve">. This despite the interventions by Darwin and his concepts of ‘competition’ and ‘natural selection’,  the astrophysicist  Milne’s issue with ‘simultaneity’ and  </w:t>
      </w:r>
      <w:proofErr w:type="spellStart"/>
      <w:r>
        <w:rPr>
          <w:sz w:val="24"/>
          <w:szCs w:val="24"/>
        </w:rPr>
        <w:t>Bondi</w:t>
      </w:r>
      <w:proofErr w:type="spellEnd"/>
      <w:r>
        <w:rPr>
          <w:sz w:val="24"/>
          <w:szCs w:val="24"/>
        </w:rPr>
        <w:t xml:space="preserve"> and Hoyle’s difficulties with the concept of continuous creation</w:t>
      </w:r>
      <w:r>
        <w:rPr>
          <w:rStyle w:val="FootnoteReference"/>
          <w:sz w:val="24"/>
          <w:szCs w:val="24"/>
        </w:rPr>
        <w:footnoteReference w:id="5"/>
      </w:r>
      <w:r>
        <w:rPr>
          <w:sz w:val="24"/>
          <w:szCs w:val="24"/>
        </w:rPr>
        <w:t>.</w:t>
      </w:r>
    </w:p>
    <w:p w:rsidR="00381F13" w:rsidRDefault="00381F13" w:rsidP="00381F13">
      <w:pPr>
        <w:pStyle w:val="Normal1"/>
        <w:spacing w:line="480" w:lineRule="auto"/>
        <w:ind w:firstLine="720"/>
        <w:rPr>
          <w:sz w:val="24"/>
          <w:szCs w:val="24"/>
        </w:rPr>
      </w:pPr>
      <w:r>
        <w:rPr>
          <w:sz w:val="24"/>
          <w:szCs w:val="24"/>
        </w:rPr>
        <w:t xml:space="preserve">Controversies that Michael Foster’s article The Christian Doctrine of Creation and the Rise of Modern Natural Science (1934) went some way ameliorating before Stephen Hawking’s populist </w:t>
      </w:r>
      <w:r>
        <w:rPr>
          <w:i/>
          <w:sz w:val="24"/>
          <w:szCs w:val="24"/>
        </w:rPr>
        <w:t>A Brief History of Time, From the Big Bang to Black Holes</w:t>
      </w:r>
      <w:r>
        <w:rPr>
          <w:sz w:val="24"/>
          <w:szCs w:val="24"/>
        </w:rPr>
        <w:t xml:space="preserve"> (1988), Neo-Darwinists like Niles Eldridge and Stephen Jay Gould and </w:t>
      </w:r>
      <w:proofErr w:type="spellStart"/>
      <w:r>
        <w:rPr>
          <w:sz w:val="24"/>
          <w:szCs w:val="24"/>
        </w:rPr>
        <w:t>ethologists</w:t>
      </w:r>
      <w:proofErr w:type="spellEnd"/>
      <w:r>
        <w:rPr>
          <w:sz w:val="24"/>
          <w:szCs w:val="24"/>
        </w:rPr>
        <w:t xml:space="preserve"> like Richard Dawkins with his atheistic books </w:t>
      </w:r>
      <w:r>
        <w:rPr>
          <w:i/>
          <w:sz w:val="24"/>
          <w:szCs w:val="24"/>
        </w:rPr>
        <w:t>The Blind Watchmaker</w:t>
      </w:r>
      <w:r>
        <w:rPr>
          <w:sz w:val="24"/>
          <w:szCs w:val="24"/>
        </w:rPr>
        <w:t xml:space="preserve"> (1986) and </w:t>
      </w:r>
      <w:r>
        <w:rPr>
          <w:i/>
          <w:sz w:val="24"/>
          <w:szCs w:val="24"/>
        </w:rPr>
        <w:t>The God Delusion</w:t>
      </w:r>
      <w:r>
        <w:rPr>
          <w:sz w:val="24"/>
          <w:szCs w:val="24"/>
        </w:rPr>
        <w:t xml:space="preserve"> (2006) entered the fray and swung the pendulum back onto a more antagonistic axis, with science refuting the admittedly underdeveloped and theologically weak precepts of a  doctrine that had for far too long overlooked the explanatory possibilities of the diverse nature and divine economy of creation inherent in </w:t>
      </w:r>
      <w:proofErr w:type="spellStart"/>
      <w:r>
        <w:rPr>
          <w:sz w:val="24"/>
          <w:szCs w:val="24"/>
        </w:rPr>
        <w:t>Irenaeus</w:t>
      </w:r>
      <w:proofErr w:type="spellEnd"/>
      <w:r>
        <w:rPr>
          <w:sz w:val="24"/>
          <w:szCs w:val="24"/>
        </w:rPr>
        <w:t>’ foundational Trinitarian thinking.</w:t>
      </w:r>
    </w:p>
    <w:p w:rsidR="00381F13" w:rsidRDefault="00381F13" w:rsidP="00381F13">
      <w:pPr>
        <w:pStyle w:val="Normal1"/>
        <w:spacing w:line="480" w:lineRule="auto"/>
        <w:ind w:firstLine="720"/>
        <w:rPr>
          <w:sz w:val="24"/>
          <w:szCs w:val="24"/>
        </w:rPr>
      </w:pPr>
      <w:r>
        <w:rPr>
          <w:sz w:val="24"/>
          <w:szCs w:val="24"/>
        </w:rPr>
        <w:t>All of which ensures that the conversation about creation and by default God’s influence upon it, if God exists at all, continues to rage unabated</w:t>
      </w:r>
      <w:r>
        <w:rPr>
          <w:rStyle w:val="FootnoteReference"/>
          <w:sz w:val="24"/>
          <w:szCs w:val="24"/>
        </w:rPr>
        <w:footnoteReference w:id="6"/>
      </w:r>
      <w:r>
        <w:rPr>
          <w:sz w:val="24"/>
          <w:szCs w:val="24"/>
        </w:rPr>
        <w:t>.</w:t>
      </w:r>
    </w:p>
    <w:p w:rsidR="00381F13" w:rsidRDefault="00381F13" w:rsidP="00381F13">
      <w:pPr>
        <w:pStyle w:val="Normal1"/>
        <w:spacing w:line="480" w:lineRule="auto"/>
        <w:ind w:firstLine="720"/>
        <w:rPr>
          <w:sz w:val="24"/>
          <w:szCs w:val="24"/>
        </w:rPr>
      </w:pPr>
      <w:r>
        <w:rPr>
          <w:sz w:val="24"/>
          <w:szCs w:val="24"/>
        </w:rPr>
        <w:lastRenderedPageBreak/>
        <w:t xml:space="preserve">A circumstance which rather begs the question, was the act of creation a mere chance and the allegorical exegesis of Genesis pure universalist myth-making on behalf of those who composed the scriptures, as per the thesis proposed by Dawkins, who </w:t>
      </w:r>
      <w:sdt>
        <w:sdtPr>
          <w:rPr>
            <w:sz w:val="24"/>
            <w:szCs w:val="24"/>
          </w:rPr>
          <w:id w:val="6700402"/>
          <w:citation/>
        </w:sdtPr>
        <w:sdtEndPr/>
        <w:sdtContent>
          <w:r>
            <w:rPr>
              <w:sz w:val="24"/>
              <w:szCs w:val="24"/>
            </w:rPr>
            <w:fldChar w:fldCharType="begin"/>
          </w:r>
          <w:r>
            <w:rPr>
              <w:sz w:val="24"/>
              <w:szCs w:val="24"/>
            </w:rPr>
            <w:instrText xml:space="preserve"> CITATION ASF98 \l 2057  </w:instrText>
          </w:r>
          <w:r>
            <w:rPr>
              <w:sz w:val="24"/>
              <w:szCs w:val="24"/>
            </w:rPr>
            <w:fldChar w:fldCharType="separate"/>
          </w:r>
          <w:r>
            <w:rPr>
              <w:noProof/>
              <w:sz w:val="24"/>
              <w:szCs w:val="24"/>
            </w:rPr>
            <w:t>(Ferguson, The Cosmos and the Creator: An Introduction to the Theology of Creation 1998)</w:t>
          </w:r>
          <w:r>
            <w:rPr>
              <w:sz w:val="24"/>
              <w:szCs w:val="24"/>
            </w:rPr>
            <w:fldChar w:fldCharType="end"/>
          </w:r>
        </w:sdtContent>
      </w:sdt>
      <w:r>
        <w:rPr>
          <w:sz w:val="24"/>
          <w:szCs w:val="24"/>
        </w:rPr>
        <w:t xml:space="preserve"> (2), describes as expressing ‘hostility towards the assertions of theology’ and who sees ‘so much random change, pointless waste and violent suffering in the emergence of life on earth’  Or indeed, Annie Dillard, author of </w:t>
      </w:r>
      <w:r>
        <w:rPr>
          <w:i/>
          <w:sz w:val="24"/>
          <w:szCs w:val="24"/>
        </w:rPr>
        <w:t>Pilgrim at Tinker Creek</w:t>
      </w:r>
      <w:r>
        <w:rPr>
          <w:sz w:val="24"/>
          <w:szCs w:val="24"/>
        </w:rPr>
        <w:t xml:space="preserve"> (1974) who quoted in </w:t>
      </w:r>
      <w:sdt>
        <w:sdtPr>
          <w:rPr>
            <w:sz w:val="24"/>
            <w:szCs w:val="24"/>
          </w:rPr>
          <w:id w:val="6700407"/>
          <w:citation/>
        </w:sdtPr>
        <w:sdtEndPr/>
        <w:sdtContent>
          <w:r>
            <w:rPr>
              <w:sz w:val="24"/>
              <w:szCs w:val="24"/>
            </w:rPr>
            <w:fldChar w:fldCharType="begin"/>
          </w:r>
          <w:r>
            <w:rPr>
              <w:sz w:val="24"/>
              <w:szCs w:val="24"/>
            </w:rPr>
            <w:instrText xml:space="preserve"> CITATION ASF98 \l 2057 </w:instrText>
          </w:r>
          <w:r>
            <w:rPr>
              <w:sz w:val="24"/>
              <w:szCs w:val="24"/>
            </w:rPr>
            <w:fldChar w:fldCharType="separate"/>
          </w:r>
          <w:r>
            <w:rPr>
              <w:noProof/>
              <w:sz w:val="24"/>
              <w:szCs w:val="24"/>
            </w:rPr>
            <w:t>(Ferguson, The Cosmos and the Creator: An Introduction to the Theology of Creation 1998)</w:t>
          </w:r>
          <w:r>
            <w:rPr>
              <w:sz w:val="24"/>
              <w:szCs w:val="24"/>
            </w:rPr>
            <w:fldChar w:fldCharType="end"/>
          </w:r>
        </w:sdtContent>
      </w:sdt>
      <w:r>
        <w:rPr>
          <w:sz w:val="24"/>
          <w:szCs w:val="24"/>
        </w:rPr>
        <w:t>(3) wrote:</w:t>
      </w:r>
    </w:p>
    <w:p w:rsidR="00381F13" w:rsidRDefault="00381F13" w:rsidP="00381F13">
      <w:pPr>
        <w:pStyle w:val="Normal1"/>
        <w:spacing w:line="240" w:lineRule="auto"/>
        <w:ind w:left="720"/>
        <w:rPr>
          <w:sz w:val="24"/>
          <w:szCs w:val="24"/>
        </w:rPr>
      </w:pPr>
      <w:r>
        <w:rPr>
          <w:sz w:val="24"/>
          <w:szCs w:val="24"/>
        </w:rPr>
        <w:t xml:space="preserve">“What is going on here? …The question from agnosticism is; </w:t>
      </w:r>
      <w:proofErr w:type="gramStart"/>
      <w:r>
        <w:rPr>
          <w:sz w:val="24"/>
          <w:szCs w:val="24"/>
        </w:rPr>
        <w:t>Who</w:t>
      </w:r>
      <w:proofErr w:type="gramEnd"/>
      <w:r>
        <w:rPr>
          <w:sz w:val="24"/>
          <w:szCs w:val="24"/>
        </w:rPr>
        <w:t xml:space="preserve"> turned on the lights? The question from faith is, </w:t>
      </w:r>
      <w:proofErr w:type="gramStart"/>
      <w:r>
        <w:rPr>
          <w:sz w:val="24"/>
          <w:szCs w:val="24"/>
        </w:rPr>
        <w:t>Whatever</w:t>
      </w:r>
      <w:proofErr w:type="gramEnd"/>
      <w:r>
        <w:rPr>
          <w:sz w:val="24"/>
          <w:szCs w:val="24"/>
        </w:rPr>
        <w:t xml:space="preserve"> for?”</w:t>
      </w:r>
    </w:p>
    <w:p w:rsidR="00381F13" w:rsidRDefault="00381F13" w:rsidP="00381F13">
      <w:pPr>
        <w:pStyle w:val="Normal1"/>
        <w:spacing w:line="240" w:lineRule="auto"/>
        <w:ind w:left="720"/>
        <w:rPr>
          <w:sz w:val="24"/>
          <w:szCs w:val="24"/>
        </w:rPr>
      </w:pPr>
    </w:p>
    <w:p w:rsidR="00381F13" w:rsidRDefault="00381F13" w:rsidP="00381F13">
      <w:pPr>
        <w:pStyle w:val="Normal1"/>
        <w:spacing w:line="480" w:lineRule="auto"/>
        <w:ind w:firstLine="720"/>
        <w:rPr>
          <w:sz w:val="24"/>
          <w:szCs w:val="24"/>
        </w:rPr>
      </w:pPr>
      <w:r>
        <w:rPr>
          <w:sz w:val="24"/>
          <w:szCs w:val="24"/>
        </w:rPr>
        <w:t>The counter argument being of course, that creation is in fact an act of Divine Will. A fact that the early church took as received wisdom via the scriptures</w:t>
      </w:r>
      <w:r>
        <w:rPr>
          <w:rStyle w:val="FootnoteReference"/>
          <w:sz w:val="24"/>
          <w:szCs w:val="24"/>
        </w:rPr>
        <w:footnoteReference w:id="7"/>
      </w:r>
      <w:r>
        <w:rPr>
          <w:sz w:val="24"/>
          <w:szCs w:val="24"/>
        </w:rPr>
        <w:t xml:space="preserve">. If it is not, and it is the result of the former, then we are merely the random products of space dust brought into existence by chemical chain reactions and blind chance in an ever expanding universe.  If the latter, then the consequential questions naturally follow. Was creation, God’s realization of ‘potential’ into ‘actuality’, necessitated by some form of compulsion? Was it composed of already pre-existing matter or created from nothing, </w:t>
      </w:r>
      <w:proofErr w:type="spellStart"/>
      <w:r>
        <w:rPr>
          <w:i/>
          <w:sz w:val="24"/>
          <w:szCs w:val="24"/>
        </w:rPr>
        <w:t>creatio</w:t>
      </w:r>
      <w:proofErr w:type="spellEnd"/>
      <w:r>
        <w:rPr>
          <w:i/>
          <w:sz w:val="24"/>
          <w:szCs w:val="24"/>
        </w:rPr>
        <w:t xml:space="preserve"> ex nihilo</w:t>
      </w:r>
      <w:r>
        <w:rPr>
          <w:sz w:val="24"/>
          <w:szCs w:val="24"/>
        </w:rPr>
        <w:t xml:space="preserve">.  Then finally, are the characteristics of the creation, as they unfold before us, indicative of a modal entity and authority, an emanation of God’s own nature or perhaps suggestive, as many Christian theologians like </w:t>
      </w:r>
      <w:proofErr w:type="spellStart"/>
      <w:r>
        <w:rPr>
          <w:sz w:val="24"/>
          <w:szCs w:val="24"/>
        </w:rPr>
        <w:t>Moltmann</w:t>
      </w:r>
      <w:proofErr w:type="spellEnd"/>
      <w:r>
        <w:rPr>
          <w:sz w:val="24"/>
          <w:szCs w:val="24"/>
        </w:rPr>
        <w:t xml:space="preserve"> and </w:t>
      </w:r>
      <w:proofErr w:type="spellStart"/>
      <w:r>
        <w:rPr>
          <w:sz w:val="24"/>
          <w:szCs w:val="24"/>
        </w:rPr>
        <w:t>Pannenberg</w:t>
      </w:r>
      <w:proofErr w:type="spellEnd"/>
      <w:r>
        <w:rPr>
          <w:sz w:val="24"/>
          <w:szCs w:val="24"/>
        </w:rPr>
        <w:t xml:space="preserve"> articulate, of a Trinitarian determination?</w:t>
      </w:r>
      <w:r>
        <w:rPr>
          <w:rStyle w:val="FootnoteReference"/>
          <w:sz w:val="24"/>
          <w:szCs w:val="24"/>
        </w:rPr>
        <w:footnoteReference w:id="8"/>
      </w:r>
    </w:p>
    <w:p w:rsidR="00381F13" w:rsidRDefault="00381F13" w:rsidP="00381F13">
      <w:pPr>
        <w:pStyle w:val="Normal1"/>
        <w:spacing w:line="480" w:lineRule="auto"/>
        <w:ind w:firstLine="720"/>
        <w:rPr>
          <w:sz w:val="24"/>
          <w:szCs w:val="24"/>
        </w:rPr>
      </w:pPr>
      <w:r>
        <w:rPr>
          <w:sz w:val="24"/>
          <w:szCs w:val="24"/>
        </w:rPr>
        <w:t xml:space="preserve">After all the Triune doctrine hypothesizes that God’s differentiation, triangulated through the role of Father, Son and Holy Spirit, achieves ‘unity in difference’ and not through some kind </w:t>
      </w:r>
      <w:r>
        <w:rPr>
          <w:sz w:val="24"/>
          <w:szCs w:val="24"/>
        </w:rPr>
        <w:lastRenderedPageBreak/>
        <w:t xml:space="preserve">of forced uniformity and therefore nurtures love of ‘the other’ through co-operation and self-donation rather than outright competition over scarce resources. A bounty that was made available by God’s own free-will, and is reflective of his own essence by means of original emanation which brought the universe into existence in the first place. For, as per Aquinas, responding to question 45 in the </w:t>
      </w:r>
      <w:r>
        <w:rPr>
          <w:i/>
          <w:sz w:val="24"/>
          <w:szCs w:val="24"/>
        </w:rPr>
        <w:t xml:space="preserve">Summa </w:t>
      </w:r>
      <w:r>
        <w:rPr>
          <w:sz w:val="24"/>
          <w:szCs w:val="24"/>
        </w:rPr>
        <w:t>by means of articles 1-8 which cogitate on Aristotelian issues of ‘potency and Act’ and ‘form and matter’, only God can create something from nothing and ‘creatures’ such as ourselves can only become sub-creators</w:t>
      </w:r>
      <w:r>
        <w:rPr>
          <w:rStyle w:val="FootnoteReference"/>
          <w:sz w:val="24"/>
          <w:szCs w:val="24"/>
        </w:rPr>
        <w:footnoteReference w:id="9"/>
      </w:r>
      <w:r>
        <w:rPr>
          <w:sz w:val="24"/>
          <w:szCs w:val="24"/>
        </w:rPr>
        <w:t xml:space="preserve"> by </w:t>
      </w:r>
      <w:proofErr w:type="spellStart"/>
      <w:r>
        <w:rPr>
          <w:sz w:val="24"/>
          <w:szCs w:val="24"/>
        </w:rPr>
        <w:t>molding</w:t>
      </w:r>
      <w:proofErr w:type="spellEnd"/>
      <w:r>
        <w:rPr>
          <w:sz w:val="24"/>
          <w:szCs w:val="24"/>
        </w:rPr>
        <w:t xml:space="preserve"> substances that have been willed into existence by what </w:t>
      </w:r>
      <w:sdt>
        <w:sdtPr>
          <w:rPr>
            <w:sz w:val="24"/>
            <w:szCs w:val="24"/>
          </w:rPr>
          <w:id w:val="6700409"/>
          <w:citation/>
        </w:sdtPr>
        <w:sdtEndPr/>
        <w:sdtContent>
          <w:r>
            <w:rPr>
              <w:sz w:val="24"/>
              <w:szCs w:val="24"/>
            </w:rPr>
            <w:fldChar w:fldCharType="begin"/>
          </w:r>
          <w:r>
            <w:rPr>
              <w:sz w:val="24"/>
              <w:szCs w:val="24"/>
            </w:rPr>
            <w:instrText xml:space="preserve"> CITATION ASF98 \l 2057 </w:instrText>
          </w:r>
          <w:r>
            <w:rPr>
              <w:sz w:val="24"/>
              <w:szCs w:val="24"/>
            </w:rPr>
            <w:fldChar w:fldCharType="separate"/>
          </w:r>
          <w:r>
            <w:rPr>
              <w:noProof/>
              <w:sz w:val="24"/>
              <w:szCs w:val="24"/>
            </w:rPr>
            <w:t>(Ferguson, The Cosmos and the Creator: An Introduction to the Theology of Creation 1998)</w:t>
          </w:r>
          <w:r>
            <w:rPr>
              <w:sz w:val="24"/>
              <w:szCs w:val="24"/>
            </w:rPr>
            <w:fldChar w:fldCharType="end"/>
          </w:r>
        </w:sdtContent>
      </w:sdt>
      <w:r>
        <w:rPr>
          <w:sz w:val="24"/>
          <w:szCs w:val="24"/>
        </w:rPr>
        <w:t>(4) calls a ‘personal’ God in the first instance.</w:t>
      </w:r>
    </w:p>
    <w:p w:rsidR="00381F13" w:rsidRDefault="00381F13" w:rsidP="00381F13">
      <w:pPr>
        <w:pStyle w:val="Normal1"/>
        <w:spacing w:line="480" w:lineRule="auto"/>
        <w:ind w:firstLine="720"/>
        <w:rPr>
          <w:sz w:val="24"/>
          <w:szCs w:val="24"/>
        </w:rPr>
      </w:pPr>
      <w:r>
        <w:rPr>
          <w:sz w:val="24"/>
          <w:szCs w:val="24"/>
        </w:rPr>
        <w:t>A premise that places the Doctrine of the Trinity, what Lash contends ‘</w:t>
      </w:r>
      <w:r>
        <w:rPr>
          <w:i/>
          <w:sz w:val="24"/>
          <w:szCs w:val="24"/>
        </w:rPr>
        <w:t>is</w:t>
      </w:r>
      <w:r>
        <w:rPr>
          <w:sz w:val="24"/>
          <w:szCs w:val="24"/>
        </w:rPr>
        <w:t xml:space="preserve"> the Christian doctrine of God’</w:t>
      </w:r>
      <w:r>
        <w:rPr>
          <w:rStyle w:val="FootnoteReference"/>
          <w:sz w:val="24"/>
          <w:szCs w:val="24"/>
        </w:rPr>
        <w:footnoteReference w:id="10"/>
      </w:r>
      <w:r>
        <w:rPr>
          <w:sz w:val="24"/>
          <w:szCs w:val="24"/>
        </w:rPr>
        <w:t xml:space="preserve"> at the very heart of the Doctrine of Creation. </w:t>
      </w:r>
      <w:proofErr w:type="gramStart"/>
      <w:r>
        <w:rPr>
          <w:sz w:val="24"/>
          <w:szCs w:val="24"/>
        </w:rPr>
        <w:t xml:space="preserve">With </w:t>
      </w:r>
      <w:sdt>
        <w:sdtPr>
          <w:rPr>
            <w:sz w:val="24"/>
            <w:szCs w:val="24"/>
          </w:rPr>
          <w:id w:val="6700412"/>
          <w:citation/>
        </w:sdtPr>
        <w:sdtEndPr/>
        <w:sdtContent>
          <w:r>
            <w:rPr>
              <w:sz w:val="24"/>
              <w:szCs w:val="24"/>
            </w:rPr>
            <w:fldChar w:fldCharType="begin"/>
          </w:r>
          <w:r>
            <w:rPr>
              <w:sz w:val="24"/>
              <w:szCs w:val="24"/>
            </w:rPr>
            <w:instrText xml:space="preserve"> CITATION Ibi \l 2057 </w:instrText>
          </w:r>
          <w:r>
            <w:rPr>
              <w:sz w:val="24"/>
              <w:szCs w:val="24"/>
            </w:rPr>
            <w:fldChar w:fldCharType="separate"/>
          </w:r>
          <w:r>
            <w:rPr>
              <w:noProof/>
              <w:sz w:val="24"/>
              <w:szCs w:val="24"/>
            </w:rPr>
            <w:t>(R. W. Jenson, Aspects of a Doctrine of Creation n.d.)</w:t>
          </w:r>
          <w:proofErr w:type="gramEnd"/>
          <w:r>
            <w:rPr>
              <w:sz w:val="24"/>
              <w:szCs w:val="24"/>
            </w:rPr>
            <w:fldChar w:fldCharType="end"/>
          </w:r>
        </w:sdtContent>
      </w:sdt>
      <w:r>
        <w:rPr>
          <w:sz w:val="24"/>
          <w:szCs w:val="24"/>
        </w:rPr>
        <w:t xml:space="preserve">(5) </w:t>
      </w:r>
      <w:proofErr w:type="gramStart"/>
      <w:r>
        <w:rPr>
          <w:sz w:val="24"/>
          <w:szCs w:val="24"/>
        </w:rPr>
        <w:t>writing</w:t>
      </w:r>
      <w:proofErr w:type="gramEnd"/>
      <w:r>
        <w:rPr>
          <w:sz w:val="24"/>
          <w:szCs w:val="24"/>
        </w:rPr>
        <w:t>:</w:t>
      </w:r>
    </w:p>
    <w:p w:rsidR="00381F13" w:rsidRDefault="00381F13" w:rsidP="00381F13">
      <w:pPr>
        <w:pStyle w:val="Normal1"/>
        <w:spacing w:line="240" w:lineRule="auto"/>
        <w:ind w:left="720"/>
        <w:rPr>
          <w:sz w:val="24"/>
          <w:szCs w:val="24"/>
        </w:rPr>
      </w:pPr>
      <w:r>
        <w:rPr>
          <w:sz w:val="24"/>
          <w:szCs w:val="24"/>
        </w:rPr>
        <w:t>‘‘Let me begin by quoting John of Damascus -‘He (God) creates by thinking, and what is thought comes actually to subsist as a work carried on by the Logos and perfected by the spirit’…Creation is said to become actual (</w:t>
      </w:r>
      <w:proofErr w:type="spellStart"/>
      <w:r>
        <w:rPr>
          <w:i/>
          <w:sz w:val="24"/>
          <w:szCs w:val="24"/>
        </w:rPr>
        <w:t>hyphistatai</w:t>
      </w:r>
      <w:proofErr w:type="spellEnd"/>
      <w:r>
        <w:rPr>
          <w:sz w:val="24"/>
          <w:szCs w:val="24"/>
        </w:rPr>
        <w:t xml:space="preserve">) as an </w:t>
      </w:r>
      <w:proofErr w:type="spellStart"/>
      <w:r>
        <w:rPr>
          <w:i/>
          <w:sz w:val="24"/>
          <w:szCs w:val="24"/>
        </w:rPr>
        <w:t>ergon</w:t>
      </w:r>
      <w:proofErr w:type="spellEnd"/>
      <w:r>
        <w:rPr>
          <w:sz w:val="24"/>
          <w:szCs w:val="24"/>
        </w:rPr>
        <w:t xml:space="preserve">, a work; and this work is done as it is enveloped in all temporal dimensions by the three persons God is. God the Father is the sheer given of creation, in John’s material doctrine as a consciousness for which the creature is a thought. This thought is real in that it is perfected by God the Spirit, and in that it is carried along by God the Son.” </w:t>
      </w:r>
      <w:sdt>
        <w:sdtPr>
          <w:rPr>
            <w:sz w:val="24"/>
            <w:szCs w:val="24"/>
          </w:rPr>
          <w:id w:val="6700417"/>
          <w:citation/>
        </w:sdtPr>
        <w:sdtEndPr/>
        <w:sdtContent>
          <w:r>
            <w:rPr>
              <w:sz w:val="24"/>
              <w:szCs w:val="24"/>
            </w:rPr>
            <w:fldChar w:fldCharType="begin"/>
          </w:r>
          <w:r>
            <w:rPr>
              <w:sz w:val="24"/>
              <w:szCs w:val="24"/>
            </w:rPr>
            <w:instrText xml:space="preserve"> CITATION Jen95 \t  \l 2057  </w:instrText>
          </w:r>
          <w:r>
            <w:rPr>
              <w:sz w:val="24"/>
              <w:szCs w:val="24"/>
            </w:rPr>
            <w:fldChar w:fldCharType="separate"/>
          </w:r>
          <w:r>
            <w:rPr>
              <w:noProof/>
              <w:sz w:val="24"/>
              <w:szCs w:val="24"/>
            </w:rPr>
            <w:t>(R. W. Jenson n.d.)</w:t>
          </w:r>
          <w:r>
            <w:rPr>
              <w:sz w:val="24"/>
              <w:szCs w:val="24"/>
            </w:rPr>
            <w:fldChar w:fldCharType="end"/>
          </w:r>
        </w:sdtContent>
      </w:sdt>
      <w:r>
        <w:rPr>
          <w:sz w:val="24"/>
          <w:szCs w:val="24"/>
        </w:rPr>
        <w:t>6).</w:t>
      </w:r>
    </w:p>
    <w:p w:rsidR="00381F13" w:rsidRDefault="00381F13" w:rsidP="00381F13">
      <w:pPr>
        <w:pStyle w:val="Normal1"/>
        <w:spacing w:line="480" w:lineRule="auto"/>
        <w:ind w:left="1440"/>
        <w:rPr>
          <w:sz w:val="24"/>
          <w:szCs w:val="24"/>
        </w:rPr>
      </w:pPr>
    </w:p>
    <w:p w:rsidR="00381F13" w:rsidRDefault="00381F13" w:rsidP="00381F13">
      <w:pPr>
        <w:pStyle w:val="Normal1"/>
        <w:spacing w:line="480" w:lineRule="auto"/>
        <w:rPr>
          <w:sz w:val="24"/>
          <w:szCs w:val="24"/>
        </w:rPr>
      </w:pPr>
      <w:r>
        <w:rPr>
          <w:sz w:val="24"/>
          <w:szCs w:val="24"/>
        </w:rPr>
        <w:t xml:space="preserve">Jenson, who interprets John of Damascus’s reference to ‘God is…his own place’ </w:t>
      </w:r>
      <w:sdt>
        <w:sdtPr>
          <w:rPr>
            <w:sz w:val="24"/>
            <w:szCs w:val="24"/>
          </w:rPr>
          <w:id w:val="6700418"/>
          <w:citation/>
        </w:sdtPr>
        <w:sdtEndPr/>
        <w:sdtContent>
          <w:r>
            <w:rPr>
              <w:sz w:val="24"/>
              <w:szCs w:val="24"/>
            </w:rPr>
            <w:fldChar w:fldCharType="begin"/>
          </w:r>
          <w:r>
            <w:rPr>
              <w:sz w:val="24"/>
              <w:szCs w:val="24"/>
            </w:rPr>
            <w:instrText xml:space="preserve"> CITATION Jen \l 2057  </w:instrText>
          </w:r>
          <w:r>
            <w:rPr>
              <w:sz w:val="24"/>
              <w:szCs w:val="24"/>
            </w:rPr>
            <w:fldChar w:fldCharType="separate"/>
          </w:r>
          <w:r>
            <w:rPr>
              <w:noProof/>
              <w:sz w:val="24"/>
              <w:szCs w:val="24"/>
            </w:rPr>
            <w:t>(Jenson 1995)</w:t>
          </w:r>
          <w:r>
            <w:rPr>
              <w:sz w:val="24"/>
              <w:szCs w:val="24"/>
            </w:rPr>
            <w:fldChar w:fldCharType="end"/>
          </w:r>
        </w:sdtContent>
      </w:sdt>
      <w:r>
        <w:rPr>
          <w:sz w:val="24"/>
          <w:szCs w:val="24"/>
        </w:rPr>
        <w:t xml:space="preserve">(7), as God opening a space in his triune life ‘that we call time’ for what we think of as the act of creation, proceeding to quote </w:t>
      </w:r>
      <w:sdt>
        <w:sdtPr>
          <w:rPr>
            <w:sz w:val="24"/>
            <w:szCs w:val="24"/>
          </w:rPr>
          <w:id w:val="6700425"/>
          <w:citation/>
        </w:sdtPr>
        <w:sdtEndPr/>
        <w:sdtContent>
          <w:r>
            <w:rPr>
              <w:sz w:val="24"/>
              <w:szCs w:val="24"/>
            </w:rPr>
            <w:fldChar w:fldCharType="begin"/>
          </w:r>
          <w:r>
            <w:rPr>
              <w:sz w:val="24"/>
              <w:szCs w:val="24"/>
            </w:rPr>
            <w:instrText xml:space="preserve"> CITATION Gun93 \l 2057 </w:instrText>
          </w:r>
          <w:r>
            <w:rPr>
              <w:sz w:val="24"/>
              <w:szCs w:val="24"/>
            </w:rPr>
            <w:fldChar w:fldCharType="separate"/>
          </w:r>
          <w:r>
            <w:rPr>
              <w:noProof/>
              <w:sz w:val="24"/>
              <w:szCs w:val="24"/>
            </w:rPr>
            <w:t>(C. Gunton, Christ and Creation, 1993)</w:t>
          </w:r>
          <w:r>
            <w:rPr>
              <w:sz w:val="24"/>
              <w:szCs w:val="24"/>
            </w:rPr>
            <w:fldChar w:fldCharType="end"/>
          </w:r>
        </w:sdtContent>
      </w:sdt>
      <w:r>
        <w:rPr>
          <w:sz w:val="24"/>
          <w:szCs w:val="24"/>
        </w:rPr>
        <w:t>(8), thus:</w:t>
      </w:r>
    </w:p>
    <w:p w:rsidR="00381F13" w:rsidRDefault="00381F13" w:rsidP="00381F13">
      <w:pPr>
        <w:pStyle w:val="Normal1"/>
        <w:spacing w:line="240" w:lineRule="auto"/>
        <w:ind w:left="720"/>
        <w:rPr>
          <w:sz w:val="24"/>
          <w:szCs w:val="24"/>
        </w:rPr>
      </w:pPr>
      <w:r>
        <w:rPr>
          <w:sz w:val="24"/>
          <w:szCs w:val="24"/>
        </w:rPr>
        <w:t xml:space="preserve">“… </w:t>
      </w:r>
      <w:proofErr w:type="gramStart"/>
      <w:r>
        <w:rPr>
          <w:sz w:val="24"/>
          <w:szCs w:val="24"/>
        </w:rPr>
        <w:t>the</w:t>
      </w:r>
      <w:proofErr w:type="gramEnd"/>
      <w:r>
        <w:rPr>
          <w:sz w:val="24"/>
          <w:szCs w:val="24"/>
        </w:rPr>
        <w:t xml:space="preserve"> only satisfactory account of the relation between creator and creation is a Trinitarian one…The key to the matter is…the capacity for us to understand the relation </w:t>
      </w:r>
      <w:r>
        <w:rPr>
          <w:sz w:val="24"/>
          <w:szCs w:val="24"/>
        </w:rPr>
        <w:lastRenderedPageBreak/>
        <w:t>between God and the world as a matter of free relatedness. It is because God the Father creates through the Son and Spirit…that we can conceive a world that is both real in itself, and yet only is itself in relation to its creator.”</w:t>
      </w:r>
    </w:p>
    <w:p w:rsidR="00381F13" w:rsidRDefault="00381F13" w:rsidP="00381F13">
      <w:pPr>
        <w:pStyle w:val="Normal1"/>
        <w:spacing w:line="480" w:lineRule="auto"/>
        <w:rPr>
          <w:sz w:val="24"/>
          <w:szCs w:val="24"/>
        </w:rPr>
      </w:pPr>
    </w:p>
    <w:p w:rsidR="00381F13" w:rsidRDefault="00381F13" w:rsidP="00381F13">
      <w:pPr>
        <w:pStyle w:val="Normal1"/>
        <w:spacing w:line="480" w:lineRule="auto"/>
        <w:ind w:firstLine="720"/>
        <w:rPr>
          <w:sz w:val="24"/>
          <w:szCs w:val="24"/>
        </w:rPr>
      </w:pPr>
      <w:r>
        <w:rPr>
          <w:sz w:val="24"/>
          <w:szCs w:val="24"/>
        </w:rPr>
        <w:t xml:space="preserve">A theme that revisits the earlier Arian and Athanasius debate about the agency of The Son in creation  and opens up the manifold Christological aspects of the Trinity, that according to </w:t>
      </w:r>
      <w:sdt>
        <w:sdtPr>
          <w:rPr>
            <w:sz w:val="24"/>
            <w:szCs w:val="24"/>
          </w:rPr>
          <w:id w:val="6700448"/>
          <w:citation/>
        </w:sdtPr>
        <w:sdtEndPr/>
        <w:sdtContent>
          <w:r>
            <w:rPr>
              <w:sz w:val="24"/>
              <w:szCs w:val="24"/>
            </w:rPr>
            <w:fldChar w:fldCharType="begin"/>
          </w:r>
          <w:r>
            <w:rPr>
              <w:sz w:val="24"/>
              <w:szCs w:val="24"/>
            </w:rPr>
            <w:instrText xml:space="preserve"> CITATION Gun93 \t  \l 2057  </w:instrText>
          </w:r>
          <w:r>
            <w:rPr>
              <w:sz w:val="24"/>
              <w:szCs w:val="24"/>
            </w:rPr>
            <w:fldChar w:fldCharType="separate"/>
          </w:r>
          <w:r>
            <w:rPr>
              <w:noProof/>
              <w:sz w:val="24"/>
              <w:szCs w:val="24"/>
            </w:rPr>
            <w:t>(C. Gunton 1993)</w:t>
          </w:r>
          <w:r>
            <w:rPr>
              <w:sz w:val="24"/>
              <w:szCs w:val="24"/>
            </w:rPr>
            <w:fldChar w:fldCharType="end"/>
          </w:r>
        </w:sdtContent>
      </w:sdt>
      <w:r>
        <w:rPr>
          <w:sz w:val="24"/>
          <w:szCs w:val="24"/>
        </w:rPr>
        <w:t xml:space="preserve">(8), ‘enables theology to hold together creation and redemption’. A view shared by many New Testament writers who saw the gospel as a roadmap to human salvation through the incarnation and resurrection and the synthesis of creation and eternity  which was so warmly endorsed by </w:t>
      </w:r>
      <w:sdt>
        <w:sdtPr>
          <w:rPr>
            <w:sz w:val="24"/>
            <w:szCs w:val="24"/>
          </w:rPr>
          <w:id w:val="6700426"/>
          <w:citation/>
        </w:sdtPr>
        <w:sdtEndPr/>
        <w:sdtContent>
          <w:r>
            <w:rPr>
              <w:sz w:val="24"/>
              <w:szCs w:val="24"/>
            </w:rPr>
            <w:fldChar w:fldCharType="begin"/>
          </w:r>
          <w:r>
            <w:rPr>
              <w:sz w:val="24"/>
              <w:szCs w:val="24"/>
            </w:rPr>
            <w:instrText xml:space="preserve"> CITATION Bar10 \l 2057 </w:instrText>
          </w:r>
          <w:r>
            <w:rPr>
              <w:sz w:val="24"/>
              <w:szCs w:val="24"/>
            </w:rPr>
            <w:fldChar w:fldCharType="separate"/>
          </w:r>
          <w:r>
            <w:rPr>
              <w:noProof/>
              <w:sz w:val="24"/>
              <w:szCs w:val="24"/>
            </w:rPr>
            <w:t>(K. Barth 2010)</w:t>
          </w:r>
          <w:r>
            <w:rPr>
              <w:sz w:val="24"/>
              <w:szCs w:val="24"/>
            </w:rPr>
            <w:fldChar w:fldCharType="end"/>
          </w:r>
        </w:sdtContent>
      </w:sdt>
      <w:r>
        <w:rPr>
          <w:sz w:val="24"/>
          <w:szCs w:val="24"/>
        </w:rPr>
        <w:t>(9):</w:t>
      </w:r>
    </w:p>
    <w:p w:rsidR="00381F13" w:rsidRDefault="00381F13" w:rsidP="00381F13">
      <w:pPr>
        <w:pStyle w:val="Normal1"/>
        <w:spacing w:line="240" w:lineRule="auto"/>
        <w:ind w:left="720"/>
        <w:rPr>
          <w:sz w:val="24"/>
          <w:szCs w:val="24"/>
        </w:rPr>
      </w:pPr>
      <w:r>
        <w:rPr>
          <w:sz w:val="24"/>
          <w:szCs w:val="24"/>
        </w:rPr>
        <w:t>“The glorification of God’s name in Jesus Christ is accordingly the final goal of creation, be it light or darkness, good or evil, must serve this purpose…The doctrine of Creation …forbids us to think meanly of Jesus Christ, his kingdom and his church, as if the work of our salvation and redemption were a kind of afterthought which we might ignore in view of creation as God’s first and principal work.”</w:t>
      </w:r>
    </w:p>
    <w:p w:rsidR="00381F13" w:rsidRDefault="00381F13" w:rsidP="00381F13">
      <w:pPr>
        <w:pStyle w:val="Normal1"/>
        <w:spacing w:line="240" w:lineRule="auto"/>
        <w:ind w:left="1440"/>
        <w:rPr>
          <w:sz w:val="24"/>
          <w:szCs w:val="24"/>
        </w:rPr>
      </w:pPr>
    </w:p>
    <w:p w:rsidR="00381F13" w:rsidRDefault="00381F13" w:rsidP="00381F13">
      <w:pPr>
        <w:pStyle w:val="Normal1"/>
        <w:spacing w:line="480" w:lineRule="auto"/>
        <w:ind w:firstLine="720"/>
        <w:rPr>
          <w:sz w:val="24"/>
          <w:szCs w:val="24"/>
        </w:rPr>
      </w:pPr>
      <w:r>
        <w:rPr>
          <w:sz w:val="24"/>
          <w:szCs w:val="24"/>
        </w:rPr>
        <w:t>A vital point that emphasized God’s ‘three modes’ as ‘Creator, Reconciler and Redeemer’ (Barth 2010 -10) and marked out Barth’s Trinitarian interpretation of creation. For, despite the Gospel of Thomas quoting Jesus as saying: “Raise the stone and thou shalt find me: cleave the wood and I am there”, such a viewpoint, was to a large extent lost in the ‘</w:t>
      </w:r>
      <w:proofErr w:type="spellStart"/>
      <w:r>
        <w:rPr>
          <w:sz w:val="24"/>
          <w:szCs w:val="24"/>
        </w:rPr>
        <w:t>voluntarist</w:t>
      </w:r>
      <w:proofErr w:type="spellEnd"/>
      <w:r>
        <w:rPr>
          <w:sz w:val="24"/>
          <w:szCs w:val="24"/>
        </w:rPr>
        <w:t xml:space="preserve">’ medieval treatises of John Duns </w:t>
      </w:r>
      <w:proofErr w:type="spellStart"/>
      <w:r>
        <w:rPr>
          <w:sz w:val="24"/>
          <w:szCs w:val="24"/>
        </w:rPr>
        <w:t>Scotus</w:t>
      </w:r>
      <w:proofErr w:type="spellEnd"/>
      <w:r>
        <w:rPr>
          <w:sz w:val="24"/>
          <w:szCs w:val="24"/>
        </w:rPr>
        <w:t xml:space="preserve"> that touched upon the notion of creation in a period dominated by concepts of Omni-causality, and nominalist or </w:t>
      </w:r>
      <w:proofErr w:type="spellStart"/>
      <w:r>
        <w:rPr>
          <w:sz w:val="24"/>
          <w:szCs w:val="24"/>
        </w:rPr>
        <w:t>Ockhamist</w:t>
      </w:r>
      <w:proofErr w:type="spellEnd"/>
      <w:r>
        <w:rPr>
          <w:sz w:val="24"/>
          <w:szCs w:val="24"/>
        </w:rPr>
        <w:t xml:space="preserve"> thought, that according to </w:t>
      </w:r>
      <w:sdt>
        <w:sdtPr>
          <w:rPr>
            <w:sz w:val="24"/>
            <w:szCs w:val="24"/>
          </w:rPr>
          <w:id w:val="6700427"/>
          <w:citation/>
        </w:sdtPr>
        <w:sdtEndPr/>
        <w:sdtContent>
          <w:r>
            <w:rPr>
              <w:sz w:val="24"/>
              <w:szCs w:val="24"/>
            </w:rPr>
            <w:fldChar w:fldCharType="begin"/>
          </w:r>
          <w:r>
            <w:rPr>
              <w:sz w:val="24"/>
              <w:szCs w:val="24"/>
            </w:rPr>
            <w:instrText xml:space="preserve"> CITATION Gun931 \t  \l 2057  </w:instrText>
          </w:r>
          <w:r>
            <w:rPr>
              <w:sz w:val="24"/>
              <w:szCs w:val="24"/>
            </w:rPr>
            <w:fldChar w:fldCharType="separate"/>
          </w:r>
          <w:r>
            <w:rPr>
              <w:noProof/>
              <w:sz w:val="24"/>
              <w:szCs w:val="24"/>
            </w:rPr>
            <w:t>(C. Gunton 1993)</w:t>
          </w:r>
          <w:r>
            <w:rPr>
              <w:sz w:val="24"/>
              <w:szCs w:val="24"/>
            </w:rPr>
            <w:fldChar w:fldCharType="end"/>
          </w:r>
        </w:sdtContent>
      </w:sdt>
      <w:r>
        <w:rPr>
          <w:sz w:val="24"/>
          <w:szCs w:val="24"/>
        </w:rPr>
        <w:t xml:space="preserve"> (11) ‘displaced God as the focus for unity and of meaning in being’. A standpoint ,that was  to some extent overturned with the advent of Reformation thinkers like  Luther who revisited the opinions of early patristic theologians in his lectures on Genesis and further developed concepts like </w:t>
      </w:r>
      <w:r>
        <w:rPr>
          <w:i/>
          <w:sz w:val="24"/>
          <w:szCs w:val="24"/>
        </w:rPr>
        <w:t>contingency</w:t>
      </w:r>
      <w:r>
        <w:rPr>
          <w:sz w:val="24"/>
          <w:szCs w:val="24"/>
        </w:rPr>
        <w:t xml:space="preserve"> and </w:t>
      </w:r>
      <w:r>
        <w:rPr>
          <w:i/>
          <w:sz w:val="24"/>
          <w:szCs w:val="24"/>
        </w:rPr>
        <w:t xml:space="preserve">will </w:t>
      </w:r>
      <w:r>
        <w:rPr>
          <w:sz w:val="24"/>
          <w:szCs w:val="24"/>
        </w:rPr>
        <w:t>as only being truly understood when considered to be dependent on the Trinitarian underpinning of the eternal love of a ternary God.</w:t>
      </w:r>
    </w:p>
    <w:p w:rsidR="00381F13" w:rsidRDefault="00381F13" w:rsidP="00381F13">
      <w:pPr>
        <w:pStyle w:val="Normal1"/>
        <w:spacing w:line="480" w:lineRule="auto"/>
        <w:ind w:firstLine="720"/>
        <w:rPr>
          <w:sz w:val="24"/>
          <w:szCs w:val="24"/>
        </w:rPr>
      </w:pPr>
      <w:r>
        <w:rPr>
          <w:sz w:val="24"/>
          <w:szCs w:val="24"/>
        </w:rPr>
        <w:lastRenderedPageBreak/>
        <w:t>Arguments that have been consolidated by a myriad of authoritative commentators like Williams, Helm and Hardy</w:t>
      </w:r>
      <w:r>
        <w:rPr>
          <w:rStyle w:val="FootnoteReference"/>
          <w:sz w:val="24"/>
          <w:szCs w:val="24"/>
        </w:rPr>
        <w:footnoteReference w:id="11"/>
      </w:r>
      <w:r>
        <w:rPr>
          <w:sz w:val="24"/>
          <w:szCs w:val="24"/>
        </w:rPr>
        <w:t xml:space="preserve"> as to how the role of the Trinity provides actual finite dimensions to the concept of beginning and end within the theological corpus of discussion about The Doctrine of Creation itself. Williams in (in </w:t>
      </w:r>
      <w:proofErr w:type="spellStart"/>
      <w:r>
        <w:rPr>
          <w:sz w:val="24"/>
          <w:szCs w:val="24"/>
        </w:rPr>
        <w:t>Gunton</w:t>
      </w:r>
      <w:proofErr w:type="spellEnd"/>
      <w:r>
        <w:rPr>
          <w:sz w:val="24"/>
          <w:szCs w:val="24"/>
        </w:rPr>
        <w:t>, ed. 1997-12) asserting that ‘</w:t>
      </w:r>
      <w:proofErr w:type="gramStart"/>
      <w:r>
        <w:rPr>
          <w:sz w:val="24"/>
          <w:szCs w:val="24"/>
        </w:rPr>
        <w:t>Every</w:t>
      </w:r>
      <w:proofErr w:type="gramEnd"/>
      <w:r>
        <w:rPr>
          <w:sz w:val="24"/>
          <w:szCs w:val="24"/>
        </w:rPr>
        <w:t xml:space="preserve"> facet of creation and every aspect of existence require ultimately to be interpreted in relation to God and therefore in terms of specific concrete relations to the divine Trinity.’ Whereas Hardy (</w:t>
      </w:r>
      <w:proofErr w:type="spellStart"/>
      <w:r>
        <w:rPr>
          <w:sz w:val="24"/>
          <w:szCs w:val="24"/>
        </w:rPr>
        <w:t>Gunton</w:t>
      </w:r>
      <w:proofErr w:type="spellEnd"/>
      <w:r>
        <w:rPr>
          <w:sz w:val="24"/>
          <w:szCs w:val="24"/>
        </w:rPr>
        <w:t xml:space="preserve"> ed.1997-13) genuflects on the meaning of creation in a more modified manner, focusing on ‘the nature of the configuration of the world and what occurs there in its trajectory to its outcome.’ Which again alludes to ‘the possibility of otherness as gift’ (</w:t>
      </w:r>
      <w:proofErr w:type="spellStart"/>
      <w:proofErr w:type="gramStart"/>
      <w:r>
        <w:rPr>
          <w:sz w:val="24"/>
          <w:szCs w:val="24"/>
        </w:rPr>
        <w:t>Gunton</w:t>
      </w:r>
      <w:proofErr w:type="spellEnd"/>
      <w:r>
        <w:rPr>
          <w:sz w:val="24"/>
          <w:szCs w:val="24"/>
        </w:rPr>
        <w:t xml:space="preserve">  ed.1997</w:t>
      </w:r>
      <w:proofErr w:type="gramEnd"/>
      <w:r>
        <w:rPr>
          <w:sz w:val="24"/>
          <w:szCs w:val="24"/>
        </w:rPr>
        <w:t xml:space="preserve"> -14) as per God’s interactions with the creatures he has brought into being through the shaping lens of the Son and the Holy Spirit and that, as per the role of Jesus Christ, ‘the purpose of the world is to </w:t>
      </w:r>
      <w:proofErr w:type="spellStart"/>
      <w:r>
        <w:rPr>
          <w:sz w:val="24"/>
          <w:szCs w:val="24"/>
        </w:rPr>
        <w:t>fulfill</w:t>
      </w:r>
      <w:proofErr w:type="spellEnd"/>
      <w:r>
        <w:rPr>
          <w:sz w:val="24"/>
          <w:szCs w:val="24"/>
        </w:rPr>
        <w:t xml:space="preserve"> its finitude,’ (</w:t>
      </w:r>
      <w:proofErr w:type="spellStart"/>
      <w:r>
        <w:rPr>
          <w:sz w:val="24"/>
          <w:szCs w:val="24"/>
        </w:rPr>
        <w:t>Gunton</w:t>
      </w:r>
      <w:proofErr w:type="spellEnd"/>
      <w:r>
        <w:rPr>
          <w:sz w:val="24"/>
          <w:szCs w:val="24"/>
        </w:rPr>
        <w:t xml:space="preserve"> ed.1997-15) in the culminating act of redemption and reconciliation.</w:t>
      </w:r>
    </w:p>
    <w:p w:rsidR="00381F13" w:rsidRDefault="00381F13" w:rsidP="00381F13">
      <w:pPr>
        <w:pStyle w:val="Normal1"/>
        <w:spacing w:line="480" w:lineRule="auto"/>
        <w:ind w:firstLine="720"/>
        <w:rPr>
          <w:sz w:val="24"/>
          <w:szCs w:val="24"/>
        </w:rPr>
      </w:pPr>
      <w:r>
        <w:rPr>
          <w:sz w:val="24"/>
          <w:szCs w:val="24"/>
        </w:rPr>
        <w:t xml:space="preserve">Discussions that place the Doctrine of the Trinity front and centre within the meaning and purpose of the Doctrine of Creation in the first place and brings to mind the words of Basil of Caesarea in On the Holy Spirit XV.36 and 38: ‘the original cause of all things that are made, the Father…the creative cause, the Son…the perfecting cause, the Spirit’. For as Tillich (1963 -16) prognosticates, ‘we can speak of Spirit only because we have spirit, so we can speak of Creation only because creative power is given to us’. The Doctrine of the Trinity thus differentiates between creator and created; introduces an ethic of creation that interplays with concepts of the image of God; establishes creation as being the result of God’s divine all-encompassing benevolent will; sets a course in understanding that although creation remains in proximity to </w:t>
      </w:r>
      <w:r>
        <w:rPr>
          <w:sz w:val="24"/>
          <w:szCs w:val="24"/>
        </w:rPr>
        <w:lastRenderedPageBreak/>
        <w:t xml:space="preserve">God, it is still sufficiently  free to be itself; facilitates our knowledge of God through the revelation of Christ; begins to explain the reasons for the diversity and ethical complexity we see in Creation’s resultant outcomes; and is the ultimate justification for the deity’s </w:t>
      </w:r>
      <w:proofErr w:type="spellStart"/>
      <w:r>
        <w:rPr>
          <w:sz w:val="24"/>
          <w:szCs w:val="24"/>
        </w:rPr>
        <w:t>ongoing</w:t>
      </w:r>
      <w:proofErr w:type="spellEnd"/>
      <w:r>
        <w:rPr>
          <w:sz w:val="24"/>
          <w:szCs w:val="24"/>
        </w:rPr>
        <w:t xml:space="preserve"> engagement with creation through the purposeful sacrifice of The Son, in the ultimate act of love and giving.</w:t>
      </w:r>
    </w:p>
    <w:p w:rsidR="00381F13" w:rsidRDefault="00381F13" w:rsidP="00381F13">
      <w:pPr>
        <w:pStyle w:val="Normal1"/>
        <w:spacing w:line="480" w:lineRule="auto"/>
        <w:ind w:firstLine="720"/>
        <w:rPr>
          <w:sz w:val="24"/>
          <w:szCs w:val="24"/>
        </w:rPr>
      </w:pPr>
      <w:r>
        <w:rPr>
          <w:sz w:val="24"/>
          <w:szCs w:val="24"/>
        </w:rPr>
        <w:t xml:space="preserve">So that in effect, one necessitates and explains the other. They are therefore by necessity inextricably interlinked to such an extent, that they give meaning and order one to the other, and are both thereby diminished by reductionist interpretations that seek to compartmentalize these twin pillars of Christian theology. Which when considered as a unifying and reinforcing theoretical partnership, not only sustain the religion that acknowledges their dual significance but provides an orientation for comprehending the ways things are and behave in relation to the creator; provides a justification for Christ’s sacrificial act in order for the completion of creation in redemptive perfection; gives </w:t>
      </w:r>
      <w:proofErr w:type="spellStart"/>
      <w:r>
        <w:rPr>
          <w:sz w:val="24"/>
          <w:szCs w:val="24"/>
        </w:rPr>
        <w:t>succor</w:t>
      </w:r>
      <w:proofErr w:type="spellEnd"/>
      <w:r>
        <w:rPr>
          <w:sz w:val="24"/>
          <w:szCs w:val="24"/>
        </w:rPr>
        <w:t xml:space="preserve"> to the faithful who achieve, to quote </w:t>
      </w:r>
      <w:proofErr w:type="spellStart"/>
      <w:r>
        <w:rPr>
          <w:sz w:val="24"/>
          <w:szCs w:val="24"/>
        </w:rPr>
        <w:t>Gunton</w:t>
      </w:r>
      <w:proofErr w:type="spellEnd"/>
      <w:r>
        <w:rPr>
          <w:sz w:val="24"/>
          <w:szCs w:val="24"/>
        </w:rPr>
        <w:t xml:space="preserve"> (1993-17)‘communion-in-otherness’; and therefore facilitates the Trinitarian dynamic of giving and receiving, which in turn adheres to the communal creed that rationalizes them both. An end point that echoes the teaching of the </w:t>
      </w:r>
      <w:proofErr w:type="spellStart"/>
      <w:r>
        <w:rPr>
          <w:sz w:val="24"/>
          <w:szCs w:val="24"/>
        </w:rPr>
        <w:t>Cappadocian</w:t>
      </w:r>
      <w:proofErr w:type="spellEnd"/>
      <w:r>
        <w:rPr>
          <w:sz w:val="24"/>
          <w:szCs w:val="24"/>
        </w:rPr>
        <w:t xml:space="preserve"> theologians and upon which communicants lean heavily when they repeat: “I believe in God the Father, maker of Heaven and Earth.”</w:t>
      </w:r>
    </w:p>
    <w:p w:rsidR="00381F13" w:rsidRDefault="00381F13" w:rsidP="00381F13">
      <w:pPr>
        <w:spacing w:line="240" w:lineRule="auto"/>
        <w:rPr>
          <w:sz w:val="24"/>
          <w:szCs w:val="24"/>
          <w:lang w:val="en-US" w:eastAsia="en-US"/>
        </w:rPr>
      </w:pPr>
      <w:r>
        <w:rPr>
          <w:b/>
        </w:rPr>
        <w:t>(1992 Words)</w:t>
      </w:r>
      <w:r>
        <w:rPr>
          <w:sz w:val="24"/>
          <w:szCs w:val="24"/>
          <w:lang w:val="en-US" w:eastAsia="en-US"/>
        </w:rPr>
        <w:t xml:space="preserve"> </w:t>
      </w:r>
    </w:p>
    <w:p w:rsidR="00F02594" w:rsidRDefault="00F02594"/>
    <w:p w:rsidR="00912B8A" w:rsidRDefault="00912B8A"/>
    <w:p w:rsidR="00912B8A" w:rsidRPr="00912B8A" w:rsidRDefault="00912B8A" w:rsidP="00912B8A">
      <w:pPr>
        <w:rPr>
          <w:b/>
          <w:sz w:val="28"/>
          <w:szCs w:val="28"/>
        </w:rPr>
      </w:pPr>
      <w:r w:rsidRPr="00912B8A">
        <w:rPr>
          <w:b/>
          <w:sz w:val="28"/>
          <w:szCs w:val="28"/>
        </w:rPr>
        <w:t>Bibliographic References:</w:t>
      </w:r>
    </w:p>
    <w:p w:rsidR="00912B8A" w:rsidRPr="00912B8A" w:rsidRDefault="00912B8A" w:rsidP="00912B8A">
      <w:pPr>
        <w:pStyle w:val="ListParagraph"/>
        <w:numPr>
          <w:ilvl w:val="0"/>
          <w:numId w:val="2"/>
        </w:numPr>
        <w:rPr>
          <w:rFonts w:ascii="Times New Roman" w:hAnsi="Times New Roman" w:cs="Times New Roman"/>
          <w:sz w:val="24"/>
          <w:szCs w:val="24"/>
        </w:rPr>
      </w:pP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xml:space="preserve">, C.E. (Ed.), The Doctrine of Creation: Essays in </w:t>
      </w:r>
      <w:proofErr w:type="spellStart"/>
      <w:r w:rsidRPr="00912B8A">
        <w:rPr>
          <w:rFonts w:ascii="Times New Roman" w:hAnsi="Times New Roman" w:cs="Times New Roman"/>
          <w:sz w:val="24"/>
          <w:szCs w:val="24"/>
        </w:rPr>
        <w:t>Dogmatics</w:t>
      </w:r>
      <w:proofErr w:type="spellEnd"/>
      <w:r w:rsidRPr="00912B8A">
        <w:rPr>
          <w:rFonts w:ascii="Times New Roman" w:hAnsi="Times New Roman" w:cs="Times New Roman"/>
          <w:sz w:val="24"/>
          <w:szCs w:val="24"/>
        </w:rPr>
        <w:t xml:space="preserve">, History and Philosophy (1997) p.4 and also referencing </w:t>
      </w:r>
      <w:proofErr w:type="spellStart"/>
      <w:r w:rsidRPr="00912B8A">
        <w:rPr>
          <w:rFonts w:ascii="Times New Roman" w:hAnsi="Times New Roman" w:cs="Times New Roman"/>
          <w:sz w:val="24"/>
          <w:szCs w:val="24"/>
        </w:rPr>
        <w:t>Irenaeus</w:t>
      </w:r>
      <w:proofErr w:type="spellEnd"/>
      <w:r w:rsidRPr="00912B8A">
        <w:rPr>
          <w:rFonts w:ascii="Times New Roman" w:hAnsi="Times New Roman" w:cs="Times New Roman"/>
          <w:sz w:val="24"/>
          <w:szCs w:val="24"/>
        </w:rPr>
        <w:t xml:space="preserve">’ argument that there was nothing that existed co-eternally with God  from his text Against the Heresies (c. 180A.D.) in </w:t>
      </w:r>
      <w:r w:rsidRPr="00912B8A">
        <w:rPr>
          <w:rFonts w:ascii="Times New Roman" w:hAnsi="Times New Roman" w:cs="Times New Roman"/>
          <w:sz w:val="24"/>
          <w:szCs w:val="24"/>
        </w:rPr>
        <w:lastRenderedPageBreak/>
        <w:t xml:space="preserve">support of the words of Revelation  4.11 - ‘thou didst create all things, and by thy will they existed and were created, p.120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Ferguson, David A.S., The Cosmos and the Creator: An introduction to the Theology of Creation (1998) p. 47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Ibid p.46</w:t>
      </w:r>
    </w:p>
    <w:p w:rsidR="00912B8A" w:rsidRPr="00912B8A" w:rsidRDefault="00912B8A" w:rsidP="00912B8A">
      <w:pPr>
        <w:pStyle w:val="ListParagraph"/>
        <w:numPr>
          <w:ilvl w:val="0"/>
          <w:numId w:val="2"/>
        </w:numPr>
        <w:rPr>
          <w:rFonts w:ascii="Times New Roman" w:hAnsi="Times New Roman" w:cs="Times New Roman"/>
          <w:sz w:val="24"/>
          <w:szCs w:val="24"/>
        </w:rPr>
      </w:pP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xml:space="preserve">, C.E. (Ed.), The Doctrine of Creation: Essays in </w:t>
      </w:r>
      <w:proofErr w:type="spellStart"/>
      <w:r w:rsidRPr="00912B8A">
        <w:rPr>
          <w:rFonts w:ascii="Times New Roman" w:hAnsi="Times New Roman" w:cs="Times New Roman"/>
          <w:sz w:val="24"/>
          <w:szCs w:val="24"/>
        </w:rPr>
        <w:t>Dogmatics</w:t>
      </w:r>
      <w:proofErr w:type="spellEnd"/>
      <w:r w:rsidRPr="00912B8A">
        <w:rPr>
          <w:rFonts w:ascii="Times New Roman" w:hAnsi="Times New Roman" w:cs="Times New Roman"/>
          <w:sz w:val="24"/>
          <w:szCs w:val="24"/>
        </w:rPr>
        <w:t xml:space="preserve">, History and Philosophy (1997) p. 2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Ibid,  Jenson, Robert W. ,  referencing his Aspects of a Doctrine of Creation, p.24</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Ibid, Jenson, Robert W., Essays in Theology of Culture (Grand Rapids: Eerdmans 1995) pp. 190-191.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Ibid, Jenson quoting John of Damascus’s The Catholic Faith, 6.6-8, p.24</w:t>
      </w:r>
    </w:p>
    <w:p w:rsidR="00912B8A" w:rsidRPr="00912B8A" w:rsidRDefault="00912B8A" w:rsidP="00912B8A">
      <w:pPr>
        <w:pStyle w:val="ListParagraph"/>
        <w:numPr>
          <w:ilvl w:val="0"/>
          <w:numId w:val="2"/>
        </w:numPr>
        <w:rPr>
          <w:rFonts w:ascii="Times New Roman" w:hAnsi="Times New Roman" w:cs="Times New Roman"/>
          <w:sz w:val="24"/>
          <w:szCs w:val="24"/>
        </w:rPr>
      </w:pP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xml:space="preserve">, C.E., Christ and Creation, 1993, p. 75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Barth, K., Church </w:t>
      </w:r>
      <w:proofErr w:type="spellStart"/>
      <w:r w:rsidRPr="00912B8A">
        <w:rPr>
          <w:rFonts w:ascii="Times New Roman" w:hAnsi="Times New Roman" w:cs="Times New Roman"/>
          <w:sz w:val="24"/>
          <w:szCs w:val="24"/>
        </w:rPr>
        <w:t>Dogmatics</w:t>
      </w:r>
      <w:proofErr w:type="spellEnd"/>
      <w:r w:rsidRPr="00912B8A">
        <w:rPr>
          <w:rFonts w:ascii="Times New Roman" w:hAnsi="Times New Roman" w:cs="Times New Roman"/>
          <w:sz w:val="24"/>
          <w:szCs w:val="24"/>
        </w:rPr>
        <w:t xml:space="preserve"> III/1, Edinburgh, T.&amp;T. Clark (1958) p.55</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Barth, K., Church </w:t>
      </w:r>
      <w:proofErr w:type="spellStart"/>
      <w:r w:rsidRPr="00912B8A">
        <w:rPr>
          <w:rFonts w:ascii="Times New Roman" w:hAnsi="Times New Roman" w:cs="Times New Roman"/>
          <w:sz w:val="24"/>
          <w:szCs w:val="24"/>
        </w:rPr>
        <w:t>Dogmatics</w:t>
      </w:r>
      <w:proofErr w:type="spellEnd"/>
      <w:r w:rsidRPr="00912B8A">
        <w:rPr>
          <w:rFonts w:ascii="Times New Roman" w:hAnsi="Times New Roman" w:cs="Times New Roman"/>
          <w:sz w:val="24"/>
          <w:szCs w:val="24"/>
        </w:rPr>
        <w:t xml:space="preserve"> 1.1: The Doctrine of the Word of God. T&amp;T Clark, London (2010) p.104.  </w:t>
      </w:r>
    </w:p>
    <w:p w:rsidR="00912B8A" w:rsidRPr="00912B8A" w:rsidRDefault="00912B8A" w:rsidP="00912B8A">
      <w:pPr>
        <w:pStyle w:val="ListParagraph"/>
        <w:numPr>
          <w:ilvl w:val="0"/>
          <w:numId w:val="2"/>
        </w:numPr>
        <w:rPr>
          <w:rFonts w:ascii="Times New Roman" w:hAnsi="Times New Roman" w:cs="Times New Roman"/>
          <w:sz w:val="24"/>
          <w:szCs w:val="24"/>
        </w:rPr>
      </w:pP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C.E. The One, The Three and The Many: God, Creation and the Culture of Modernity (1993) p.33.</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Williams, D.C., quoted by Torrance, Alan J., in </w:t>
      </w: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xml:space="preserve"> (Ed.) The Doctrine of Creation: Essays in </w:t>
      </w:r>
      <w:proofErr w:type="spellStart"/>
      <w:r w:rsidRPr="00912B8A">
        <w:rPr>
          <w:rFonts w:ascii="Times New Roman" w:hAnsi="Times New Roman" w:cs="Times New Roman"/>
          <w:sz w:val="24"/>
          <w:szCs w:val="24"/>
        </w:rPr>
        <w:t>Dogmatics</w:t>
      </w:r>
      <w:proofErr w:type="spellEnd"/>
      <w:r w:rsidRPr="00912B8A">
        <w:rPr>
          <w:rFonts w:ascii="Times New Roman" w:hAnsi="Times New Roman" w:cs="Times New Roman"/>
          <w:sz w:val="24"/>
          <w:szCs w:val="24"/>
        </w:rPr>
        <w:t>, History and Philosophy, 1997, p.102</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Ibid, Hardy, D.W. in his paper Creation and Eschatology, p. 105</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Ibid p.120</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Ibid p.125 </w:t>
      </w:r>
    </w:p>
    <w:p w:rsidR="00912B8A" w:rsidRPr="00912B8A" w:rsidRDefault="00912B8A" w:rsidP="00912B8A">
      <w:pPr>
        <w:pStyle w:val="ListParagraph"/>
        <w:numPr>
          <w:ilvl w:val="0"/>
          <w:numId w:val="2"/>
        </w:numPr>
        <w:rPr>
          <w:rFonts w:ascii="Times New Roman" w:hAnsi="Times New Roman" w:cs="Times New Roman"/>
          <w:sz w:val="24"/>
          <w:szCs w:val="24"/>
        </w:rPr>
      </w:pPr>
      <w:r w:rsidRPr="00912B8A">
        <w:rPr>
          <w:rFonts w:ascii="Times New Roman" w:hAnsi="Times New Roman" w:cs="Times New Roman"/>
          <w:sz w:val="24"/>
          <w:szCs w:val="24"/>
        </w:rPr>
        <w:t xml:space="preserve">Tillich, P, Systematic Theology 3. University of Chicago Press. (1963) p. 31 </w:t>
      </w:r>
    </w:p>
    <w:p w:rsidR="00912B8A" w:rsidRPr="00912B8A" w:rsidRDefault="00912B8A" w:rsidP="00912B8A">
      <w:pPr>
        <w:pStyle w:val="ListParagraph"/>
        <w:numPr>
          <w:ilvl w:val="0"/>
          <w:numId w:val="2"/>
        </w:numPr>
        <w:rPr>
          <w:rFonts w:ascii="Times New Roman" w:hAnsi="Times New Roman" w:cs="Times New Roman"/>
          <w:sz w:val="24"/>
          <w:szCs w:val="24"/>
        </w:rPr>
      </w:pPr>
      <w:proofErr w:type="spellStart"/>
      <w:r w:rsidRPr="00912B8A">
        <w:rPr>
          <w:rFonts w:ascii="Times New Roman" w:hAnsi="Times New Roman" w:cs="Times New Roman"/>
          <w:sz w:val="24"/>
          <w:szCs w:val="24"/>
        </w:rPr>
        <w:t>Gunton</w:t>
      </w:r>
      <w:proofErr w:type="spellEnd"/>
      <w:r w:rsidRPr="00912B8A">
        <w:rPr>
          <w:rFonts w:ascii="Times New Roman" w:hAnsi="Times New Roman" w:cs="Times New Roman"/>
          <w:sz w:val="24"/>
          <w:szCs w:val="24"/>
        </w:rPr>
        <w:t>, C.E. The One, The Three and The Many: God, Creation and the Culture of Modernity, p 126</w:t>
      </w:r>
    </w:p>
    <w:p w:rsidR="00912B8A" w:rsidRPr="00912B8A" w:rsidRDefault="00912B8A" w:rsidP="00912B8A">
      <w:pPr>
        <w:rPr>
          <w:b/>
          <w:sz w:val="28"/>
          <w:szCs w:val="28"/>
        </w:rPr>
      </w:pPr>
    </w:p>
    <w:p w:rsidR="00912B8A" w:rsidRPr="00912B8A" w:rsidRDefault="00912B8A" w:rsidP="00912B8A">
      <w:pPr>
        <w:rPr>
          <w:b/>
          <w:sz w:val="28"/>
          <w:szCs w:val="28"/>
        </w:rPr>
      </w:pPr>
      <w:r w:rsidRPr="00912B8A">
        <w:rPr>
          <w:b/>
          <w:sz w:val="28"/>
          <w:szCs w:val="28"/>
        </w:rPr>
        <w:t>Bibliography:</w:t>
      </w:r>
    </w:p>
    <w:p w:rsidR="00912B8A" w:rsidRPr="00912B8A" w:rsidRDefault="00912B8A" w:rsidP="00912B8A">
      <w:pPr>
        <w:rPr>
          <w:sz w:val="24"/>
          <w:szCs w:val="24"/>
        </w:rPr>
      </w:pPr>
      <w:r w:rsidRPr="00912B8A">
        <w:rPr>
          <w:sz w:val="24"/>
          <w:szCs w:val="24"/>
        </w:rPr>
        <w:t xml:space="preserve">Coulson, C.A.  , Science &amp; Christian Belief. Oxford University Press (1955) </w:t>
      </w:r>
    </w:p>
    <w:p w:rsidR="00912B8A" w:rsidRPr="00912B8A" w:rsidRDefault="00912B8A" w:rsidP="00912B8A">
      <w:pPr>
        <w:rPr>
          <w:sz w:val="24"/>
          <w:szCs w:val="24"/>
        </w:rPr>
      </w:pPr>
      <w:r w:rsidRPr="00912B8A">
        <w:rPr>
          <w:sz w:val="24"/>
          <w:szCs w:val="24"/>
        </w:rPr>
        <w:t>Brown P.  Augustine of Hippo: A Biography. Faber &amp; Faber, London (1967)</w:t>
      </w:r>
    </w:p>
    <w:p w:rsidR="00912B8A" w:rsidRPr="00912B8A" w:rsidRDefault="00912B8A" w:rsidP="00912B8A">
      <w:pPr>
        <w:rPr>
          <w:sz w:val="24"/>
          <w:szCs w:val="24"/>
        </w:rPr>
      </w:pPr>
      <w:r w:rsidRPr="00912B8A">
        <w:rPr>
          <w:sz w:val="24"/>
          <w:szCs w:val="24"/>
        </w:rPr>
        <w:t xml:space="preserve">St Augustine, On </w:t>
      </w:r>
      <w:proofErr w:type="gramStart"/>
      <w:r w:rsidRPr="00912B8A">
        <w:rPr>
          <w:sz w:val="24"/>
          <w:szCs w:val="24"/>
        </w:rPr>
        <w:t>The</w:t>
      </w:r>
      <w:proofErr w:type="gramEnd"/>
      <w:r w:rsidRPr="00912B8A">
        <w:rPr>
          <w:sz w:val="24"/>
          <w:szCs w:val="24"/>
        </w:rPr>
        <w:t xml:space="preserve"> Trinity. </w:t>
      </w:r>
      <w:proofErr w:type="gramStart"/>
      <w:r w:rsidRPr="00912B8A">
        <w:rPr>
          <w:sz w:val="24"/>
          <w:szCs w:val="24"/>
        </w:rPr>
        <w:t>Beloved Publishing.</w:t>
      </w:r>
      <w:proofErr w:type="gramEnd"/>
      <w:r w:rsidRPr="00912B8A">
        <w:rPr>
          <w:sz w:val="24"/>
          <w:szCs w:val="24"/>
        </w:rPr>
        <w:t xml:space="preserve"> USA (2014)  </w:t>
      </w:r>
    </w:p>
    <w:p w:rsidR="00912B8A" w:rsidRPr="00912B8A" w:rsidRDefault="00912B8A" w:rsidP="00912B8A">
      <w:pPr>
        <w:rPr>
          <w:sz w:val="24"/>
          <w:szCs w:val="24"/>
        </w:rPr>
      </w:pPr>
      <w:proofErr w:type="spellStart"/>
      <w:r w:rsidRPr="00912B8A">
        <w:rPr>
          <w:sz w:val="24"/>
          <w:szCs w:val="24"/>
        </w:rPr>
        <w:t>Gunton</w:t>
      </w:r>
      <w:proofErr w:type="spellEnd"/>
      <w:r w:rsidRPr="00912B8A">
        <w:rPr>
          <w:sz w:val="24"/>
          <w:szCs w:val="24"/>
        </w:rPr>
        <w:t xml:space="preserve"> C.E. (ed.), </w:t>
      </w:r>
      <w:proofErr w:type="gramStart"/>
      <w:r w:rsidRPr="00912B8A">
        <w:rPr>
          <w:sz w:val="24"/>
          <w:szCs w:val="24"/>
        </w:rPr>
        <w:t>The</w:t>
      </w:r>
      <w:proofErr w:type="gramEnd"/>
      <w:r w:rsidRPr="00912B8A">
        <w:rPr>
          <w:sz w:val="24"/>
          <w:szCs w:val="24"/>
        </w:rPr>
        <w:t xml:space="preserve"> Doctrine of Creation: Essays in </w:t>
      </w:r>
      <w:proofErr w:type="spellStart"/>
      <w:r w:rsidRPr="00912B8A">
        <w:rPr>
          <w:sz w:val="24"/>
          <w:szCs w:val="24"/>
        </w:rPr>
        <w:t>Dogmatics</w:t>
      </w:r>
      <w:proofErr w:type="spellEnd"/>
      <w:r w:rsidRPr="00912B8A">
        <w:rPr>
          <w:sz w:val="24"/>
          <w:szCs w:val="24"/>
        </w:rPr>
        <w:t xml:space="preserve">, History and Philosophy. </w:t>
      </w:r>
      <w:proofErr w:type="gramStart"/>
      <w:r w:rsidRPr="00912B8A">
        <w:rPr>
          <w:sz w:val="24"/>
          <w:szCs w:val="24"/>
        </w:rPr>
        <w:t>T.&amp;</w:t>
      </w:r>
      <w:proofErr w:type="gramEnd"/>
      <w:r w:rsidRPr="00912B8A">
        <w:rPr>
          <w:sz w:val="24"/>
          <w:szCs w:val="24"/>
        </w:rPr>
        <w:t>T. Clark International. (1997)</w:t>
      </w:r>
    </w:p>
    <w:p w:rsidR="00912B8A" w:rsidRPr="00912B8A" w:rsidRDefault="00912B8A" w:rsidP="00912B8A">
      <w:pPr>
        <w:rPr>
          <w:sz w:val="24"/>
          <w:szCs w:val="24"/>
        </w:rPr>
      </w:pPr>
      <w:r w:rsidRPr="00912B8A">
        <w:rPr>
          <w:sz w:val="24"/>
          <w:szCs w:val="24"/>
        </w:rPr>
        <w:lastRenderedPageBreak/>
        <w:t xml:space="preserve">Ferguson, David A.S., The Cosmos and the Creator: An introduction to the Theology of Creation. Society for Promoting Christian Knowledge (1998) </w:t>
      </w:r>
    </w:p>
    <w:p w:rsidR="00912B8A" w:rsidRPr="00912B8A" w:rsidRDefault="00912B8A" w:rsidP="00912B8A">
      <w:pPr>
        <w:rPr>
          <w:sz w:val="24"/>
          <w:szCs w:val="24"/>
        </w:rPr>
      </w:pPr>
      <w:proofErr w:type="spellStart"/>
      <w:r w:rsidRPr="00912B8A">
        <w:rPr>
          <w:sz w:val="24"/>
          <w:szCs w:val="24"/>
        </w:rPr>
        <w:t>Gunton</w:t>
      </w:r>
      <w:proofErr w:type="spellEnd"/>
      <w:r w:rsidRPr="00912B8A">
        <w:rPr>
          <w:sz w:val="24"/>
          <w:szCs w:val="24"/>
        </w:rPr>
        <w:t xml:space="preserve"> C.E., </w:t>
      </w:r>
      <w:proofErr w:type="gramStart"/>
      <w:r w:rsidRPr="00912B8A">
        <w:rPr>
          <w:sz w:val="24"/>
          <w:szCs w:val="24"/>
        </w:rPr>
        <w:t>The</w:t>
      </w:r>
      <w:proofErr w:type="gramEnd"/>
      <w:r w:rsidRPr="00912B8A">
        <w:rPr>
          <w:sz w:val="24"/>
          <w:szCs w:val="24"/>
        </w:rPr>
        <w:t xml:space="preserve"> One, The Three and The Many: God, Creation and the Culture of Modernity. Cambridge University Press (1993) </w:t>
      </w:r>
    </w:p>
    <w:p w:rsidR="00912B8A" w:rsidRPr="00912B8A" w:rsidRDefault="00912B8A" w:rsidP="00912B8A">
      <w:pPr>
        <w:rPr>
          <w:sz w:val="24"/>
          <w:szCs w:val="24"/>
        </w:rPr>
      </w:pPr>
      <w:r w:rsidRPr="00912B8A">
        <w:rPr>
          <w:sz w:val="24"/>
          <w:szCs w:val="24"/>
        </w:rPr>
        <w:t xml:space="preserve">Thompson, K. The Watch </w:t>
      </w:r>
      <w:proofErr w:type="gramStart"/>
      <w:r w:rsidRPr="00912B8A">
        <w:rPr>
          <w:sz w:val="24"/>
          <w:szCs w:val="24"/>
        </w:rPr>
        <w:t>Upon</w:t>
      </w:r>
      <w:proofErr w:type="gramEnd"/>
      <w:r w:rsidRPr="00912B8A">
        <w:rPr>
          <w:sz w:val="24"/>
          <w:szCs w:val="24"/>
        </w:rPr>
        <w:t xml:space="preserve"> the Heath. Harper Collins, London (2005) </w:t>
      </w:r>
    </w:p>
    <w:p w:rsidR="00912B8A" w:rsidRPr="00912B8A" w:rsidRDefault="00912B8A" w:rsidP="00912B8A">
      <w:pPr>
        <w:rPr>
          <w:sz w:val="24"/>
          <w:szCs w:val="24"/>
        </w:rPr>
      </w:pPr>
      <w:proofErr w:type="spellStart"/>
      <w:r w:rsidRPr="00912B8A">
        <w:rPr>
          <w:sz w:val="24"/>
          <w:szCs w:val="24"/>
        </w:rPr>
        <w:t>Gunton</w:t>
      </w:r>
      <w:proofErr w:type="spellEnd"/>
      <w:r w:rsidRPr="00912B8A">
        <w:rPr>
          <w:sz w:val="24"/>
          <w:szCs w:val="24"/>
        </w:rPr>
        <w:t xml:space="preserve">, C.E., </w:t>
      </w:r>
      <w:proofErr w:type="gramStart"/>
      <w:r w:rsidRPr="00912B8A">
        <w:rPr>
          <w:sz w:val="24"/>
          <w:szCs w:val="24"/>
        </w:rPr>
        <w:t>The</w:t>
      </w:r>
      <w:proofErr w:type="gramEnd"/>
      <w:r w:rsidRPr="00912B8A">
        <w:rPr>
          <w:sz w:val="24"/>
          <w:szCs w:val="24"/>
        </w:rPr>
        <w:t xml:space="preserve"> Triune Creator: A Historical and Systematic Study. Edinburgh University Press (1998)</w:t>
      </w:r>
    </w:p>
    <w:p w:rsidR="00912B8A" w:rsidRPr="00912B8A" w:rsidRDefault="00912B8A" w:rsidP="00912B8A">
      <w:pPr>
        <w:rPr>
          <w:sz w:val="24"/>
          <w:szCs w:val="24"/>
        </w:rPr>
      </w:pPr>
      <w:r w:rsidRPr="00912B8A">
        <w:rPr>
          <w:sz w:val="24"/>
          <w:szCs w:val="24"/>
        </w:rPr>
        <w:t xml:space="preserve">Barth, K. Church </w:t>
      </w:r>
      <w:proofErr w:type="spellStart"/>
      <w:r w:rsidRPr="00912B8A">
        <w:rPr>
          <w:sz w:val="24"/>
          <w:szCs w:val="24"/>
        </w:rPr>
        <w:t>Dogmatics</w:t>
      </w:r>
      <w:proofErr w:type="spellEnd"/>
      <w:r w:rsidRPr="00912B8A">
        <w:rPr>
          <w:sz w:val="24"/>
          <w:szCs w:val="24"/>
        </w:rPr>
        <w:t>, 1.1 T&amp;T Clark London (2010)</w:t>
      </w:r>
    </w:p>
    <w:p w:rsidR="00912B8A" w:rsidRPr="00912B8A" w:rsidRDefault="00912B8A" w:rsidP="00912B8A">
      <w:pPr>
        <w:rPr>
          <w:sz w:val="24"/>
          <w:szCs w:val="24"/>
        </w:rPr>
      </w:pPr>
      <w:r w:rsidRPr="00912B8A">
        <w:rPr>
          <w:sz w:val="24"/>
          <w:szCs w:val="24"/>
        </w:rPr>
        <w:t>Cunningham, David C., These Three Are One: The Practice of Trinitarian Theology. Blackwell Publishing (1998)</w:t>
      </w:r>
    </w:p>
    <w:p w:rsidR="00912B8A" w:rsidRPr="00912B8A" w:rsidRDefault="00912B8A" w:rsidP="00912B8A">
      <w:pPr>
        <w:rPr>
          <w:sz w:val="24"/>
          <w:szCs w:val="24"/>
        </w:rPr>
      </w:pPr>
      <w:r w:rsidRPr="00912B8A">
        <w:rPr>
          <w:sz w:val="24"/>
          <w:szCs w:val="24"/>
        </w:rPr>
        <w:t xml:space="preserve"> </w:t>
      </w:r>
      <w:proofErr w:type="spellStart"/>
      <w:r w:rsidRPr="00912B8A">
        <w:rPr>
          <w:sz w:val="24"/>
          <w:szCs w:val="24"/>
        </w:rPr>
        <w:t>Gunton</w:t>
      </w:r>
      <w:proofErr w:type="spellEnd"/>
      <w:r w:rsidRPr="00912B8A">
        <w:rPr>
          <w:sz w:val="24"/>
          <w:szCs w:val="24"/>
        </w:rPr>
        <w:t xml:space="preserve">, C.E., </w:t>
      </w:r>
      <w:proofErr w:type="gramStart"/>
      <w:r w:rsidRPr="00912B8A">
        <w:rPr>
          <w:sz w:val="24"/>
          <w:szCs w:val="24"/>
        </w:rPr>
        <w:t>The</w:t>
      </w:r>
      <w:proofErr w:type="gramEnd"/>
      <w:r w:rsidRPr="00912B8A">
        <w:rPr>
          <w:sz w:val="24"/>
          <w:szCs w:val="24"/>
        </w:rPr>
        <w:t xml:space="preserve"> Promise of Trinitarian Theology. T&amp;T Clark, Edinburgh (1997)</w:t>
      </w:r>
    </w:p>
    <w:p w:rsidR="00912B8A" w:rsidRPr="00912B8A" w:rsidRDefault="00912B8A" w:rsidP="00912B8A">
      <w:pPr>
        <w:rPr>
          <w:sz w:val="24"/>
          <w:szCs w:val="24"/>
        </w:rPr>
      </w:pPr>
      <w:proofErr w:type="gramStart"/>
      <w:r w:rsidRPr="00912B8A">
        <w:rPr>
          <w:sz w:val="24"/>
          <w:szCs w:val="24"/>
        </w:rPr>
        <w:t>Greggs, Tom, Barth, Origen and Universal Salvation.</w:t>
      </w:r>
      <w:proofErr w:type="gramEnd"/>
      <w:r w:rsidRPr="00912B8A">
        <w:rPr>
          <w:sz w:val="24"/>
          <w:szCs w:val="24"/>
        </w:rPr>
        <w:t xml:space="preserve"> </w:t>
      </w:r>
      <w:proofErr w:type="gramStart"/>
      <w:r w:rsidRPr="00912B8A">
        <w:rPr>
          <w:sz w:val="24"/>
          <w:szCs w:val="24"/>
        </w:rPr>
        <w:t>Oxford University Press.</w:t>
      </w:r>
      <w:proofErr w:type="gramEnd"/>
      <w:r w:rsidRPr="00912B8A">
        <w:rPr>
          <w:sz w:val="24"/>
          <w:szCs w:val="24"/>
        </w:rPr>
        <w:t xml:space="preserve"> (2009)</w:t>
      </w:r>
    </w:p>
    <w:p w:rsidR="00912B8A" w:rsidRPr="00912B8A" w:rsidRDefault="00912B8A" w:rsidP="00912B8A">
      <w:pPr>
        <w:rPr>
          <w:sz w:val="24"/>
          <w:szCs w:val="24"/>
        </w:rPr>
      </w:pPr>
      <w:r w:rsidRPr="00912B8A">
        <w:rPr>
          <w:sz w:val="24"/>
          <w:szCs w:val="24"/>
        </w:rPr>
        <w:t xml:space="preserve">Tillich, Paul, Systematic Theology 3. </w:t>
      </w:r>
      <w:proofErr w:type="gramStart"/>
      <w:r w:rsidRPr="00912B8A">
        <w:rPr>
          <w:sz w:val="24"/>
          <w:szCs w:val="24"/>
        </w:rPr>
        <w:t>University of Chicago Press.</w:t>
      </w:r>
      <w:proofErr w:type="gramEnd"/>
      <w:r w:rsidRPr="00912B8A">
        <w:rPr>
          <w:sz w:val="24"/>
          <w:szCs w:val="24"/>
        </w:rPr>
        <w:t xml:space="preserve"> (1963) </w:t>
      </w:r>
    </w:p>
    <w:p w:rsidR="00912B8A" w:rsidRPr="00912B8A" w:rsidRDefault="00912B8A">
      <w:pPr>
        <w:rPr>
          <w:sz w:val="24"/>
          <w:szCs w:val="24"/>
        </w:rPr>
      </w:pPr>
    </w:p>
    <w:sectPr w:rsidR="00912B8A" w:rsidRPr="00912B8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2364C" w:rsidRDefault="0082364C" w:rsidP="00381F13">
      <w:pPr>
        <w:spacing w:line="240" w:lineRule="auto"/>
      </w:pPr>
      <w:r>
        <w:separator/>
      </w:r>
    </w:p>
  </w:endnote>
  <w:endnote w:type="continuationSeparator" w:id="0">
    <w:p w:rsidR="0082364C" w:rsidRDefault="0082364C" w:rsidP="00381F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2364C" w:rsidRDefault="0082364C" w:rsidP="00381F13">
      <w:pPr>
        <w:spacing w:line="240" w:lineRule="auto"/>
      </w:pPr>
      <w:r>
        <w:separator/>
      </w:r>
    </w:p>
  </w:footnote>
  <w:footnote w:type="continuationSeparator" w:id="0">
    <w:p w:rsidR="0082364C" w:rsidRDefault="0082364C" w:rsidP="00381F13">
      <w:pPr>
        <w:spacing w:line="240" w:lineRule="auto"/>
      </w:pPr>
      <w:r>
        <w:continuationSeparator/>
      </w:r>
    </w:p>
  </w:footnote>
  <w:footnote w:id="1">
    <w:p w:rsidR="00381F13" w:rsidRDefault="00381F13" w:rsidP="00381F13">
      <w:pPr>
        <w:pStyle w:val="FootnoteText"/>
      </w:pPr>
      <w:r>
        <w:rPr>
          <w:rStyle w:val="FootnoteReference"/>
        </w:rPr>
        <w:footnoteRef/>
      </w:r>
      <w:r>
        <w:t xml:space="preserve"> </w:t>
      </w:r>
      <w:r>
        <w:rPr>
          <w:szCs w:val="24"/>
        </w:rPr>
        <w:t xml:space="preserve">‘In the tradition of Greek cosmology…creation always means the creation of this universe out of some existing material. Even in Plato’s </w:t>
      </w:r>
      <w:proofErr w:type="spellStart"/>
      <w:r>
        <w:rPr>
          <w:i/>
          <w:szCs w:val="24"/>
        </w:rPr>
        <w:t>Timaeus</w:t>
      </w:r>
      <w:proofErr w:type="spellEnd"/>
      <w:r>
        <w:rPr>
          <w:szCs w:val="24"/>
        </w:rPr>
        <w:t xml:space="preserve">, which is often treated as a kind of parallel to, even a preparation for, the Christian doctrine which later emerged in conversation with the Greeks’ - </w:t>
      </w:r>
      <w:sdt>
        <w:sdtPr>
          <w:rPr>
            <w:szCs w:val="24"/>
          </w:rPr>
          <w:id w:val="436644059"/>
          <w:citation/>
        </w:sdtPr>
        <w:sdtEndPr/>
        <w:sdtContent>
          <w:r>
            <w:rPr>
              <w:szCs w:val="24"/>
            </w:rPr>
            <w:fldChar w:fldCharType="begin"/>
          </w:r>
          <w:r>
            <w:rPr>
              <w:szCs w:val="24"/>
            </w:rPr>
            <w:instrText xml:space="preserve"> CITATION Gun98 \t  \l 2057  </w:instrText>
          </w:r>
          <w:r>
            <w:rPr>
              <w:szCs w:val="24"/>
            </w:rPr>
            <w:fldChar w:fldCharType="separate"/>
          </w:r>
          <w:r>
            <w:rPr>
              <w:noProof/>
              <w:szCs w:val="24"/>
            </w:rPr>
            <w:t>(C. Gunton 1998)</w:t>
          </w:r>
          <w:r>
            <w:rPr>
              <w:szCs w:val="24"/>
            </w:rPr>
            <w:fldChar w:fldCharType="end"/>
          </w:r>
        </w:sdtContent>
      </w:sdt>
      <w:r>
        <w:rPr>
          <w:szCs w:val="24"/>
        </w:rPr>
        <w:t xml:space="preserve"> p.3.</w:t>
      </w:r>
    </w:p>
  </w:footnote>
  <w:footnote w:id="2">
    <w:p w:rsidR="00381F13" w:rsidRDefault="00381F13" w:rsidP="00381F13">
      <w:pPr>
        <w:pStyle w:val="FootnoteText"/>
      </w:pPr>
      <w:r>
        <w:rPr>
          <w:rStyle w:val="FootnoteReference"/>
        </w:rPr>
        <w:footnoteRef/>
      </w:r>
      <w:r>
        <w:t xml:space="preserve"> </w:t>
      </w:r>
      <w:sdt>
        <w:sdtPr>
          <w:id w:val="1309976329"/>
          <w:citation/>
        </w:sdtPr>
        <w:sdtEndPr/>
        <w:sdtContent>
          <w:r>
            <w:fldChar w:fldCharType="begin"/>
          </w:r>
          <w:r>
            <w:instrText xml:space="preserve"> CITATION Gre00 \l 2057 </w:instrText>
          </w:r>
          <w:r>
            <w:fldChar w:fldCharType="separate"/>
          </w:r>
          <w:r>
            <w:rPr>
              <w:noProof/>
            </w:rPr>
            <w:t>(Greggs 2009)</w:t>
          </w:r>
          <w:r>
            <w:fldChar w:fldCharType="end"/>
          </w:r>
        </w:sdtContent>
      </w:sdt>
      <w:r>
        <w:rPr>
          <w:szCs w:val="24"/>
        </w:rPr>
        <w:t xml:space="preserve"> </w:t>
      </w:r>
      <w:proofErr w:type="gramStart"/>
      <w:r>
        <w:rPr>
          <w:szCs w:val="24"/>
        </w:rPr>
        <w:t>Barth, Origen and Universal Salvation, Oxford University Press pp. 159-160.</w:t>
      </w:r>
      <w:proofErr w:type="gramEnd"/>
    </w:p>
  </w:footnote>
  <w:footnote w:id="3">
    <w:p w:rsidR="00381F13" w:rsidRDefault="00381F13" w:rsidP="00381F13">
      <w:pPr>
        <w:pStyle w:val="FootnoteText"/>
      </w:pPr>
      <w:r>
        <w:rPr>
          <w:rStyle w:val="FootnoteReference"/>
        </w:rPr>
        <w:footnoteRef/>
      </w:r>
      <w:r>
        <w:t xml:space="preserve"> </w:t>
      </w:r>
      <w:r>
        <w:rPr>
          <w:szCs w:val="24"/>
        </w:rPr>
        <w:t>P</w:t>
      </w:r>
      <w:r>
        <w:rPr>
          <w:rFonts w:cstheme="minorHAnsi"/>
          <w:color w:val="000000"/>
          <w:spacing w:val="7"/>
          <w:szCs w:val="24"/>
        </w:rPr>
        <w:t xml:space="preserve">eople </w:t>
      </w:r>
      <w:r>
        <w:rPr>
          <w:szCs w:val="24"/>
        </w:rPr>
        <w:t xml:space="preserve">like </w:t>
      </w:r>
      <w:r>
        <w:rPr>
          <w:rFonts w:cstheme="minorHAnsi"/>
          <w:color w:val="000000"/>
          <w:spacing w:val="7"/>
          <w:szCs w:val="24"/>
        </w:rPr>
        <w:t xml:space="preserve">William Paley, John Ray, Robert Plot, William </w:t>
      </w:r>
      <w:proofErr w:type="spellStart"/>
      <w:r>
        <w:rPr>
          <w:rFonts w:cstheme="minorHAnsi"/>
          <w:color w:val="000000"/>
          <w:spacing w:val="7"/>
          <w:szCs w:val="24"/>
        </w:rPr>
        <w:t>Whiston</w:t>
      </w:r>
      <w:proofErr w:type="spellEnd"/>
      <w:r>
        <w:rPr>
          <w:rFonts w:cstheme="minorHAnsi"/>
          <w:color w:val="000000"/>
          <w:spacing w:val="7"/>
          <w:szCs w:val="24"/>
        </w:rPr>
        <w:t>, Thomas Burnet, John Woodward, Erasmus Darwin and many others, as per Keith Thompson’s The Watch Upon the Heath (2005)</w:t>
      </w:r>
    </w:p>
  </w:footnote>
  <w:footnote w:id="4">
    <w:p w:rsidR="00381F13" w:rsidRDefault="00381F13" w:rsidP="00381F13">
      <w:pPr>
        <w:pStyle w:val="FootnoteText"/>
      </w:pPr>
      <w:r>
        <w:rPr>
          <w:rStyle w:val="FootnoteReference"/>
        </w:rPr>
        <w:footnoteRef/>
      </w:r>
      <w:r>
        <w:t xml:space="preserve"> </w:t>
      </w:r>
      <w:r>
        <w:rPr>
          <w:szCs w:val="24"/>
        </w:rPr>
        <w:t xml:space="preserve">Michael Faraday and James Clerk Maxwell ‘engaged in science because they believed in the Christian doctrine of creation, not because they found it an irrelevance or hindrance’ </w:t>
      </w:r>
      <w:proofErr w:type="spellStart"/>
      <w:r>
        <w:rPr>
          <w:szCs w:val="24"/>
        </w:rPr>
        <w:t>Gunton</w:t>
      </w:r>
      <w:proofErr w:type="spellEnd"/>
      <w:r>
        <w:rPr>
          <w:szCs w:val="24"/>
        </w:rPr>
        <w:t xml:space="preserve"> (1997) p. 2</w:t>
      </w:r>
    </w:p>
  </w:footnote>
  <w:footnote w:id="5">
    <w:p w:rsidR="00381F13" w:rsidRDefault="00381F13" w:rsidP="00381F13">
      <w:pPr>
        <w:pStyle w:val="FootnoteText"/>
      </w:pPr>
      <w:r>
        <w:rPr>
          <w:rStyle w:val="FootnoteReference"/>
        </w:rPr>
        <w:footnoteRef/>
      </w:r>
      <w:r>
        <w:t xml:space="preserve"> </w:t>
      </w:r>
      <w:r>
        <w:rPr>
          <w:szCs w:val="24"/>
        </w:rPr>
        <w:t xml:space="preserve">Milne E.A., Rouse Ball Professor of Mathematics at </w:t>
      </w:r>
      <w:proofErr w:type="spellStart"/>
      <w:r>
        <w:rPr>
          <w:szCs w:val="24"/>
        </w:rPr>
        <w:t>Wadham</w:t>
      </w:r>
      <w:proofErr w:type="spellEnd"/>
      <w:r>
        <w:rPr>
          <w:szCs w:val="24"/>
        </w:rPr>
        <w:t xml:space="preserve"> College Oxford and President of the Royal Astronomical Society 1943-1945 and author of </w:t>
      </w:r>
      <w:r>
        <w:rPr>
          <w:rFonts w:cstheme="minorHAnsi"/>
          <w:iCs/>
          <w:color w:val="202122"/>
          <w:szCs w:val="24"/>
          <w:shd w:val="clear" w:color="auto" w:fill="FFFFFF"/>
        </w:rPr>
        <w:t>Modern Cosmology and the Christian Idea of God</w:t>
      </w:r>
      <w:r>
        <w:rPr>
          <w:rFonts w:cstheme="minorHAnsi"/>
          <w:color w:val="202122"/>
          <w:szCs w:val="24"/>
          <w:shd w:val="clear" w:color="auto" w:fill="FFFFFF"/>
        </w:rPr>
        <w:t xml:space="preserve"> (1952), </w:t>
      </w:r>
      <w:proofErr w:type="spellStart"/>
      <w:r>
        <w:rPr>
          <w:szCs w:val="24"/>
        </w:rPr>
        <w:t>Bondi</w:t>
      </w:r>
      <w:proofErr w:type="spellEnd"/>
      <w:r>
        <w:rPr>
          <w:szCs w:val="24"/>
        </w:rPr>
        <w:t xml:space="preserve"> S., Author of Cosmology (1925) and Hoyle F., author of The Nature of the Universe (1950), referenced in Coulson C.A. Science and Christian Belief (1955) p.31 </w:t>
      </w:r>
      <w:sdt>
        <w:sdtPr>
          <w:rPr>
            <w:szCs w:val="24"/>
          </w:rPr>
          <w:id w:val="1495295184"/>
          <w:citation/>
        </w:sdtPr>
        <w:sdtEndPr/>
        <w:sdtContent>
          <w:r>
            <w:rPr>
              <w:szCs w:val="24"/>
            </w:rPr>
            <w:fldChar w:fldCharType="begin"/>
          </w:r>
          <w:r>
            <w:rPr>
              <w:szCs w:val="24"/>
            </w:rPr>
            <w:instrText xml:space="preserve"> CITATION Cou55 \l 2057 </w:instrText>
          </w:r>
          <w:r>
            <w:rPr>
              <w:szCs w:val="24"/>
            </w:rPr>
            <w:fldChar w:fldCharType="separate"/>
          </w:r>
          <w:r>
            <w:rPr>
              <w:noProof/>
              <w:szCs w:val="24"/>
            </w:rPr>
            <w:t>(Coulson 1955)</w:t>
          </w:r>
          <w:r>
            <w:rPr>
              <w:szCs w:val="24"/>
            </w:rPr>
            <w:fldChar w:fldCharType="end"/>
          </w:r>
        </w:sdtContent>
      </w:sdt>
    </w:p>
  </w:footnote>
  <w:footnote w:id="6">
    <w:p w:rsidR="00381F13" w:rsidRDefault="00381F13" w:rsidP="00381F13">
      <w:pPr>
        <w:pStyle w:val="FootnoteText"/>
      </w:pPr>
      <w:r>
        <w:rPr>
          <w:rStyle w:val="FootnoteReference"/>
        </w:rPr>
        <w:footnoteRef/>
      </w:r>
      <w:r>
        <w:t xml:space="preserve"> </w:t>
      </w:r>
      <w:r>
        <w:rPr>
          <w:szCs w:val="24"/>
        </w:rPr>
        <w:t xml:space="preserve">A heated controversy that shows no signs of slowing down anytime soon, especially with the advent of neo-Creationist organizations like the UK based Truth in Science group and the Creation Science Movement. Advocates heavily influenced by publications such as </w:t>
      </w:r>
      <w:r>
        <w:rPr>
          <w:i/>
          <w:szCs w:val="24"/>
        </w:rPr>
        <w:t>Of Pandas and People</w:t>
      </w:r>
      <w:r>
        <w:rPr>
          <w:szCs w:val="24"/>
        </w:rPr>
        <w:t xml:space="preserve"> (1989) and proponents of the theory of Intelligent Design who coalesce around entities known as the Discovery Institute and the Intelligent Design Network (</w:t>
      </w:r>
      <w:proofErr w:type="spellStart"/>
      <w:r>
        <w:rPr>
          <w:szCs w:val="24"/>
        </w:rPr>
        <w:t>IDnet</w:t>
      </w:r>
      <w:proofErr w:type="spellEnd"/>
      <w:r>
        <w:rPr>
          <w:szCs w:val="24"/>
        </w:rPr>
        <w:t>), along with accredited academic centres sympathetic to such views based at Baylor University, the Oral Roberts University and Patrick Henry College.</w:t>
      </w:r>
    </w:p>
  </w:footnote>
  <w:footnote w:id="7">
    <w:p w:rsidR="00381F13" w:rsidRDefault="00381F13" w:rsidP="00381F13">
      <w:pPr>
        <w:pStyle w:val="FootnoteText"/>
      </w:pPr>
      <w:r>
        <w:rPr>
          <w:rStyle w:val="FootnoteReference"/>
        </w:rPr>
        <w:footnoteRef/>
      </w:r>
      <w:r>
        <w:t xml:space="preserve"> </w:t>
      </w:r>
      <w:r>
        <w:rPr>
          <w:szCs w:val="24"/>
        </w:rPr>
        <w:t>Colossians 1.-15-20 stating: ‘All things were created through him and for him’.</w:t>
      </w:r>
    </w:p>
  </w:footnote>
  <w:footnote w:id="8">
    <w:p w:rsidR="00381F13" w:rsidRDefault="00381F13" w:rsidP="00381F13">
      <w:pPr>
        <w:pStyle w:val="FootnoteText"/>
      </w:pPr>
      <w:r>
        <w:rPr>
          <w:rStyle w:val="FootnoteReference"/>
        </w:rPr>
        <w:footnoteRef/>
      </w:r>
      <w:r>
        <w:t xml:space="preserve"> </w:t>
      </w:r>
      <w:r>
        <w:rPr>
          <w:szCs w:val="24"/>
        </w:rPr>
        <w:t xml:space="preserve">As per </w:t>
      </w:r>
      <w:proofErr w:type="spellStart"/>
      <w:r>
        <w:rPr>
          <w:szCs w:val="24"/>
        </w:rPr>
        <w:t>Moltmann</w:t>
      </w:r>
      <w:proofErr w:type="spellEnd"/>
      <w:r>
        <w:rPr>
          <w:szCs w:val="24"/>
        </w:rPr>
        <w:t xml:space="preserve">, J. God in Creation: An Ecological Doctrine of Creation (London SCM Press 1985) and </w:t>
      </w:r>
      <w:proofErr w:type="spellStart"/>
      <w:r>
        <w:rPr>
          <w:szCs w:val="24"/>
        </w:rPr>
        <w:t>Pannenberg</w:t>
      </w:r>
      <w:proofErr w:type="spellEnd"/>
      <w:r>
        <w:rPr>
          <w:szCs w:val="24"/>
        </w:rPr>
        <w:t>, W. Systematic Theology, vol. 2, translated by Geoffrey W. Bromley (Edinburgh: T&amp;T Clark , 1994)</w:t>
      </w:r>
    </w:p>
  </w:footnote>
  <w:footnote w:id="9">
    <w:p w:rsidR="00381F13" w:rsidRDefault="00381F13" w:rsidP="00381F13">
      <w:pPr>
        <w:pStyle w:val="FootnoteText"/>
      </w:pPr>
      <w:r>
        <w:rPr>
          <w:rStyle w:val="FootnoteReference"/>
        </w:rPr>
        <w:footnoteRef/>
      </w:r>
      <w:r>
        <w:t xml:space="preserve"> </w:t>
      </w:r>
      <w:r>
        <w:rPr>
          <w:szCs w:val="24"/>
        </w:rPr>
        <w:t xml:space="preserve">A term coined by J.R.R. Tolkien in ‘On Fairy Stories’, Tree and Leaf (London: Allen &amp; </w:t>
      </w:r>
      <w:proofErr w:type="spellStart"/>
      <w:r>
        <w:rPr>
          <w:szCs w:val="24"/>
        </w:rPr>
        <w:t>Unwin</w:t>
      </w:r>
      <w:proofErr w:type="spellEnd"/>
      <w:r>
        <w:rPr>
          <w:szCs w:val="24"/>
        </w:rPr>
        <w:t>, 1982)pp. 11-70 (pp. 43-50).</w:t>
      </w:r>
    </w:p>
  </w:footnote>
  <w:footnote w:id="10">
    <w:p w:rsidR="00381F13" w:rsidRDefault="00381F13" w:rsidP="00381F13">
      <w:pPr>
        <w:pStyle w:val="FootnoteText"/>
      </w:pPr>
      <w:r>
        <w:rPr>
          <w:rStyle w:val="FootnoteReference"/>
        </w:rPr>
        <w:footnoteRef/>
      </w:r>
      <w:r>
        <w:t xml:space="preserve"> </w:t>
      </w:r>
      <w:proofErr w:type="gramStart"/>
      <w:r>
        <w:rPr>
          <w:szCs w:val="24"/>
        </w:rPr>
        <w:t>Lash, N. in “Considering the Trinity”, Modern Theology 2, no.3 (April 1986) in Cunningham D.</w:t>
      </w:r>
      <w:proofErr w:type="gramEnd"/>
      <w:r>
        <w:rPr>
          <w:szCs w:val="24"/>
        </w:rPr>
        <w:t xml:space="preserve"> These Three Are One: The Practice of Trinitarian Theology (1998).</w:t>
      </w:r>
    </w:p>
  </w:footnote>
  <w:footnote w:id="11">
    <w:p w:rsidR="00381F13" w:rsidRDefault="00381F13" w:rsidP="00381F13">
      <w:pPr>
        <w:pStyle w:val="FootnoteText"/>
      </w:pPr>
      <w:r>
        <w:rPr>
          <w:rStyle w:val="FootnoteReference"/>
        </w:rPr>
        <w:footnoteRef/>
      </w:r>
      <w:r>
        <w:t xml:space="preserve"> </w:t>
      </w:r>
      <w:r>
        <w:rPr>
          <w:szCs w:val="24"/>
        </w:rPr>
        <w:t xml:space="preserve">Williams., D.C. an </w:t>
      </w:r>
      <w:r>
        <w:rPr>
          <w:rFonts w:cstheme="minorHAnsi"/>
          <w:color w:val="202122"/>
          <w:szCs w:val="24"/>
          <w:shd w:val="clear" w:color="auto" w:fill="FFFFFF"/>
        </w:rPr>
        <w:t>American philosopher and a professor at both the University of California Los Angeles from (1930 to 1938) and at Harvard University (from 1939 to 1967) who published an article entitled ‘The Myth of the Passage’ in 1951;</w:t>
      </w:r>
      <w:r>
        <w:rPr>
          <w:szCs w:val="24"/>
        </w:rPr>
        <w:t xml:space="preserve"> Helm, P. Professor of the History and Philosophy of Religion, Kings College, London; and Hardy, D. former Director of the </w:t>
      </w:r>
      <w:proofErr w:type="spellStart"/>
      <w:r>
        <w:rPr>
          <w:szCs w:val="24"/>
        </w:rPr>
        <w:t>Center</w:t>
      </w:r>
      <w:proofErr w:type="spellEnd"/>
      <w:r>
        <w:rPr>
          <w:szCs w:val="24"/>
        </w:rPr>
        <w:t xml:space="preserve"> of Theological Inquiry, Princeton.</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0E7E41"/>
    <w:multiLevelType w:val="hybridMultilevel"/>
    <w:tmpl w:val="C80027C6"/>
    <w:lvl w:ilvl="0" w:tplc="F95E533E">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65BC3015"/>
    <w:multiLevelType w:val="hybridMultilevel"/>
    <w:tmpl w:val="25522114"/>
    <w:lvl w:ilvl="0" w:tplc="E66C6774">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EA2"/>
    <w:rsid w:val="00326EA2"/>
    <w:rsid w:val="00381F13"/>
    <w:rsid w:val="0082364C"/>
    <w:rsid w:val="00912B8A"/>
    <w:rsid w:val="009D1D03"/>
    <w:rsid w:val="00F025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F13"/>
    <w:pPr>
      <w:spacing w:after="0" w:line="520" w:lineRule="auto"/>
    </w:pPr>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1F13"/>
    <w:pPr>
      <w:spacing w:line="240" w:lineRule="auto"/>
    </w:pPr>
    <w:rPr>
      <w:sz w:val="20"/>
      <w:szCs w:val="20"/>
    </w:rPr>
  </w:style>
  <w:style w:type="character" w:customStyle="1" w:styleId="FootnoteTextChar">
    <w:name w:val="Footnote Text Char"/>
    <w:basedOn w:val="DefaultParagraphFont"/>
    <w:link w:val="FootnoteText"/>
    <w:uiPriority w:val="99"/>
    <w:semiHidden/>
    <w:rsid w:val="00381F13"/>
    <w:rPr>
      <w:rFonts w:ascii="Times New Roman" w:eastAsia="Times New Roman" w:hAnsi="Times New Roman" w:cs="Times New Roman"/>
      <w:sz w:val="20"/>
      <w:szCs w:val="20"/>
      <w:lang w:val="en-GB" w:eastAsia="en-GB"/>
    </w:rPr>
  </w:style>
  <w:style w:type="paragraph" w:customStyle="1" w:styleId="Normal1">
    <w:name w:val="Normal1"/>
    <w:rsid w:val="00381F13"/>
    <w:pPr>
      <w:spacing w:after="0" w:line="520" w:lineRule="auto"/>
    </w:pPr>
    <w:rPr>
      <w:rFonts w:ascii="Times New Roman" w:eastAsia="Times New Roman" w:hAnsi="Times New Roman" w:cs="Times New Roman"/>
      <w:lang w:val="en-GB" w:eastAsia="en-GB"/>
    </w:rPr>
  </w:style>
  <w:style w:type="character" w:styleId="FootnoteReference">
    <w:name w:val="footnote reference"/>
    <w:basedOn w:val="DefaultParagraphFont"/>
    <w:uiPriority w:val="99"/>
    <w:semiHidden/>
    <w:unhideWhenUsed/>
    <w:rsid w:val="00381F13"/>
    <w:rPr>
      <w:vertAlign w:val="superscript"/>
    </w:rPr>
  </w:style>
  <w:style w:type="paragraph" w:styleId="BalloonText">
    <w:name w:val="Balloon Text"/>
    <w:basedOn w:val="Normal"/>
    <w:link w:val="BalloonTextChar"/>
    <w:uiPriority w:val="99"/>
    <w:semiHidden/>
    <w:unhideWhenUsed/>
    <w:rsid w:val="00381F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13"/>
    <w:rPr>
      <w:rFonts w:ascii="Tahoma" w:eastAsia="Times New Roman" w:hAnsi="Tahoma" w:cs="Tahoma"/>
      <w:sz w:val="16"/>
      <w:szCs w:val="16"/>
      <w:lang w:val="en-GB" w:eastAsia="en-GB"/>
    </w:rPr>
  </w:style>
  <w:style w:type="paragraph" w:styleId="ListParagraph">
    <w:name w:val="List Paragraph"/>
    <w:basedOn w:val="Normal"/>
    <w:uiPriority w:val="34"/>
    <w:qFormat/>
    <w:rsid w:val="00912B8A"/>
    <w:pPr>
      <w:spacing w:after="200" w:line="276" w:lineRule="auto"/>
      <w:ind w:left="720"/>
      <w:contextualSpacing/>
    </w:pPr>
    <w:rPr>
      <w:rFonts w:asciiTheme="minorHAnsi" w:eastAsiaTheme="minorHAnsi" w:hAnsiTheme="minorHAnsi" w:cstheme="minorBidi"/>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F13"/>
    <w:pPr>
      <w:spacing w:after="0" w:line="520" w:lineRule="auto"/>
    </w:pPr>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1F13"/>
    <w:pPr>
      <w:spacing w:line="240" w:lineRule="auto"/>
    </w:pPr>
    <w:rPr>
      <w:sz w:val="20"/>
      <w:szCs w:val="20"/>
    </w:rPr>
  </w:style>
  <w:style w:type="character" w:customStyle="1" w:styleId="FootnoteTextChar">
    <w:name w:val="Footnote Text Char"/>
    <w:basedOn w:val="DefaultParagraphFont"/>
    <w:link w:val="FootnoteText"/>
    <w:uiPriority w:val="99"/>
    <w:semiHidden/>
    <w:rsid w:val="00381F13"/>
    <w:rPr>
      <w:rFonts w:ascii="Times New Roman" w:eastAsia="Times New Roman" w:hAnsi="Times New Roman" w:cs="Times New Roman"/>
      <w:sz w:val="20"/>
      <w:szCs w:val="20"/>
      <w:lang w:val="en-GB" w:eastAsia="en-GB"/>
    </w:rPr>
  </w:style>
  <w:style w:type="paragraph" w:customStyle="1" w:styleId="Normal1">
    <w:name w:val="Normal1"/>
    <w:rsid w:val="00381F13"/>
    <w:pPr>
      <w:spacing w:after="0" w:line="520" w:lineRule="auto"/>
    </w:pPr>
    <w:rPr>
      <w:rFonts w:ascii="Times New Roman" w:eastAsia="Times New Roman" w:hAnsi="Times New Roman" w:cs="Times New Roman"/>
      <w:lang w:val="en-GB" w:eastAsia="en-GB"/>
    </w:rPr>
  </w:style>
  <w:style w:type="character" w:styleId="FootnoteReference">
    <w:name w:val="footnote reference"/>
    <w:basedOn w:val="DefaultParagraphFont"/>
    <w:uiPriority w:val="99"/>
    <w:semiHidden/>
    <w:unhideWhenUsed/>
    <w:rsid w:val="00381F13"/>
    <w:rPr>
      <w:vertAlign w:val="superscript"/>
    </w:rPr>
  </w:style>
  <w:style w:type="paragraph" w:styleId="BalloonText">
    <w:name w:val="Balloon Text"/>
    <w:basedOn w:val="Normal"/>
    <w:link w:val="BalloonTextChar"/>
    <w:uiPriority w:val="99"/>
    <w:semiHidden/>
    <w:unhideWhenUsed/>
    <w:rsid w:val="00381F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13"/>
    <w:rPr>
      <w:rFonts w:ascii="Tahoma" w:eastAsia="Times New Roman" w:hAnsi="Tahoma" w:cs="Tahoma"/>
      <w:sz w:val="16"/>
      <w:szCs w:val="16"/>
      <w:lang w:val="en-GB" w:eastAsia="en-GB"/>
    </w:rPr>
  </w:style>
  <w:style w:type="paragraph" w:styleId="ListParagraph">
    <w:name w:val="List Paragraph"/>
    <w:basedOn w:val="Normal"/>
    <w:uiPriority w:val="34"/>
    <w:qFormat/>
    <w:rsid w:val="00912B8A"/>
    <w:pPr>
      <w:spacing w:after="200" w:line="276" w:lineRule="auto"/>
      <w:ind w:left="720"/>
      <w:contextualSpacing/>
    </w:pPr>
    <w:rPr>
      <w:rFonts w:asciiTheme="minorHAnsi" w:eastAsiaTheme="minorHAnsi"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2756957">
      <w:bodyDiv w:val="1"/>
      <w:marLeft w:val="0"/>
      <w:marRight w:val="0"/>
      <w:marTop w:val="0"/>
      <w:marBottom w:val="0"/>
      <w:divBdr>
        <w:top w:val="none" w:sz="0" w:space="0" w:color="auto"/>
        <w:left w:val="none" w:sz="0" w:space="0" w:color="auto"/>
        <w:bottom w:val="none" w:sz="0" w:space="0" w:color="auto"/>
        <w:right w:val="none" w:sz="0" w:space="0" w:color="auto"/>
      </w:divBdr>
    </w:div>
    <w:div w:id="17911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2405</Words>
  <Characters>13715</Characters>
  <Application>Microsoft Office Word</Application>
  <DocSecurity>0</DocSecurity>
  <Lines>114</Lines>
  <Paragraphs>32</Paragraphs>
  <ScaleCrop>false</ScaleCrop>
  <Company/>
  <LinksUpToDate>false</LinksUpToDate>
  <CharactersWithSpaces>16088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2021-05-18T18:27:00Z</dcterms:created>
  <dcterms:modified xsi:type="dcterms:W3CDTF">2021-05-18T20:50:00Z</dcterms:modified>
</cp:coreProperties>
</file>