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00000001">
      <w:pPr>
        <w:pStyle w:val="style0"/>
        <w:jc w:val="center"/>
        <w:rPr/>
      </w:pPr>
      <w:r>
        <w:rPr/>
        <w:drawing>
          <wp:inline distL="0" distT="0" distB="0" distR="0">
            <wp:extent cx="1809750" cy="723900"/>
            <wp:effectExtent l="0" t="0" r="0" b="0"/>
            <wp:docPr id="1026" name="image1.png" descr="Discover University of Wales Trinity Saint Davi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1809750" cy="723900"/>
                    </a:xfrm>
                    <a:prstGeom prst="rect"/>
                    <a:ln cmpd="sng" cap="flat" w="9525">
                      <a:solidFill>
                        <a:srgbClr val="000000"/>
                      </a:solidFill>
                      <a:prstDash val="solid"/>
                      <a:round/>
                      <a:headEnd/>
                      <a:tailEnd/>
                    </a:ln>
                  </pic:spPr>
                </pic:pic>
              </a:graphicData>
            </a:graphic>
          </wp:inline>
        </w:drawing>
      </w:r>
    </w:p>
    <w:p w14:paraId="00000002">
      <w:pPr>
        <w:pStyle w:val="style0"/>
        <w:rPr/>
      </w:pPr>
    </w:p>
    <w:p w14:paraId="00000003">
      <w:pPr>
        <w:pStyle w:val="style0"/>
        <w:rPr/>
      </w:pPr>
    </w:p>
    <w:p w14:paraId="00000004">
      <w:pPr>
        <w:pStyle w:val="style0"/>
        <w:rPr/>
      </w:pPr>
    </w:p>
    <w:p w14:paraId="00000005">
      <w:pPr>
        <w:pStyle w:val="style0"/>
        <w:widowControl w:val="false"/>
        <w:tabs>
          <w:tab w:val="left" w:leader="none" w:pos="940"/>
          <w:tab w:val="left" w:leader="none" w:pos="941"/>
        </w:tabs>
        <w:spacing w:lineRule="auto" w:line="360"/>
        <w:jc w:val="center"/>
        <w:rPr>
          <w:b/>
          <w:bCs/>
          <w:sz w:val="36"/>
          <w:szCs w:val="36"/>
        </w:rPr>
      </w:pPr>
      <w:r>
        <w:rPr>
          <w:b/>
          <w:bCs/>
          <w:sz w:val="36"/>
          <w:szCs w:val="36"/>
        </w:rPr>
        <w:t xml:space="preserve">Master of Business </w:t>
      </w:r>
      <w:r>
        <w:rPr>
          <w:b/>
          <w:bCs/>
          <w:sz w:val="36"/>
          <w:szCs w:val="36"/>
        </w:rPr>
        <w:t>Administratio</w:t>
      </w:r>
      <w:r>
        <w:rPr>
          <w:b/>
          <w:bCs/>
          <w:sz w:val="36"/>
          <w:szCs w:val="36"/>
        </w:rPr>
        <w:t>n</w:t>
      </w:r>
    </w:p>
    <w:p w14:paraId="00000006">
      <w:pPr>
        <w:pStyle w:val="style0"/>
        <w:widowControl w:val="false"/>
        <w:tabs>
          <w:tab w:val="left" w:leader="none" w:pos="940"/>
          <w:tab w:val="left" w:leader="none" w:pos="941"/>
        </w:tabs>
        <w:spacing w:lineRule="auto" w:line="360"/>
        <w:jc w:val="center"/>
        <w:rPr>
          <w:b/>
          <w:bCs/>
          <w:sz w:val="24"/>
          <w:szCs w:val="24"/>
        </w:rPr>
      </w:pPr>
    </w:p>
    <w:p w14:paraId="00000007">
      <w:pPr>
        <w:pStyle w:val="style0"/>
        <w:widowControl w:val="false"/>
        <w:tabs>
          <w:tab w:val="left" w:leader="none" w:pos="940"/>
          <w:tab w:val="left" w:leader="none" w:pos="941"/>
        </w:tabs>
        <w:spacing w:lineRule="auto" w:line="360"/>
        <w:jc w:val="center"/>
        <w:rPr>
          <w:b/>
          <w:bCs/>
          <w:sz w:val="24"/>
          <w:szCs w:val="24"/>
        </w:rPr>
      </w:pPr>
    </w:p>
    <w:p w14:paraId="00000008">
      <w:pPr>
        <w:pStyle w:val="style0"/>
        <w:widowControl w:val="false"/>
        <w:tabs>
          <w:tab w:val="left" w:leader="none" w:pos="940"/>
          <w:tab w:val="left" w:leader="none" w:pos="941"/>
        </w:tabs>
        <w:spacing w:lineRule="auto" w:line="360"/>
        <w:jc w:val="center"/>
        <w:rPr>
          <w:b/>
          <w:bCs/>
          <w:sz w:val="24"/>
          <w:szCs w:val="24"/>
        </w:rPr>
      </w:pPr>
      <w:r>
        <w:rPr>
          <w:b/>
          <w:bCs/>
          <w:sz w:val="24"/>
          <w:szCs w:val="24"/>
        </w:rPr>
        <w:t>Module: Marketing Management</w:t>
      </w:r>
    </w:p>
    <w:p w14:paraId="00000009">
      <w:pPr>
        <w:pStyle w:val="style0"/>
        <w:widowControl w:val="false"/>
        <w:tabs>
          <w:tab w:val="left" w:leader="none" w:pos="940"/>
          <w:tab w:val="left" w:leader="none" w:pos="941"/>
        </w:tabs>
        <w:spacing w:lineRule="auto" w:line="360"/>
        <w:jc w:val="center"/>
        <w:rPr>
          <w:b/>
          <w:bCs/>
          <w:sz w:val="24"/>
          <w:szCs w:val="24"/>
        </w:rPr>
      </w:pPr>
      <w:r>
        <w:rPr>
          <w:b/>
          <w:bCs/>
          <w:sz w:val="24"/>
          <w:szCs w:val="24"/>
        </w:rPr>
        <w:t xml:space="preserve">Module code: LCMB7024 </w:t>
      </w:r>
      <w:r>
        <w:rPr>
          <w:b/>
          <w:bCs/>
          <w:sz w:val="24"/>
          <w:szCs w:val="24"/>
          <w:lang w:val="en-US"/>
        </w:rPr>
        <w:t>Component 1</w:t>
      </w:r>
    </w:p>
    <w:p w14:paraId="0000000A">
      <w:pPr>
        <w:pStyle w:val="style0"/>
        <w:widowControl w:val="false"/>
        <w:tabs>
          <w:tab w:val="left" w:leader="none" w:pos="940"/>
          <w:tab w:val="left" w:leader="none" w:pos="941"/>
        </w:tabs>
        <w:spacing w:lineRule="auto" w:line="360"/>
        <w:jc w:val="center"/>
        <w:rPr>
          <w:b/>
          <w:bCs/>
          <w:sz w:val="24"/>
          <w:szCs w:val="24"/>
        </w:rPr>
      </w:pPr>
      <w:r>
        <w:rPr>
          <w:b/>
          <w:bCs/>
          <w:sz w:val="24"/>
          <w:szCs w:val="24"/>
        </w:rPr>
        <w:t xml:space="preserve">Lecturer: </w:t>
      </w:r>
      <w:r>
        <w:rPr>
          <w:b/>
          <w:bCs/>
          <w:sz w:val="24"/>
          <w:szCs w:val="24"/>
        </w:rPr>
        <w:t>Taonga Kaonga Sobere- Snithers (Birmingham)</w:t>
      </w:r>
    </w:p>
    <w:p w14:paraId="0000000B">
      <w:pPr>
        <w:pStyle w:val="style0"/>
        <w:widowControl w:val="false"/>
        <w:tabs>
          <w:tab w:val="left" w:leader="none" w:pos="940"/>
          <w:tab w:val="left" w:leader="none" w:pos="941"/>
        </w:tabs>
        <w:spacing w:lineRule="auto" w:line="360"/>
        <w:jc w:val="center"/>
        <w:rPr>
          <w:b/>
          <w:bCs/>
          <w:sz w:val="24"/>
          <w:szCs w:val="24"/>
        </w:rPr>
      </w:pPr>
    </w:p>
    <w:p w14:paraId="0000000C">
      <w:pPr>
        <w:pStyle w:val="style0"/>
        <w:widowControl w:val="false"/>
        <w:tabs>
          <w:tab w:val="left" w:leader="none" w:pos="940"/>
          <w:tab w:val="left" w:leader="none" w:pos="941"/>
        </w:tabs>
        <w:spacing w:lineRule="auto" w:line="360"/>
        <w:jc w:val="center"/>
        <w:rPr>
          <w:b/>
          <w:bCs/>
          <w:sz w:val="24"/>
          <w:szCs w:val="24"/>
        </w:rPr>
      </w:pPr>
      <w:r>
        <w:rPr>
          <w:b/>
          <w:bCs/>
          <w:sz w:val="24"/>
          <w:szCs w:val="24"/>
        </w:rPr>
        <w:t>Student’s name: Jitendra kumar ranwa</w:t>
      </w:r>
    </w:p>
    <w:p w14:paraId="0000000D">
      <w:pPr>
        <w:pStyle w:val="style0"/>
        <w:widowControl w:val="false"/>
        <w:tabs>
          <w:tab w:val="left" w:leader="none" w:pos="940"/>
          <w:tab w:val="left" w:leader="none" w:pos="941"/>
        </w:tabs>
        <w:spacing w:lineRule="auto" w:line="360"/>
        <w:jc w:val="center"/>
        <w:rPr>
          <w:b/>
          <w:bCs/>
          <w:sz w:val="24"/>
          <w:szCs w:val="24"/>
        </w:rPr>
      </w:pPr>
      <w:r>
        <w:rPr>
          <w:b/>
          <w:bCs/>
          <w:sz w:val="24"/>
          <w:szCs w:val="24"/>
        </w:rPr>
        <w:t>Student’s ID: 2605723</w:t>
      </w:r>
    </w:p>
    <w:p w14:paraId="0000000E">
      <w:pPr>
        <w:pStyle w:val="style0"/>
        <w:widowControl w:val="false"/>
        <w:tabs>
          <w:tab w:val="left" w:leader="none" w:pos="940"/>
          <w:tab w:val="left" w:leader="none" w:pos="941"/>
        </w:tabs>
        <w:spacing w:lineRule="auto" w:line="360"/>
        <w:jc w:val="center"/>
        <w:rPr>
          <w:b/>
          <w:bCs/>
          <w:sz w:val="24"/>
          <w:szCs w:val="24"/>
        </w:rPr>
      </w:pPr>
      <w:r>
        <w:rPr>
          <w:b/>
          <w:bCs/>
          <w:sz w:val="24"/>
          <w:szCs w:val="24"/>
        </w:rPr>
        <w:t>Final word count: 2656</w:t>
      </w:r>
    </w:p>
    <w:p w14:paraId="0000000F">
      <w:pPr>
        <w:pStyle w:val="style0"/>
        <w:widowControl w:val="false"/>
        <w:tabs>
          <w:tab w:val="left" w:leader="none" w:pos="940"/>
          <w:tab w:val="left" w:leader="none" w:pos="941"/>
        </w:tabs>
        <w:spacing w:lineRule="auto" w:line="360"/>
        <w:jc w:val="center"/>
        <w:rPr>
          <w:b/>
          <w:bCs/>
          <w:sz w:val="24"/>
          <w:szCs w:val="24"/>
        </w:rPr>
      </w:pPr>
      <w:r>
        <w:rPr>
          <w:b/>
          <w:bCs/>
          <w:sz w:val="24"/>
          <w:szCs w:val="24"/>
        </w:rPr>
        <w:t>Submission date: 22/10/2026</w:t>
      </w:r>
    </w:p>
    <w:p w14:paraId="00000010">
      <w:pPr>
        <w:pStyle w:val="style0"/>
        <w:rPr/>
      </w:pPr>
    </w:p>
    <w:p w14:paraId="00000011">
      <w:pPr>
        <w:pStyle w:val="style0"/>
        <w:rPr/>
      </w:pPr>
    </w:p>
    <w:p w14:paraId="00000012">
      <w:pPr>
        <w:pStyle w:val="style0"/>
        <w:rPr/>
      </w:pPr>
    </w:p>
    <w:p w14:paraId="00000013">
      <w:pPr>
        <w:pStyle w:val="style0"/>
        <w:rPr/>
      </w:pPr>
      <w:r>
        <w:br w:type="page"/>
      </w:r>
    </w:p>
    <w:p w14:paraId="00000014">
      <w:pPr>
        <w:pStyle w:val="style0"/>
        <w:spacing w:lineRule="auto" w:line="360"/>
        <w:jc w:val="center"/>
        <w:rPr>
          <w:b/>
          <w:bCs/>
          <w:sz w:val="26"/>
          <w:szCs w:val="26"/>
        </w:rPr>
      </w:pPr>
      <w:r>
        <w:rPr>
          <w:b/>
          <w:bCs/>
          <w:sz w:val="26"/>
          <w:szCs w:val="26"/>
        </w:rPr>
        <w:t>Executive Summary</w:t>
      </w:r>
    </w:p>
    <w:p w14:paraId="00000015">
      <w:pPr>
        <w:pStyle w:val="style0"/>
        <w:spacing w:lineRule="auto" w:line="360"/>
        <w:jc w:val="both"/>
        <w:rPr>
          <w:sz w:val="24"/>
          <w:szCs w:val="24"/>
        </w:rPr>
      </w:pPr>
      <w:r>
        <w:rPr>
          <w:sz w:val="24"/>
          <w:szCs w:val="24"/>
        </w:rPr>
        <w:t>This report evaluates the marketing environment of BHP and identifies factors that influence its growth and competitive position, as climate change, decarbonisation, political and regulatory pressures and customer expectations are creating challenges and opportunities for the company. The demand for responsibly produced and traceable minerals provides an opportunity for BHP to strengthen its market position. Using the Ansoff Matrix, product development is identified as the appropriate growth strategy that focuses on lower-carbon and traceable offerings, and a differentiation strategy is recommended emphasising environmental performance, transparency, technological capability and reliable supply. Thus, implementation requires verification, customer research, benchmarking and regulatory adaptability.</w:t>
      </w:r>
    </w:p>
    <w:p w14:paraId="00000016">
      <w:pPr>
        <w:pStyle w:val="style0"/>
        <w:rPr/>
      </w:pPr>
      <w:r>
        <w:br w:type="page"/>
      </w:r>
    </w:p>
    <w:p w14:paraId="00000017">
      <w:pPr>
        <w:pStyle w:val="style0"/>
        <w:spacing w:lineRule="auto" w:line="360"/>
        <w:jc w:val="center"/>
        <w:rPr>
          <w:sz w:val="24"/>
          <w:szCs w:val="24"/>
        </w:rPr>
      </w:pPr>
      <w:r>
        <w:rPr>
          <w:b/>
          <w:bCs/>
          <w:sz w:val="24"/>
          <w:szCs w:val="24"/>
        </w:rPr>
        <w:t xml:space="preserve">Table of contents </w:t>
      </w:r>
    </w:p>
    <w:p w14:paraId="00000018">
      <w:pPr>
        <w:pStyle w:val="style0"/>
        <w:widowControl w:val="false"/>
        <w:tabs>
          <w:tab w:val="right" w:leader="dot" w:pos="12000"/>
        </w:tabs>
        <w:spacing w:before="60" w:lineRule="auto" w:line="360"/>
        <w:rPr>
          <w:i w:val="false"/>
          <w:iCs w:val="false"/>
          <w:smallCaps w:val="false"/>
          <w:color w:val="000000"/>
          <w:sz w:val="24"/>
          <w:szCs w:val="24"/>
          <w:u w:val="none"/>
          <w:shd w:val="clear" w:color="auto" w:fill="auto"/>
          <w:vertAlign w:val="baseline"/>
        </w:rPr>
      </w:pPr>
      <w:r>
        <w:rPr/>
        <w:fldChar w:fldCharType="begin"/>
      </w:r>
      <w:r>
        <w:instrText xml:space="preserve"> TOC \h \u \z \t "Heading 1,1,Heading 2,2,Heading 3,3,Heading 4,4,Heading 5,5,Heading 6,6,"</w:instrText>
      </w:r>
      <w:r>
        <w:rPr/>
        <w:fldChar w:fldCharType="separate"/>
      </w:r>
      <w:r>
        <w:rPr/>
        <w:fldChar w:fldCharType="begin"/>
      </w:r>
      <w:r>
        <w:instrText xml:space="preserve"> HYPERLINK \l "_heading=h.fdr85sdcdwni" </w:instrText>
      </w:r>
      <w:r>
        <w:rPr/>
        <w:fldChar w:fldCharType="separate"/>
      </w:r>
      <w:r>
        <w:rPr>
          <w:i w:val="false"/>
          <w:iCs w:val="false"/>
          <w:smallCaps w:val="false"/>
          <w:color w:val="000000"/>
          <w:sz w:val="24"/>
          <w:szCs w:val="24"/>
          <w:u w:val="none"/>
          <w:shd w:val="clear" w:color="auto" w:fill="auto"/>
          <w:vertAlign w:val="baseline"/>
        </w:rPr>
        <w:t>Introduction</w:t>
      </w:r>
      <w:r>
        <w:rPr>
          <w:i w:val="false"/>
          <w:iCs w:val="false"/>
          <w:smallCaps w:val="false"/>
          <w:color w:val="000000"/>
          <w:sz w:val="24"/>
          <w:szCs w:val="24"/>
          <w:u w:val="none"/>
          <w:shd w:val="clear" w:color="auto" w:fill="auto"/>
          <w:vertAlign w:val="baseline"/>
        </w:rPr>
        <w:tab/>
      </w:r>
      <w:r>
        <w:rPr>
          <w:i w:val="false"/>
          <w:iCs w:val="false"/>
          <w:smallCaps w:val="false"/>
          <w:color w:val="000000"/>
          <w:sz w:val="24"/>
          <w:szCs w:val="24"/>
          <w:u w:val="none"/>
          <w:shd w:val="clear" w:color="auto" w:fill="auto"/>
          <w:vertAlign w:val="baseline"/>
        </w:rPr>
        <w:t>3</w:t>
      </w:r>
      <w:r>
        <w:rPr/>
        <w:fldChar w:fldCharType="end"/>
      </w:r>
    </w:p>
    <w:p w14:paraId="00000019">
      <w:pPr>
        <w:pStyle w:val="style0"/>
        <w:widowControl w:val="false"/>
        <w:tabs>
          <w:tab w:val="right" w:leader="dot" w:pos="12000"/>
        </w:tabs>
        <w:spacing w:before="60" w:lineRule="auto" w:line="360"/>
        <w:rPr>
          <w:i w:val="false"/>
          <w:iCs w:val="false"/>
          <w:smallCaps w:val="false"/>
          <w:color w:val="000000"/>
          <w:sz w:val="24"/>
          <w:szCs w:val="24"/>
          <w:u w:val="none"/>
          <w:shd w:val="clear" w:color="auto" w:fill="auto"/>
          <w:vertAlign w:val="baseline"/>
        </w:rPr>
      </w:pPr>
      <w:r>
        <w:rPr/>
        <w:fldChar w:fldCharType="begin"/>
      </w:r>
      <w:r>
        <w:instrText xml:space="preserve"> HYPERLINK \l "_heading=h.bs7vxx2z3g84" </w:instrText>
      </w:r>
      <w:r>
        <w:rPr/>
        <w:fldChar w:fldCharType="separate"/>
      </w:r>
      <w:r>
        <w:rPr>
          <w:i w:val="false"/>
          <w:iCs w:val="false"/>
          <w:smallCaps w:val="false"/>
          <w:color w:val="000000"/>
          <w:sz w:val="24"/>
          <w:szCs w:val="24"/>
          <w:u w:val="none"/>
          <w:shd w:val="clear" w:color="auto" w:fill="auto"/>
          <w:vertAlign w:val="baseline"/>
        </w:rPr>
        <w:t>Marketing Environment Analysis</w:t>
      </w:r>
      <w:r>
        <w:rPr>
          <w:i w:val="false"/>
          <w:iCs w:val="false"/>
          <w:smallCaps w:val="false"/>
          <w:color w:val="000000"/>
          <w:sz w:val="24"/>
          <w:szCs w:val="24"/>
          <w:u w:val="none"/>
          <w:shd w:val="clear" w:color="auto" w:fill="auto"/>
          <w:vertAlign w:val="baseline"/>
        </w:rPr>
        <w:tab/>
      </w:r>
      <w:r>
        <w:rPr>
          <w:i w:val="false"/>
          <w:iCs w:val="false"/>
          <w:smallCaps w:val="false"/>
          <w:color w:val="000000"/>
          <w:sz w:val="24"/>
          <w:szCs w:val="24"/>
          <w:u w:val="none"/>
          <w:shd w:val="clear" w:color="auto" w:fill="auto"/>
          <w:vertAlign w:val="baseline"/>
        </w:rPr>
        <w:t>3</w:t>
      </w:r>
      <w:r>
        <w:rPr/>
        <w:fldChar w:fldCharType="end"/>
      </w:r>
    </w:p>
    <w:p w14:paraId="0000001A">
      <w:pPr>
        <w:pStyle w:val="style0"/>
        <w:widowControl w:val="false"/>
        <w:tabs>
          <w:tab w:val="right" w:leader="dot" w:pos="12000"/>
        </w:tabs>
        <w:spacing w:before="60" w:lineRule="auto" w:line="360"/>
        <w:ind w:left="360" w:firstLine="0"/>
        <w:rPr>
          <w:i w:val="false"/>
          <w:iCs w:val="false"/>
          <w:smallCaps w:val="false"/>
          <w:color w:val="000000"/>
          <w:sz w:val="24"/>
          <w:szCs w:val="24"/>
          <w:u w:val="none"/>
          <w:shd w:val="clear" w:color="auto" w:fill="auto"/>
          <w:vertAlign w:val="baseline"/>
        </w:rPr>
      </w:pPr>
      <w:r>
        <w:rPr/>
        <w:fldChar w:fldCharType="begin"/>
      </w:r>
      <w:r>
        <w:instrText xml:space="preserve"> HYPERLINK \l "_heading=h.fhqgy4tjqdug" </w:instrText>
      </w:r>
      <w:r>
        <w:rPr/>
        <w:fldChar w:fldCharType="separate"/>
      </w:r>
      <w:r>
        <w:rPr>
          <w:i w:val="false"/>
          <w:iCs w:val="false"/>
          <w:smallCaps w:val="false"/>
          <w:color w:val="000000"/>
          <w:sz w:val="24"/>
          <w:szCs w:val="24"/>
          <w:u w:val="none"/>
          <w:shd w:val="clear" w:color="auto" w:fill="auto"/>
          <w:vertAlign w:val="baseline"/>
        </w:rPr>
        <w:t>Actor 1: Environmental Factors</w:t>
      </w:r>
      <w:r>
        <w:rPr>
          <w:i w:val="false"/>
          <w:iCs w:val="false"/>
          <w:smallCaps w:val="false"/>
          <w:color w:val="000000"/>
          <w:sz w:val="24"/>
          <w:szCs w:val="24"/>
          <w:u w:val="none"/>
          <w:shd w:val="clear" w:color="auto" w:fill="auto"/>
          <w:vertAlign w:val="baseline"/>
        </w:rPr>
        <w:tab/>
      </w:r>
      <w:r>
        <w:rPr>
          <w:i w:val="false"/>
          <w:iCs w:val="false"/>
          <w:smallCaps w:val="false"/>
          <w:color w:val="000000"/>
          <w:sz w:val="24"/>
          <w:szCs w:val="24"/>
          <w:u w:val="none"/>
          <w:shd w:val="clear" w:color="auto" w:fill="auto"/>
          <w:vertAlign w:val="baseline"/>
        </w:rPr>
        <w:t>3</w:t>
      </w:r>
      <w:r>
        <w:rPr/>
        <w:fldChar w:fldCharType="end"/>
      </w:r>
    </w:p>
    <w:p w14:paraId="0000001B">
      <w:pPr>
        <w:pStyle w:val="style0"/>
        <w:widowControl w:val="false"/>
        <w:tabs>
          <w:tab w:val="right" w:leader="dot" w:pos="12000"/>
        </w:tabs>
        <w:spacing w:before="60" w:lineRule="auto" w:line="360"/>
        <w:ind w:left="360" w:firstLine="0"/>
        <w:rPr>
          <w:i w:val="false"/>
          <w:iCs w:val="false"/>
          <w:smallCaps w:val="false"/>
          <w:color w:val="000000"/>
          <w:sz w:val="24"/>
          <w:szCs w:val="24"/>
          <w:u w:val="none"/>
          <w:shd w:val="clear" w:color="auto" w:fill="auto"/>
          <w:vertAlign w:val="baseline"/>
        </w:rPr>
      </w:pPr>
      <w:r>
        <w:rPr/>
        <w:fldChar w:fldCharType="begin"/>
      </w:r>
      <w:r>
        <w:instrText xml:space="preserve"> HYPERLINK \l "_heading=h.1xorukuc8uli" </w:instrText>
      </w:r>
      <w:r>
        <w:rPr/>
        <w:fldChar w:fldCharType="separate"/>
      </w:r>
      <w:r>
        <w:rPr>
          <w:i w:val="false"/>
          <w:iCs w:val="false"/>
          <w:smallCaps w:val="false"/>
          <w:color w:val="000000"/>
          <w:sz w:val="24"/>
          <w:szCs w:val="24"/>
          <w:u w:val="none"/>
          <w:shd w:val="clear" w:color="auto" w:fill="auto"/>
          <w:vertAlign w:val="baseline"/>
        </w:rPr>
        <w:t>Actor 2: Political and Legal</w:t>
      </w:r>
      <w:r>
        <w:rPr>
          <w:i w:val="false"/>
          <w:iCs w:val="false"/>
          <w:smallCaps w:val="false"/>
          <w:color w:val="000000"/>
          <w:sz w:val="24"/>
          <w:szCs w:val="24"/>
          <w:u w:val="none"/>
          <w:shd w:val="clear" w:color="auto" w:fill="auto"/>
          <w:vertAlign w:val="baseline"/>
        </w:rPr>
        <w:tab/>
      </w:r>
      <w:r>
        <w:rPr>
          <w:i w:val="false"/>
          <w:iCs w:val="false"/>
          <w:smallCaps w:val="false"/>
          <w:color w:val="000000"/>
          <w:sz w:val="24"/>
          <w:szCs w:val="24"/>
          <w:u w:val="none"/>
          <w:shd w:val="clear" w:color="auto" w:fill="auto"/>
          <w:vertAlign w:val="baseline"/>
        </w:rPr>
        <w:t>5</w:t>
      </w:r>
      <w:r>
        <w:rPr/>
        <w:fldChar w:fldCharType="end"/>
      </w:r>
    </w:p>
    <w:p w14:paraId="0000001C">
      <w:pPr>
        <w:pStyle w:val="style0"/>
        <w:widowControl w:val="false"/>
        <w:tabs>
          <w:tab w:val="right" w:leader="dot" w:pos="12000"/>
        </w:tabs>
        <w:spacing w:before="60" w:lineRule="auto" w:line="360"/>
        <w:ind w:left="360" w:firstLine="0"/>
        <w:rPr>
          <w:i w:val="false"/>
          <w:iCs w:val="false"/>
          <w:smallCaps w:val="false"/>
          <w:color w:val="000000"/>
          <w:sz w:val="24"/>
          <w:szCs w:val="24"/>
          <w:u w:val="none"/>
          <w:shd w:val="clear" w:color="auto" w:fill="auto"/>
          <w:vertAlign w:val="baseline"/>
        </w:rPr>
      </w:pPr>
      <w:r>
        <w:rPr/>
        <w:fldChar w:fldCharType="begin"/>
      </w:r>
      <w:r>
        <w:instrText xml:space="preserve"> HYPERLINK \l "_heading=h.xcgmotpx80o5" </w:instrText>
      </w:r>
      <w:r>
        <w:rPr/>
        <w:fldChar w:fldCharType="separate"/>
      </w:r>
      <w:r>
        <w:rPr>
          <w:i w:val="false"/>
          <w:iCs w:val="false"/>
          <w:smallCaps w:val="false"/>
          <w:color w:val="000000"/>
          <w:sz w:val="24"/>
          <w:szCs w:val="24"/>
          <w:u w:val="none"/>
          <w:shd w:val="clear" w:color="auto" w:fill="auto"/>
          <w:vertAlign w:val="baseline"/>
        </w:rPr>
        <w:t>Actor 3: Social Factors</w:t>
      </w:r>
      <w:r>
        <w:rPr>
          <w:i w:val="false"/>
          <w:iCs w:val="false"/>
          <w:smallCaps w:val="false"/>
          <w:color w:val="000000"/>
          <w:sz w:val="24"/>
          <w:szCs w:val="24"/>
          <w:u w:val="none"/>
          <w:shd w:val="clear" w:color="auto" w:fill="auto"/>
          <w:vertAlign w:val="baseline"/>
        </w:rPr>
        <w:tab/>
      </w:r>
      <w:r>
        <w:rPr>
          <w:i w:val="false"/>
          <w:iCs w:val="false"/>
          <w:smallCaps w:val="false"/>
          <w:color w:val="000000"/>
          <w:sz w:val="24"/>
          <w:szCs w:val="24"/>
          <w:u w:val="none"/>
          <w:shd w:val="clear" w:color="auto" w:fill="auto"/>
          <w:vertAlign w:val="baseline"/>
        </w:rPr>
        <w:t>6</w:t>
      </w:r>
      <w:r>
        <w:rPr/>
        <w:fldChar w:fldCharType="end"/>
      </w:r>
    </w:p>
    <w:p w14:paraId="0000001D">
      <w:pPr>
        <w:pStyle w:val="style0"/>
        <w:widowControl w:val="false"/>
        <w:tabs>
          <w:tab w:val="right" w:leader="dot" w:pos="12000"/>
        </w:tabs>
        <w:spacing w:before="60" w:lineRule="auto" w:line="360"/>
        <w:rPr>
          <w:i w:val="false"/>
          <w:iCs w:val="false"/>
          <w:smallCaps w:val="false"/>
          <w:color w:val="000000"/>
          <w:sz w:val="24"/>
          <w:szCs w:val="24"/>
          <w:u w:val="none"/>
          <w:shd w:val="clear" w:color="auto" w:fill="auto"/>
          <w:vertAlign w:val="baseline"/>
        </w:rPr>
      </w:pPr>
      <w:r>
        <w:rPr/>
        <w:fldChar w:fldCharType="begin"/>
      </w:r>
      <w:r>
        <w:instrText xml:space="preserve"> HYPERLINK \l "_heading=h.vlfifssr4wj7" </w:instrText>
      </w:r>
      <w:r>
        <w:rPr/>
        <w:fldChar w:fldCharType="separate"/>
      </w:r>
      <w:r>
        <w:rPr>
          <w:i w:val="false"/>
          <w:iCs w:val="false"/>
          <w:smallCaps w:val="false"/>
          <w:color w:val="000000"/>
          <w:sz w:val="24"/>
          <w:szCs w:val="24"/>
          <w:u w:val="none"/>
          <w:shd w:val="clear" w:color="auto" w:fill="auto"/>
          <w:vertAlign w:val="baseline"/>
        </w:rPr>
        <w:t>Task 2: Strategic Growth and Competitive Positioning</w:t>
      </w:r>
      <w:r>
        <w:rPr>
          <w:i w:val="false"/>
          <w:iCs w:val="false"/>
          <w:smallCaps w:val="false"/>
          <w:color w:val="000000"/>
          <w:sz w:val="24"/>
          <w:szCs w:val="24"/>
          <w:u w:val="none"/>
          <w:shd w:val="clear" w:color="auto" w:fill="auto"/>
          <w:vertAlign w:val="baseline"/>
        </w:rPr>
        <w:tab/>
      </w:r>
      <w:r>
        <w:rPr>
          <w:i w:val="false"/>
          <w:iCs w:val="false"/>
          <w:smallCaps w:val="false"/>
          <w:color w:val="000000"/>
          <w:sz w:val="24"/>
          <w:szCs w:val="24"/>
          <w:u w:val="none"/>
          <w:shd w:val="clear" w:color="auto" w:fill="auto"/>
          <w:vertAlign w:val="baseline"/>
        </w:rPr>
        <w:t>8</w:t>
      </w:r>
      <w:r>
        <w:rPr/>
        <w:fldChar w:fldCharType="end"/>
      </w:r>
    </w:p>
    <w:p w14:paraId="0000001E">
      <w:pPr>
        <w:pStyle w:val="style0"/>
        <w:widowControl w:val="false"/>
        <w:tabs>
          <w:tab w:val="right" w:leader="dot" w:pos="12000"/>
        </w:tabs>
        <w:spacing w:before="60" w:lineRule="auto" w:line="360"/>
        <w:ind w:left="360" w:firstLine="0"/>
        <w:rPr>
          <w:i w:val="false"/>
          <w:iCs w:val="false"/>
          <w:smallCaps w:val="false"/>
          <w:color w:val="000000"/>
          <w:sz w:val="24"/>
          <w:szCs w:val="24"/>
          <w:u w:val="none"/>
          <w:shd w:val="clear" w:color="auto" w:fill="auto"/>
          <w:vertAlign w:val="baseline"/>
        </w:rPr>
      </w:pPr>
      <w:r>
        <w:rPr/>
        <w:fldChar w:fldCharType="begin"/>
      </w:r>
      <w:r>
        <w:instrText xml:space="preserve"> HYPERLINK \l "_heading=h.a45yu5iqm795" </w:instrText>
      </w:r>
      <w:r>
        <w:rPr/>
        <w:fldChar w:fldCharType="separate"/>
      </w:r>
      <w:r>
        <w:rPr>
          <w:i w:val="false"/>
          <w:iCs w:val="false"/>
          <w:smallCaps w:val="false"/>
          <w:color w:val="000000"/>
          <w:sz w:val="24"/>
          <w:szCs w:val="24"/>
          <w:u w:val="none"/>
          <w:shd w:val="clear" w:color="auto" w:fill="auto"/>
          <w:vertAlign w:val="baseline"/>
        </w:rPr>
        <w:t>2.1 Application of the Ansoff Matrix</w:t>
      </w:r>
      <w:r>
        <w:rPr>
          <w:i w:val="false"/>
          <w:iCs w:val="false"/>
          <w:smallCaps w:val="false"/>
          <w:color w:val="000000"/>
          <w:sz w:val="24"/>
          <w:szCs w:val="24"/>
          <w:u w:val="none"/>
          <w:shd w:val="clear" w:color="auto" w:fill="auto"/>
          <w:vertAlign w:val="baseline"/>
        </w:rPr>
        <w:tab/>
      </w:r>
      <w:r>
        <w:rPr>
          <w:i w:val="false"/>
          <w:iCs w:val="false"/>
          <w:smallCaps w:val="false"/>
          <w:color w:val="000000"/>
          <w:sz w:val="24"/>
          <w:szCs w:val="24"/>
          <w:u w:val="none"/>
          <w:shd w:val="clear" w:color="auto" w:fill="auto"/>
          <w:vertAlign w:val="baseline"/>
        </w:rPr>
        <w:t>8</w:t>
      </w:r>
      <w:r>
        <w:rPr/>
        <w:fldChar w:fldCharType="end"/>
      </w:r>
    </w:p>
    <w:p w14:paraId="0000001F">
      <w:pPr>
        <w:pStyle w:val="style0"/>
        <w:widowControl w:val="false"/>
        <w:tabs>
          <w:tab w:val="right" w:leader="dot" w:pos="12000"/>
        </w:tabs>
        <w:spacing w:before="60" w:lineRule="auto" w:line="360"/>
        <w:ind w:left="720" w:firstLine="0"/>
        <w:rPr>
          <w:i w:val="false"/>
          <w:iCs w:val="false"/>
          <w:smallCaps w:val="false"/>
          <w:color w:val="000000"/>
          <w:sz w:val="24"/>
          <w:szCs w:val="24"/>
          <w:u w:val="none"/>
          <w:shd w:val="clear" w:color="auto" w:fill="auto"/>
          <w:vertAlign w:val="baseline"/>
        </w:rPr>
      </w:pPr>
      <w:r>
        <w:rPr/>
        <w:fldChar w:fldCharType="begin"/>
      </w:r>
      <w:r>
        <w:instrText xml:space="preserve"> HYPERLINK \l "_heading=h.t11gjsvrdvkb" </w:instrText>
      </w:r>
      <w:r>
        <w:rPr/>
        <w:fldChar w:fldCharType="separate"/>
      </w:r>
      <w:r>
        <w:rPr>
          <w:i w:val="false"/>
          <w:iCs w:val="false"/>
          <w:smallCaps w:val="false"/>
          <w:color w:val="000000"/>
          <w:sz w:val="24"/>
          <w:szCs w:val="24"/>
          <w:u w:val="none"/>
          <w:shd w:val="clear" w:color="auto" w:fill="auto"/>
          <w:vertAlign w:val="baseline"/>
        </w:rPr>
        <w:t>Market Penetration</w:t>
      </w:r>
      <w:r>
        <w:rPr>
          <w:i w:val="false"/>
          <w:iCs w:val="false"/>
          <w:smallCaps w:val="false"/>
          <w:color w:val="000000"/>
          <w:sz w:val="24"/>
          <w:szCs w:val="24"/>
          <w:u w:val="none"/>
          <w:shd w:val="clear" w:color="auto" w:fill="auto"/>
          <w:vertAlign w:val="baseline"/>
        </w:rPr>
        <w:tab/>
      </w:r>
      <w:r>
        <w:rPr>
          <w:i w:val="false"/>
          <w:iCs w:val="false"/>
          <w:smallCaps w:val="false"/>
          <w:color w:val="000000"/>
          <w:sz w:val="24"/>
          <w:szCs w:val="24"/>
          <w:u w:val="none"/>
          <w:shd w:val="clear" w:color="auto" w:fill="auto"/>
          <w:vertAlign w:val="baseline"/>
        </w:rPr>
        <w:t>8</w:t>
      </w:r>
      <w:r>
        <w:rPr/>
        <w:fldChar w:fldCharType="end"/>
      </w:r>
    </w:p>
    <w:p w14:paraId="00000020">
      <w:pPr>
        <w:pStyle w:val="style0"/>
        <w:widowControl w:val="false"/>
        <w:tabs>
          <w:tab w:val="right" w:leader="dot" w:pos="12000"/>
        </w:tabs>
        <w:spacing w:before="60" w:lineRule="auto" w:line="360"/>
        <w:ind w:left="720" w:firstLine="0"/>
        <w:rPr>
          <w:i w:val="false"/>
          <w:iCs w:val="false"/>
          <w:smallCaps w:val="false"/>
          <w:color w:val="000000"/>
          <w:sz w:val="24"/>
          <w:szCs w:val="24"/>
          <w:u w:val="none"/>
          <w:shd w:val="clear" w:color="auto" w:fill="auto"/>
          <w:vertAlign w:val="baseline"/>
        </w:rPr>
      </w:pPr>
      <w:r>
        <w:rPr/>
        <w:fldChar w:fldCharType="begin"/>
      </w:r>
      <w:r>
        <w:instrText xml:space="preserve"> HYPERLINK \l "_heading=h.e34a09k5cdt8" </w:instrText>
      </w:r>
      <w:r>
        <w:rPr/>
        <w:fldChar w:fldCharType="separate"/>
      </w:r>
      <w:r>
        <w:rPr>
          <w:i w:val="false"/>
          <w:iCs w:val="false"/>
          <w:smallCaps w:val="false"/>
          <w:color w:val="000000"/>
          <w:sz w:val="24"/>
          <w:szCs w:val="24"/>
          <w:u w:val="none"/>
          <w:shd w:val="clear" w:color="auto" w:fill="auto"/>
          <w:vertAlign w:val="baseline"/>
        </w:rPr>
        <w:t>Market Development</w:t>
      </w:r>
      <w:r>
        <w:rPr>
          <w:i w:val="false"/>
          <w:iCs w:val="false"/>
          <w:smallCaps w:val="false"/>
          <w:color w:val="000000"/>
          <w:sz w:val="24"/>
          <w:szCs w:val="24"/>
          <w:u w:val="none"/>
          <w:shd w:val="clear" w:color="auto" w:fill="auto"/>
          <w:vertAlign w:val="baseline"/>
        </w:rPr>
        <w:tab/>
      </w:r>
      <w:r>
        <w:rPr>
          <w:i w:val="false"/>
          <w:iCs w:val="false"/>
          <w:smallCaps w:val="false"/>
          <w:color w:val="000000"/>
          <w:sz w:val="24"/>
          <w:szCs w:val="24"/>
          <w:u w:val="none"/>
          <w:shd w:val="clear" w:color="auto" w:fill="auto"/>
          <w:vertAlign w:val="baseline"/>
        </w:rPr>
        <w:t>9</w:t>
      </w:r>
      <w:r>
        <w:rPr/>
        <w:fldChar w:fldCharType="end"/>
      </w:r>
    </w:p>
    <w:p w14:paraId="00000021">
      <w:pPr>
        <w:pStyle w:val="style0"/>
        <w:widowControl w:val="false"/>
        <w:tabs>
          <w:tab w:val="right" w:leader="dot" w:pos="12000"/>
        </w:tabs>
        <w:spacing w:before="60" w:lineRule="auto" w:line="360"/>
        <w:ind w:left="720" w:firstLine="0"/>
        <w:rPr>
          <w:i w:val="false"/>
          <w:iCs w:val="false"/>
          <w:smallCaps w:val="false"/>
          <w:color w:val="000000"/>
          <w:sz w:val="24"/>
          <w:szCs w:val="24"/>
          <w:u w:val="none"/>
          <w:shd w:val="clear" w:color="auto" w:fill="auto"/>
          <w:vertAlign w:val="baseline"/>
        </w:rPr>
      </w:pPr>
      <w:r>
        <w:rPr/>
        <w:fldChar w:fldCharType="begin"/>
      </w:r>
      <w:r>
        <w:instrText xml:space="preserve"> HYPERLINK \l "_heading=h.q3oe0veth6rk" </w:instrText>
      </w:r>
      <w:r>
        <w:rPr/>
        <w:fldChar w:fldCharType="separate"/>
      </w:r>
      <w:r>
        <w:rPr>
          <w:i w:val="false"/>
          <w:iCs w:val="false"/>
          <w:smallCaps w:val="false"/>
          <w:color w:val="000000"/>
          <w:sz w:val="24"/>
          <w:szCs w:val="24"/>
          <w:u w:val="none"/>
          <w:shd w:val="clear" w:color="auto" w:fill="auto"/>
          <w:vertAlign w:val="baseline"/>
        </w:rPr>
        <w:t>Product Development</w:t>
      </w:r>
      <w:r>
        <w:rPr>
          <w:i w:val="false"/>
          <w:iCs w:val="false"/>
          <w:smallCaps w:val="false"/>
          <w:color w:val="000000"/>
          <w:sz w:val="24"/>
          <w:szCs w:val="24"/>
          <w:u w:val="none"/>
          <w:shd w:val="clear" w:color="auto" w:fill="auto"/>
          <w:vertAlign w:val="baseline"/>
        </w:rPr>
        <w:tab/>
      </w:r>
      <w:r>
        <w:rPr>
          <w:i w:val="false"/>
          <w:iCs w:val="false"/>
          <w:smallCaps w:val="false"/>
          <w:color w:val="000000"/>
          <w:sz w:val="24"/>
          <w:szCs w:val="24"/>
          <w:u w:val="none"/>
          <w:shd w:val="clear" w:color="auto" w:fill="auto"/>
          <w:vertAlign w:val="baseline"/>
        </w:rPr>
        <w:t>10</w:t>
      </w:r>
      <w:r>
        <w:rPr/>
        <w:fldChar w:fldCharType="end"/>
      </w:r>
    </w:p>
    <w:p w14:paraId="00000022">
      <w:pPr>
        <w:pStyle w:val="style0"/>
        <w:widowControl w:val="false"/>
        <w:tabs>
          <w:tab w:val="right" w:leader="dot" w:pos="12000"/>
        </w:tabs>
        <w:spacing w:before="60" w:lineRule="auto" w:line="360"/>
        <w:ind w:left="720" w:firstLine="0"/>
        <w:rPr>
          <w:i w:val="false"/>
          <w:iCs w:val="false"/>
          <w:smallCaps w:val="false"/>
          <w:color w:val="000000"/>
          <w:sz w:val="24"/>
          <w:szCs w:val="24"/>
          <w:u w:val="none"/>
          <w:shd w:val="clear" w:color="auto" w:fill="auto"/>
          <w:vertAlign w:val="baseline"/>
        </w:rPr>
      </w:pPr>
      <w:r>
        <w:rPr/>
        <w:fldChar w:fldCharType="begin"/>
      </w:r>
      <w:r>
        <w:instrText xml:space="preserve"> HYPERLINK \l "_heading=h.wl1ai2pw8id" </w:instrText>
      </w:r>
      <w:r>
        <w:rPr/>
        <w:fldChar w:fldCharType="separate"/>
      </w:r>
      <w:r>
        <w:rPr>
          <w:i w:val="false"/>
          <w:iCs w:val="false"/>
          <w:smallCaps w:val="false"/>
          <w:color w:val="000000"/>
          <w:sz w:val="24"/>
          <w:szCs w:val="24"/>
          <w:u w:val="none"/>
          <w:shd w:val="clear" w:color="auto" w:fill="auto"/>
          <w:vertAlign w:val="baseline"/>
        </w:rPr>
        <w:t>Diversification</w:t>
      </w:r>
      <w:r>
        <w:rPr>
          <w:i w:val="false"/>
          <w:iCs w:val="false"/>
          <w:smallCaps w:val="false"/>
          <w:color w:val="000000"/>
          <w:sz w:val="24"/>
          <w:szCs w:val="24"/>
          <w:u w:val="none"/>
          <w:shd w:val="clear" w:color="auto" w:fill="auto"/>
          <w:vertAlign w:val="baseline"/>
        </w:rPr>
        <w:tab/>
      </w:r>
      <w:r>
        <w:rPr>
          <w:i w:val="false"/>
          <w:iCs w:val="false"/>
          <w:smallCaps w:val="false"/>
          <w:color w:val="000000"/>
          <w:sz w:val="24"/>
          <w:szCs w:val="24"/>
          <w:u w:val="none"/>
          <w:shd w:val="clear" w:color="auto" w:fill="auto"/>
          <w:vertAlign w:val="baseline"/>
        </w:rPr>
        <w:t>10</w:t>
      </w:r>
      <w:r>
        <w:rPr/>
        <w:fldChar w:fldCharType="end"/>
      </w:r>
    </w:p>
    <w:p w14:paraId="00000023">
      <w:pPr>
        <w:pStyle w:val="style0"/>
        <w:widowControl w:val="false"/>
        <w:tabs>
          <w:tab w:val="right" w:leader="dot" w:pos="12000"/>
        </w:tabs>
        <w:spacing w:before="60" w:lineRule="auto" w:line="360"/>
        <w:ind w:left="360" w:firstLine="0"/>
        <w:rPr>
          <w:i w:val="false"/>
          <w:iCs w:val="false"/>
          <w:smallCaps w:val="false"/>
          <w:color w:val="000000"/>
          <w:sz w:val="24"/>
          <w:szCs w:val="24"/>
          <w:u w:val="none"/>
          <w:shd w:val="clear" w:color="auto" w:fill="auto"/>
          <w:vertAlign w:val="baseline"/>
        </w:rPr>
      </w:pPr>
      <w:r>
        <w:rPr/>
        <w:fldChar w:fldCharType="begin"/>
      </w:r>
      <w:r>
        <w:instrText xml:space="preserve"> HYPERLINK \l "_heading=h.ovw3tdmyayet" </w:instrText>
      </w:r>
      <w:r>
        <w:rPr/>
        <w:fldChar w:fldCharType="separate"/>
      </w:r>
      <w:r>
        <w:rPr>
          <w:i w:val="false"/>
          <w:iCs w:val="false"/>
          <w:smallCaps w:val="false"/>
          <w:color w:val="000000"/>
          <w:sz w:val="24"/>
          <w:szCs w:val="24"/>
          <w:u w:val="none"/>
          <w:shd w:val="clear" w:color="auto" w:fill="auto"/>
          <w:vertAlign w:val="baseline"/>
        </w:rPr>
        <w:t>2.2 Recommended Growth Strategy: Product Development</w:t>
      </w:r>
      <w:r>
        <w:rPr>
          <w:i w:val="false"/>
          <w:iCs w:val="false"/>
          <w:smallCaps w:val="false"/>
          <w:color w:val="000000"/>
          <w:sz w:val="24"/>
          <w:szCs w:val="24"/>
          <w:u w:val="none"/>
          <w:shd w:val="clear" w:color="auto" w:fill="auto"/>
          <w:vertAlign w:val="baseline"/>
        </w:rPr>
        <w:tab/>
      </w:r>
      <w:r>
        <w:rPr>
          <w:i w:val="false"/>
          <w:iCs w:val="false"/>
          <w:smallCaps w:val="false"/>
          <w:color w:val="000000"/>
          <w:sz w:val="24"/>
          <w:szCs w:val="24"/>
          <w:u w:val="none"/>
          <w:shd w:val="clear" w:color="auto" w:fill="auto"/>
          <w:vertAlign w:val="baseline"/>
        </w:rPr>
        <w:t>10</w:t>
      </w:r>
      <w:r>
        <w:rPr/>
        <w:fldChar w:fldCharType="end"/>
      </w:r>
    </w:p>
    <w:p w14:paraId="00000024">
      <w:pPr>
        <w:pStyle w:val="style0"/>
        <w:widowControl w:val="false"/>
        <w:tabs>
          <w:tab w:val="right" w:leader="dot" w:pos="12000"/>
        </w:tabs>
        <w:spacing w:before="60" w:lineRule="auto" w:line="360"/>
        <w:ind w:left="360" w:firstLine="0"/>
        <w:rPr>
          <w:i w:val="false"/>
          <w:iCs w:val="false"/>
          <w:smallCaps w:val="false"/>
          <w:color w:val="000000"/>
          <w:sz w:val="24"/>
          <w:szCs w:val="24"/>
          <w:u w:val="none"/>
          <w:shd w:val="clear" w:color="auto" w:fill="auto"/>
          <w:vertAlign w:val="baseline"/>
        </w:rPr>
      </w:pPr>
      <w:r>
        <w:rPr/>
        <w:fldChar w:fldCharType="begin"/>
      </w:r>
      <w:r>
        <w:instrText xml:space="preserve"> HYPERLINK \l "_heading=h.l865s76ti7ou" </w:instrText>
      </w:r>
      <w:r>
        <w:rPr/>
        <w:fldChar w:fldCharType="separate"/>
      </w:r>
      <w:r>
        <w:rPr>
          <w:i w:val="false"/>
          <w:iCs w:val="false"/>
          <w:smallCaps w:val="false"/>
          <w:color w:val="000000"/>
          <w:sz w:val="24"/>
          <w:szCs w:val="24"/>
          <w:u w:val="none"/>
          <w:shd w:val="clear" w:color="auto" w:fill="auto"/>
          <w:vertAlign w:val="baseline"/>
        </w:rPr>
        <w:t>2.3 Competitive Positioning</w:t>
      </w:r>
      <w:r>
        <w:rPr>
          <w:i w:val="false"/>
          <w:iCs w:val="false"/>
          <w:smallCaps w:val="false"/>
          <w:color w:val="000000"/>
          <w:sz w:val="24"/>
          <w:szCs w:val="24"/>
          <w:u w:val="none"/>
          <w:shd w:val="clear" w:color="auto" w:fill="auto"/>
          <w:vertAlign w:val="baseline"/>
        </w:rPr>
        <w:tab/>
      </w:r>
      <w:r>
        <w:rPr>
          <w:i w:val="false"/>
          <w:iCs w:val="false"/>
          <w:smallCaps w:val="false"/>
          <w:color w:val="000000"/>
          <w:sz w:val="24"/>
          <w:szCs w:val="24"/>
          <w:u w:val="none"/>
          <w:shd w:val="clear" w:color="auto" w:fill="auto"/>
          <w:vertAlign w:val="baseline"/>
        </w:rPr>
        <w:t>11</w:t>
      </w:r>
      <w:r>
        <w:rPr/>
        <w:fldChar w:fldCharType="end"/>
      </w:r>
    </w:p>
    <w:p w14:paraId="00000025">
      <w:pPr>
        <w:pStyle w:val="style0"/>
        <w:widowControl w:val="false"/>
        <w:tabs>
          <w:tab w:val="right" w:leader="dot" w:pos="12000"/>
        </w:tabs>
        <w:spacing w:before="60" w:lineRule="auto" w:line="360"/>
        <w:rPr>
          <w:i w:val="false"/>
          <w:iCs w:val="false"/>
          <w:smallCaps w:val="false"/>
          <w:color w:val="000000"/>
          <w:sz w:val="24"/>
          <w:szCs w:val="24"/>
          <w:u w:val="none"/>
          <w:shd w:val="clear" w:color="auto" w:fill="auto"/>
          <w:vertAlign w:val="baseline"/>
        </w:rPr>
      </w:pPr>
      <w:r>
        <w:rPr/>
        <w:fldChar w:fldCharType="begin"/>
      </w:r>
      <w:r>
        <w:instrText xml:space="preserve"> HYPERLINK \l "_heading=h.k9wtb873bxl0" </w:instrText>
      </w:r>
      <w:r>
        <w:rPr/>
        <w:fldChar w:fldCharType="separate"/>
      </w:r>
      <w:r>
        <w:rPr>
          <w:i w:val="false"/>
          <w:iCs w:val="false"/>
          <w:smallCaps w:val="false"/>
          <w:color w:val="000000"/>
          <w:sz w:val="24"/>
          <w:szCs w:val="24"/>
          <w:u w:val="none"/>
          <w:shd w:val="clear" w:color="auto" w:fill="auto"/>
          <w:vertAlign w:val="baseline"/>
        </w:rPr>
        <w:t>Task 3: Managerial and Professional Reflection</w:t>
      </w:r>
      <w:r>
        <w:rPr>
          <w:i w:val="false"/>
          <w:iCs w:val="false"/>
          <w:smallCaps w:val="false"/>
          <w:color w:val="000000"/>
          <w:sz w:val="24"/>
          <w:szCs w:val="24"/>
          <w:u w:val="none"/>
          <w:shd w:val="clear" w:color="auto" w:fill="auto"/>
          <w:vertAlign w:val="baseline"/>
        </w:rPr>
        <w:tab/>
      </w:r>
      <w:r>
        <w:rPr>
          <w:i w:val="false"/>
          <w:iCs w:val="false"/>
          <w:smallCaps w:val="false"/>
          <w:color w:val="000000"/>
          <w:sz w:val="24"/>
          <w:szCs w:val="24"/>
          <w:u w:val="none"/>
          <w:shd w:val="clear" w:color="auto" w:fill="auto"/>
          <w:vertAlign w:val="baseline"/>
        </w:rPr>
        <w:t>12</w:t>
      </w:r>
      <w:r>
        <w:rPr/>
        <w:fldChar w:fldCharType="end"/>
      </w:r>
    </w:p>
    <w:p w14:paraId="00000026">
      <w:pPr>
        <w:pStyle w:val="style0"/>
        <w:widowControl w:val="false"/>
        <w:tabs>
          <w:tab w:val="right" w:leader="dot" w:pos="12000"/>
        </w:tabs>
        <w:spacing w:before="60" w:lineRule="auto" w:line="360"/>
        <w:rPr>
          <w:i w:val="false"/>
          <w:iCs w:val="false"/>
          <w:smallCaps w:val="false"/>
          <w:color w:val="000000"/>
          <w:sz w:val="24"/>
          <w:szCs w:val="24"/>
          <w:u w:val="none"/>
          <w:shd w:val="clear" w:color="auto" w:fill="auto"/>
          <w:vertAlign w:val="baseline"/>
        </w:rPr>
      </w:pPr>
      <w:r>
        <w:rPr/>
        <w:fldChar w:fldCharType="begin"/>
      </w:r>
      <w:r>
        <w:instrText xml:space="preserve"> HYPERLINK \l "_heading=h.1nqyapqa98j2" </w:instrText>
      </w:r>
      <w:r>
        <w:rPr/>
        <w:fldChar w:fldCharType="separate"/>
      </w:r>
      <w:r>
        <w:rPr>
          <w:i w:val="false"/>
          <w:iCs w:val="false"/>
          <w:smallCaps w:val="false"/>
          <w:color w:val="000000"/>
          <w:sz w:val="24"/>
          <w:szCs w:val="24"/>
          <w:u w:val="none"/>
          <w:shd w:val="clear" w:color="auto" w:fill="auto"/>
          <w:vertAlign w:val="baseline"/>
        </w:rPr>
        <w:t>Conclusion</w:t>
      </w:r>
      <w:r>
        <w:rPr>
          <w:i w:val="false"/>
          <w:iCs w:val="false"/>
          <w:smallCaps w:val="false"/>
          <w:color w:val="000000"/>
          <w:sz w:val="24"/>
          <w:szCs w:val="24"/>
          <w:u w:val="none"/>
          <w:shd w:val="clear" w:color="auto" w:fill="auto"/>
          <w:vertAlign w:val="baseline"/>
        </w:rPr>
        <w:tab/>
      </w:r>
      <w:r>
        <w:rPr>
          <w:i w:val="false"/>
          <w:iCs w:val="false"/>
          <w:smallCaps w:val="false"/>
          <w:color w:val="000000"/>
          <w:sz w:val="24"/>
          <w:szCs w:val="24"/>
          <w:u w:val="none"/>
          <w:shd w:val="clear" w:color="auto" w:fill="auto"/>
          <w:vertAlign w:val="baseline"/>
        </w:rPr>
        <w:t>14</w:t>
      </w:r>
      <w:r>
        <w:rPr/>
        <w:fldChar w:fldCharType="end"/>
      </w:r>
    </w:p>
    <w:p w14:paraId="00000027">
      <w:pPr>
        <w:pStyle w:val="style0"/>
        <w:widowControl w:val="false"/>
        <w:tabs>
          <w:tab w:val="right" w:leader="dot" w:pos="12000"/>
        </w:tabs>
        <w:spacing w:before="60" w:lineRule="auto" w:line="360"/>
        <w:rPr>
          <w:i w:val="false"/>
          <w:iCs w:val="false"/>
          <w:smallCaps w:val="false"/>
          <w:color w:val="000000"/>
          <w:sz w:val="24"/>
          <w:szCs w:val="24"/>
          <w:u w:val="none"/>
          <w:shd w:val="clear" w:color="auto" w:fill="auto"/>
          <w:vertAlign w:val="baseline"/>
        </w:rPr>
      </w:pPr>
      <w:r>
        <w:rPr/>
        <w:fldChar w:fldCharType="begin"/>
      </w:r>
      <w:r>
        <w:instrText xml:space="preserve"> HYPERLINK \l "_heading=h.7a79dl99fxgb" </w:instrText>
      </w:r>
      <w:r>
        <w:rPr/>
        <w:fldChar w:fldCharType="separate"/>
      </w:r>
      <w:r>
        <w:rPr>
          <w:i w:val="false"/>
          <w:iCs w:val="false"/>
          <w:smallCaps w:val="false"/>
          <w:color w:val="000000"/>
          <w:sz w:val="24"/>
          <w:szCs w:val="24"/>
          <w:u w:val="none"/>
          <w:shd w:val="clear" w:color="auto" w:fill="auto"/>
          <w:vertAlign w:val="baseline"/>
        </w:rPr>
        <w:t>References</w:t>
      </w:r>
      <w:r>
        <w:rPr>
          <w:i w:val="false"/>
          <w:iCs w:val="false"/>
          <w:smallCaps w:val="false"/>
          <w:color w:val="000000"/>
          <w:sz w:val="24"/>
          <w:szCs w:val="24"/>
          <w:u w:val="none"/>
          <w:shd w:val="clear" w:color="auto" w:fill="auto"/>
          <w:vertAlign w:val="baseline"/>
        </w:rPr>
        <w:tab/>
      </w:r>
      <w:r>
        <w:rPr>
          <w:i w:val="false"/>
          <w:iCs w:val="false"/>
          <w:smallCaps w:val="false"/>
          <w:color w:val="000000"/>
          <w:sz w:val="24"/>
          <w:szCs w:val="24"/>
          <w:u w:val="none"/>
          <w:shd w:val="clear" w:color="auto" w:fill="auto"/>
          <w:vertAlign w:val="baseline"/>
        </w:rPr>
        <w:t>14</w:t>
      </w:r>
      <w:r>
        <w:rPr/>
        <w:fldChar w:fldCharType="end"/>
      </w:r>
      <w:r>
        <w:rPr/>
        <w:fldChar w:fldCharType="end"/>
      </w:r>
    </w:p>
    <w:p w14:paraId="00000028">
      <w:pPr>
        <w:pStyle w:val="style0"/>
        <w:spacing w:lineRule="auto" w:line="360"/>
        <w:jc w:val="both"/>
        <w:rPr>
          <w:sz w:val="24"/>
          <w:szCs w:val="24"/>
        </w:rPr>
      </w:pPr>
      <w:r>
        <w:br w:type="page"/>
      </w:r>
    </w:p>
    <w:bookmarkStart w:id="0" w:name="_heading=h.fdr85sdcdwni" w:colFirst="0" w:colLast="0"/>
    <w:bookmarkEnd w:id="0"/>
    <w:p w14:paraId="00000029">
      <w:pPr>
        <w:pStyle w:val="style1"/>
        <w:rPr>
          <w:rFonts w:ascii="Arial" w:cs="Arial" w:eastAsia="Arial" w:hAnsi="Arial"/>
          <w:sz w:val="24"/>
          <w:szCs w:val="24"/>
        </w:rPr>
      </w:pPr>
      <w:r>
        <w:rPr>
          <w:rFonts w:ascii="Arial" w:cs="Arial" w:eastAsia="Arial" w:hAnsi="Arial"/>
          <w:sz w:val="24"/>
          <w:szCs w:val="24"/>
        </w:rPr>
        <w:t xml:space="preserve">Introduction </w:t>
      </w:r>
    </w:p>
    <w:p w14:paraId="0000002A">
      <w:pPr>
        <w:pStyle w:val="style0"/>
        <w:spacing w:lineRule="auto" w:line="360"/>
        <w:jc w:val="both"/>
        <w:rPr>
          <w:sz w:val="24"/>
          <w:szCs w:val="24"/>
        </w:rPr>
      </w:pPr>
      <w:r>
        <w:rPr>
          <w:sz w:val="24"/>
          <w:szCs w:val="24"/>
        </w:rPr>
        <w:t xml:space="preserve">BHP is a global mining and metals company that supplies resources needed for growth and the energy transition. BHP faces pressure to reduce emissions and develop lower-carbon products and business models due to climate change and decarbonisation (GMK Center, 2026). However, for responsible production, this change is shaped by government regulations and expectations from customers, investors, communities, and stakeholders. </w:t>
      </w:r>
      <w:r>
        <w:rPr>
          <w:color w:val="ff0000"/>
          <w:sz w:val="24"/>
          <w:szCs w:val="24"/>
        </w:rPr>
        <w:t xml:space="preserve">Therefore, BHP needs to balance environmental responsibility with growth and competitiveness. This report explores three macro-environment (PESTLE) actors which includes environmental factors; political and legal factors; and social factors. </w:t>
      </w:r>
      <w:r>
        <w:rPr>
          <w:sz w:val="24"/>
          <w:szCs w:val="24"/>
        </w:rPr>
        <w:t xml:space="preserve">In order to recommend a growth strategy and competitive-positioning approach for BHP, it applies the Ansoff Matrix. </w:t>
      </w:r>
    </w:p>
    <w:bookmarkStart w:id="1" w:name="_heading=h.bs7vxx2z3g84" w:colFirst="0" w:colLast="0"/>
    <w:bookmarkEnd w:id="1"/>
    <w:p w14:paraId="0000002B">
      <w:pPr>
        <w:pStyle w:val="style1"/>
        <w:keepLines w:val="false"/>
        <w:rPr>
          <w:rFonts w:ascii="Arial" w:cs="Arial" w:eastAsia="Arial" w:hAnsi="Arial"/>
          <w:sz w:val="24"/>
          <w:szCs w:val="24"/>
        </w:rPr>
      </w:pPr>
      <w:r>
        <w:rPr>
          <w:rFonts w:ascii="Arial" w:cs="Arial" w:eastAsia="Arial" w:hAnsi="Arial"/>
          <w:sz w:val="24"/>
          <w:szCs w:val="24"/>
        </w:rPr>
        <w:t>Marketing Environment Analysis</w:t>
      </w:r>
    </w:p>
    <w:bookmarkStart w:id="2" w:name="_heading=h.fhqgy4tjqdug" w:colFirst="0" w:colLast="0"/>
    <w:bookmarkEnd w:id="2"/>
    <w:p w14:paraId="0000002C">
      <w:pPr>
        <w:pStyle w:val="style2"/>
        <w:spacing w:before="0" w:after="0" w:lineRule="auto" w:line="360"/>
        <w:jc w:val="both"/>
        <w:rPr>
          <w:b/>
          <w:bCs/>
          <w:sz w:val="24"/>
          <w:szCs w:val="24"/>
        </w:rPr>
      </w:pPr>
      <w:r>
        <w:rPr>
          <w:b/>
          <w:bCs/>
          <w:sz w:val="24"/>
          <w:szCs w:val="24"/>
        </w:rPr>
        <w:t>Actor 1: Environmental Factors</w:t>
      </w:r>
    </w:p>
    <w:p w14:paraId="0000002D">
      <w:pPr>
        <w:pStyle w:val="style0"/>
        <w:spacing w:lineRule="auto" w:line="360"/>
        <w:jc w:val="both"/>
        <w:rPr>
          <w:sz w:val="24"/>
          <w:szCs w:val="24"/>
        </w:rPr>
      </w:pPr>
      <w:r>
        <w:rPr>
          <w:sz w:val="24"/>
          <w:szCs w:val="24"/>
        </w:rPr>
        <w:t>Climate change is one of the major external environmental forces for BHP as mining is affected by the physical risks of climate and the increasing expectations to reduce emissions. According to IPCC (2023), the global surface temperature reached approximately 1.1°C above the 1850–1900 level during 2011–2020, and the human-caused climate change is already affecting weather extremes, water security and economies. This gives rise to direct operational risks for the mining companies through extreme rainfall, flooding, heat and water scarcity. A 2024 review of the mining industry risks identifies that climate-related disasters including floods, heatwaves and wildfires are increasingly important sources of disruption to the mineral supply chains (Radebe and Chipangamate, 2024).</w:t>
      </w:r>
    </w:p>
    <w:p w14:paraId="0000002E">
      <w:pPr>
        <w:pStyle w:val="style0"/>
        <w:spacing w:lineRule="auto" w:line="360"/>
        <w:jc w:val="center"/>
        <w:rPr>
          <w:b/>
          <w:bCs/>
          <w:sz w:val="24"/>
          <w:szCs w:val="24"/>
        </w:rPr>
      </w:pPr>
      <w:r>
        <w:rPr>
          <w:b/>
          <w:bCs/>
          <w:sz w:val="24"/>
          <w:szCs w:val="24"/>
        </w:rPr>
        <w:drawing>
          <wp:inline distL="0" distT="0" distB="0" distR="0">
            <wp:extent cx="3648346" cy="3572140"/>
            <wp:effectExtent l="0" t="0" r="0" b="0"/>
            <wp:docPr id="1027"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3" cstate="print"/>
                    <a:srcRect l="0" t="0" r="0" b="0"/>
                    <a:stretch/>
                  </pic:blipFill>
                  <pic:spPr>
                    <a:xfrm rot="0">
                      <a:off x="0" y="0"/>
                      <a:ext cx="3648346" cy="3572140"/>
                    </a:xfrm>
                    <a:prstGeom prst="rect"/>
                    <a:ln cmpd="sng" cap="flat" w="9525">
                      <a:solidFill>
                        <a:srgbClr val="000000"/>
                      </a:solidFill>
                      <a:prstDash val="solid"/>
                      <a:round/>
                      <a:headEnd/>
                      <a:tailEnd/>
                    </a:ln>
                  </pic:spPr>
                </pic:pic>
              </a:graphicData>
            </a:graphic>
          </wp:inline>
        </w:drawing>
      </w:r>
    </w:p>
    <w:p w14:paraId="0000002F">
      <w:pPr>
        <w:pStyle w:val="style0"/>
        <w:spacing w:lineRule="auto" w:line="360"/>
        <w:jc w:val="center"/>
        <w:rPr>
          <w:b/>
          <w:bCs/>
          <w:sz w:val="24"/>
          <w:szCs w:val="24"/>
        </w:rPr>
      </w:pPr>
      <w:r>
        <w:rPr>
          <w:b/>
          <w:bCs/>
          <w:sz w:val="24"/>
          <w:szCs w:val="24"/>
        </w:rPr>
        <w:t>Figure 1: Global Emissions Pressure and BHP's Emissions Reduction</w:t>
      </w:r>
    </w:p>
    <w:p w14:paraId="00000030">
      <w:pPr>
        <w:pStyle w:val="style0"/>
        <w:spacing w:lineRule="auto" w:line="360"/>
        <w:jc w:val="center"/>
        <w:rPr>
          <w:sz w:val="24"/>
          <w:szCs w:val="24"/>
        </w:rPr>
      </w:pPr>
      <w:r>
        <w:rPr>
          <w:sz w:val="24"/>
          <w:szCs w:val="24"/>
        </w:rPr>
        <w:t>(Source: UNEP, 2024; BHP, 2026)</w:t>
      </w:r>
    </w:p>
    <w:p w14:paraId="00000031">
      <w:pPr>
        <w:pStyle w:val="style0"/>
        <w:spacing w:lineRule="auto" w:line="360"/>
        <w:jc w:val="both"/>
        <w:rPr>
          <w:sz w:val="24"/>
          <w:szCs w:val="24"/>
        </w:rPr>
      </w:pPr>
      <w:r>
        <w:rPr>
          <w:sz w:val="24"/>
          <w:szCs w:val="24"/>
        </w:rPr>
        <w:t>The urgency of decarbonisation is reinforced by the finding of UNEP that global greenhouse-gas emissions reached 57.1 GtCO₂e in 2023, which is an increase of 1.3% from 2022, and under the current policies the global warming could reach 3.1°C during the century (UNEP, 2024). Thus for BHP, this strengthens the pressure to reduce operational emissions and demonstrate credible environmental performance. It has been reported by BHP that its operational Scope 1 and 2 emissions were 33% lower than its FY2020 baseline by FY2026, this indicates a substantial progress but also highlights the continuing need of further decarbonisation (BHP, 2026).</w:t>
      </w:r>
    </w:p>
    <w:p w14:paraId="00000032">
      <w:pPr>
        <w:pStyle w:val="style0"/>
        <w:spacing w:lineRule="auto" w:line="360"/>
        <w:jc w:val="center"/>
        <w:rPr>
          <w:sz w:val="24"/>
          <w:szCs w:val="24"/>
        </w:rPr>
      </w:pPr>
      <w:r>
        <w:rPr>
          <w:sz w:val="24"/>
          <w:szCs w:val="24"/>
        </w:rPr>
        <w:drawing>
          <wp:inline distL="0" distT="0" distB="0" distR="0">
            <wp:extent cx="5248275" cy="3095625"/>
            <wp:effectExtent l="0" t="0" r="0" b="0"/>
            <wp:docPr id="1028"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4" cstate="print"/>
                    <a:srcRect l="0" t="25963" r="0" b="11538"/>
                    <a:stretch/>
                  </pic:blipFill>
                  <pic:spPr>
                    <a:xfrm rot="0">
                      <a:off x="0" y="0"/>
                      <a:ext cx="5248275" cy="3095625"/>
                    </a:xfrm>
                    <a:prstGeom prst="rect"/>
                    <a:ln cmpd="sng" cap="flat" w="9525">
                      <a:solidFill>
                        <a:srgbClr val="000000"/>
                      </a:solidFill>
                      <a:prstDash val="solid"/>
                      <a:round/>
                      <a:headEnd/>
                      <a:tailEnd/>
                    </a:ln>
                  </pic:spPr>
                </pic:pic>
              </a:graphicData>
            </a:graphic>
          </wp:inline>
        </w:drawing>
      </w:r>
    </w:p>
    <w:p w14:paraId="00000033">
      <w:pPr>
        <w:pStyle w:val="style0"/>
        <w:spacing w:lineRule="auto" w:line="360"/>
        <w:jc w:val="center"/>
        <w:rPr>
          <w:b/>
          <w:bCs/>
          <w:sz w:val="24"/>
          <w:szCs w:val="24"/>
        </w:rPr>
      </w:pPr>
      <w:r>
        <w:rPr>
          <w:b/>
          <w:bCs/>
          <w:sz w:val="24"/>
          <w:szCs w:val="24"/>
        </w:rPr>
        <w:t xml:space="preserve">Figure 2: Projected Clean-Technology Copper Demand </w:t>
      </w:r>
    </w:p>
    <w:p w14:paraId="00000034">
      <w:pPr>
        <w:pStyle w:val="style0"/>
        <w:spacing w:lineRule="auto" w:line="360"/>
        <w:jc w:val="center"/>
        <w:rPr>
          <w:sz w:val="24"/>
          <w:szCs w:val="24"/>
        </w:rPr>
      </w:pPr>
      <w:r>
        <w:rPr>
          <w:sz w:val="24"/>
          <w:szCs w:val="24"/>
        </w:rPr>
        <w:t>(Source: IEA, 2024)</w:t>
      </w:r>
    </w:p>
    <w:p w14:paraId="00000035">
      <w:pPr>
        <w:pStyle w:val="style0"/>
        <w:spacing w:lineRule="auto" w:line="360"/>
        <w:jc w:val="both"/>
        <w:rPr>
          <w:sz w:val="24"/>
          <w:szCs w:val="24"/>
        </w:rPr>
      </w:pPr>
      <w:r>
        <w:rPr>
          <w:sz w:val="24"/>
          <w:szCs w:val="24"/>
        </w:rPr>
        <w:t>However, environmental pressure creates a strategic opportunity as well as a threat. The energy transition requires substantially greater mineral production, particularly copper. As per IEA (2024), the clean-technology copper demand is projected to increase from 6.31 million tonnes in 2023 to 12.00 million tonnes by 2030 under its Announced Pledges Scenario, while 52% of copper mines are located in high-water-stress areas. Consequently, BHP can differentiate its copper by demonstrating lower emissions, responsible water management and credible environmental attributes. This is important because decarbonising mining itself can generate additional environmental and social impacts, Negrete</w:t>
      </w:r>
      <w:r>
        <w:rPr>
          <w:i/>
          <w:iCs/>
          <w:sz w:val="24"/>
          <w:szCs w:val="24"/>
        </w:rPr>
        <w:t xml:space="preserve"> et al. </w:t>
      </w:r>
      <w:r>
        <w:rPr>
          <w:sz w:val="24"/>
          <w:szCs w:val="24"/>
        </w:rPr>
        <w:t>(2024) identify 56 decarbonisation actions across energy-intensive industries but only 26 that could be directly linked to copper and lithium mining.</w:t>
      </w:r>
    </w:p>
    <w:bookmarkStart w:id="3" w:name="_heading=h.1xorukuc8uli" w:colFirst="0" w:colLast="0"/>
    <w:bookmarkEnd w:id="3"/>
    <w:p w14:paraId="00000036">
      <w:pPr>
        <w:pStyle w:val="style2"/>
        <w:spacing w:before="0" w:after="0" w:lineRule="auto" w:line="360"/>
        <w:jc w:val="both"/>
        <w:rPr>
          <w:b/>
          <w:bCs/>
          <w:sz w:val="24"/>
          <w:szCs w:val="24"/>
        </w:rPr>
      </w:pPr>
      <w:r>
        <w:rPr>
          <w:b/>
          <w:bCs/>
          <w:sz w:val="24"/>
          <w:szCs w:val="24"/>
        </w:rPr>
        <w:t>Actor 2: Political and Legal factors</w:t>
      </w:r>
    </w:p>
    <w:p w14:paraId="00000037">
      <w:pPr>
        <w:pStyle w:val="style0"/>
        <w:spacing w:lineRule="auto" w:line="360"/>
        <w:jc w:val="both"/>
        <w:rPr>
          <w:sz w:val="24"/>
          <w:szCs w:val="24"/>
        </w:rPr>
      </w:pPr>
      <w:r>
        <w:rPr>
          <w:color w:val="ff0000"/>
          <w:sz w:val="24"/>
          <w:szCs w:val="24"/>
        </w:rPr>
        <w:t>BHP’s mining operations, costs, and competitive position are strongly affected by political and legal factors.</w:t>
      </w:r>
      <w:r>
        <w:rPr>
          <w:sz w:val="24"/>
          <w:szCs w:val="24"/>
        </w:rPr>
        <w:t xml:space="preserve"> In Australia, mining projects need to follow environmental laws and obtain approvals before development. However, the EPBC Act protects important ecosystems, species, and heritage areas, and the new national Environmental Protection Agency increases independent environmental oversight (DCCEEW, 2026). These requirements can increase project costs and approval time. Hence, clearer environmental assessment helps to reduce uncertainty and support better long-term investment decisions. </w:t>
      </w:r>
    </w:p>
    <w:p w14:paraId="00000038">
      <w:pPr>
        <w:pStyle w:val="style0"/>
        <w:spacing w:lineRule="auto" w:line="360"/>
        <w:jc w:val="both"/>
        <w:rPr>
          <w:sz w:val="24"/>
          <w:szCs w:val="24"/>
        </w:rPr>
      </w:pPr>
      <w:r>
        <w:rPr>
          <w:sz w:val="24"/>
          <w:szCs w:val="24"/>
        </w:rPr>
        <w:t xml:space="preserve">However, carbon policies create further pressure, as Australia’s Safeguard Mechanism places emissions limits on huge industrial facilities like mining and requires baselines to decline over time (DCCEEW, 2026). It increases the need for BHP to reduce operational emissions and invest in cleaner technologies for BHP. Although compliance can raise costs and affect margins, stronger emissions performance can also improve BHP’s reputation and appeal to customers seeking lower-carbon supply. Hence, regulation creates both a cost and a possible competitive advantage. Moreover, BHP’s business and marketing both get influenced by the climate disclosure requirements, as Australian climate reporting rules require relevant companies to give information about climate-related risks, opportunities, and financial effects. The company follows the Australian Sustainability Reporting Standards, which helps to improve transparency for investors and other stakeholders, yet it means BHP needs to support environmental claims with reliable data (BHP, 2023). Therefore, marketing based on unclear or unsupported claims could create reputational risks. </w:t>
      </w:r>
    </w:p>
    <w:p w14:paraId="00000039">
      <w:pPr>
        <w:pStyle w:val="style0"/>
        <w:spacing w:lineRule="auto" w:line="360"/>
        <w:jc w:val="both"/>
        <w:rPr>
          <w:b/>
          <w:bCs/>
          <w:sz w:val="24"/>
          <w:szCs w:val="24"/>
        </w:rPr>
      </w:pPr>
      <w:r>
        <w:rPr>
          <w:sz w:val="24"/>
          <w:szCs w:val="24"/>
        </w:rPr>
        <w:t>Another layer of pressure comes from international climate policy, as BHP operates across global markets. However, the Paris Agreement has encouraged countries to strengthen emissions policies, increasing expectations for lower-carbon production (UNFCCC, 2026).  It can increase demand for responsibly produced minerals, especially copper, which is important for clean energy technologies. However, unequal costs and competitive challenges can be created between countries due to different regulations. Moreover, government support can partly reduce these pressures, as Australian programmes that support industrial decarbonisation and critical minerals can encourage investment and improve the business case for lower-carbon projects (DCCEEW, 2026).</w:t>
      </w:r>
    </w:p>
    <w:bookmarkStart w:id="4" w:name="_heading=h.xcgmotpx80o5" w:colFirst="0" w:colLast="0"/>
    <w:bookmarkEnd w:id="4"/>
    <w:p w14:paraId="0000003A">
      <w:pPr>
        <w:pStyle w:val="style2"/>
        <w:spacing w:before="0" w:after="0" w:lineRule="auto" w:line="360"/>
        <w:jc w:val="both"/>
        <w:rPr>
          <w:b/>
          <w:bCs/>
          <w:sz w:val="24"/>
          <w:szCs w:val="24"/>
        </w:rPr>
      </w:pPr>
      <w:r>
        <w:rPr>
          <w:b/>
          <w:bCs/>
          <w:color w:val="ff0000"/>
          <w:sz w:val="24"/>
          <w:szCs w:val="24"/>
        </w:rPr>
        <w:t>Actor 3: Social Factors</w:t>
      </w:r>
    </w:p>
    <w:p w14:paraId="0000003B">
      <w:pPr>
        <w:pStyle w:val="style0"/>
        <w:spacing w:lineRule="auto" w:line="360"/>
        <w:jc w:val="both"/>
        <w:rPr>
          <w:sz w:val="24"/>
          <w:szCs w:val="24"/>
        </w:rPr>
      </w:pPr>
      <w:r>
        <w:rPr>
          <w:color w:val="ff0000"/>
          <w:sz w:val="24"/>
          <w:szCs w:val="24"/>
        </w:rPr>
        <w:t>Social factors are becoming an increasingly important external force for BHP because the expectations of society, communities and stakeholders are beginning to influence how responsibly produced minerals are valued, and it can be noted that these expectations are also carried into procurement decisions alongside traditional factors such as price, quality and security of supply.</w:t>
      </w:r>
      <w:r>
        <w:rPr>
          <w:sz w:val="24"/>
          <w:szCs w:val="24"/>
        </w:rPr>
        <w:t xml:space="preserve"> This is significant for copper and iron-ore businesses of BHP, whose products enter the global value chains such as electric vehicles, renewable energy, infrastructure, digital technologies and steelmaking. IEA data indicate that clean-technology copper demand is projected to almost double from 6.31 million tonnes in 2023 to 12.00 million tonnes by 2030 under the Announced Pledges Scenario (IEA, 2024). This indicates a substantial expansion of potential downstream markets associated with electrification.</w:t>
      </w:r>
    </w:p>
    <w:p w14:paraId="0000003C">
      <w:pPr>
        <w:pStyle w:val="style0"/>
        <w:spacing w:lineRule="auto" w:line="360"/>
        <w:jc w:val="center"/>
        <w:rPr>
          <w:b/>
          <w:bCs/>
          <w:sz w:val="24"/>
          <w:szCs w:val="24"/>
        </w:rPr>
      </w:pPr>
      <w:r>
        <w:rPr>
          <w:b/>
          <w:bCs/>
          <w:sz w:val="24"/>
          <w:szCs w:val="24"/>
        </w:rPr>
        <w:drawing>
          <wp:inline distL="0" distT="0" distB="0" distR="0">
            <wp:extent cx="5943600" cy="3743325"/>
            <wp:effectExtent l="0" t="0" r="0" b="0"/>
            <wp:docPr id="1029"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5" cstate="print"/>
                    <a:srcRect l="0" t="27083" r="0" b="9936"/>
                    <a:stretch/>
                  </pic:blipFill>
                  <pic:spPr>
                    <a:xfrm rot="0">
                      <a:off x="0" y="0"/>
                      <a:ext cx="5943600" cy="3743325"/>
                    </a:xfrm>
                    <a:prstGeom prst="rect"/>
                    <a:ln cmpd="sng" cap="flat" w="9525">
                      <a:solidFill>
                        <a:srgbClr val="000000"/>
                      </a:solidFill>
                      <a:prstDash val="solid"/>
                      <a:round/>
                      <a:headEnd/>
                      <a:tailEnd/>
                    </a:ln>
                  </pic:spPr>
                </pic:pic>
              </a:graphicData>
            </a:graphic>
          </wp:inline>
        </w:drawing>
      </w:r>
    </w:p>
    <w:p w14:paraId="0000003D">
      <w:pPr>
        <w:pStyle w:val="style0"/>
        <w:spacing w:lineRule="auto" w:line="360"/>
        <w:jc w:val="center"/>
        <w:rPr>
          <w:b/>
          <w:bCs/>
          <w:sz w:val="24"/>
          <w:szCs w:val="24"/>
        </w:rPr>
      </w:pPr>
      <w:r>
        <w:rPr>
          <w:b/>
          <w:bCs/>
          <w:sz w:val="24"/>
          <w:szCs w:val="24"/>
        </w:rPr>
        <w:t xml:space="preserve">Figure 3: Global Copper Demand Growth to 2050 </w:t>
      </w:r>
    </w:p>
    <w:p w14:paraId="0000003E">
      <w:pPr>
        <w:pStyle w:val="style0"/>
        <w:spacing w:lineRule="auto" w:line="360"/>
        <w:jc w:val="center"/>
        <w:rPr>
          <w:sz w:val="24"/>
          <w:szCs w:val="24"/>
        </w:rPr>
      </w:pPr>
      <w:r>
        <w:rPr>
          <w:sz w:val="24"/>
          <w:szCs w:val="24"/>
        </w:rPr>
        <w:t>(Source: BHP, 2025)</w:t>
      </w:r>
    </w:p>
    <w:p w14:paraId="0000003F">
      <w:pPr>
        <w:pStyle w:val="style0"/>
        <w:spacing w:lineRule="auto" w:line="360"/>
        <w:jc w:val="both"/>
        <w:rPr>
          <w:sz w:val="24"/>
          <w:szCs w:val="24"/>
        </w:rPr>
      </w:pPr>
      <w:r>
        <w:rPr>
          <w:sz w:val="24"/>
          <w:szCs w:val="24"/>
        </w:rPr>
        <w:t xml:space="preserve">BHP expects the global copper demand to increase from approximately 30 million tonnes currently to 50 million tonnes by 2050, representing a 1.7-times increase, driven partly by electric vehicles, renewable-energy infrastructure and data centres (BHP, 2025). </w:t>
      </w:r>
      <w:r>
        <w:rPr>
          <w:color w:val="ff0000"/>
          <w:sz w:val="24"/>
          <w:szCs w:val="24"/>
        </w:rPr>
        <w:t>Therefore, in relation to the social expectations around the energy transition, BHP is not simply supplying a commodity, as society and downstream users increasingly expect secure supplies that support decarbonisation objectives.</w:t>
      </w:r>
      <w:r>
        <w:rPr>
          <w:sz w:val="24"/>
          <w:szCs w:val="24"/>
        </w:rPr>
        <w:t xml:space="preserve"> The procurement discussion of BHP in 2025 states that customers are demanding greater transparency, sustainability and certainty, suggesting a shift away from purely transactional purchasing (BHP, 2025).</w:t>
      </w:r>
    </w:p>
    <w:p w14:paraId="00000040">
      <w:pPr>
        <w:pStyle w:val="style0"/>
        <w:spacing w:lineRule="auto" w:line="360"/>
        <w:jc w:val="both"/>
        <w:rPr>
          <w:sz w:val="24"/>
          <w:szCs w:val="24"/>
        </w:rPr>
      </w:pPr>
      <w:r>
        <w:rPr>
          <w:color w:val="ff0000"/>
          <w:sz w:val="24"/>
          <w:szCs w:val="24"/>
        </w:rPr>
        <w:t>This trend is relevant to the marketing strategy of BHP because the growing social concern about responsible sourcing has increased the need for information about the environmental characteristics of materials within supply chains.</w:t>
      </w:r>
      <w:r>
        <w:rPr>
          <w:sz w:val="24"/>
          <w:szCs w:val="24"/>
        </w:rPr>
        <w:t xml:space="preserve"> In September 2026, BHP and Amazon established a pilot for lower-emissions copper involving Environmental Attribute Certificates. It was stated by BHP that buyers increasingly want to understand and influence the emissions associated with copper used in their products and infrastructure, while the pilot of Amazon covers copper used in computing and power infrastructure (BHP, 2026). This provides evidence that the environmental attributes can become part of the value proposition offered to industrial buyers.</w:t>
      </w:r>
    </w:p>
    <w:p w14:paraId="00000041">
      <w:pPr>
        <w:pStyle w:val="style0"/>
        <w:spacing w:lineRule="auto" w:line="360"/>
        <w:jc w:val="both"/>
        <w:rPr>
          <w:sz w:val="24"/>
          <w:szCs w:val="24"/>
        </w:rPr>
      </w:pPr>
      <w:r>
        <w:rPr>
          <w:sz w:val="24"/>
          <w:szCs w:val="24"/>
        </w:rPr>
        <w:t xml:space="preserve">Maier </w:t>
      </w:r>
      <w:r>
        <w:rPr>
          <w:i/>
          <w:iCs/>
          <w:sz w:val="24"/>
          <w:szCs w:val="24"/>
        </w:rPr>
        <w:t>et al.</w:t>
      </w:r>
      <w:r>
        <w:rPr>
          <w:sz w:val="24"/>
          <w:szCs w:val="24"/>
        </w:rPr>
        <w:t xml:space="preserve"> (2024) find that customer demand for low-carbon steel can act as a driver of innovation and encourage producers to develop low-carbon products. Their study reports that the global steel sector accounts for 7% of global greenhouse-gas emissions, demonstrating why the downstream customers have increasing incentives to seek lower-carbon inputs. However, BHP should not assume that every customer will pay a premium for greener materials as demand remains dependent on price, availability, verification and the customer's decarbonisation commitments.</w:t>
      </w:r>
    </w:p>
    <w:p w14:paraId="00000042">
      <w:pPr>
        <w:pStyle w:val="style0"/>
        <w:spacing w:lineRule="auto" w:line="360"/>
        <w:jc w:val="both"/>
        <w:rPr>
          <w:b/>
          <w:bCs/>
          <w:sz w:val="24"/>
          <w:szCs w:val="24"/>
        </w:rPr>
      </w:pPr>
      <w:r>
        <w:rPr>
          <w:color w:val="ff0000"/>
          <w:sz w:val="24"/>
          <w:szCs w:val="24"/>
        </w:rPr>
        <w:t>Thus, social expectations create both market opportunity and competitive pressure for BHP.</w:t>
      </w:r>
      <w:r>
        <w:rPr>
          <w:sz w:val="24"/>
          <w:szCs w:val="24"/>
        </w:rPr>
        <w:t xml:space="preserve"> BHP can strengthen its market position by offering credible, traceable and lower-emissions mineral products, but environmental claims must be measurable and independently verifiable in order to generate sufficient customer value.</w:t>
      </w:r>
    </w:p>
    <w:bookmarkStart w:id="5" w:name="_heading=h.vlfifssr4wj7" w:colFirst="0" w:colLast="0"/>
    <w:bookmarkEnd w:id="5"/>
    <w:p w14:paraId="00000043">
      <w:pPr>
        <w:pStyle w:val="style1"/>
        <w:rPr>
          <w:rFonts w:ascii="Arial" w:cs="Arial" w:eastAsia="Arial" w:hAnsi="Arial"/>
          <w:sz w:val="24"/>
          <w:szCs w:val="24"/>
        </w:rPr>
      </w:pPr>
      <w:r>
        <w:rPr>
          <w:rFonts w:ascii="Arial" w:cs="Arial" w:eastAsia="Arial" w:hAnsi="Arial"/>
          <w:sz w:val="24"/>
          <w:szCs w:val="24"/>
        </w:rPr>
        <w:t xml:space="preserve">Task 2: Strategic Growth and Competitive Positioning </w:t>
      </w:r>
    </w:p>
    <w:bookmarkStart w:id="6" w:name="_heading=h.a45yu5iqm795" w:colFirst="0" w:colLast="0"/>
    <w:bookmarkEnd w:id="6"/>
    <w:p w14:paraId="00000044">
      <w:pPr>
        <w:pStyle w:val="style2"/>
        <w:spacing w:before="0" w:after="0" w:lineRule="auto" w:line="360"/>
        <w:jc w:val="both"/>
        <w:rPr>
          <w:b/>
          <w:bCs/>
          <w:sz w:val="24"/>
          <w:szCs w:val="24"/>
        </w:rPr>
      </w:pPr>
      <w:r>
        <w:rPr>
          <w:b/>
          <w:bCs/>
          <w:sz w:val="24"/>
          <w:szCs w:val="24"/>
        </w:rPr>
        <w:t>2.1 Application of the Ansoff Matrix</w:t>
      </w:r>
    </w:p>
    <w:bookmarkStart w:id="7" w:name="_heading=h.t11gjsvrdvkb" w:colFirst="0" w:colLast="0"/>
    <w:bookmarkEnd w:id="7"/>
    <w:p w14:paraId="00000045">
      <w:pPr>
        <w:pStyle w:val="style3"/>
        <w:spacing w:before="0" w:after="0" w:lineRule="auto" w:line="360"/>
        <w:jc w:val="both"/>
        <w:rPr>
          <w:b/>
          <w:bCs/>
          <w:color w:val="000000"/>
          <w:sz w:val="24"/>
          <w:szCs w:val="24"/>
        </w:rPr>
      </w:pPr>
      <w:r>
        <w:rPr>
          <w:b/>
          <w:bCs/>
          <w:color w:val="000000"/>
          <w:sz w:val="24"/>
          <w:szCs w:val="24"/>
        </w:rPr>
        <w:t>Market Penetration</w:t>
      </w:r>
    </w:p>
    <w:p w14:paraId="00000046">
      <w:pPr>
        <w:pStyle w:val="style0"/>
        <w:spacing w:lineRule="auto" w:line="360"/>
        <w:jc w:val="both"/>
        <w:rPr>
          <w:sz w:val="24"/>
          <w:szCs w:val="24"/>
        </w:rPr>
      </w:pPr>
      <w:r>
        <w:rPr>
          <w:sz w:val="24"/>
          <w:szCs w:val="24"/>
        </w:rPr>
        <w:t xml:space="preserve">Market penetration involves increasing the sales of existing products within the existing markets (Zugay, 2023). For BHP, this could involve strengthening its existing relationships with steelmakers and industrial customers while increasing the sales of commodities such as copper and iron ore. </w:t>
      </w:r>
    </w:p>
    <w:p w14:paraId="00000047">
      <w:pPr>
        <w:pStyle w:val="style0"/>
        <w:spacing w:lineRule="auto" w:line="360"/>
        <w:jc w:val="center"/>
        <w:rPr>
          <w:b/>
          <w:bCs/>
          <w:sz w:val="24"/>
          <w:szCs w:val="24"/>
        </w:rPr>
      </w:pPr>
      <w:r>
        <w:rPr>
          <w:b/>
          <w:bCs/>
          <w:sz w:val="24"/>
          <w:szCs w:val="24"/>
        </w:rPr>
        <w:drawing>
          <wp:inline distL="0" distT="0" distB="0" distR="0">
            <wp:extent cx="5053013" cy="3822150"/>
            <wp:effectExtent l="0" t="0" r="0" b="0"/>
            <wp:docPr id="1030"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6" cstate="print"/>
                    <a:srcRect l="0" t="14263" r="0" b="10096"/>
                    <a:stretch/>
                  </pic:blipFill>
                  <pic:spPr>
                    <a:xfrm rot="0">
                      <a:off x="0" y="0"/>
                      <a:ext cx="5053013" cy="3822150"/>
                    </a:xfrm>
                    <a:prstGeom prst="rect"/>
                    <a:ln cmpd="sng" cap="flat" w="9525">
                      <a:solidFill>
                        <a:srgbClr val="000000"/>
                      </a:solidFill>
                      <a:prstDash val="solid"/>
                      <a:round/>
                      <a:headEnd/>
                      <a:tailEnd/>
                    </a:ln>
                  </pic:spPr>
                </pic:pic>
              </a:graphicData>
            </a:graphic>
          </wp:inline>
        </w:drawing>
      </w:r>
    </w:p>
    <w:p w14:paraId="00000048">
      <w:pPr>
        <w:pStyle w:val="style0"/>
        <w:spacing w:lineRule="auto" w:line="360"/>
        <w:jc w:val="center"/>
        <w:rPr>
          <w:b/>
          <w:bCs/>
          <w:sz w:val="24"/>
          <w:szCs w:val="24"/>
        </w:rPr>
      </w:pPr>
      <w:r>
        <w:rPr>
          <w:b/>
          <w:bCs/>
          <w:sz w:val="24"/>
          <w:szCs w:val="24"/>
        </w:rPr>
        <w:t xml:space="preserve">Figure 4: BHP Copper's Strategic and Financial Significance </w:t>
      </w:r>
    </w:p>
    <w:p w14:paraId="00000049">
      <w:pPr>
        <w:pStyle w:val="style0"/>
        <w:spacing w:lineRule="auto" w:line="360"/>
        <w:jc w:val="center"/>
        <w:rPr>
          <w:sz w:val="24"/>
          <w:szCs w:val="24"/>
        </w:rPr>
      </w:pPr>
      <w:r>
        <w:rPr>
          <w:sz w:val="24"/>
          <w:szCs w:val="24"/>
        </w:rPr>
        <w:t>(Source: BHP, 2026)</w:t>
      </w:r>
    </w:p>
    <w:p w14:paraId="0000004A">
      <w:pPr>
        <w:pStyle w:val="style0"/>
        <w:spacing w:lineRule="auto" w:line="360"/>
        <w:jc w:val="both"/>
        <w:rPr>
          <w:sz w:val="24"/>
          <w:szCs w:val="24"/>
        </w:rPr>
      </w:pPr>
      <w:r>
        <w:rPr>
          <w:sz w:val="24"/>
          <w:szCs w:val="24"/>
        </w:rPr>
        <w:t>This represents a lower-risk strategy because it relies on established assets, capabilities and customer relationships of BHP. BHP produced approximately 2 million tonnes of copper in FY2026, with copper contributing more than half of its underlying EBITDA for the first time (BHP, 2026). However, simply increasing conventional mineral sales does not directly address the environmental pressures identified in Task 1. Consequently, market penetration can support revenue growth but its contribution to lower-carbon positioning of BHP would remain limited unless existing products also demonstrate improved environmental performance.</w:t>
      </w:r>
    </w:p>
    <w:bookmarkStart w:id="8" w:name="_heading=h.e34a09k5cdt8" w:colFirst="0" w:colLast="0"/>
    <w:bookmarkEnd w:id="8"/>
    <w:p w14:paraId="0000004B">
      <w:pPr>
        <w:pStyle w:val="style3"/>
        <w:spacing w:before="0" w:after="0" w:lineRule="auto" w:line="360"/>
        <w:jc w:val="both"/>
        <w:rPr>
          <w:b/>
          <w:bCs/>
          <w:color w:val="000000"/>
          <w:sz w:val="24"/>
          <w:szCs w:val="24"/>
        </w:rPr>
      </w:pPr>
      <w:r>
        <w:rPr>
          <w:b/>
          <w:bCs/>
          <w:color w:val="000000"/>
          <w:sz w:val="24"/>
          <w:szCs w:val="24"/>
        </w:rPr>
        <w:t>Market Development</w:t>
      </w:r>
    </w:p>
    <w:p w14:paraId="0000004C">
      <w:pPr>
        <w:pStyle w:val="style0"/>
        <w:spacing w:lineRule="auto" w:line="360"/>
        <w:jc w:val="both"/>
        <w:rPr>
          <w:sz w:val="24"/>
          <w:szCs w:val="24"/>
        </w:rPr>
      </w:pPr>
      <w:r>
        <w:rPr>
          <w:sz w:val="24"/>
          <w:szCs w:val="24"/>
        </w:rPr>
        <w:t>Market development involves introducing the existing products into new geographical or customer markets (Zugay, 2023). This strategy could be applied by BHP through expanding its copper and other mineral products into the markets experiencing rapid electrification, digitalisation and infrastructure investment. As per BHP (2026), the global copper demand is expected to exceed 50 million tonnes annually by 2050, with energy-transition and digitalisation demand growing strongly. This creates opportunities to target new downstream customers that require copper for renewable-energy infrastructure, electric vehicles and digital technologies. However, geographical expansion alone does not fully respond to the growing environmental expectations of customers. Therefore, market development would be more effective when combined with lower-carbon and traceable product attributes.</w:t>
      </w:r>
    </w:p>
    <w:bookmarkStart w:id="9" w:name="_heading=h.q3oe0veth6rk" w:colFirst="0" w:colLast="0"/>
    <w:bookmarkEnd w:id="9"/>
    <w:p w14:paraId="0000004D">
      <w:pPr>
        <w:pStyle w:val="style3"/>
        <w:spacing w:before="0" w:after="0" w:lineRule="auto" w:line="360"/>
        <w:jc w:val="both"/>
        <w:rPr>
          <w:b/>
          <w:bCs/>
          <w:color w:val="000000"/>
          <w:sz w:val="24"/>
          <w:szCs w:val="24"/>
        </w:rPr>
      </w:pPr>
      <w:r>
        <w:rPr>
          <w:b/>
          <w:bCs/>
          <w:color w:val="000000"/>
          <w:sz w:val="24"/>
          <w:szCs w:val="24"/>
        </w:rPr>
        <w:t>Product Development</w:t>
      </w:r>
    </w:p>
    <w:p w14:paraId="0000004E">
      <w:pPr>
        <w:pStyle w:val="style0"/>
        <w:spacing w:lineRule="auto" w:line="360"/>
        <w:jc w:val="both"/>
        <w:rPr>
          <w:sz w:val="24"/>
          <w:szCs w:val="24"/>
        </w:rPr>
      </w:pPr>
      <w:r>
        <w:rPr>
          <w:sz w:val="24"/>
          <w:szCs w:val="24"/>
        </w:rPr>
        <w:t>Product development involves developing new or improved products for the existing markets (Zugay, 2023). This strategy is relevant to BHP because the existing industrial customers may increasingly value the environmental characteristics of the minerals they purchase. BHP and Amazon established an industry-first pilot in 2026 to explore Environmental Attribute Certificates (EACs) for lower-emissions copper from Escondida (BHP, 2026). The initiative demonstrates how environmental performance can become part of the product proposition rather than remaining solely an internal operational issue. BHP could therefore develop lower-emissions, traceable and responsibly produced mineral offerings for the existing customers. This strategy connects the environmental capabilities of BHP with customer value and provides greater strategic alignment with the lower-carbon transition than simply increasing commodity volumes.</w:t>
      </w:r>
    </w:p>
    <w:bookmarkStart w:id="10" w:name="_heading=h.wl1ai2pw8id" w:colFirst="0" w:colLast="0"/>
    <w:bookmarkEnd w:id="10"/>
    <w:p w14:paraId="0000004F">
      <w:pPr>
        <w:pStyle w:val="style3"/>
        <w:spacing w:before="0" w:after="0" w:lineRule="auto" w:line="360"/>
        <w:jc w:val="both"/>
        <w:rPr>
          <w:b/>
          <w:bCs/>
          <w:color w:val="000000"/>
          <w:sz w:val="24"/>
          <w:szCs w:val="24"/>
        </w:rPr>
      </w:pPr>
      <w:r>
        <w:rPr>
          <w:b/>
          <w:bCs/>
          <w:color w:val="000000"/>
          <w:sz w:val="24"/>
          <w:szCs w:val="24"/>
        </w:rPr>
        <w:t>Diversification</w:t>
      </w:r>
    </w:p>
    <w:p w14:paraId="00000050">
      <w:pPr>
        <w:pStyle w:val="style0"/>
        <w:spacing w:lineRule="auto" w:line="360"/>
        <w:jc w:val="both"/>
        <w:rPr>
          <w:sz w:val="24"/>
          <w:szCs w:val="24"/>
        </w:rPr>
      </w:pPr>
      <w:r>
        <w:rPr>
          <w:sz w:val="24"/>
          <w:szCs w:val="24"/>
        </w:rPr>
        <w:t>Diversification involves entering new product and market areas and therefore represents the highest level of strategic change among the four Ansoff options (Zugay, 2023). BHP could pursue diversification through activities associated with the energy transition, mineral processing, recycling or other adjacent businesses. Its Jansen potash project demonstrates the willingness of BHP to enter a new commodity, with first production expected in mid-2027 (BHP, 2026). Nevertheless, diversification can require significant capital, new capabilities and unfamiliar customer relationships. For the specific lower-carbon challenge of BHP, diversification is less directly connected to its existing customer base than product development.</w:t>
      </w:r>
    </w:p>
    <w:bookmarkStart w:id="11" w:name="_heading=h.ovw3tdmyayet" w:colFirst="0" w:colLast="0"/>
    <w:bookmarkEnd w:id="11"/>
    <w:p w14:paraId="00000051">
      <w:pPr>
        <w:pStyle w:val="style2"/>
        <w:spacing w:before="0" w:after="0" w:lineRule="auto" w:line="360"/>
        <w:jc w:val="both"/>
        <w:rPr>
          <w:b/>
          <w:bCs/>
          <w:sz w:val="24"/>
          <w:szCs w:val="24"/>
        </w:rPr>
      </w:pPr>
      <w:r>
        <w:rPr>
          <w:b/>
          <w:bCs/>
          <w:sz w:val="24"/>
          <w:szCs w:val="24"/>
        </w:rPr>
        <w:t>2.2 Recommended Growth Strategy: Product Development</w:t>
      </w:r>
    </w:p>
    <w:p w14:paraId="00000052">
      <w:pPr>
        <w:pStyle w:val="style0"/>
        <w:spacing w:lineRule="auto" w:line="360"/>
        <w:jc w:val="both"/>
        <w:rPr>
          <w:sz w:val="24"/>
          <w:szCs w:val="24"/>
        </w:rPr>
      </w:pPr>
      <w:r>
        <w:rPr>
          <w:sz w:val="24"/>
          <w:szCs w:val="24"/>
        </w:rPr>
        <w:t>Product development should be the preferred Ansoff strategy of BHP because it provides the strongest connection between the environmental pressures and customer expectations identified in Task 1. Rather than relying solely on increasing the volume of conventional minerals, BHP can create additional customer value through mineral products with credible lower-emissions and traceability attributes. This recommendation is already supported by the collaboration of BHP with Amazon, where EACs are being explored to recognise emissions reductions within copper supply chains (BHP, 2026). It has also been stated by BHP that customers are increasingly seeking credible and verifiable sustainable attributes alongside security of supply (BHP, 2026).</w:t>
      </w:r>
    </w:p>
    <w:p w14:paraId="00000053">
      <w:pPr>
        <w:pStyle w:val="style0"/>
        <w:spacing w:lineRule="auto" w:line="360"/>
        <w:jc w:val="both"/>
        <w:rPr>
          <w:sz w:val="24"/>
          <w:szCs w:val="24"/>
        </w:rPr>
      </w:pPr>
      <w:r>
        <w:rPr>
          <w:sz w:val="24"/>
          <w:szCs w:val="24"/>
        </w:rPr>
        <w:t>BHP expects copper demand to increase from approximately 34 million tonnes currently to more than 50 million tonnes by 2050 (BHP, 2026). Product development would allow BHP to participate in this expanding market while differentiating its offering through environmental performance. However, successful implementation requires credible measurement, verification and communication of emissions reductions.</w:t>
      </w:r>
    </w:p>
    <w:bookmarkStart w:id="12" w:name="_heading=h.l865s76ti7ou" w:colFirst="0" w:colLast="0"/>
    <w:bookmarkEnd w:id="12"/>
    <w:p w14:paraId="00000054">
      <w:pPr>
        <w:pStyle w:val="style2"/>
        <w:spacing w:before="0" w:after="0" w:lineRule="auto" w:line="360"/>
        <w:jc w:val="both"/>
        <w:rPr>
          <w:b/>
          <w:bCs/>
          <w:sz w:val="24"/>
          <w:szCs w:val="24"/>
        </w:rPr>
      </w:pPr>
      <w:r>
        <w:rPr>
          <w:b/>
          <w:bCs/>
          <w:sz w:val="24"/>
          <w:szCs w:val="24"/>
        </w:rPr>
        <w:t>2.3 Competitive Positioning</w:t>
      </w:r>
    </w:p>
    <w:p w14:paraId="00000055">
      <w:pPr>
        <w:pStyle w:val="style0"/>
        <w:spacing w:lineRule="auto" w:line="360"/>
        <w:jc w:val="both"/>
        <w:rPr>
          <w:sz w:val="24"/>
          <w:szCs w:val="24"/>
        </w:rPr>
      </w:pPr>
      <w:r>
        <w:rPr>
          <w:sz w:val="24"/>
          <w:szCs w:val="24"/>
        </w:rPr>
        <w:t>BHP should pursue a differentiation-based competitive positioning strategy, whereby lower-carbon mineral offerings provide additional value beyond the physical characteristics of the commodity. Porter argues that differentiation can create competitive advantage when firms provide distinctive value that customers recognise (HBS, 2026). For BHP, differentiation could be based on a combination of lower emissions, traceability, transparency, supply reliability and responsible production.</w:t>
      </w:r>
    </w:p>
    <w:p w14:paraId="00000056">
      <w:pPr>
        <w:pStyle w:val="style0"/>
        <w:spacing w:lineRule="auto" w:line="360"/>
        <w:jc w:val="center"/>
        <w:rPr>
          <w:b/>
          <w:bCs/>
          <w:sz w:val="24"/>
          <w:szCs w:val="24"/>
        </w:rPr>
      </w:pPr>
      <w:r>
        <w:rPr>
          <w:b/>
          <w:bCs/>
          <w:sz w:val="24"/>
          <w:szCs w:val="24"/>
        </w:rPr>
        <w:drawing>
          <wp:inline distL="0" distT="0" distB="0" distR="0">
            <wp:extent cx="4443413" cy="3325439"/>
            <wp:effectExtent l="0" t="0" r="0" b="0"/>
            <wp:docPr id="1031"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6.png"/>
                    <pic:cNvPicPr/>
                  </pic:nvPicPr>
                  <pic:blipFill>
                    <a:blip r:embed="rId7" cstate="print"/>
                    <a:srcRect l="0" t="13783" r="0" b="11378"/>
                    <a:stretch/>
                  </pic:blipFill>
                  <pic:spPr>
                    <a:xfrm rot="0">
                      <a:off x="0" y="0"/>
                      <a:ext cx="4443413" cy="3325439"/>
                    </a:xfrm>
                    <a:prstGeom prst="rect"/>
                    <a:ln cmpd="sng" cap="flat" w="9525">
                      <a:solidFill>
                        <a:srgbClr val="000000"/>
                      </a:solidFill>
                      <a:prstDash val="solid"/>
                      <a:round/>
                      <a:headEnd/>
                      <a:tailEnd/>
                    </a:ln>
                  </pic:spPr>
                </pic:pic>
              </a:graphicData>
            </a:graphic>
          </wp:inline>
        </w:drawing>
      </w:r>
    </w:p>
    <w:p w14:paraId="00000057">
      <w:pPr>
        <w:pStyle w:val="style0"/>
        <w:spacing w:lineRule="auto" w:line="360"/>
        <w:jc w:val="center"/>
        <w:rPr>
          <w:b/>
          <w:bCs/>
          <w:sz w:val="24"/>
          <w:szCs w:val="24"/>
        </w:rPr>
      </w:pPr>
      <w:r>
        <w:rPr>
          <w:b/>
          <w:bCs/>
          <w:sz w:val="24"/>
          <w:szCs w:val="24"/>
        </w:rPr>
        <w:t>Figure 5: Renewable Electricity Use at BHP's Copper Operations</w:t>
      </w:r>
    </w:p>
    <w:p w14:paraId="00000058">
      <w:pPr>
        <w:pStyle w:val="style0"/>
        <w:spacing w:lineRule="auto" w:line="360"/>
        <w:jc w:val="center"/>
        <w:rPr>
          <w:sz w:val="24"/>
          <w:szCs w:val="24"/>
        </w:rPr>
      </w:pPr>
      <w:r>
        <w:rPr>
          <w:sz w:val="24"/>
          <w:szCs w:val="24"/>
        </w:rPr>
        <w:t>(Source: BHP, 2026)</w:t>
      </w:r>
    </w:p>
    <w:p w14:paraId="00000059">
      <w:pPr>
        <w:pStyle w:val="style0"/>
        <w:spacing w:lineRule="auto" w:line="360"/>
        <w:jc w:val="both"/>
        <w:rPr>
          <w:sz w:val="24"/>
          <w:szCs w:val="24"/>
        </w:rPr>
      </w:pPr>
      <w:r>
        <w:rPr>
          <w:sz w:val="24"/>
          <w:szCs w:val="24"/>
        </w:rPr>
        <w:t>BHP is already developing mechanisms to make environmental attributes visible across complex copper supply chains. Its 2026 copper-cable demonstration seeks to trace lower-GHG copper from Escondida mine of BHP through processing and into end-use applications (BHP, 2026). Furthermore, BHP states that Escondida and Spence have used 100% renewable electricity since 2022, strengthening the basis for communicating lower-emissions attributes (BHP, 2026).</w:t>
      </w:r>
    </w:p>
    <w:p w14:paraId="0000005A">
      <w:pPr>
        <w:pStyle w:val="style0"/>
        <w:spacing w:lineRule="auto" w:line="360"/>
        <w:jc w:val="both"/>
        <w:rPr>
          <w:b/>
          <w:bCs/>
          <w:sz w:val="24"/>
          <w:szCs w:val="24"/>
        </w:rPr>
      </w:pPr>
      <w:r>
        <w:rPr>
          <w:sz w:val="24"/>
          <w:szCs w:val="24"/>
        </w:rPr>
        <w:t>However, environmental differentiation alone may not create sustainable competitive advantage if the competitors can replicate similar initiatives. BHP should therefore combine environmental performance with independent verification, traceability, technological capability and reliable supply. This would make its lower-carbon proposition more credible and potentially harder for competitors to imitate.</w:t>
      </w:r>
    </w:p>
    <w:bookmarkStart w:id="13" w:name="_heading=h.k9wtb873bxl0" w:colFirst="0" w:colLast="0"/>
    <w:bookmarkEnd w:id="13"/>
    <w:p w14:paraId="0000005B">
      <w:pPr>
        <w:pStyle w:val="style1"/>
        <w:keepLines w:val="false"/>
        <w:rPr>
          <w:rFonts w:ascii="Arial" w:cs="Arial" w:eastAsia="Arial" w:hAnsi="Arial"/>
          <w:sz w:val="24"/>
          <w:szCs w:val="24"/>
        </w:rPr>
      </w:pPr>
      <w:r>
        <w:rPr>
          <w:rFonts w:ascii="Arial" w:cs="Arial" w:eastAsia="Arial" w:hAnsi="Arial"/>
          <w:sz w:val="24"/>
          <w:szCs w:val="24"/>
        </w:rPr>
        <w:t>Task 3: Managerial and Professional Reflection</w:t>
      </w:r>
    </w:p>
    <w:p w14:paraId="0000005C">
      <w:pPr>
        <w:pStyle w:val="style0"/>
        <w:spacing w:lineRule="auto" w:line="360"/>
        <w:jc w:val="both"/>
        <w:rPr>
          <w:sz w:val="24"/>
          <w:szCs w:val="24"/>
        </w:rPr>
      </w:pPr>
      <w:r>
        <w:rPr>
          <w:sz w:val="24"/>
          <w:szCs w:val="24"/>
        </w:rPr>
        <w:t>In presenting this report to the senior leadership, I would explain that BHP was selected by me because its scale and global exposure to the energy transition makes it a useful case in order to examine how environmental pressures influence marketing strategy. BHP operates in an industry where the demand for minerals is increasing due to decarbonisation whereas mining itself faces significant environmental expectations, and this tension allowed me to examine the risks and opportunities of a lower-carbon business model.</w:t>
      </w:r>
    </w:p>
    <w:p w14:paraId="0000005D">
      <w:pPr>
        <w:pStyle w:val="style0"/>
        <w:spacing w:lineRule="auto" w:line="360"/>
        <w:jc w:val="both"/>
        <w:rPr>
          <w:color w:val="ff0000"/>
          <w:sz w:val="24"/>
          <w:szCs w:val="24"/>
        </w:rPr>
      </w:pPr>
      <w:r>
        <w:rPr>
          <w:color w:val="ff0000"/>
          <w:sz w:val="24"/>
          <w:szCs w:val="24"/>
        </w:rPr>
        <w:t>The environmental actor was deliberately prioritised by me as climate change and decarbonisation are central to the strategic challenge that has been considered in this report, and the political, legal and social factors were then selected for the analysis. These factors influence the way environmental pressures are translated into business requirements, as the regulatory expectations can increase the compliance and operational pressures while social and stakeholder expectations are increasingly influencing the value that is attached to responsible and lower-carbon products.</w:t>
      </w:r>
    </w:p>
    <w:p w14:paraId="0000005E">
      <w:pPr>
        <w:pStyle w:val="style0"/>
        <w:spacing w:lineRule="auto" w:line="360"/>
        <w:jc w:val="both"/>
        <w:rPr>
          <w:sz w:val="24"/>
          <w:szCs w:val="24"/>
        </w:rPr>
      </w:pPr>
      <w:r>
        <w:rPr>
          <w:sz w:val="24"/>
          <w:szCs w:val="24"/>
        </w:rPr>
        <w:t>For the growth analysis, all four Ansoff strategies were considered by me before product development was selected as the preferred option, because it provides the strongest connection between the existing capabilities of BHP, established customer relationships and emerging demand for lower-carbon and traceable minerals. Market penetration was considered to be less transformative and market development useful but not sufficient on its own, while diversification is more risky as it would require BHP to enter into the unfamiliar activities. Therefore, I recommended differentiation based upon environmental performance, traceability, transparency and reliable supply as the basis for the competitive positioning of the company, which is likely to be beneficial for BHP.</w:t>
      </w:r>
    </w:p>
    <w:p w14:paraId="0000005F">
      <w:pPr>
        <w:pStyle w:val="style0"/>
        <w:spacing w:lineRule="auto" w:line="360"/>
        <w:jc w:val="both"/>
        <w:rPr>
          <w:sz w:val="24"/>
          <w:szCs w:val="24"/>
        </w:rPr>
      </w:pPr>
      <w:r>
        <w:rPr>
          <w:sz w:val="24"/>
          <w:szCs w:val="24"/>
        </w:rPr>
        <w:t>However, I recognise that the analysis relies on publicly available information which limits the understanding of internal costs, customer contracts and investment priorities, and I cannot determine whether customers would pay a premium, while future regulation, commodity prices, technology and competitor strategies create uncertainty.</w:t>
      </w:r>
    </w:p>
    <w:p w14:paraId="00000060">
      <w:pPr>
        <w:pStyle w:val="style0"/>
        <w:spacing w:lineRule="auto" w:line="360"/>
        <w:jc w:val="both"/>
        <w:rPr>
          <w:sz w:val="24"/>
          <w:szCs w:val="24"/>
        </w:rPr>
      </w:pPr>
      <w:r>
        <w:rPr>
          <w:sz w:val="24"/>
          <w:szCs w:val="24"/>
        </w:rPr>
        <w:t>Before finalising the recommendations as a consultant, I would seek primary research from the major customers, procurement teams and operational teams of BHP, and I would request detailed data on willingness to pay, product carbon intensity, decarbonisation costs, margins and demand by market. Moreover, competitor benchmarking would be conducted to assess whether rival miners can offer comparable environmental attributes, and scenario analysis would be used to test the recommendations under commodity prices, regulatory conditions and rates of energy-transition adoption before presenting the recommendation to senior leadership</w:t>
      </w:r>
    </w:p>
    <w:bookmarkStart w:id="14" w:name="_heading=h.1nqyapqa98j2" w:colFirst="0" w:colLast="0"/>
    <w:bookmarkEnd w:id="14"/>
    <w:p w14:paraId="00000061">
      <w:pPr>
        <w:pStyle w:val="style1"/>
        <w:rPr>
          <w:rFonts w:ascii="Arial" w:cs="Arial" w:eastAsia="Arial" w:hAnsi="Arial"/>
          <w:sz w:val="24"/>
          <w:szCs w:val="24"/>
        </w:rPr>
      </w:pPr>
      <w:r>
        <w:rPr>
          <w:rFonts w:ascii="Arial" w:cs="Arial" w:eastAsia="Arial" w:hAnsi="Arial"/>
          <w:sz w:val="24"/>
          <w:szCs w:val="24"/>
        </w:rPr>
        <w:t xml:space="preserve">Conclusion </w:t>
      </w:r>
    </w:p>
    <w:bookmarkStart w:id="15" w:name="_heading=h.vheymyndygp6" w:colFirst="0" w:colLast="0"/>
    <w:bookmarkEnd w:id="15"/>
    <w:p w14:paraId="00000062">
      <w:pPr>
        <w:pStyle w:val="style0"/>
        <w:spacing w:lineRule="auto" w:line="360"/>
        <w:jc w:val="both"/>
        <w:rPr/>
      </w:pPr>
      <w:r>
        <w:rPr>
          <w:sz w:val="24"/>
          <w:szCs w:val="24"/>
        </w:rPr>
        <w:t>Based on the above findings, it can be concluded that the future growth of BHP is shaped by the tension between the rising demand for transition minerals and the environmental impacts that are caused by mining, and thus environmental pressures, regulatory requirements and changing customer expectations demonstrate the need for BHP to strengthen its lower-carbon value proposition. The analysis indicates product development is the most suitable growth pathway, as existing mineral offerings can be enhanced through lower emissions, traceability and verified attributes, while a differentiation strategy would strengthen its competitiveness. However, the implementation would depend upon credible verification, customer research, competitor benchmarking and adaptation to regulatory and market changes.</w:t>
      </w:r>
    </w:p>
    <w:bookmarkStart w:id="16" w:name="_heading=h.7a79dl99fxgb" w:colFirst="0" w:colLast="0"/>
    <w:bookmarkEnd w:id="16"/>
    <w:p w14:paraId="00000063">
      <w:pPr>
        <w:pStyle w:val="style1"/>
        <w:rPr>
          <w:rFonts w:ascii="Arial" w:cs="Arial" w:eastAsia="Arial" w:hAnsi="Arial"/>
        </w:rPr>
      </w:pPr>
      <w:r>
        <w:br w:type="page"/>
      </w:r>
      <w:r>
        <w:rPr>
          <w:rFonts w:ascii="Arial" w:cs="Arial" w:eastAsia="Arial" w:hAnsi="Arial"/>
        </w:rPr>
        <w:t>References</w:t>
      </w:r>
    </w:p>
    <w:p w14:paraId="00000064">
      <w:pPr>
        <w:pStyle w:val="style0"/>
        <w:spacing w:lineRule="auto" w:line="360"/>
        <w:jc w:val="both"/>
        <w:rPr>
          <w:b/>
          <w:bCs/>
          <w:sz w:val="24"/>
          <w:szCs w:val="24"/>
        </w:rPr>
      </w:pPr>
      <w:r>
        <w:rPr>
          <w:sz w:val="24"/>
          <w:szCs w:val="24"/>
        </w:rPr>
        <w:t xml:space="preserve">Ang, M. L. E., Owen, J. R., Gibbins, C. N., Lèbre, É., Kemp, D., Saputra, M. R. U., ... and Lechner, A. M. (2023). Systematic review of GIS and remote sensing applications for assessing the socioeconomic impacts of mining. </w:t>
      </w:r>
      <w:r>
        <w:rPr>
          <w:i/>
          <w:iCs/>
          <w:sz w:val="24"/>
          <w:szCs w:val="24"/>
        </w:rPr>
        <w:t>The Journal of Environment &amp; Development</w:t>
      </w:r>
      <w:r>
        <w:rPr>
          <w:sz w:val="24"/>
          <w:szCs w:val="24"/>
        </w:rPr>
        <w:t xml:space="preserve">, </w:t>
      </w:r>
      <w:r>
        <w:rPr>
          <w:i/>
          <w:iCs/>
          <w:sz w:val="24"/>
          <w:szCs w:val="24"/>
        </w:rPr>
        <w:t>32</w:t>
      </w:r>
      <w:r>
        <w:rPr>
          <w:sz w:val="24"/>
          <w:szCs w:val="24"/>
        </w:rPr>
        <w:t>(3), pp.243-273.</w:t>
      </w:r>
      <w:r>
        <w:rPr>
          <w:b/>
          <w:bCs/>
          <w:sz w:val="24"/>
          <w:szCs w:val="24"/>
        </w:rPr>
        <w:t xml:space="preserve"> </w:t>
      </w:r>
    </w:p>
    <w:p w14:paraId="00000065">
      <w:pPr>
        <w:pStyle w:val="style0"/>
        <w:spacing w:before="200" w:after="200" w:lineRule="auto" w:line="360"/>
        <w:jc w:val="both"/>
        <w:rPr>
          <w:sz w:val="24"/>
          <w:szCs w:val="24"/>
        </w:rPr>
      </w:pPr>
      <w:r>
        <w:rPr>
          <w:sz w:val="24"/>
          <w:szCs w:val="24"/>
        </w:rPr>
        <w:t xml:space="preserve">BHP, (2023). </w:t>
      </w:r>
      <w:r>
        <w:rPr>
          <w:i/>
          <w:iCs/>
          <w:sz w:val="24"/>
          <w:szCs w:val="24"/>
        </w:rPr>
        <w:t>Climate-related financial disclosure consultation</w:t>
      </w:r>
      <w:r>
        <w:rPr>
          <w:sz w:val="24"/>
          <w:szCs w:val="24"/>
        </w:rPr>
        <w:t xml:space="preserve">. [Online] Available at: </w:t>
      </w:r>
      <w:r>
        <w:rPr/>
        <w:fldChar w:fldCharType="begin"/>
      </w:r>
      <w:r>
        <w:instrText xml:space="preserve"> HYPERLINK "https://treasury.gov.au/sites/default/files/2023-04/c2022-314397-bhp.pdf" </w:instrText>
      </w:r>
      <w:r>
        <w:rPr/>
        <w:fldChar w:fldCharType="separate"/>
      </w:r>
      <w:r>
        <w:rPr>
          <w:color w:val="1155cc"/>
          <w:sz w:val="24"/>
          <w:szCs w:val="24"/>
          <w:u w:val="single"/>
        </w:rPr>
        <w:t>https://treasury.gov.au/sites/default/files/2023-04/c2022-314397-bhp.pdf</w:t>
      </w:r>
      <w:r>
        <w:rPr/>
        <w:fldChar w:fldCharType="end"/>
      </w:r>
      <w:r>
        <w:rPr>
          <w:sz w:val="24"/>
          <w:szCs w:val="24"/>
        </w:rPr>
        <w:t xml:space="preserve"> [Accessed on 6 October, 2026] </w:t>
      </w:r>
    </w:p>
    <w:p w14:paraId="00000066">
      <w:pPr>
        <w:pStyle w:val="style0"/>
        <w:widowControl w:val="false"/>
        <w:spacing w:before="240" w:after="240" w:lineRule="auto" w:line="360"/>
        <w:jc w:val="both"/>
        <w:rPr>
          <w:color w:val="222222"/>
          <w:sz w:val="24"/>
          <w:szCs w:val="24"/>
        </w:rPr>
      </w:pPr>
      <w:r>
        <w:rPr>
          <w:color w:val="222222"/>
          <w:sz w:val="24"/>
          <w:szCs w:val="24"/>
        </w:rPr>
        <w:t xml:space="preserve">BHP, (2025). </w:t>
      </w:r>
      <w:r>
        <w:rPr>
          <w:i/>
          <w:iCs/>
          <w:color w:val="222222"/>
          <w:sz w:val="24"/>
          <w:szCs w:val="24"/>
        </w:rPr>
        <w:t>Reimagining how we buy</w:t>
      </w:r>
      <w:r>
        <w:rPr>
          <w:color w:val="222222"/>
          <w:sz w:val="24"/>
          <w:szCs w:val="24"/>
        </w:rPr>
        <w:t>. [Online] Available at:</w:t>
      </w:r>
      <w:r>
        <w:rPr/>
        <w:fldChar w:fldCharType="begin"/>
      </w:r>
      <w:r>
        <w:instrText xml:space="preserve"> HYPERLINK "https://www.bhp.com/news/media-centre/reports-presentations/2025/10/reimagining-how-we-buy?utm_source=chatgpt.com" </w:instrText>
      </w:r>
      <w:r>
        <w:rPr/>
        <w:fldChar w:fldCharType="separate"/>
      </w:r>
      <w:r>
        <w:rPr>
          <w:color w:val="222222"/>
          <w:sz w:val="24"/>
          <w:szCs w:val="24"/>
        </w:rPr>
        <w:t xml:space="preserve"> </w:t>
      </w:r>
      <w:r>
        <w:rPr/>
        <w:fldChar w:fldCharType="end"/>
      </w:r>
      <w:r>
        <w:rPr/>
        <w:fldChar w:fldCharType="begin"/>
      </w:r>
      <w:r>
        <w:instrText xml:space="preserve"> HYPERLINK "https://www.bhp.com/news/media-centre/reports-presentations/2025/10/reimagining-how-we-buy" </w:instrText>
      </w:r>
      <w:r>
        <w:rPr/>
        <w:fldChar w:fldCharType="separate"/>
      </w:r>
      <w:r>
        <w:rPr>
          <w:color w:val="1155cc"/>
          <w:sz w:val="24"/>
          <w:szCs w:val="24"/>
          <w:u w:val="single"/>
        </w:rPr>
        <w:t>https://www.bhp.com/news/media-centre/reports-presentations/2025/10/reimagining-how-we-buy</w:t>
      </w:r>
      <w:r>
        <w:rPr/>
        <w:fldChar w:fldCharType="end"/>
      </w:r>
      <w:r>
        <w:rPr>
          <w:color w:val="222222"/>
          <w:sz w:val="24"/>
          <w:szCs w:val="24"/>
        </w:rPr>
        <w:t xml:space="preserve"> [Accessed on 8 October, 2026].</w:t>
      </w:r>
    </w:p>
    <w:p w14:paraId="00000067">
      <w:pPr>
        <w:pStyle w:val="style0"/>
        <w:widowControl w:val="false"/>
        <w:spacing w:before="240" w:after="240" w:lineRule="auto" w:line="360"/>
        <w:jc w:val="both"/>
        <w:rPr>
          <w:color w:val="222222"/>
          <w:sz w:val="24"/>
          <w:szCs w:val="24"/>
        </w:rPr>
      </w:pPr>
      <w:r>
        <w:rPr>
          <w:color w:val="222222"/>
          <w:sz w:val="24"/>
          <w:szCs w:val="24"/>
        </w:rPr>
        <w:t xml:space="preserve">BHP, (2026). </w:t>
      </w:r>
      <w:r>
        <w:rPr>
          <w:i/>
          <w:iCs/>
          <w:color w:val="222222"/>
          <w:sz w:val="24"/>
          <w:szCs w:val="24"/>
        </w:rPr>
        <w:t>Annual Report 2026</w:t>
      </w:r>
      <w:r>
        <w:rPr>
          <w:color w:val="222222"/>
          <w:sz w:val="24"/>
          <w:szCs w:val="24"/>
        </w:rPr>
        <w:t>. [Online] Available at:</w:t>
      </w:r>
      <w:r>
        <w:rPr/>
        <w:fldChar w:fldCharType="begin"/>
      </w:r>
      <w:r>
        <w:instrText xml:space="preserve"> HYPERLINK "https://www.bhp.com/investor-centre/reports-and-presentations/annual-report?utm_source=chatgpt.com" </w:instrText>
      </w:r>
      <w:r>
        <w:rPr/>
        <w:fldChar w:fldCharType="separate"/>
      </w:r>
      <w:r>
        <w:rPr>
          <w:color w:val="222222"/>
          <w:sz w:val="24"/>
          <w:szCs w:val="24"/>
        </w:rPr>
        <w:t xml:space="preserve"> </w:t>
      </w:r>
      <w:r>
        <w:rPr/>
        <w:fldChar w:fldCharType="end"/>
      </w:r>
      <w:r>
        <w:rPr/>
        <w:fldChar w:fldCharType="begin"/>
      </w:r>
      <w:r>
        <w:instrText xml:space="preserve"> HYPERLINK "https://www.bhp.com/investor-centre/reports-and-presentations/annual-report" </w:instrText>
      </w:r>
      <w:r>
        <w:rPr/>
        <w:fldChar w:fldCharType="separate"/>
      </w:r>
      <w:r>
        <w:rPr>
          <w:color w:val="1155cc"/>
          <w:sz w:val="24"/>
          <w:szCs w:val="24"/>
          <w:u w:val="single"/>
        </w:rPr>
        <w:t>https://www.bhp.com/investor-centre/reports-and-presentations/annual-report</w:t>
      </w:r>
      <w:r>
        <w:rPr/>
        <w:fldChar w:fldCharType="end"/>
      </w:r>
      <w:r>
        <w:rPr>
          <w:color w:val="222222"/>
          <w:sz w:val="24"/>
          <w:szCs w:val="24"/>
        </w:rPr>
        <w:t xml:space="preserve"> [Accessed on 8 October, 2026].</w:t>
      </w:r>
    </w:p>
    <w:p w14:paraId="00000068">
      <w:pPr>
        <w:pStyle w:val="style0"/>
        <w:widowControl w:val="false"/>
        <w:spacing w:before="240" w:after="240" w:lineRule="auto" w:line="360"/>
        <w:jc w:val="both"/>
        <w:rPr>
          <w:color w:val="222222"/>
          <w:sz w:val="24"/>
          <w:szCs w:val="24"/>
        </w:rPr>
      </w:pPr>
      <w:r>
        <w:rPr>
          <w:color w:val="222222"/>
          <w:sz w:val="24"/>
          <w:szCs w:val="24"/>
        </w:rPr>
        <w:t xml:space="preserve">BHP, (2026). </w:t>
      </w:r>
      <w:r>
        <w:rPr>
          <w:i/>
          <w:iCs/>
          <w:color w:val="222222"/>
          <w:sz w:val="24"/>
          <w:szCs w:val="24"/>
        </w:rPr>
        <w:t>BHP Results for the full year ended 30 June 2026</w:t>
      </w:r>
      <w:r>
        <w:rPr>
          <w:color w:val="222222"/>
          <w:sz w:val="24"/>
          <w:szCs w:val="24"/>
        </w:rPr>
        <w:t>. [Online] Available at:</w:t>
      </w:r>
      <w:r>
        <w:rPr/>
        <w:fldChar w:fldCharType="begin"/>
      </w:r>
      <w:r>
        <w:instrText xml:space="preserve"> HYPERLINK "https://www.bhp.com/news/media-centre/releases/2026/08/bhp-results-for-the-full-year-ended-30-june-2026?utm_source=chatgpt.com" </w:instrText>
      </w:r>
      <w:r>
        <w:rPr/>
        <w:fldChar w:fldCharType="separate"/>
      </w:r>
      <w:r>
        <w:rPr>
          <w:color w:val="222222"/>
          <w:sz w:val="24"/>
          <w:szCs w:val="24"/>
        </w:rPr>
        <w:t xml:space="preserve"> </w:t>
      </w:r>
      <w:r>
        <w:rPr/>
        <w:fldChar w:fldCharType="end"/>
      </w:r>
      <w:r>
        <w:rPr/>
        <w:fldChar w:fldCharType="begin"/>
      </w:r>
      <w:r>
        <w:instrText xml:space="preserve"> HYPERLINK "https://www.bhp.com/news/media-centre/releases/2026/08/bhp-results-for-the-full-year-ended-30-june-2026" </w:instrText>
      </w:r>
      <w:r>
        <w:rPr/>
        <w:fldChar w:fldCharType="separate"/>
      </w:r>
      <w:r>
        <w:rPr>
          <w:color w:val="1155cc"/>
          <w:sz w:val="24"/>
          <w:szCs w:val="24"/>
          <w:u w:val="single"/>
        </w:rPr>
        <w:t>https://www.bhp.com/news/media-centre/releases/2026/08/bhp-results-for-the-full-year-ended-30-june-2026</w:t>
      </w:r>
      <w:r>
        <w:rPr/>
        <w:fldChar w:fldCharType="end"/>
      </w:r>
      <w:r>
        <w:rPr>
          <w:color w:val="222222"/>
          <w:sz w:val="24"/>
          <w:szCs w:val="24"/>
        </w:rPr>
        <w:t xml:space="preserve"> [Accessed on 8 October, 2026].</w:t>
      </w:r>
    </w:p>
    <w:p w14:paraId="00000069">
      <w:pPr>
        <w:pStyle w:val="style0"/>
        <w:widowControl w:val="false"/>
        <w:spacing w:before="240" w:after="240" w:lineRule="auto" w:line="360"/>
        <w:jc w:val="both"/>
        <w:rPr>
          <w:color w:val="222222"/>
          <w:sz w:val="24"/>
          <w:szCs w:val="24"/>
        </w:rPr>
      </w:pPr>
      <w:r>
        <w:rPr>
          <w:color w:val="222222"/>
          <w:sz w:val="24"/>
          <w:szCs w:val="24"/>
        </w:rPr>
        <w:t xml:space="preserve">BHP, (2026). </w:t>
      </w:r>
      <w:r>
        <w:rPr>
          <w:i/>
          <w:iCs/>
          <w:color w:val="222222"/>
          <w:sz w:val="24"/>
          <w:szCs w:val="24"/>
        </w:rPr>
        <w:t>Copper Growth</w:t>
      </w:r>
      <w:r>
        <w:rPr>
          <w:color w:val="222222"/>
          <w:sz w:val="24"/>
          <w:szCs w:val="24"/>
        </w:rPr>
        <w:t>. [Online] Available at:</w:t>
      </w:r>
      <w:r>
        <w:rPr/>
        <w:fldChar w:fldCharType="begin"/>
      </w:r>
      <w:r>
        <w:instrText xml:space="preserve"> HYPERLINK "https://www.bhp.com/coppergrowth?utm_source=chatgpt.com" </w:instrText>
      </w:r>
      <w:r>
        <w:rPr/>
        <w:fldChar w:fldCharType="separate"/>
      </w:r>
      <w:r>
        <w:rPr>
          <w:color w:val="222222"/>
          <w:sz w:val="24"/>
          <w:szCs w:val="24"/>
        </w:rPr>
        <w:t xml:space="preserve"> </w:t>
      </w:r>
      <w:r>
        <w:rPr/>
        <w:fldChar w:fldCharType="end"/>
      </w:r>
      <w:r>
        <w:rPr/>
        <w:fldChar w:fldCharType="begin"/>
      </w:r>
      <w:r>
        <w:instrText xml:space="preserve"> HYPERLINK "https://www.bhp.com/coppergrowth" </w:instrText>
      </w:r>
      <w:r>
        <w:rPr/>
        <w:fldChar w:fldCharType="separate"/>
      </w:r>
      <w:r>
        <w:rPr>
          <w:color w:val="1155cc"/>
          <w:sz w:val="24"/>
          <w:szCs w:val="24"/>
          <w:u w:val="single"/>
        </w:rPr>
        <w:t>https://www.bhp.com/coppergrowth</w:t>
      </w:r>
      <w:r>
        <w:rPr/>
        <w:fldChar w:fldCharType="end"/>
      </w:r>
      <w:r>
        <w:rPr>
          <w:color w:val="222222"/>
          <w:sz w:val="24"/>
          <w:szCs w:val="24"/>
        </w:rPr>
        <w:t xml:space="preserve"> [Accessed on 8 October, 2026].</w:t>
      </w:r>
    </w:p>
    <w:p w14:paraId="0000006A">
      <w:pPr>
        <w:pStyle w:val="style0"/>
        <w:widowControl w:val="false"/>
        <w:spacing w:before="240" w:after="240" w:lineRule="auto" w:line="360"/>
        <w:jc w:val="both"/>
        <w:rPr>
          <w:color w:val="222222"/>
          <w:sz w:val="24"/>
          <w:szCs w:val="24"/>
        </w:rPr>
      </w:pPr>
      <w:r>
        <w:rPr>
          <w:color w:val="222222"/>
          <w:sz w:val="24"/>
          <w:szCs w:val="24"/>
        </w:rPr>
        <w:t xml:space="preserve">BHP, (2026). </w:t>
      </w:r>
      <w:r>
        <w:rPr>
          <w:i/>
          <w:iCs/>
          <w:color w:val="222222"/>
          <w:sz w:val="24"/>
          <w:szCs w:val="24"/>
        </w:rPr>
        <w:t>Economic and Commodity Outlook</w:t>
      </w:r>
      <w:r>
        <w:rPr>
          <w:color w:val="222222"/>
          <w:sz w:val="24"/>
          <w:szCs w:val="24"/>
        </w:rPr>
        <w:t>. [Online] Available at:</w:t>
      </w:r>
      <w:r>
        <w:rPr/>
        <w:fldChar w:fldCharType="begin"/>
      </w:r>
      <w:r>
        <w:instrText xml:space="preserve"> HYPERLINK "https://www.bhp.com/investor-centre/reports-and-presentations/economic-and-commodity-outlook/2026/08/economic-and-commodity-outlook?utm_source=chatgpt.com" </w:instrText>
      </w:r>
      <w:r>
        <w:rPr/>
        <w:fldChar w:fldCharType="separate"/>
      </w:r>
      <w:r>
        <w:rPr>
          <w:color w:val="222222"/>
          <w:sz w:val="24"/>
          <w:szCs w:val="24"/>
        </w:rPr>
        <w:t xml:space="preserve"> </w:t>
      </w:r>
      <w:r>
        <w:rPr/>
        <w:fldChar w:fldCharType="end"/>
      </w:r>
      <w:r>
        <w:rPr/>
        <w:fldChar w:fldCharType="begin"/>
      </w:r>
      <w:r>
        <w:instrText xml:space="preserve"> HYPERLINK "https://www.bhp.com/investor-centre/reports-and-presentations/economic-and-commodity-outlook/2026/08/economic-and-commodity-outlook" </w:instrText>
      </w:r>
      <w:r>
        <w:rPr/>
        <w:fldChar w:fldCharType="separate"/>
      </w:r>
      <w:r>
        <w:rPr>
          <w:color w:val="1155cc"/>
          <w:sz w:val="24"/>
          <w:szCs w:val="24"/>
          <w:u w:val="single"/>
        </w:rPr>
        <w:t>https://www.bhp.com/investor-centre/reports-and-presentations/economic-and-commodity-outlook/2026/08/economic-and-commodity-outlook</w:t>
      </w:r>
      <w:r>
        <w:rPr/>
        <w:fldChar w:fldCharType="end"/>
      </w:r>
      <w:r>
        <w:rPr>
          <w:color w:val="222222"/>
          <w:sz w:val="24"/>
          <w:szCs w:val="24"/>
        </w:rPr>
        <w:t xml:space="preserve"> [Accessed on 8 October, 2026].</w:t>
      </w:r>
    </w:p>
    <w:p w14:paraId="0000006B">
      <w:pPr>
        <w:pStyle w:val="style0"/>
        <w:widowControl w:val="false"/>
        <w:spacing w:before="240" w:after="240" w:lineRule="auto" w:line="360"/>
        <w:jc w:val="both"/>
        <w:rPr>
          <w:color w:val="222222"/>
          <w:sz w:val="24"/>
          <w:szCs w:val="24"/>
        </w:rPr>
      </w:pPr>
      <w:r>
        <w:rPr>
          <w:color w:val="222222"/>
          <w:sz w:val="24"/>
          <w:szCs w:val="24"/>
        </w:rPr>
        <w:t xml:space="preserve">BHP, (2026). </w:t>
      </w:r>
      <w:r>
        <w:rPr>
          <w:i/>
          <w:iCs/>
          <w:color w:val="222222"/>
          <w:sz w:val="24"/>
          <w:szCs w:val="24"/>
        </w:rPr>
        <w:t>Implementing copper cables with environmental value from lower GHG copper ore</w:t>
      </w:r>
      <w:r>
        <w:rPr>
          <w:color w:val="222222"/>
          <w:sz w:val="24"/>
          <w:szCs w:val="24"/>
        </w:rPr>
        <w:t>. [Online] Available at:</w:t>
      </w:r>
      <w:r>
        <w:rPr/>
        <w:fldChar w:fldCharType="begin"/>
      </w:r>
      <w:r>
        <w:instrText xml:space="preserve"> HYPERLINK "https://www.bhp.com/news/media-centre/releases/2026/07/implementing-copper-cables-with-environmental-value-from-lower-ghg-copper-ore?utm_source=chatgpt.com" </w:instrText>
      </w:r>
      <w:r>
        <w:rPr/>
        <w:fldChar w:fldCharType="separate"/>
      </w:r>
      <w:r>
        <w:rPr>
          <w:color w:val="222222"/>
          <w:sz w:val="24"/>
          <w:szCs w:val="24"/>
        </w:rPr>
        <w:t xml:space="preserve"> </w:t>
      </w:r>
      <w:r>
        <w:rPr/>
        <w:fldChar w:fldCharType="end"/>
      </w:r>
      <w:r>
        <w:rPr/>
        <w:fldChar w:fldCharType="begin"/>
      </w:r>
      <w:r>
        <w:instrText xml:space="preserve"> HYPERLINK "https://www.bhp.com/news/media-centre/releases/2026/07/implementing-copper-cables-with-environmental-value-from-lower-ghg-copper-ore" </w:instrText>
      </w:r>
      <w:r>
        <w:rPr/>
        <w:fldChar w:fldCharType="separate"/>
      </w:r>
      <w:r>
        <w:rPr>
          <w:color w:val="1155cc"/>
          <w:sz w:val="24"/>
          <w:szCs w:val="24"/>
          <w:u w:val="single"/>
        </w:rPr>
        <w:t>https://www.bhp.com/news/media-centre/releases/2026/07/implementing-copper-cables-with-environmental-value-from-lower-ghg-copper-ore</w:t>
      </w:r>
      <w:r>
        <w:rPr/>
        <w:fldChar w:fldCharType="end"/>
      </w:r>
      <w:r>
        <w:rPr>
          <w:color w:val="222222"/>
          <w:sz w:val="24"/>
          <w:szCs w:val="24"/>
        </w:rPr>
        <w:t xml:space="preserve"> [Accessed on 8 October, 2026].</w:t>
      </w:r>
    </w:p>
    <w:p w14:paraId="0000006C">
      <w:pPr>
        <w:pStyle w:val="style0"/>
        <w:widowControl w:val="false"/>
        <w:spacing w:before="240" w:after="240" w:lineRule="auto" w:line="360"/>
        <w:jc w:val="both"/>
        <w:rPr>
          <w:color w:val="222222"/>
          <w:sz w:val="24"/>
          <w:szCs w:val="24"/>
        </w:rPr>
      </w:pPr>
      <w:r>
        <w:rPr>
          <w:color w:val="222222"/>
          <w:sz w:val="24"/>
          <w:szCs w:val="24"/>
        </w:rPr>
        <w:t xml:space="preserve">BHP, (2026). </w:t>
      </w:r>
      <w:r>
        <w:rPr>
          <w:i/>
          <w:iCs/>
          <w:color w:val="222222"/>
          <w:sz w:val="24"/>
          <w:szCs w:val="24"/>
        </w:rPr>
        <w:t>Industry-first pilot for lower emissions copper market</w:t>
      </w:r>
      <w:r>
        <w:rPr>
          <w:color w:val="222222"/>
          <w:sz w:val="24"/>
          <w:szCs w:val="24"/>
        </w:rPr>
        <w:t>. [Online] Available at:</w:t>
      </w:r>
      <w:r>
        <w:rPr/>
        <w:fldChar w:fldCharType="begin"/>
      </w:r>
      <w:r>
        <w:instrText xml:space="preserve"> HYPERLINK "https://www.bhp.com/news/media-centre/releases/2026/09/industry-first-pilot-for-lower-emissions-copper-market?utm_source=chatgpt.com" </w:instrText>
      </w:r>
      <w:r>
        <w:rPr/>
        <w:fldChar w:fldCharType="separate"/>
      </w:r>
      <w:r>
        <w:rPr>
          <w:color w:val="222222"/>
          <w:sz w:val="24"/>
          <w:szCs w:val="24"/>
        </w:rPr>
        <w:t xml:space="preserve"> </w:t>
      </w:r>
      <w:r>
        <w:rPr/>
        <w:fldChar w:fldCharType="end"/>
      </w:r>
      <w:r>
        <w:rPr/>
        <w:fldChar w:fldCharType="begin"/>
      </w:r>
      <w:r>
        <w:instrText xml:space="preserve"> HYPERLINK "https://www.bhp.com/news/media-centre/releases/2026/09/industry-first-pilot-for-lower-emissions-copper-market" </w:instrText>
      </w:r>
      <w:r>
        <w:rPr/>
        <w:fldChar w:fldCharType="separate"/>
      </w:r>
      <w:r>
        <w:rPr>
          <w:color w:val="1155cc"/>
          <w:sz w:val="24"/>
          <w:szCs w:val="24"/>
          <w:u w:val="single"/>
        </w:rPr>
        <w:t>https://www.bhp.com/news/media-centre/releases/2026/09/industry-first-pilot-for-lower-emissions-copper-market</w:t>
      </w:r>
      <w:r>
        <w:rPr/>
        <w:fldChar w:fldCharType="end"/>
      </w:r>
      <w:r>
        <w:rPr>
          <w:color w:val="222222"/>
          <w:sz w:val="24"/>
          <w:szCs w:val="24"/>
        </w:rPr>
        <w:t xml:space="preserve"> [Accessed on 8 October, 2026].</w:t>
      </w:r>
    </w:p>
    <w:p w14:paraId="0000006D">
      <w:pPr>
        <w:pStyle w:val="style0"/>
        <w:spacing w:before="200" w:after="200" w:lineRule="auto" w:line="360"/>
        <w:jc w:val="both"/>
        <w:rPr>
          <w:sz w:val="24"/>
          <w:szCs w:val="24"/>
        </w:rPr>
      </w:pPr>
      <w:r>
        <w:rPr>
          <w:sz w:val="24"/>
          <w:szCs w:val="24"/>
        </w:rPr>
        <w:t xml:space="preserve">DCCEEW, (2026). </w:t>
      </w:r>
      <w:r>
        <w:rPr>
          <w:i/>
          <w:iCs/>
          <w:sz w:val="24"/>
          <w:szCs w:val="24"/>
        </w:rPr>
        <w:t>Safeguard Mechanism.</w:t>
      </w:r>
      <w:r>
        <w:rPr>
          <w:sz w:val="24"/>
          <w:szCs w:val="24"/>
        </w:rPr>
        <w:t xml:space="preserve"> [Online] Available at: </w:t>
      </w:r>
      <w:r>
        <w:rPr/>
        <w:fldChar w:fldCharType="begin"/>
      </w:r>
      <w:r>
        <w:instrText xml:space="preserve"> HYPERLINK "https://www.dcceew.gov.au/climate-change/emissions-reporting/national-greenhouse-energy-reporting-scheme/safeguard-mechanism" </w:instrText>
      </w:r>
      <w:r>
        <w:rPr/>
        <w:fldChar w:fldCharType="separate"/>
      </w:r>
      <w:r>
        <w:rPr>
          <w:color w:val="1155cc"/>
          <w:sz w:val="24"/>
          <w:szCs w:val="24"/>
          <w:u w:val="single"/>
        </w:rPr>
        <w:t>https://www.dcceew.gov.au/climate-change/emissions-reporting/national-greenhouse-energy-reporting-scheme/safeguard-mechanism</w:t>
      </w:r>
      <w:r>
        <w:rPr/>
        <w:fldChar w:fldCharType="end"/>
      </w:r>
      <w:r>
        <w:rPr>
          <w:sz w:val="24"/>
          <w:szCs w:val="24"/>
        </w:rPr>
        <w:t xml:space="preserve"> [Accessed on 6 October, 2026] </w:t>
      </w:r>
    </w:p>
    <w:p w14:paraId="0000006E">
      <w:pPr>
        <w:pStyle w:val="style0"/>
        <w:spacing w:before="200" w:after="200" w:lineRule="auto" w:line="360"/>
        <w:jc w:val="both"/>
        <w:rPr>
          <w:sz w:val="24"/>
          <w:szCs w:val="24"/>
        </w:rPr>
      </w:pPr>
      <w:r>
        <w:rPr>
          <w:sz w:val="24"/>
          <w:szCs w:val="24"/>
        </w:rPr>
        <w:t xml:space="preserve">DCCEEW, (2026). </w:t>
      </w:r>
      <w:r>
        <w:rPr>
          <w:i/>
          <w:iCs/>
          <w:sz w:val="24"/>
          <w:szCs w:val="24"/>
        </w:rPr>
        <w:t>Stronger environmental protection and restoration.</w:t>
      </w:r>
      <w:r>
        <w:rPr>
          <w:sz w:val="24"/>
          <w:szCs w:val="24"/>
        </w:rPr>
        <w:t xml:space="preserve"> [Online] Available at: </w:t>
      </w:r>
      <w:r>
        <w:rPr/>
        <w:fldChar w:fldCharType="begin"/>
      </w:r>
      <w:r>
        <w:instrText xml:space="preserve"> HYPERLINK "https://www.dcceew.gov.au/environment/epbc/epbc-act-reform/stronger-environmental-protection-restoration" </w:instrText>
      </w:r>
      <w:r>
        <w:rPr/>
        <w:fldChar w:fldCharType="separate"/>
      </w:r>
      <w:r>
        <w:rPr>
          <w:color w:val="1155cc"/>
          <w:sz w:val="24"/>
          <w:szCs w:val="24"/>
          <w:u w:val="single"/>
        </w:rPr>
        <w:t>https://www.dcceew.gov.au/environment/epbc/epbc-act-reform/stronger-environmental-protection-restoration</w:t>
      </w:r>
      <w:r>
        <w:rPr/>
        <w:fldChar w:fldCharType="end"/>
      </w:r>
      <w:r>
        <w:rPr>
          <w:sz w:val="24"/>
          <w:szCs w:val="24"/>
        </w:rPr>
        <w:t xml:space="preserve"> [Accessed on 6 October, 2026] </w:t>
      </w:r>
    </w:p>
    <w:p w14:paraId="0000006F">
      <w:pPr>
        <w:pStyle w:val="style0"/>
        <w:spacing w:before="200" w:after="200" w:lineRule="auto" w:line="360"/>
        <w:jc w:val="both"/>
        <w:rPr>
          <w:sz w:val="24"/>
          <w:szCs w:val="24"/>
        </w:rPr>
      </w:pPr>
      <w:r>
        <w:rPr>
          <w:sz w:val="24"/>
          <w:szCs w:val="24"/>
        </w:rPr>
        <w:t xml:space="preserve">GMK Center, (2026). </w:t>
      </w:r>
      <w:r>
        <w:rPr>
          <w:i/>
          <w:iCs/>
          <w:sz w:val="24"/>
          <w:szCs w:val="24"/>
        </w:rPr>
        <w:t>BHP needs to review its ineffective decarbonisation strategy – IEEFA.</w:t>
      </w:r>
      <w:r>
        <w:rPr>
          <w:sz w:val="24"/>
          <w:szCs w:val="24"/>
        </w:rPr>
        <w:t xml:space="preserve"> [Online] Available at: </w:t>
      </w:r>
      <w:r>
        <w:rPr/>
        <w:fldChar w:fldCharType="begin"/>
      </w:r>
      <w:r>
        <w:instrText xml:space="preserve"> HYPERLINK "https://gmk.center/en/news/bhp-needs-to-review-its-ineffective-decarbonisation-strategy-ieefa/" </w:instrText>
      </w:r>
      <w:r>
        <w:rPr/>
        <w:fldChar w:fldCharType="separate"/>
      </w:r>
      <w:r>
        <w:rPr>
          <w:color w:val="1155cc"/>
          <w:sz w:val="24"/>
          <w:szCs w:val="24"/>
          <w:u w:val="single"/>
        </w:rPr>
        <w:t>https://gmk.center/en/news/bhp-needs-to-review-its-ineffective-decarbonisation-strategy-ieefa/</w:t>
      </w:r>
      <w:r>
        <w:rPr/>
        <w:fldChar w:fldCharType="end"/>
      </w:r>
      <w:r>
        <w:rPr>
          <w:sz w:val="24"/>
          <w:szCs w:val="24"/>
        </w:rPr>
        <w:t xml:space="preserve"> [Accessed on 6 October, 2026] </w:t>
      </w:r>
    </w:p>
    <w:p w14:paraId="00000070">
      <w:pPr>
        <w:pStyle w:val="style0"/>
        <w:widowControl w:val="false"/>
        <w:spacing w:before="240" w:after="240" w:lineRule="auto" w:line="360"/>
        <w:jc w:val="both"/>
        <w:rPr>
          <w:color w:val="222222"/>
          <w:sz w:val="24"/>
          <w:szCs w:val="24"/>
        </w:rPr>
      </w:pPr>
      <w:r>
        <w:rPr>
          <w:color w:val="222222"/>
          <w:sz w:val="24"/>
          <w:szCs w:val="24"/>
        </w:rPr>
        <w:t xml:space="preserve">HBS, (2026). </w:t>
      </w:r>
      <w:r>
        <w:rPr>
          <w:i/>
          <w:iCs/>
          <w:color w:val="222222"/>
          <w:sz w:val="24"/>
          <w:szCs w:val="24"/>
        </w:rPr>
        <w:t>Strategy and Competitive Advantage</w:t>
      </w:r>
      <w:r>
        <w:rPr>
          <w:color w:val="222222"/>
          <w:sz w:val="24"/>
          <w:szCs w:val="24"/>
        </w:rPr>
        <w:t>. [Online] Available at:</w:t>
      </w:r>
      <w:r>
        <w:rPr/>
        <w:fldChar w:fldCharType="begin"/>
      </w:r>
      <w:r>
        <w:instrText xml:space="preserve"> HYPERLINK "https://www.isc.hbs.edu/strategy/business-strategy/Pages/default.aspx?utm_source=chatgpt.com" </w:instrText>
      </w:r>
      <w:r>
        <w:rPr/>
        <w:fldChar w:fldCharType="separate"/>
      </w:r>
      <w:r>
        <w:rPr>
          <w:color w:val="222222"/>
          <w:sz w:val="24"/>
          <w:szCs w:val="24"/>
        </w:rPr>
        <w:t xml:space="preserve"> </w:t>
      </w:r>
      <w:r>
        <w:rPr/>
        <w:fldChar w:fldCharType="end"/>
      </w:r>
      <w:r>
        <w:rPr/>
        <w:fldChar w:fldCharType="begin"/>
      </w:r>
      <w:r>
        <w:instrText xml:space="preserve"> HYPERLINK "https://www.isc.hbs.edu/strategy/business-strategy/Pages/default.aspx" </w:instrText>
      </w:r>
      <w:r>
        <w:rPr/>
        <w:fldChar w:fldCharType="separate"/>
      </w:r>
      <w:r>
        <w:rPr>
          <w:color w:val="1155cc"/>
          <w:sz w:val="24"/>
          <w:szCs w:val="24"/>
          <w:u w:val="single"/>
        </w:rPr>
        <w:t>https://www.isc.hbs.edu/strategy/business-strategy/Pages/default.aspx</w:t>
      </w:r>
      <w:r>
        <w:rPr/>
        <w:fldChar w:fldCharType="end"/>
      </w:r>
      <w:r>
        <w:rPr>
          <w:color w:val="222222"/>
          <w:sz w:val="24"/>
          <w:szCs w:val="24"/>
        </w:rPr>
        <w:t xml:space="preserve"> [Accessed on 8 October, 2026].</w:t>
      </w:r>
    </w:p>
    <w:p w14:paraId="00000071">
      <w:pPr>
        <w:pStyle w:val="style0"/>
        <w:widowControl w:val="false"/>
        <w:spacing w:before="240" w:after="240" w:lineRule="auto" w:line="360"/>
        <w:jc w:val="both"/>
        <w:rPr>
          <w:color w:val="222222"/>
          <w:sz w:val="24"/>
          <w:szCs w:val="24"/>
        </w:rPr>
      </w:pPr>
      <w:r>
        <w:rPr>
          <w:color w:val="222222"/>
          <w:sz w:val="24"/>
          <w:szCs w:val="24"/>
        </w:rPr>
        <w:t xml:space="preserve">IEA, (2024). </w:t>
      </w:r>
      <w:r>
        <w:rPr>
          <w:i/>
          <w:iCs/>
          <w:color w:val="222222"/>
          <w:sz w:val="24"/>
          <w:szCs w:val="24"/>
        </w:rPr>
        <w:t>Copper</w:t>
      </w:r>
      <w:r>
        <w:rPr>
          <w:color w:val="222222"/>
          <w:sz w:val="24"/>
          <w:szCs w:val="24"/>
        </w:rPr>
        <w:t>. [Online] Available at:</w:t>
      </w:r>
      <w:r>
        <w:rPr/>
        <w:fldChar w:fldCharType="begin"/>
      </w:r>
      <w:r>
        <w:instrText xml:space="preserve"> HYPERLINK "https://www.iea.org/reports/copper?utm_source=chatgpt.com" </w:instrText>
      </w:r>
      <w:r>
        <w:rPr/>
        <w:fldChar w:fldCharType="separate"/>
      </w:r>
      <w:r>
        <w:rPr>
          <w:color w:val="222222"/>
          <w:sz w:val="24"/>
          <w:szCs w:val="24"/>
        </w:rPr>
        <w:t xml:space="preserve"> </w:t>
      </w:r>
      <w:r>
        <w:rPr/>
        <w:fldChar w:fldCharType="end"/>
      </w:r>
      <w:r>
        <w:rPr/>
        <w:fldChar w:fldCharType="begin"/>
      </w:r>
      <w:r>
        <w:instrText xml:space="preserve"> HYPERLINK "https://www.iea.org/reports/copper" </w:instrText>
      </w:r>
      <w:r>
        <w:rPr/>
        <w:fldChar w:fldCharType="separate"/>
      </w:r>
      <w:r>
        <w:rPr>
          <w:color w:val="1155cc"/>
          <w:sz w:val="24"/>
          <w:szCs w:val="24"/>
          <w:u w:val="single"/>
        </w:rPr>
        <w:t>https://www.iea.org/reports/copper</w:t>
      </w:r>
      <w:r>
        <w:rPr/>
        <w:fldChar w:fldCharType="end"/>
      </w:r>
      <w:r>
        <w:rPr>
          <w:color w:val="222222"/>
          <w:sz w:val="24"/>
          <w:szCs w:val="24"/>
        </w:rPr>
        <w:t xml:space="preserve"> [Accessed on 8 October, 2026].</w:t>
      </w:r>
    </w:p>
    <w:p w14:paraId="00000072">
      <w:pPr>
        <w:pStyle w:val="style0"/>
        <w:widowControl w:val="false"/>
        <w:spacing w:before="240" w:after="240" w:lineRule="auto" w:line="360"/>
        <w:jc w:val="both"/>
        <w:rPr>
          <w:color w:val="222222"/>
          <w:sz w:val="24"/>
          <w:szCs w:val="24"/>
        </w:rPr>
      </w:pPr>
      <w:r>
        <w:rPr>
          <w:color w:val="222222"/>
          <w:sz w:val="24"/>
          <w:szCs w:val="24"/>
        </w:rPr>
        <w:t xml:space="preserve">IPCC, (2023). </w:t>
      </w:r>
      <w:r>
        <w:rPr>
          <w:i/>
          <w:iCs/>
          <w:color w:val="222222"/>
          <w:sz w:val="24"/>
          <w:szCs w:val="24"/>
        </w:rPr>
        <w:t>Climate Change 2023: Synthesis Report</w:t>
      </w:r>
      <w:r>
        <w:rPr>
          <w:color w:val="222222"/>
          <w:sz w:val="24"/>
          <w:szCs w:val="24"/>
        </w:rPr>
        <w:t>. [Online] Available at:</w:t>
      </w:r>
      <w:r>
        <w:rPr/>
        <w:fldChar w:fldCharType="begin"/>
      </w:r>
      <w:r>
        <w:instrText xml:space="preserve"> HYPERLINK "https://www.ipcc.ch/report/ar6/syr/?utm_source=chatgpt.com" </w:instrText>
      </w:r>
      <w:r>
        <w:rPr/>
        <w:fldChar w:fldCharType="separate"/>
      </w:r>
      <w:r>
        <w:rPr>
          <w:color w:val="222222"/>
          <w:sz w:val="24"/>
          <w:szCs w:val="24"/>
        </w:rPr>
        <w:t xml:space="preserve"> </w:t>
      </w:r>
      <w:r>
        <w:rPr/>
        <w:fldChar w:fldCharType="end"/>
      </w:r>
      <w:r>
        <w:rPr/>
        <w:fldChar w:fldCharType="begin"/>
      </w:r>
      <w:r>
        <w:instrText xml:space="preserve"> HYPERLINK "https://www.ipcc.ch/report/ar6/syr/" </w:instrText>
      </w:r>
      <w:r>
        <w:rPr/>
        <w:fldChar w:fldCharType="separate"/>
      </w:r>
      <w:r>
        <w:rPr>
          <w:color w:val="1155cc"/>
          <w:sz w:val="24"/>
          <w:szCs w:val="24"/>
          <w:u w:val="single"/>
        </w:rPr>
        <w:t>https://www.ipcc.ch/report/ar6/syr/</w:t>
      </w:r>
      <w:r>
        <w:rPr/>
        <w:fldChar w:fldCharType="end"/>
      </w:r>
      <w:r>
        <w:rPr>
          <w:color w:val="222222"/>
          <w:sz w:val="24"/>
          <w:szCs w:val="24"/>
        </w:rPr>
        <w:t xml:space="preserve"> [Accessed on 8 October, 2026].</w:t>
      </w:r>
    </w:p>
    <w:p w14:paraId="00000073">
      <w:pPr>
        <w:pStyle w:val="style0"/>
        <w:widowControl w:val="false"/>
        <w:spacing w:before="240" w:after="240" w:lineRule="auto" w:line="360"/>
        <w:jc w:val="both"/>
        <w:rPr>
          <w:color w:val="222222"/>
          <w:sz w:val="24"/>
          <w:szCs w:val="24"/>
        </w:rPr>
      </w:pPr>
      <w:r>
        <w:rPr>
          <w:color w:val="222222"/>
          <w:sz w:val="24"/>
          <w:szCs w:val="24"/>
        </w:rPr>
        <w:t xml:space="preserve">Maier, R., Gerres, T., Tuerk, A. and Mey, F. (2024). Finding tipping points in the global steel sector: A comparison of companies in Australia, Austria, South Korea and the USA. </w:t>
      </w:r>
      <w:r>
        <w:rPr>
          <w:i/>
          <w:iCs/>
          <w:color w:val="222222"/>
          <w:sz w:val="24"/>
          <w:szCs w:val="24"/>
        </w:rPr>
        <w:t>Global Environmental Change</w:t>
      </w:r>
      <w:r>
        <w:rPr>
          <w:color w:val="222222"/>
          <w:sz w:val="24"/>
          <w:szCs w:val="24"/>
        </w:rPr>
        <w:t xml:space="preserve">, 86, Article 102846. </w:t>
      </w:r>
    </w:p>
    <w:p w14:paraId="00000074">
      <w:pPr>
        <w:pStyle w:val="style0"/>
        <w:widowControl w:val="false"/>
        <w:spacing w:before="240" w:after="240" w:lineRule="auto" w:line="360"/>
        <w:jc w:val="both"/>
        <w:rPr>
          <w:color w:val="222222"/>
          <w:sz w:val="24"/>
          <w:szCs w:val="24"/>
        </w:rPr>
      </w:pPr>
      <w:r>
        <w:rPr>
          <w:color w:val="222222"/>
          <w:sz w:val="24"/>
          <w:szCs w:val="24"/>
        </w:rPr>
        <w:t xml:space="preserve">Negrete, M., Fuentes, M., Kraslawski, A., Irarrazaval, F. and Herrera-León, S. (2024). Socio-environmental implications of the decarbonization of copper and lithium mining and mineral processing. </w:t>
      </w:r>
      <w:r>
        <w:rPr>
          <w:i/>
          <w:iCs/>
          <w:color w:val="222222"/>
          <w:sz w:val="24"/>
          <w:szCs w:val="24"/>
        </w:rPr>
        <w:t>Resources Policy</w:t>
      </w:r>
      <w:r>
        <w:rPr>
          <w:color w:val="222222"/>
          <w:sz w:val="24"/>
          <w:szCs w:val="24"/>
        </w:rPr>
        <w:t xml:space="preserve">, 95, Article 105135. </w:t>
      </w:r>
    </w:p>
    <w:p w14:paraId="00000075">
      <w:pPr>
        <w:pStyle w:val="style0"/>
        <w:widowControl w:val="false"/>
        <w:spacing w:before="240" w:after="240" w:lineRule="auto" w:line="360"/>
        <w:jc w:val="both"/>
        <w:rPr>
          <w:color w:val="222222"/>
          <w:sz w:val="24"/>
          <w:szCs w:val="24"/>
        </w:rPr>
      </w:pPr>
      <w:r>
        <w:rPr>
          <w:color w:val="222222"/>
          <w:sz w:val="24"/>
          <w:szCs w:val="24"/>
        </w:rPr>
        <w:t xml:space="preserve">Radebe, N. and Chipangamate, N.S. (2024). Mining industry risks, and future critical minerals and metals supply chain resilience in emerging markets. </w:t>
      </w:r>
      <w:r>
        <w:rPr>
          <w:i/>
          <w:iCs/>
          <w:color w:val="222222"/>
          <w:sz w:val="24"/>
          <w:szCs w:val="24"/>
        </w:rPr>
        <w:t>Resources Policy</w:t>
      </w:r>
      <w:r>
        <w:rPr>
          <w:color w:val="222222"/>
          <w:sz w:val="24"/>
          <w:szCs w:val="24"/>
        </w:rPr>
        <w:t xml:space="preserve">, 91, Article 104887. </w:t>
      </w:r>
    </w:p>
    <w:p w14:paraId="00000076">
      <w:pPr>
        <w:pStyle w:val="style0"/>
        <w:widowControl w:val="false"/>
        <w:spacing w:before="240" w:after="240" w:lineRule="auto" w:line="360"/>
        <w:jc w:val="both"/>
        <w:rPr>
          <w:color w:val="222222"/>
          <w:sz w:val="24"/>
          <w:szCs w:val="24"/>
        </w:rPr>
      </w:pPr>
      <w:r>
        <w:rPr>
          <w:color w:val="222222"/>
          <w:sz w:val="24"/>
          <w:szCs w:val="24"/>
        </w:rPr>
        <w:t xml:space="preserve">UNEP, (2024). </w:t>
      </w:r>
      <w:r>
        <w:rPr>
          <w:i/>
          <w:iCs/>
          <w:color w:val="222222"/>
          <w:sz w:val="24"/>
          <w:szCs w:val="24"/>
        </w:rPr>
        <w:t>Emissions Gap Report 2024: No more hot air … please!</w:t>
      </w:r>
      <w:r>
        <w:rPr>
          <w:color w:val="222222"/>
          <w:sz w:val="24"/>
          <w:szCs w:val="24"/>
        </w:rPr>
        <w:t>. [Online] Available at:</w:t>
      </w:r>
      <w:r>
        <w:rPr/>
        <w:fldChar w:fldCharType="begin"/>
      </w:r>
      <w:r>
        <w:instrText xml:space="preserve"> HYPERLINK "https://www.unep.org/resources/emissions-gap-report-2024?utm_source=chatgpt.com" </w:instrText>
      </w:r>
      <w:r>
        <w:rPr/>
        <w:fldChar w:fldCharType="separate"/>
      </w:r>
      <w:r>
        <w:rPr>
          <w:color w:val="222222"/>
          <w:sz w:val="24"/>
          <w:szCs w:val="24"/>
        </w:rPr>
        <w:t xml:space="preserve"> </w:t>
      </w:r>
      <w:r>
        <w:rPr/>
        <w:fldChar w:fldCharType="end"/>
      </w:r>
      <w:r>
        <w:rPr/>
        <w:fldChar w:fldCharType="begin"/>
      </w:r>
      <w:r>
        <w:instrText xml:space="preserve"> HYPERLINK "https://www.unep.org/resources/emissions-gap-report-2024" </w:instrText>
      </w:r>
      <w:r>
        <w:rPr/>
        <w:fldChar w:fldCharType="separate"/>
      </w:r>
      <w:r>
        <w:rPr>
          <w:color w:val="1155cc"/>
          <w:sz w:val="24"/>
          <w:szCs w:val="24"/>
          <w:u w:val="single"/>
        </w:rPr>
        <w:t>https://www.unep.org/resources/emissions-gap-report-2024</w:t>
      </w:r>
      <w:r>
        <w:rPr/>
        <w:fldChar w:fldCharType="end"/>
      </w:r>
      <w:r>
        <w:rPr>
          <w:color w:val="222222"/>
          <w:sz w:val="24"/>
          <w:szCs w:val="24"/>
        </w:rPr>
        <w:t xml:space="preserve"> [Accessed on 8 October, 2026].</w:t>
      </w:r>
    </w:p>
    <w:p w14:paraId="00000077">
      <w:pPr>
        <w:pStyle w:val="style0"/>
        <w:spacing w:before="200" w:after="200" w:lineRule="auto" w:line="360"/>
        <w:jc w:val="both"/>
        <w:rPr>
          <w:sz w:val="24"/>
          <w:szCs w:val="24"/>
        </w:rPr>
      </w:pPr>
      <w:r>
        <w:rPr>
          <w:sz w:val="24"/>
          <w:szCs w:val="24"/>
        </w:rPr>
        <w:t xml:space="preserve">UNFCCC, (2026). </w:t>
      </w:r>
      <w:r>
        <w:rPr>
          <w:i/>
          <w:iCs/>
          <w:sz w:val="24"/>
          <w:szCs w:val="24"/>
        </w:rPr>
        <w:t>The Paris Agreement.</w:t>
      </w:r>
      <w:r>
        <w:rPr>
          <w:sz w:val="24"/>
          <w:szCs w:val="24"/>
        </w:rPr>
        <w:t xml:space="preserve"> [Online] Available at: </w:t>
      </w:r>
      <w:r>
        <w:rPr/>
        <w:fldChar w:fldCharType="begin"/>
      </w:r>
      <w:r>
        <w:instrText xml:space="preserve"> HYPERLINK "https://unfccc.int/process-and-meetings/the-paris-agreement" </w:instrText>
      </w:r>
      <w:r>
        <w:rPr/>
        <w:fldChar w:fldCharType="separate"/>
      </w:r>
      <w:r>
        <w:rPr>
          <w:color w:val="1155cc"/>
          <w:sz w:val="24"/>
          <w:szCs w:val="24"/>
          <w:u w:val="single"/>
        </w:rPr>
        <w:t>https://unfccc.int/process-and-meetings/the-paris-agreement</w:t>
      </w:r>
      <w:r>
        <w:rPr/>
        <w:fldChar w:fldCharType="end"/>
      </w:r>
      <w:r>
        <w:rPr>
          <w:sz w:val="24"/>
          <w:szCs w:val="24"/>
        </w:rPr>
        <w:t xml:space="preserve"> [Accessed on 6 October, 2026] </w:t>
      </w:r>
    </w:p>
    <w:p w14:paraId="00000078">
      <w:pPr>
        <w:pStyle w:val="style0"/>
        <w:widowControl w:val="false"/>
        <w:spacing w:before="240" w:after="240" w:lineRule="auto" w:line="360"/>
        <w:jc w:val="both"/>
        <w:rPr>
          <w:color w:val="222222"/>
          <w:sz w:val="24"/>
          <w:szCs w:val="24"/>
        </w:rPr>
      </w:pPr>
      <w:r>
        <w:rPr>
          <w:color w:val="222222"/>
          <w:sz w:val="24"/>
          <w:szCs w:val="24"/>
        </w:rPr>
        <w:t xml:space="preserve">Zugay, B. (2023). </w:t>
      </w:r>
      <w:r>
        <w:rPr>
          <w:i/>
          <w:iCs/>
          <w:color w:val="222222"/>
          <w:sz w:val="24"/>
          <w:szCs w:val="24"/>
        </w:rPr>
        <w:t>Ansoff matrix</w:t>
      </w:r>
      <w:r>
        <w:rPr>
          <w:color w:val="222222"/>
          <w:sz w:val="24"/>
          <w:szCs w:val="24"/>
        </w:rPr>
        <w:t xml:space="preserve">. SAGE Publications, Inc. </w:t>
      </w:r>
    </w:p>
    <w:p w14:paraId="00000079">
      <w:pPr>
        <w:pStyle w:val="style0"/>
        <w:widowControl w:val="false"/>
        <w:spacing w:before="200" w:after="200" w:lineRule="auto" w:line="360"/>
        <w:jc w:val="both"/>
        <w:rPr>
          <w:color w:val="222222"/>
          <w:sz w:val="24"/>
          <w:szCs w:val="24"/>
        </w:rPr>
      </w:pPr>
    </w:p>
    <w:p w14:paraId="0000007A">
      <w:pPr>
        <w:pStyle w:val="style0"/>
        <w:spacing w:lineRule="auto" w:line="360"/>
        <w:jc w:val="both"/>
        <w:rPr>
          <w:b/>
          <w:bCs/>
          <w:sz w:val="24"/>
          <w:szCs w:val="24"/>
        </w:rPr>
      </w:pPr>
    </w:p>
    <w:p w14:paraId="0000007B">
      <w:pPr>
        <w:pStyle w:val="style0"/>
        <w:spacing w:lineRule="auto" w:line="360"/>
        <w:jc w:val="both"/>
        <w:rPr>
          <w:b/>
          <w:bCs/>
          <w:sz w:val="24"/>
          <w:szCs w:val="24"/>
        </w:rPr>
      </w:pPr>
    </w:p>
    <w:p w14:paraId="0000007C">
      <w:pPr>
        <w:pStyle w:val="style0"/>
        <w:spacing w:lineRule="auto" w:line="360"/>
        <w:jc w:val="both"/>
        <w:rPr>
          <w:b/>
          <w:bCs/>
          <w:sz w:val="24"/>
          <w:szCs w:val="24"/>
        </w:rPr>
      </w:pPr>
    </w:p>
    <w:sectPr>
      <w:footerReference w:type="default" r:id="rId8"/>
      <w:pgSz w:w="12240" w:h="15840" w:orient="portrait"/>
      <w:pgMar w:top="1440" w:right="1440" w:bottom="1440" w:left="1440" w:header="720" w:footer="720" w:gutter="0"/>
      <w:pgNumType w:start="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0000007D">
    <w:pPr>
      <w:pStyle w:val="style0"/>
      <w:jc w:val="right"/>
      <w:rPr/>
    </w:pPr>
    <w:r>
      <w:rPr/>
      <w:fldChar w:fldCharType="begin"/>
    </w:r>
    <w:r>
      <w:instrText>PAGE</w:instrText>
    </w:r>
    <w:r>
      <w:rPr/>
      <w:fldChar w:fldCharType="separate"/>
    </w:r>
    <w:r>
      <w:rPr/>
      <w:fldChar w:fldCharType="end"/>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embedTrueTypeFonts/>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rPr>
    </w:rPrDefault>
    <w:pPrDefault>
      <w:pPr>
        <w:spacing w:lineRule="auto" w:line="276"/>
      </w:pPr>
    </w:pPrDefault>
  </w:docDefaults>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paragraph" w:customStyle="1" w:styleId="style4098">
    <w:name w:val="normal"/>
    <w:next w:val="style4098"/>
    <w:pPr/>
  </w:style>
  <w:style w:type="paragraph" w:styleId="style1">
    <w:name w:val="heading 1"/>
    <w:basedOn w:val="style4098"/>
    <w:next w:val="style4098"/>
    <w:pPr>
      <w:keepNext/>
      <w:keepLines/>
      <w:spacing w:lineRule="auto" w:line="360"/>
      <w:jc w:val="both"/>
    </w:pPr>
    <w:rPr>
      <w:rFonts w:ascii="Times New Roman" w:cs="Times New Roman" w:eastAsia="Times New Roman" w:hAnsi="Times New Roman"/>
      <w:b/>
      <w:bCs/>
      <w:sz w:val="26"/>
      <w:szCs w:val="26"/>
    </w:rPr>
  </w:style>
  <w:style w:type="paragraph" w:styleId="style2">
    <w:name w:val="heading 2"/>
    <w:basedOn w:val="style4098"/>
    <w:next w:val="style4098"/>
    <w:pPr>
      <w:keepNext/>
      <w:keepLines/>
      <w:spacing w:before="360" w:after="120"/>
    </w:pPr>
    <w:rPr>
      <w:sz w:val="32"/>
      <w:szCs w:val="32"/>
    </w:rPr>
  </w:style>
  <w:style w:type="paragraph" w:styleId="style3">
    <w:name w:val="heading 3"/>
    <w:basedOn w:val="style4098"/>
    <w:next w:val="style4098"/>
    <w:pPr>
      <w:keepNext/>
      <w:keepLines/>
      <w:spacing w:before="320" w:after="80"/>
    </w:pPr>
    <w:rPr>
      <w:color w:val="434343"/>
      <w:sz w:val="28"/>
      <w:szCs w:val="28"/>
    </w:rPr>
  </w:style>
  <w:style w:type="paragraph" w:styleId="style4">
    <w:name w:val="heading 4"/>
    <w:basedOn w:val="style4098"/>
    <w:next w:val="style4098"/>
    <w:pPr>
      <w:keepNext/>
      <w:keepLines/>
      <w:spacing w:before="280" w:after="80"/>
    </w:pPr>
    <w:rPr>
      <w:color w:val="666666"/>
      <w:sz w:val="24"/>
      <w:szCs w:val="24"/>
    </w:rPr>
  </w:style>
  <w:style w:type="paragraph" w:styleId="style5">
    <w:name w:val="heading 5"/>
    <w:basedOn w:val="style4098"/>
    <w:next w:val="style4098"/>
    <w:pPr>
      <w:keepNext/>
      <w:keepLines/>
      <w:spacing w:before="240" w:after="80"/>
    </w:pPr>
    <w:rPr>
      <w:color w:val="666666"/>
    </w:rPr>
  </w:style>
  <w:style w:type="paragraph" w:styleId="style6">
    <w:name w:val="heading 6"/>
    <w:basedOn w:val="style4098"/>
    <w:next w:val="style4098"/>
    <w:pPr>
      <w:keepNext/>
      <w:keepLines/>
      <w:spacing w:before="240" w:after="80"/>
    </w:pPr>
    <w:rPr>
      <w:i/>
      <w:iCs/>
      <w:color w:val="666666"/>
    </w:rPr>
  </w:style>
  <w:style w:type="paragraph" w:styleId="style62">
    <w:name w:val="Title"/>
    <w:basedOn w:val="style4098"/>
    <w:next w:val="style4098"/>
    <w:pPr>
      <w:keepNext/>
      <w:keepLines/>
      <w:spacing w:after="60"/>
    </w:pPr>
    <w:rPr>
      <w:sz w:val="52"/>
      <w:szCs w:val="52"/>
    </w:rPr>
  </w:style>
  <w:style w:type="character" w:default="1" w:styleId="style65">
    <w:name w:val="Default Paragraph Font"/>
    <w:next w:val="style65"/>
    <w:uiPriority w:val="1"/>
  </w:style>
  <w:style w:type="numbering" w:default="1" w:styleId="style107">
    <w:name w:val="No List"/>
    <w:next w:val="style107"/>
    <w:uiPriority w:val="99"/>
    <w:pPr/>
  </w:style>
  <w:style w:type="table" w:customStyle="1" w:styleId="style4099">
    <w:name w:val="TableNormal"/>
    <w:next w:val="style4099"/>
    <w:pPr/>
    <w:rPr/>
    <w:tblPr>
      <w:tblCellMar>
        <w:top w:w="100" w:type="dxa"/>
        <w:left w:w="100" w:type="dxa"/>
        <w:bottom w:w="100" w:type="dxa"/>
        <w:right w:w="100" w:type="dxa"/>
      </w:tblCellMar>
    </w:tblPr>
    <w:tcPr>
      <w:tcBorders/>
    </w:tcPr>
  </w:style>
  <w:style w:type="character" w:styleId="style39">
    <w:name w:val="annotation reference"/>
    <w:basedOn w:val="style65"/>
    <w:next w:val="style39"/>
    <w:uiPriority w:val="99"/>
    <w:rPr>
      <w:sz w:val="16"/>
      <w:szCs w:val="16"/>
    </w:rPr>
  </w:style>
  <w:style w:type="paragraph" w:styleId="style30">
    <w:name w:val="annotation text"/>
    <w:basedOn w:val="style4098"/>
    <w:next w:val="style30"/>
    <w:link w:val="style4100"/>
    <w:uiPriority w:val="99"/>
    <w:pPr>
      <w:spacing w:lineRule="auto" w:line="240"/>
    </w:pPr>
    <w:rPr>
      <w:sz w:val="20"/>
      <w:szCs w:val="20"/>
    </w:rPr>
  </w:style>
  <w:style w:type="character" w:customStyle="1" w:styleId="style4100">
    <w:name w:val="Comment Text Char"/>
    <w:basedOn w:val="style65"/>
    <w:next w:val="style4100"/>
    <w:link w:val="style30"/>
    <w:uiPriority w:val="99"/>
    <w:rPr>
      <w:sz w:val="20"/>
      <w:szCs w:val="20"/>
    </w:rPr>
  </w:style>
  <w:style w:type="paragraph" w:styleId="style106">
    <w:name w:val="annotation subject"/>
    <w:basedOn w:val="style30"/>
    <w:next w:val="style30"/>
    <w:link w:val="style4101"/>
    <w:uiPriority w:val="99"/>
    <w:pPr/>
    <w:rPr>
      <w:b/>
      <w:bCs/>
    </w:rPr>
  </w:style>
  <w:style w:type="character" w:customStyle="1" w:styleId="style4101">
    <w:name w:val="Comment Subject Char"/>
    <w:basedOn w:val="style4100"/>
    <w:next w:val="style4101"/>
    <w:link w:val="style106"/>
    <w:uiPriority w:val="99"/>
    <w:rPr>
      <w:b/>
      <w:bCs/>
      <w:sz w:val="20"/>
      <w:szCs w:val="20"/>
    </w:rPr>
  </w:style>
  <w:style w:type="paragraph" w:styleId="style74">
    <w:name w:val="Subtitle"/>
    <w:basedOn w:val="style4098"/>
    <w:next w:val="style4098"/>
    <w:pPr>
      <w:keepNext/>
      <w:keepLines/>
      <w:spacing w:after="320"/>
    </w:pPr>
    <w:rPr>
      <w:color w:val="666666"/>
      <w:sz w:val="30"/>
      <w:szCs w:val="30"/>
    </w:rPr>
  </w:style>
  <w:style w:type="paragraph" w:default="1" w:styleId="style0">
    <w:name w:val="Normal"/>
    <w:pPr>
      <w:jc w:val="both"/>
    </w:pPr>
    <w:rPr>
      <w:sz w:val="21"/>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1" Type="http://schemas.openxmlformats.org/officeDocument/2006/relationships/settings" Target="settings.xml"/><Relationship Id="rId10" Type="http://schemas.openxmlformats.org/officeDocument/2006/relationships/fontTable" Target="fontTable.xml"/><Relationship Id="rId12" Type="http://schemas.openxmlformats.org/officeDocument/2006/relationships/theme" Target="theme/theme1.xml"/><Relationship Id="rId9" Type="http://schemas.openxmlformats.org/officeDocument/2006/relationships/styles" Target="styles.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otalTime>0</TotalTime>
  <Words>3218</Words>
  <Characters>21636</Characters>
  <Application>WPS Office</Application>
  <Paragraphs>128</Paragraphs>
  <CharactersWithSpaces>24774</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2026-10-21T19:04:08Z</dcterms:created>
  <dc:creator>WPS Office</dc:creator>
  <lastModifiedBy>2107113SI</lastModifiedBy>
  <dcterms:modified xsi:type="dcterms:W3CDTF">2026-10-21T19:04:08Z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fede3b65c6ef497bbabbce17aa222be7_23</vt:lpwstr>
  </property>
</Properties>
</file>