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3C5E2B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54452">
              <w:rPr>
                <w:rFonts w:ascii="Times New Roman" w:hAnsi="Times New Roman" w:cs="Times New Roman"/>
                <w:b/>
                <w:color w:val="auto"/>
                <w:sz w:val="48"/>
              </w:rPr>
              <w:t>Kirsty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0B0C1F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54452">
              <w:rPr>
                <w:rFonts w:ascii="Times New Roman" w:hAnsi="Times New Roman" w:cs="Times New Roman"/>
                <w:b/>
                <w:color w:val="auto"/>
                <w:sz w:val="48"/>
              </w:rPr>
              <w:t xml:space="preserve"> Kievans@carmarthenshire.gov.uk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Default="0085230E" w:rsidP="005D3F07">
            <w:pPr>
              <w:overflowPunct/>
              <w:autoSpaceDE/>
              <w:autoSpaceDN/>
              <w:adjustRightInd/>
              <w:ind w:right="-957"/>
              <w:textAlignment w:val="auto"/>
              <w:rPr>
                <w:rFonts w:ascii="Times New Roman" w:hAnsi="Times New Roman" w:cs="Times New Roman"/>
                <w:b/>
                <w:color w:val="auto"/>
                <w:sz w:val="48"/>
              </w:rPr>
            </w:pPr>
          </w:p>
          <w:p w14:paraId="7B8FC7E5" w14:textId="77777777" w:rsidR="00C955A2" w:rsidRPr="005D3F07" w:rsidRDefault="00C955A2" w:rsidP="00C955A2">
            <w:pPr>
              <w:ind w:right="-957"/>
              <w:rPr>
                <w:rFonts w:ascii="Times New Roman" w:hAnsi="Times New Roman" w:cs="Times New Roman"/>
                <w:b/>
                <w:sz w:val="48"/>
              </w:rPr>
            </w:pPr>
            <w:r w:rsidRPr="00624DF7">
              <w:rPr>
                <w:rFonts w:ascii="Times New Roman" w:hAnsi="Times New Roman" w:cs="Times New Roman"/>
                <w:b/>
                <w:sz w:val="48"/>
              </w:rPr>
              <w:t>2432437</w:t>
            </w:r>
          </w:p>
          <w:p w14:paraId="1A5B9F42" w14:textId="77777777" w:rsidR="00754452" w:rsidRPr="005D3F07" w:rsidRDefault="00754452"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272E8AB6" w:rsidR="00E559CE" w:rsidRDefault="00E559CE" w:rsidP="005B3A2D">
      <w:pPr>
        <w:jc w:val="center"/>
        <w:rPr>
          <w:b/>
          <w:sz w:val="24"/>
          <w:szCs w:val="24"/>
        </w:rPr>
      </w:pP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6AB0B49A" w14:textId="00A9D5DF" w:rsidR="001C2A8B" w:rsidRDefault="001C2A8B" w:rsidP="001C2A8B">
            <w:pPr>
              <w:jc w:val="both"/>
              <w:rPr>
                <w:sz w:val="24"/>
                <w:szCs w:val="24"/>
              </w:rPr>
            </w:pPr>
            <w:r w:rsidRPr="001C2A8B">
              <w:rPr>
                <w:sz w:val="24"/>
                <w:szCs w:val="24"/>
              </w:rPr>
              <w:t>For the purposes of confidentiality, the individual discussed within this case study will be referred to as Person 1.</w:t>
            </w:r>
            <w:r w:rsidRPr="001C2A8B">
              <w:rPr>
                <w:b/>
                <w:bCs/>
                <w:sz w:val="24"/>
                <w:szCs w:val="24"/>
              </w:rPr>
              <w:t xml:space="preserve"> </w:t>
            </w:r>
            <w:r w:rsidRPr="001C2A8B">
              <w:rPr>
                <w:sz w:val="24"/>
                <w:szCs w:val="24"/>
              </w:rPr>
              <w:t>This critically reflective case study explores my involvement as a Social Worker in a complex safeguarding case involving an adult at risk. 1 is a 70-year-old individual living alone in a local authority bungalow in</w:t>
            </w:r>
            <w:r w:rsidR="001A0EF5">
              <w:rPr>
                <w:sz w:val="24"/>
                <w:szCs w:val="24"/>
              </w:rPr>
              <w:t xml:space="preserve"> Wales</w:t>
            </w:r>
            <w:r w:rsidRPr="001C2A8B">
              <w:rPr>
                <w:sz w:val="24"/>
                <w:szCs w:val="24"/>
              </w:rPr>
              <w:t>. 1 has a history of health needs, including lymphoedema, recurrent infections, reduced mobility, diabetes and skin integrity concerns. Professionals had also raised concerns regarding possible learning difficulties, fluctuating cognition and periods of confusion. 1 had no family involvement and relied heavily on professional support to maintain wellbeing, safety and independence.</w:t>
            </w:r>
          </w:p>
          <w:p w14:paraId="7F565E28" w14:textId="77777777" w:rsidR="001C2A8B" w:rsidRPr="001C2A8B" w:rsidRDefault="001C2A8B" w:rsidP="001C2A8B">
            <w:pPr>
              <w:jc w:val="both"/>
              <w:rPr>
                <w:sz w:val="24"/>
                <w:szCs w:val="24"/>
              </w:rPr>
            </w:pPr>
          </w:p>
          <w:p w14:paraId="180D6F4F" w14:textId="77777777" w:rsidR="001C2A8B" w:rsidRDefault="001C2A8B" w:rsidP="001C2A8B">
            <w:pPr>
              <w:jc w:val="both"/>
              <w:rPr>
                <w:sz w:val="24"/>
                <w:szCs w:val="24"/>
              </w:rPr>
            </w:pPr>
            <w:r w:rsidRPr="001C2A8B">
              <w:rPr>
                <w:sz w:val="24"/>
                <w:szCs w:val="24"/>
              </w:rPr>
              <w:t>I selected this case due to its complexity and safeguarding concerns that developed over a prolonged period. Multiple safeguarding referrals were submitted regarding self-neglect, continence management, skin deterioration, financial decision-making and 1's ability to safely remain living within the community. The situation was further complicated by differing professional opinions regarding risk, care provision and the most appropriate interventions. Despite increasing concerns, 1 consistently expressed a wish to remain living at home and did not want to move into residential care.</w:t>
            </w:r>
          </w:p>
          <w:p w14:paraId="2052B091" w14:textId="77777777" w:rsidR="001C2A8B" w:rsidRPr="001C2A8B" w:rsidRDefault="001C2A8B" w:rsidP="001C2A8B">
            <w:pPr>
              <w:jc w:val="both"/>
              <w:rPr>
                <w:sz w:val="24"/>
                <w:szCs w:val="24"/>
              </w:rPr>
            </w:pPr>
          </w:p>
          <w:p w14:paraId="5673EABC" w14:textId="77777777" w:rsidR="001C2A8B" w:rsidRDefault="001C2A8B" w:rsidP="001C2A8B">
            <w:pPr>
              <w:jc w:val="both"/>
              <w:rPr>
                <w:sz w:val="24"/>
                <w:szCs w:val="24"/>
              </w:rPr>
            </w:pPr>
            <w:r w:rsidRPr="001C2A8B">
              <w:rPr>
                <w:sz w:val="24"/>
                <w:szCs w:val="24"/>
              </w:rPr>
              <w:t xml:space="preserve">A key feature of this case was the tension between safeguarding responsibilities and the need to promote 1's rights, wellbeing and personal outcomes. Whilst interventions were intended to reduce risk, they frequently resulted in increased distress and reduced engagement. This </w:t>
            </w:r>
            <w:r w:rsidRPr="001C2A8B">
              <w:rPr>
                <w:sz w:val="24"/>
                <w:szCs w:val="24"/>
              </w:rPr>
              <w:lastRenderedPageBreak/>
              <w:t>created an ongoing dilemma throughout my involvement and required continuous adaptation of support arrangements.</w:t>
            </w:r>
          </w:p>
          <w:p w14:paraId="52C44D4F" w14:textId="77777777" w:rsidR="001C2A8B" w:rsidRPr="001C2A8B" w:rsidRDefault="001C2A8B" w:rsidP="001C2A8B">
            <w:pPr>
              <w:jc w:val="both"/>
              <w:rPr>
                <w:sz w:val="24"/>
                <w:szCs w:val="24"/>
              </w:rPr>
            </w:pPr>
          </w:p>
          <w:p w14:paraId="3801219D" w14:textId="77777777" w:rsidR="001C2A8B" w:rsidRDefault="001C2A8B" w:rsidP="001C2A8B">
            <w:pPr>
              <w:jc w:val="both"/>
              <w:rPr>
                <w:sz w:val="24"/>
                <w:szCs w:val="24"/>
              </w:rPr>
            </w:pPr>
            <w:r w:rsidRPr="001C2A8B">
              <w:rPr>
                <w:sz w:val="24"/>
                <w:szCs w:val="24"/>
              </w:rPr>
              <w:t>This case study critically reflects on the assessment and safeguarding process, exploring how legislation, policy, social work theory and professional judgement informed decision-making. Attention is given to safeguarding responsibilities, Mental Capacity Act principles, collaborative working, relationship-based practice, rights-based approaches and the challenges associated with supporting an adult with fluctuating presentation and increasing dependency.</w:t>
            </w:r>
          </w:p>
          <w:p w14:paraId="7AF6307F" w14:textId="77777777" w:rsidR="001C2A8B" w:rsidRPr="001C2A8B" w:rsidRDefault="001C2A8B" w:rsidP="001C2A8B">
            <w:pPr>
              <w:jc w:val="both"/>
              <w:rPr>
                <w:sz w:val="24"/>
                <w:szCs w:val="24"/>
              </w:rPr>
            </w:pPr>
          </w:p>
          <w:p w14:paraId="1E734C6B" w14:textId="77777777" w:rsidR="001C2A8B" w:rsidRPr="001C2A8B" w:rsidRDefault="001C2A8B" w:rsidP="001C2A8B">
            <w:pPr>
              <w:jc w:val="both"/>
              <w:rPr>
                <w:b/>
                <w:bCs/>
                <w:sz w:val="24"/>
                <w:szCs w:val="24"/>
                <w:u w:val="single"/>
              </w:rPr>
            </w:pPr>
            <w:r w:rsidRPr="001C2A8B">
              <w:rPr>
                <w:b/>
                <w:bCs/>
                <w:sz w:val="24"/>
                <w:szCs w:val="24"/>
                <w:u w:val="single"/>
              </w:rPr>
              <w:t>Case Background and Safeguarding Context</w:t>
            </w:r>
          </w:p>
          <w:p w14:paraId="545D8B47" w14:textId="77777777" w:rsidR="001C2A8B" w:rsidRPr="001C2A8B" w:rsidRDefault="001C2A8B" w:rsidP="001C2A8B">
            <w:pPr>
              <w:jc w:val="both"/>
              <w:rPr>
                <w:b/>
                <w:bCs/>
                <w:sz w:val="24"/>
                <w:szCs w:val="24"/>
              </w:rPr>
            </w:pPr>
          </w:p>
          <w:p w14:paraId="48476A2E" w14:textId="77777777" w:rsidR="001C2A8B" w:rsidRDefault="001C2A8B" w:rsidP="001C2A8B">
            <w:pPr>
              <w:jc w:val="both"/>
              <w:rPr>
                <w:sz w:val="24"/>
                <w:szCs w:val="24"/>
              </w:rPr>
            </w:pPr>
            <w:r w:rsidRPr="001C2A8B">
              <w:rPr>
                <w:sz w:val="24"/>
                <w:szCs w:val="24"/>
              </w:rPr>
              <w:t>1 has been known to Adult Social Care for twelve years, with historical concerns relating to self-neglect, personal hygiene and maintaining a safe home environment. Following the death of both a spouse and mother in 2013, 1 was left with no informal support network. 1 is unable to read or write and has no family members actively involved in daily life. As a result, support was provided primarily through formal services and a long-term Personal Assistant who had supported 1 for over ten years.</w:t>
            </w:r>
          </w:p>
          <w:p w14:paraId="74A81DDA" w14:textId="77777777" w:rsidR="001C2A8B" w:rsidRPr="001C2A8B" w:rsidRDefault="001C2A8B" w:rsidP="001C2A8B">
            <w:pPr>
              <w:jc w:val="both"/>
              <w:rPr>
                <w:sz w:val="24"/>
                <w:szCs w:val="24"/>
              </w:rPr>
            </w:pPr>
          </w:p>
          <w:p w14:paraId="76C14139" w14:textId="77777777" w:rsidR="001C2A8B" w:rsidRDefault="001C2A8B" w:rsidP="001C2A8B">
            <w:pPr>
              <w:jc w:val="both"/>
              <w:rPr>
                <w:sz w:val="24"/>
                <w:szCs w:val="24"/>
              </w:rPr>
            </w:pPr>
            <w:r w:rsidRPr="001C2A8B">
              <w:rPr>
                <w:sz w:val="24"/>
                <w:szCs w:val="24"/>
              </w:rPr>
              <w:t>Difficulties arose when the relationship with the long-term Personal Assistant began to break down. At the same time, professionals became increasingly concerned about 1's ability to manage personal care, continence, nutrition and health needs independently. Consequently, a commissioned domiciliary care package was introduced and initially proved successful, with carers developing positive and trusting relationships with 1.</w:t>
            </w:r>
          </w:p>
          <w:p w14:paraId="19BC6765" w14:textId="77777777" w:rsidR="001C2A8B" w:rsidRPr="001C2A8B" w:rsidRDefault="001C2A8B" w:rsidP="001C2A8B">
            <w:pPr>
              <w:jc w:val="both"/>
              <w:rPr>
                <w:sz w:val="24"/>
                <w:szCs w:val="24"/>
              </w:rPr>
            </w:pPr>
          </w:p>
          <w:p w14:paraId="6EF011BA" w14:textId="77777777" w:rsidR="001C2A8B" w:rsidRDefault="001C2A8B" w:rsidP="001C2A8B">
            <w:pPr>
              <w:jc w:val="both"/>
              <w:rPr>
                <w:sz w:val="24"/>
                <w:szCs w:val="24"/>
              </w:rPr>
            </w:pPr>
            <w:r w:rsidRPr="001C2A8B">
              <w:rPr>
                <w:sz w:val="24"/>
                <w:szCs w:val="24"/>
              </w:rPr>
              <w:t>However, safeguarding concerns subsequently escalated. District Nurses raised concerns regarding skin integrity, pressure damage, continence management and 1's reluctance to engage in personal care. Concerns were also raised regarding financial decision-making and whether purchases made on 1's behalf reflected their wishes and best interests. These concerns resulted in multiple safeguarding referrals and increased professional involvement in assessing how 1's needs could be safely met whilst respecting their wishes and maintaining independence.</w:t>
            </w:r>
          </w:p>
          <w:p w14:paraId="3CFFD3E1" w14:textId="77777777" w:rsidR="001C2A8B" w:rsidRPr="001C2A8B" w:rsidRDefault="001C2A8B" w:rsidP="001C2A8B">
            <w:pPr>
              <w:jc w:val="both"/>
              <w:rPr>
                <w:sz w:val="24"/>
                <w:szCs w:val="24"/>
              </w:rPr>
            </w:pPr>
          </w:p>
          <w:p w14:paraId="0AE50DAD" w14:textId="77777777" w:rsidR="001C2A8B" w:rsidRPr="001C2A8B" w:rsidRDefault="001C2A8B" w:rsidP="001C2A8B">
            <w:pPr>
              <w:jc w:val="both"/>
              <w:rPr>
                <w:b/>
                <w:bCs/>
                <w:sz w:val="24"/>
                <w:szCs w:val="24"/>
                <w:u w:val="single"/>
              </w:rPr>
            </w:pPr>
            <w:r w:rsidRPr="001C2A8B">
              <w:rPr>
                <w:b/>
                <w:bCs/>
                <w:sz w:val="24"/>
                <w:szCs w:val="24"/>
                <w:u w:val="single"/>
              </w:rPr>
              <w:t>Legislative, Policy and Practice Framework</w:t>
            </w:r>
          </w:p>
          <w:p w14:paraId="135FECA6" w14:textId="77777777" w:rsidR="001C2A8B" w:rsidRPr="001C2A8B" w:rsidRDefault="001C2A8B" w:rsidP="001C2A8B">
            <w:pPr>
              <w:jc w:val="both"/>
              <w:rPr>
                <w:b/>
                <w:bCs/>
                <w:sz w:val="24"/>
                <w:szCs w:val="24"/>
              </w:rPr>
            </w:pPr>
          </w:p>
          <w:p w14:paraId="104A5821" w14:textId="77777777" w:rsidR="001C2A8B" w:rsidRDefault="001C2A8B" w:rsidP="001C2A8B">
            <w:pPr>
              <w:jc w:val="both"/>
              <w:rPr>
                <w:sz w:val="24"/>
                <w:szCs w:val="24"/>
              </w:rPr>
            </w:pPr>
            <w:r w:rsidRPr="001C2A8B">
              <w:rPr>
                <w:sz w:val="24"/>
                <w:szCs w:val="24"/>
              </w:rPr>
              <w:t>My practice was informed by the Social Services and Well-being (Wales) Act 2014 (SSWBA), the Mental Capacity Act 2005 (MCA), the Human Rights Act 1998 (HRA), Working Together to Safeguard People and the Wales Safeguarding Procedures.</w:t>
            </w:r>
          </w:p>
          <w:p w14:paraId="2AAA953D" w14:textId="77777777" w:rsidR="001C2A8B" w:rsidRPr="001C2A8B" w:rsidRDefault="001C2A8B" w:rsidP="001C2A8B">
            <w:pPr>
              <w:jc w:val="both"/>
              <w:rPr>
                <w:sz w:val="24"/>
                <w:szCs w:val="24"/>
              </w:rPr>
            </w:pPr>
          </w:p>
          <w:p w14:paraId="0F2398E6" w14:textId="77777777" w:rsidR="001C2A8B" w:rsidRDefault="001C2A8B" w:rsidP="001C2A8B">
            <w:pPr>
              <w:jc w:val="both"/>
              <w:rPr>
                <w:sz w:val="24"/>
                <w:szCs w:val="24"/>
              </w:rPr>
            </w:pPr>
            <w:r w:rsidRPr="001C2A8B">
              <w:rPr>
                <w:sz w:val="24"/>
                <w:szCs w:val="24"/>
              </w:rPr>
              <w:t>The Social Services and Well-being (Wales) Act 2014 places wellbeing, voice and control at the centre of social work practice (Welsh Government, 2014). This was relevant as 1 consistently expressed a wish to remain living at home despite increasing health concerns and safeguarding referrals. Consequently, interventions were focused on balancing risk reduction with 1's expressed wishes and desired outcomes.</w:t>
            </w:r>
          </w:p>
          <w:p w14:paraId="4EE2295D" w14:textId="77777777" w:rsidR="001C2A8B" w:rsidRPr="001C2A8B" w:rsidRDefault="001C2A8B" w:rsidP="001C2A8B">
            <w:pPr>
              <w:jc w:val="both"/>
              <w:rPr>
                <w:sz w:val="24"/>
                <w:szCs w:val="24"/>
              </w:rPr>
            </w:pPr>
          </w:p>
          <w:p w14:paraId="63AD57CA" w14:textId="77777777" w:rsidR="001C2A8B" w:rsidRDefault="001C2A8B" w:rsidP="001C2A8B">
            <w:pPr>
              <w:jc w:val="both"/>
              <w:rPr>
                <w:sz w:val="24"/>
                <w:szCs w:val="24"/>
              </w:rPr>
            </w:pPr>
            <w:r w:rsidRPr="001C2A8B">
              <w:rPr>
                <w:sz w:val="24"/>
                <w:szCs w:val="24"/>
              </w:rPr>
              <w:lastRenderedPageBreak/>
              <w:t>Part 7 of the SSWBA outlines safeguarding duties in relation to adults at risk. Under Section 126, an adult at risk is defined as an adult who is experiencing, or is at risk of, abuse or neglect, has needs for care and support and, because of those needs, is unable to protect themselves from the abuse, neglect or the risk of it (Welsh Government, 2014). Within this case, safeguarding duties were relevant in relation to potential financial abuse and neglect. Whilst self-neglect was also a concern, it is important to recognise that self-neglect is not managed through safeguarding procedures in Wales in the same way as it is in England. Concerns regarding self-neglect required ongoing assessment, multi-agency involvement and risk management rather than safeguarding enquiries alone.</w:t>
            </w:r>
          </w:p>
          <w:p w14:paraId="6D9575E5" w14:textId="77777777" w:rsidR="001C2A8B" w:rsidRPr="001C2A8B" w:rsidRDefault="001C2A8B" w:rsidP="001C2A8B">
            <w:pPr>
              <w:jc w:val="both"/>
              <w:rPr>
                <w:sz w:val="24"/>
                <w:szCs w:val="24"/>
              </w:rPr>
            </w:pPr>
          </w:p>
          <w:p w14:paraId="0C0DCEFB" w14:textId="77777777" w:rsidR="001C2A8B" w:rsidRDefault="001C2A8B" w:rsidP="001C2A8B">
            <w:pPr>
              <w:jc w:val="both"/>
              <w:rPr>
                <w:sz w:val="24"/>
                <w:szCs w:val="24"/>
              </w:rPr>
            </w:pPr>
            <w:r w:rsidRPr="001C2A8B">
              <w:rPr>
                <w:sz w:val="24"/>
                <w:szCs w:val="24"/>
              </w:rPr>
              <w:t>The Mental Capacity Act 2005 was equally important. Capacity is decision-specific and should not be viewed as an all-or-nothing concept (Department for Constitutional Affairs, 2007). Concerns were raised regarding finances, care arrangements and accommodation. Following assessment, I concluded that 1 retained capacity regarding financial decisions but lacked capacity regarding care and residence decisions. This reinforced to me the importance of assessing each decision individually rather than making assumptions based on difficulties in other areas of functioning.</w:t>
            </w:r>
          </w:p>
          <w:p w14:paraId="2EA77775" w14:textId="77777777" w:rsidR="001C2A8B" w:rsidRPr="001C2A8B" w:rsidRDefault="001C2A8B" w:rsidP="001C2A8B">
            <w:pPr>
              <w:jc w:val="both"/>
              <w:rPr>
                <w:sz w:val="24"/>
                <w:szCs w:val="24"/>
              </w:rPr>
            </w:pPr>
          </w:p>
          <w:p w14:paraId="08CA2A8F" w14:textId="77777777" w:rsidR="001C2A8B" w:rsidRDefault="001C2A8B" w:rsidP="001C2A8B">
            <w:pPr>
              <w:jc w:val="both"/>
              <w:rPr>
                <w:sz w:val="24"/>
                <w:szCs w:val="24"/>
              </w:rPr>
            </w:pPr>
            <w:r w:rsidRPr="001C2A8B">
              <w:rPr>
                <w:sz w:val="24"/>
                <w:szCs w:val="24"/>
              </w:rPr>
              <w:t>The Human Rights Act 1998 was another important consideration. Article 8 provides individuals with the right to respect for their private and family life and home (Human Rights Act, 1998). Throughout my involvement, 1 consistently expressed opposition to residential care. Consequently, interventions focused on the least restrictive ways of managing risk within the community.</w:t>
            </w:r>
          </w:p>
          <w:p w14:paraId="0166946B" w14:textId="77777777" w:rsidR="001C2A8B" w:rsidRPr="001C2A8B" w:rsidRDefault="001C2A8B" w:rsidP="001C2A8B">
            <w:pPr>
              <w:jc w:val="both"/>
              <w:rPr>
                <w:b/>
                <w:bCs/>
                <w:sz w:val="24"/>
                <w:szCs w:val="24"/>
              </w:rPr>
            </w:pPr>
          </w:p>
          <w:p w14:paraId="4ECF6C57" w14:textId="77777777" w:rsidR="001C2A8B" w:rsidRDefault="001C2A8B" w:rsidP="001C2A8B">
            <w:pPr>
              <w:jc w:val="both"/>
              <w:rPr>
                <w:sz w:val="24"/>
                <w:szCs w:val="24"/>
              </w:rPr>
            </w:pPr>
            <w:r w:rsidRPr="001C2A8B">
              <w:rPr>
                <w:sz w:val="24"/>
                <w:szCs w:val="24"/>
              </w:rPr>
              <w:t>As a practitioner in Wales, I was required to consider the Active Offer principle and the Welsh Government's More Than Just Words Framework (Welsh Government, 2023). Although 1 communicated in English, consideration of language preference remained part of person-centred practice.</w:t>
            </w:r>
          </w:p>
          <w:p w14:paraId="7771DCD3" w14:textId="77777777" w:rsidR="001C2A8B" w:rsidRPr="001C2A8B" w:rsidRDefault="001C2A8B" w:rsidP="001C2A8B">
            <w:pPr>
              <w:jc w:val="both"/>
              <w:rPr>
                <w:sz w:val="24"/>
                <w:szCs w:val="24"/>
              </w:rPr>
            </w:pPr>
          </w:p>
          <w:p w14:paraId="067C2EE2" w14:textId="77777777" w:rsidR="001C2A8B" w:rsidRDefault="001C2A8B" w:rsidP="001C2A8B">
            <w:pPr>
              <w:jc w:val="both"/>
              <w:rPr>
                <w:sz w:val="24"/>
                <w:szCs w:val="24"/>
              </w:rPr>
            </w:pPr>
            <w:r w:rsidRPr="001C2A8B">
              <w:rPr>
                <w:sz w:val="24"/>
                <w:szCs w:val="24"/>
              </w:rPr>
              <w:t>This also reflected a strengths-based approach, which focuses on identifying existing strengths, assets and protective factors rather than solely focusing on need and risk (</w:t>
            </w:r>
            <w:proofErr w:type="spellStart"/>
            <w:r w:rsidRPr="001C2A8B">
              <w:rPr>
                <w:sz w:val="24"/>
                <w:szCs w:val="24"/>
              </w:rPr>
              <w:t>Saleebey</w:t>
            </w:r>
            <w:proofErr w:type="spellEnd"/>
            <w:r w:rsidRPr="001C2A8B">
              <w:rPr>
                <w:sz w:val="24"/>
                <w:szCs w:val="24"/>
              </w:rPr>
              <w:t>, 2013). Rather than focusing solely on risk, interventions sought to identify what mattered to 1 and how risks could be managed whilst supporting their wish to remain at home.</w:t>
            </w:r>
          </w:p>
          <w:p w14:paraId="1341A0FC" w14:textId="77777777" w:rsidR="001C2A8B" w:rsidRPr="001C2A8B" w:rsidRDefault="001C2A8B" w:rsidP="001C2A8B">
            <w:pPr>
              <w:jc w:val="both"/>
              <w:rPr>
                <w:sz w:val="24"/>
                <w:szCs w:val="24"/>
              </w:rPr>
            </w:pPr>
          </w:p>
          <w:p w14:paraId="651F4F71" w14:textId="77777777" w:rsidR="001C2A8B" w:rsidRDefault="001C2A8B" w:rsidP="001C2A8B">
            <w:pPr>
              <w:jc w:val="both"/>
              <w:rPr>
                <w:b/>
                <w:bCs/>
                <w:sz w:val="24"/>
                <w:szCs w:val="24"/>
                <w:u w:val="single"/>
              </w:rPr>
            </w:pPr>
            <w:r w:rsidRPr="001C2A8B">
              <w:rPr>
                <w:b/>
                <w:bCs/>
                <w:sz w:val="24"/>
                <w:szCs w:val="24"/>
                <w:u w:val="single"/>
              </w:rPr>
              <w:t>Assessment, Analysis and Professional Judgement</w:t>
            </w:r>
          </w:p>
          <w:p w14:paraId="6C9C6860" w14:textId="77777777" w:rsidR="001C2A8B" w:rsidRPr="001C2A8B" w:rsidRDefault="001C2A8B" w:rsidP="001C2A8B">
            <w:pPr>
              <w:jc w:val="both"/>
              <w:rPr>
                <w:b/>
                <w:bCs/>
                <w:sz w:val="24"/>
                <w:szCs w:val="24"/>
                <w:u w:val="single"/>
              </w:rPr>
            </w:pPr>
          </w:p>
          <w:p w14:paraId="7D379CDB" w14:textId="77777777" w:rsidR="001C2A8B" w:rsidRDefault="001C2A8B" w:rsidP="001C2A8B">
            <w:pPr>
              <w:jc w:val="both"/>
              <w:rPr>
                <w:sz w:val="24"/>
                <w:szCs w:val="24"/>
              </w:rPr>
            </w:pPr>
            <w:r w:rsidRPr="001C2A8B">
              <w:rPr>
                <w:sz w:val="24"/>
                <w:szCs w:val="24"/>
              </w:rPr>
              <w:t>Assessment is a fundamental aspect of social work practice and requires the collection, analysis and interpretation of information from a variety of sources to inform professional judgement and intervention. Throughout my involvement with 1, assessment was not a one-off event but an ongoing process which evolved in response to changing circumstances, safeguarding concerns and new information received from professionals involved. Information was gathered from a range of professionals and agencies to develop an understanding of 1's needs, risks and desired outcomes (Welsh Government, 2019a; Wales Safeguarding Procedures, 2019).</w:t>
            </w:r>
          </w:p>
          <w:p w14:paraId="58313F4A" w14:textId="77777777" w:rsidR="001C2A8B" w:rsidRPr="001C2A8B" w:rsidRDefault="001C2A8B" w:rsidP="001C2A8B">
            <w:pPr>
              <w:jc w:val="both"/>
              <w:rPr>
                <w:sz w:val="24"/>
                <w:szCs w:val="24"/>
              </w:rPr>
            </w:pPr>
          </w:p>
          <w:p w14:paraId="59897298" w14:textId="77777777" w:rsidR="001C2A8B" w:rsidRPr="001C2A8B" w:rsidRDefault="001C2A8B" w:rsidP="001C2A8B">
            <w:pPr>
              <w:jc w:val="both"/>
              <w:rPr>
                <w:sz w:val="24"/>
                <w:szCs w:val="24"/>
              </w:rPr>
            </w:pPr>
            <w:r w:rsidRPr="001C2A8B">
              <w:rPr>
                <w:sz w:val="24"/>
                <w:szCs w:val="24"/>
              </w:rPr>
              <w:lastRenderedPageBreak/>
              <w:t>One of the challenges within this case was the presence of competing professional perspectives regarding risk and how to manage it. District Nurses repeatedly raised concerns regarding skin integrity, continence management, prolonged periods spent seated and the risk of deterioration if care arrangements remained unchanged. Care providers, whilst acknowledging these concerns, presented an alternative perspective based upon their day-to-day knowledge of 1 and their established relationship. They expressed concerns that increasing the number of professionals visiting the property was creating distress, reducing engagement and contributing to a deterioration in wellbeing. Rather than accepting either perspective in isolation, I was required to critically analyse all available information and consider the reliability, context and evidence supporting each viewpoint. This reflects the importance of professional judgement in social work decision-making (Preston-Shoot, 2020).</w:t>
            </w:r>
          </w:p>
          <w:p w14:paraId="08FE26EF" w14:textId="77777777" w:rsidR="001C2A8B" w:rsidRPr="001C2A8B" w:rsidRDefault="001C2A8B" w:rsidP="001C2A8B">
            <w:pPr>
              <w:jc w:val="both"/>
              <w:rPr>
                <w:sz w:val="24"/>
                <w:szCs w:val="24"/>
              </w:rPr>
            </w:pPr>
          </w:p>
          <w:p w14:paraId="19286004" w14:textId="77777777" w:rsidR="001C2A8B" w:rsidRDefault="001C2A8B" w:rsidP="001C2A8B">
            <w:pPr>
              <w:jc w:val="both"/>
              <w:rPr>
                <w:sz w:val="24"/>
                <w:szCs w:val="24"/>
              </w:rPr>
            </w:pPr>
            <w:r w:rsidRPr="001C2A8B">
              <w:rPr>
                <w:sz w:val="24"/>
                <w:szCs w:val="24"/>
              </w:rPr>
              <w:t>Looking back, this challenged my own assumptions regarding professional expertise. Initially, I placed greater emphasis on concerns raised by health professionals due to the visible deterioration in 1's physical health and skin integrity. However, through ongoing assessment I realised that the care provider possessed valuable knowledge regarding 1's daily presentation, behaviour and willingness to engage with support. This reinforced the need for balanced, evidence-based decision-making rather than relying upon one profession alone.</w:t>
            </w:r>
          </w:p>
          <w:p w14:paraId="1EE12CC4" w14:textId="77777777" w:rsidR="001C2A8B" w:rsidRPr="001C2A8B" w:rsidRDefault="001C2A8B" w:rsidP="001C2A8B">
            <w:pPr>
              <w:jc w:val="both"/>
              <w:rPr>
                <w:sz w:val="24"/>
                <w:szCs w:val="24"/>
              </w:rPr>
            </w:pPr>
          </w:p>
          <w:p w14:paraId="3CF82DFA" w14:textId="77777777" w:rsidR="001C2A8B" w:rsidRDefault="001C2A8B" w:rsidP="001C2A8B">
            <w:pPr>
              <w:jc w:val="both"/>
              <w:rPr>
                <w:sz w:val="24"/>
                <w:szCs w:val="24"/>
              </w:rPr>
            </w:pPr>
            <w:r w:rsidRPr="001C2A8B">
              <w:rPr>
                <w:sz w:val="24"/>
                <w:szCs w:val="24"/>
              </w:rPr>
              <w:t>A key safeguarding concern related to 1's increasing difficulties with personal care and continence management. Professionals expressed concern that 1 was no longer changing continence products, engaging in personal hygiene or responding to support. These issues had the potential to significantly impact skin integrity, physical health and dignity. Safeguarding referrals highlighted concerns regarding periods where 1 remained in soiled continence products and was reluctant to accept assistance. However, the assessment also identified that engagement with support varied considerably depending upon who was providing care and how it was delivered. This required a balance between recognising safeguarding risks and understanding the importance of established relationships.</w:t>
            </w:r>
          </w:p>
          <w:p w14:paraId="094EB048" w14:textId="77777777" w:rsidR="001C2A8B" w:rsidRPr="001C2A8B" w:rsidRDefault="001C2A8B" w:rsidP="001C2A8B">
            <w:pPr>
              <w:jc w:val="both"/>
              <w:rPr>
                <w:sz w:val="24"/>
                <w:szCs w:val="24"/>
              </w:rPr>
            </w:pPr>
          </w:p>
          <w:p w14:paraId="1808B653" w14:textId="77777777" w:rsidR="001C2A8B" w:rsidRDefault="001C2A8B" w:rsidP="001C2A8B">
            <w:pPr>
              <w:jc w:val="both"/>
              <w:rPr>
                <w:sz w:val="24"/>
                <w:szCs w:val="24"/>
              </w:rPr>
            </w:pPr>
            <w:r w:rsidRPr="001C2A8B">
              <w:rPr>
                <w:sz w:val="24"/>
                <w:szCs w:val="24"/>
              </w:rPr>
              <w:t>Analysis of the available information identified evidence of self-neglect. Self-neglect is recognised within safeguarding practice as an inability or unwillingness to care for personal health, hygiene or living conditions, often resulting in significant risk to wellbeing (Braye et al., 2015; Preston-Shoot, 2020). Whilst there was evidence that 1 was not consistently meeting personal care needs independently, the situation was more complex than a straightforward refusal of support. I realised that willingness to engage was influenced by trust, familiarity, distress and understanding of the intervention being proposed. This showed me the importance of avoiding assumptions and remaining professionally curious when analysing safeguarding concerns. Whilst self-neglect was a significant feature of this case, it is important to recognise that self-neglect is managed differently in Wales than in England. In Wales, self-neglect is typically addressed through multi-agency risk management processes rather than safeguarding procedures. This reinforced the importance of applying the correct framework to the presenting concern.</w:t>
            </w:r>
          </w:p>
          <w:p w14:paraId="26FC25A1" w14:textId="77777777" w:rsidR="001C2A8B" w:rsidRPr="001C2A8B" w:rsidRDefault="001C2A8B" w:rsidP="001C2A8B">
            <w:pPr>
              <w:jc w:val="both"/>
              <w:rPr>
                <w:sz w:val="24"/>
                <w:szCs w:val="24"/>
              </w:rPr>
            </w:pPr>
          </w:p>
          <w:p w14:paraId="21475436" w14:textId="77777777" w:rsidR="001C2A8B" w:rsidRDefault="001C2A8B" w:rsidP="001C2A8B">
            <w:pPr>
              <w:jc w:val="both"/>
              <w:rPr>
                <w:sz w:val="24"/>
                <w:szCs w:val="24"/>
              </w:rPr>
            </w:pPr>
            <w:r w:rsidRPr="001C2A8B">
              <w:rPr>
                <w:sz w:val="24"/>
                <w:szCs w:val="24"/>
              </w:rPr>
              <w:t xml:space="preserve">Reflection on this aspect of the case highlighted the risk of viewing behaviour solely through a safeguarding lens. Whilst concerns regarding self-neglect were valid, focusing exclusively on risk could have resulted in the underlying reasons for behaviour being overlooked. Through </w:t>
            </w:r>
            <w:r w:rsidRPr="001C2A8B">
              <w:rPr>
                <w:sz w:val="24"/>
                <w:szCs w:val="24"/>
              </w:rPr>
              <w:lastRenderedPageBreak/>
              <w:t>ongoing involvement, I recognised that resistance to care was often linked to distress, unfamiliarity with professionals and difficulties coping with change rather than a straightforward refusal of support. This reminded me to understand the reasons behind the behaviour before reaching a professional conclusion.</w:t>
            </w:r>
          </w:p>
          <w:p w14:paraId="4DC9C26B" w14:textId="77777777" w:rsidR="001C2A8B" w:rsidRPr="001C2A8B" w:rsidRDefault="001C2A8B" w:rsidP="001C2A8B">
            <w:pPr>
              <w:jc w:val="both"/>
              <w:rPr>
                <w:sz w:val="24"/>
                <w:szCs w:val="24"/>
              </w:rPr>
            </w:pPr>
          </w:p>
          <w:p w14:paraId="48766F16" w14:textId="77777777" w:rsidR="001C2A8B" w:rsidRDefault="001C2A8B" w:rsidP="001C2A8B">
            <w:pPr>
              <w:jc w:val="both"/>
              <w:rPr>
                <w:sz w:val="24"/>
                <w:szCs w:val="24"/>
              </w:rPr>
            </w:pPr>
            <w:r w:rsidRPr="001C2A8B">
              <w:rPr>
                <w:sz w:val="24"/>
                <w:szCs w:val="24"/>
              </w:rPr>
              <w:t>A further area of assessment related to concerns regarding finances and capacity. District Nurses questioned whether 1 understood the financial arrangements in place and whether items being purchased by care staff reflected 1's wishes and best interests. These concerns raised the possibility of financial abuse and required consideration under Part 7 safeguarding duties (Welsh Government, 2014). Whilst safeguarding responsibilities required me to remain professionally curious, discussions with 1, review of available records and completion of a Mental Capacity Assessment identified no evidence of financial exploitation. Purchases appeared consistent with 1's wishes and needs, and 1 demonstrated capacity in relation to financial decision-making. As 1 retained capacity in relation to finances, they were informed of the concerns that had been raised and were able to express their views regarding the safeguarding process and the purchases being made on their behalf. Their views and wishes regarding spending therefore remained central to my analysis and decision-making. Consequently, I concluded that the evidence did not support concerns of financial abuse.</w:t>
            </w:r>
          </w:p>
          <w:p w14:paraId="04E97761" w14:textId="77777777" w:rsidR="001C2A8B" w:rsidRPr="001C2A8B" w:rsidRDefault="001C2A8B" w:rsidP="001C2A8B">
            <w:pPr>
              <w:jc w:val="both"/>
              <w:rPr>
                <w:sz w:val="24"/>
                <w:szCs w:val="24"/>
              </w:rPr>
            </w:pPr>
          </w:p>
          <w:p w14:paraId="0290862C" w14:textId="77777777" w:rsidR="001C2A8B" w:rsidRDefault="001C2A8B" w:rsidP="001C2A8B">
            <w:pPr>
              <w:jc w:val="both"/>
              <w:rPr>
                <w:sz w:val="24"/>
                <w:szCs w:val="24"/>
              </w:rPr>
            </w:pPr>
            <w:r w:rsidRPr="001C2A8B">
              <w:rPr>
                <w:sz w:val="24"/>
                <w:szCs w:val="24"/>
              </w:rPr>
              <w:t>The Wales Safeguarding Procedures (2019) highlight the importance of gathering information, analysing available evidence and determining whether safeguarding enquiries are necessary. This process reinforced the importance of evidence-based decision-making and avoiding assumptions based solely on vulnerability or cognitive concerns.</w:t>
            </w:r>
          </w:p>
          <w:p w14:paraId="7E414E9E" w14:textId="77777777" w:rsidR="001C2A8B" w:rsidRPr="001C2A8B" w:rsidRDefault="001C2A8B" w:rsidP="001C2A8B">
            <w:pPr>
              <w:jc w:val="both"/>
              <w:rPr>
                <w:sz w:val="24"/>
                <w:szCs w:val="24"/>
              </w:rPr>
            </w:pPr>
          </w:p>
          <w:p w14:paraId="7D77FE07" w14:textId="77777777" w:rsidR="001C2A8B" w:rsidRDefault="001C2A8B" w:rsidP="001C2A8B">
            <w:pPr>
              <w:jc w:val="both"/>
              <w:rPr>
                <w:sz w:val="24"/>
                <w:szCs w:val="24"/>
              </w:rPr>
            </w:pPr>
            <w:r w:rsidRPr="001C2A8B">
              <w:rPr>
                <w:sz w:val="24"/>
                <w:szCs w:val="24"/>
              </w:rPr>
              <w:t>Completing the capacity assessments was a valuable learning experience. Although concerns had been raised regarding finances, care and accommodation, the assessments demonstrated the importance of evaluating each decision independently. This increased my confidence in undertaking capacity assessments and reminded me that conclusions must be based on evidence rather than assumptions or professional opinion.</w:t>
            </w:r>
          </w:p>
          <w:p w14:paraId="71F88896" w14:textId="77777777" w:rsidR="001C2A8B" w:rsidRPr="001C2A8B" w:rsidRDefault="001C2A8B" w:rsidP="001C2A8B">
            <w:pPr>
              <w:jc w:val="both"/>
              <w:rPr>
                <w:sz w:val="24"/>
                <w:szCs w:val="24"/>
              </w:rPr>
            </w:pPr>
          </w:p>
          <w:p w14:paraId="7F594DA6" w14:textId="77777777" w:rsidR="001C2A8B" w:rsidRDefault="001C2A8B" w:rsidP="001C2A8B">
            <w:pPr>
              <w:jc w:val="both"/>
              <w:rPr>
                <w:sz w:val="24"/>
                <w:szCs w:val="24"/>
              </w:rPr>
            </w:pPr>
            <w:r w:rsidRPr="001C2A8B">
              <w:rPr>
                <w:sz w:val="24"/>
                <w:szCs w:val="24"/>
              </w:rPr>
              <w:t>In contrast, my assessment identified that 1 lacked capacity in relation to decisions regarding care and residence. Whilst 1 consistently expressed a wish to remain living at home, they were unable to demonstrate sufficient understanding of the care required, associated risks and likely consequences should support be reduced or withdrawn. This created a significant dilemma within the case. On one hand, I had a professional responsibility to safeguard 1 from foreseeable harm. On the other, I was aware of 1's strong desire to remain in the community. Rather than viewing these positions as mutually exclusive, my assessment focused on identifying the least restrictive interventions capable of managing risks whilst still respecting 1's wishes. This was consistent with the Code of Professional Practice for Social Care, which promotes wellbeing, respect for rights and professional accountability (Social Care Wales, 2024).</w:t>
            </w:r>
          </w:p>
          <w:p w14:paraId="2BFF34FF" w14:textId="77777777" w:rsidR="001C2A8B" w:rsidRPr="001C2A8B" w:rsidRDefault="001C2A8B" w:rsidP="001C2A8B">
            <w:pPr>
              <w:jc w:val="both"/>
              <w:rPr>
                <w:sz w:val="24"/>
                <w:szCs w:val="24"/>
              </w:rPr>
            </w:pPr>
          </w:p>
          <w:p w14:paraId="2004DADC" w14:textId="77777777" w:rsidR="001C2A8B" w:rsidRPr="001C2A8B" w:rsidRDefault="001C2A8B" w:rsidP="001C2A8B">
            <w:pPr>
              <w:jc w:val="both"/>
              <w:rPr>
                <w:sz w:val="24"/>
                <w:szCs w:val="24"/>
              </w:rPr>
            </w:pPr>
            <w:r w:rsidRPr="001C2A8B">
              <w:rPr>
                <w:sz w:val="24"/>
                <w:szCs w:val="24"/>
              </w:rPr>
              <w:t>My professional judgement evolved considerably throughout the case. What made the situation challenging was that interventions designed to improve safety did not always improve outcomes for 1, requiring continual reassessment and adaptation of support arrangements.</w:t>
            </w:r>
          </w:p>
          <w:p w14:paraId="754CDFA4" w14:textId="77777777" w:rsidR="001C2A8B" w:rsidRDefault="001C2A8B" w:rsidP="001C2A8B">
            <w:pPr>
              <w:jc w:val="both"/>
              <w:rPr>
                <w:sz w:val="24"/>
                <w:szCs w:val="24"/>
              </w:rPr>
            </w:pPr>
            <w:r w:rsidRPr="001C2A8B">
              <w:rPr>
                <w:sz w:val="24"/>
                <w:szCs w:val="24"/>
              </w:rPr>
              <w:lastRenderedPageBreak/>
              <w:t>Initially, in response to escalating concerns from health professionals, I increased the frequency of care visits. This decision was based upon evidence suggesting that increased oversight would improve personal care, continence management, nutrition and skin integrity. However, following implementation, it became evident that the intervention was not producing the outcomes anticipated. Instead, 1 became increasingly distressed and overwhelmed by the number of unfamiliar individuals entering the property. Engagement reduced rather than improved, resulting in further concerns regarding wellbeing and cooperation with care.</w:t>
            </w:r>
          </w:p>
          <w:p w14:paraId="4EA80255" w14:textId="77777777" w:rsidR="001C2A8B" w:rsidRPr="001C2A8B" w:rsidRDefault="001C2A8B" w:rsidP="001C2A8B">
            <w:pPr>
              <w:jc w:val="both"/>
              <w:rPr>
                <w:sz w:val="24"/>
                <w:szCs w:val="24"/>
              </w:rPr>
            </w:pPr>
          </w:p>
          <w:p w14:paraId="212C9FD9" w14:textId="77777777" w:rsidR="001C2A8B" w:rsidRDefault="001C2A8B" w:rsidP="001C2A8B">
            <w:pPr>
              <w:jc w:val="both"/>
              <w:rPr>
                <w:sz w:val="24"/>
                <w:szCs w:val="24"/>
              </w:rPr>
            </w:pPr>
            <w:r w:rsidRPr="001C2A8B">
              <w:rPr>
                <w:sz w:val="24"/>
                <w:szCs w:val="24"/>
              </w:rPr>
              <w:t xml:space="preserve">Looking back, this was one of the most significant learning points for me. At the time, increasing support appeared to be the safest and most defensible course of action. However, the outcome challenged my assumption that increasing services automatically leads to improved wellbeing. </w:t>
            </w:r>
            <w:proofErr w:type="gramStart"/>
            <w:r w:rsidRPr="001C2A8B">
              <w:rPr>
                <w:sz w:val="24"/>
                <w:szCs w:val="24"/>
              </w:rPr>
              <w:t>In reality, the</w:t>
            </w:r>
            <w:proofErr w:type="gramEnd"/>
            <w:r w:rsidRPr="001C2A8B">
              <w:rPr>
                <w:sz w:val="24"/>
                <w:szCs w:val="24"/>
              </w:rPr>
              <w:t xml:space="preserve"> intervention unintentionally increased distress and reduced engagement. Reflecting on this now, I recognise that I initially focused more heavily on physical risk factors than on 1's emotional response to the intervention. Whilst the decision was made with the intention of reducing harm, the outcome demonstrated that effective safeguarding requires consideration of both physical safety and emotional wellbeing. Social workers are required not only to make professional decisions but also to review and revise those decisions where new evidence emerges (Social Care Wales, 2024). Rather than continuing with an intervention that was proving ineffective, I reviewed the available information and considered feedback from 1, the care provider, health professionals and management. This resulted in a revised approach which sought to reduce distress whilst maintaining necessary support. In hindsight, I learned that interventions which appear appropriate in theory do not always achieve the desired outcome in practice.</w:t>
            </w:r>
          </w:p>
          <w:p w14:paraId="0A1E28E1" w14:textId="77777777" w:rsidR="001C2A8B" w:rsidRPr="001C2A8B" w:rsidRDefault="001C2A8B" w:rsidP="001C2A8B">
            <w:pPr>
              <w:jc w:val="both"/>
              <w:rPr>
                <w:sz w:val="24"/>
                <w:szCs w:val="24"/>
              </w:rPr>
            </w:pPr>
          </w:p>
          <w:p w14:paraId="47FD18AE" w14:textId="77777777" w:rsidR="001C2A8B" w:rsidRDefault="001C2A8B" w:rsidP="001C2A8B">
            <w:pPr>
              <w:jc w:val="both"/>
              <w:rPr>
                <w:sz w:val="24"/>
                <w:szCs w:val="24"/>
              </w:rPr>
            </w:pPr>
            <w:r w:rsidRPr="001C2A8B">
              <w:rPr>
                <w:sz w:val="24"/>
                <w:szCs w:val="24"/>
              </w:rPr>
              <w:t>The breakdown of the relationship with 1's long-term Personal Assistant significantly increased risk by removing an important protective factor. Consequently, alternative care arrangements were explored and repeated reviews undertaken to ensure needs could continue to be met safely. Throughout this process I remained mindful that safeguarding is not simply about eliminating risk, but balancing risk with rights, personal outcomes and quality of life.</w:t>
            </w:r>
          </w:p>
          <w:p w14:paraId="6DE0C171" w14:textId="77777777" w:rsidR="001C2A8B" w:rsidRPr="001C2A8B" w:rsidRDefault="001C2A8B" w:rsidP="001C2A8B">
            <w:pPr>
              <w:jc w:val="both"/>
              <w:rPr>
                <w:sz w:val="24"/>
                <w:szCs w:val="24"/>
              </w:rPr>
            </w:pPr>
          </w:p>
          <w:p w14:paraId="53A8A4AD" w14:textId="77777777" w:rsidR="001C2A8B" w:rsidRDefault="001C2A8B" w:rsidP="001C2A8B">
            <w:pPr>
              <w:jc w:val="both"/>
              <w:rPr>
                <w:sz w:val="24"/>
                <w:szCs w:val="24"/>
              </w:rPr>
            </w:pPr>
            <w:r w:rsidRPr="001C2A8B">
              <w:rPr>
                <w:sz w:val="24"/>
                <w:szCs w:val="24"/>
              </w:rPr>
              <w:t>The case also highlighted the emotional complexity of social work practice, with professionals often holding differing views regarding how best to proceed. I found myself continually balancing safeguarding responsibilities against 1's clearly expressed wish to remain at home. In hindsight, this uncertainty was one of the most challenging aspects of the case. However, it also reinforced that professional judgement is rarely about identifying a perfect solution. More often, it involves weighing competing risks, considering available evidence and selecting the option most likely to promote wellbeing whilst respecting the individual's rights and preferences.</w:t>
            </w:r>
          </w:p>
          <w:p w14:paraId="15C75502" w14:textId="77777777" w:rsidR="001C2A8B" w:rsidRPr="001C2A8B" w:rsidRDefault="001C2A8B" w:rsidP="001C2A8B">
            <w:pPr>
              <w:jc w:val="both"/>
              <w:rPr>
                <w:b/>
                <w:bCs/>
                <w:sz w:val="24"/>
                <w:szCs w:val="24"/>
              </w:rPr>
            </w:pPr>
          </w:p>
          <w:p w14:paraId="07C2560B" w14:textId="77777777" w:rsidR="001C2A8B" w:rsidRDefault="001C2A8B" w:rsidP="001C2A8B">
            <w:pPr>
              <w:jc w:val="both"/>
              <w:rPr>
                <w:sz w:val="24"/>
                <w:szCs w:val="24"/>
              </w:rPr>
            </w:pPr>
            <w:r w:rsidRPr="001C2A8B">
              <w:rPr>
                <w:sz w:val="24"/>
                <w:szCs w:val="24"/>
              </w:rPr>
              <w:t>Overall, this case highlighted the complexity of safeguarding adults with fluctuating presentations, increasing dependency and limited informal support. It reinforced the importance of evidence-based decision-making, reassessments and the ability to adapt professional judgement in response to changing circumstances.</w:t>
            </w:r>
          </w:p>
          <w:p w14:paraId="09AEC979" w14:textId="77777777" w:rsidR="001C2A8B" w:rsidRPr="001C2A8B" w:rsidRDefault="001C2A8B" w:rsidP="001C2A8B">
            <w:pPr>
              <w:jc w:val="both"/>
              <w:rPr>
                <w:sz w:val="24"/>
                <w:szCs w:val="24"/>
              </w:rPr>
            </w:pPr>
          </w:p>
          <w:p w14:paraId="456BABA1" w14:textId="77777777" w:rsidR="001C2A8B" w:rsidRPr="001C2A8B" w:rsidRDefault="001C2A8B" w:rsidP="001C2A8B">
            <w:pPr>
              <w:jc w:val="both"/>
              <w:rPr>
                <w:b/>
                <w:bCs/>
                <w:sz w:val="24"/>
                <w:szCs w:val="24"/>
                <w:u w:val="single"/>
              </w:rPr>
            </w:pPr>
            <w:r w:rsidRPr="001C2A8B">
              <w:rPr>
                <w:b/>
                <w:bCs/>
                <w:sz w:val="24"/>
                <w:szCs w:val="24"/>
                <w:u w:val="single"/>
              </w:rPr>
              <w:t>Collaborative Working and Complexity</w:t>
            </w:r>
          </w:p>
          <w:p w14:paraId="4EA40BD7" w14:textId="77777777" w:rsidR="001C2A8B" w:rsidRDefault="001C2A8B" w:rsidP="001C2A8B">
            <w:pPr>
              <w:jc w:val="both"/>
              <w:rPr>
                <w:sz w:val="24"/>
                <w:szCs w:val="24"/>
              </w:rPr>
            </w:pPr>
            <w:r w:rsidRPr="001C2A8B">
              <w:rPr>
                <w:sz w:val="24"/>
                <w:szCs w:val="24"/>
              </w:rPr>
              <w:lastRenderedPageBreak/>
              <w:t>Collaborative working was essential throughout this case due to the complexity of 1's needs and the number of professionals involved. Effective safeguarding requires agencies to work together to share information, develop a shared understanding of risk and promote positive outcomes (Welsh Government, 2019a; BASW, 2021).</w:t>
            </w:r>
          </w:p>
          <w:p w14:paraId="25B7B8AD" w14:textId="77777777" w:rsidR="001C2A8B" w:rsidRPr="001C2A8B" w:rsidRDefault="001C2A8B" w:rsidP="001C2A8B">
            <w:pPr>
              <w:jc w:val="both"/>
              <w:rPr>
                <w:sz w:val="24"/>
                <w:szCs w:val="24"/>
              </w:rPr>
            </w:pPr>
          </w:p>
          <w:p w14:paraId="06671478" w14:textId="77777777" w:rsidR="001C2A8B" w:rsidRDefault="001C2A8B" w:rsidP="001C2A8B">
            <w:pPr>
              <w:jc w:val="both"/>
              <w:rPr>
                <w:sz w:val="24"/>
                <w:szCs w:val="24"/>
              </w:rPr>
            </w:pPr>
            <w:r w:rsidRPr="001C2A8B">
              <w:rPr>
                <w:sz w:val="24"/>
                <w:szCs w:val="24"/>
              </w:rPr>
              <w:t>However, collaborative working was not without challenges. As the case progressed, significant differences emerged between the views of District Nurses and the care provider regarding both risk and the effectiveness of care arrangements. District Nurses understandably focused on physical health concerns such as skin integrity, continence management and pressure damage. In contrast, the care provider's perspective was influenced by their daily relationship with 1 and their understanding of how changes in support impacted engagement and wellbeing. Whilst both perspectives were valid, they often conflicted, creating additional complexity within the safeguarding process.</w:t>
            </w:r>
          </w:p>
          <w:p w14:paraId="41487CA7" w14:textId="77777777" w:rsidR="001C2A8B" w:rsidRPr="001C2A8B" w:rsidRDefault="001C2A8B" w:rsidP="001C2A8B">
            <w:pPr>
              <w:jc w:val="both"/>
              <w:rPr>
                <w:sz w:val="24"/>
                <w:szCs w:val="24"/>
              </w:rPr>
            </w:pPr>
          </w:p>
          <w:p w14:paraId="3B88FF82" w14:textId="77777777" w:rsidR="001C2A8B" w:rsidRDefault="001C2A8B" w:rsidP="001C2A8B">
            <w:pPr>
              <w:jc w:val="both"/>
              <w:rPr>
                <w:sz w:val="24"/>
                <w:szCs w:val="24"/>
              </w:rPr>
            </w:pPr>
            <w:r w:rsidRPr="001C2A8B">
              <w:rPr>
                <w:sz w:val="24"/>
                <w:szCs w:val="24"/>
              </w:rPr>
              <w:t>This required me to carefully consider competing professional opinions and determine how best to proceed. At times, I felt positioned between differing viewpoints, with one agency advocating for increased intervention whilst another expressed concerns that additional intervention was contributing to distress and disengagement. Reflecting on this, I learned that effective collaborative working does not necessarily mean agreement. Instead, it requires respectful challenge, openness to alternative viewpoints and a continued focus on the individual's needs rather than organisational priorities. This also reflects the expectations outlined within the Code of Professional Practice for Social Care, which emphasises collaborative working, effective communication and maintaining professional relationships that promote positive outcomes (Social Care Wales, 2024).</w:t>
            </w:r>
          </w:p>
          <w:p w14:paraId="619D9D21" w14:textId="77777777" w:rsidR="001C2A8B" w:rsidRPr="001C2A8B" w:rsidRDefault="001C2A8B" w:rsidP="001C2A8B">
            <w:pPr>
              <w:jc w:val="both"/>
              <w:rPr>
                <w:sz w:val="24"/>
                <w:szCs w:val="24"/>
              </w:rPr>
            </w:pPr>
          </w:p>
          <w:p w14:paraId="11BEF5BF" w14:textId="77777777" w:rsidR="001C2A8B" w:rsidRDefault="001C2A8B" w:rsidP="001C2A8B">
            <w:pPr>
              <w:jc w:val="both"/>
              <w:rPr>
                <w:sz w:val="24"/>
                <w:szCs w:val="24"/>
              </w:rPr>
            </w:pPr>
            <w:r w:rsidRPr="001C2A8B">
              <w:rPr>
                <w:sz w:val="24"/>
                <w:szCs w:val="24"/>
              </w:rPr>
              <w:t>Professional challenge was important within this case. Effective safeguarding relies on professionals being willing to respectfully challenge one another where concerns exist (BASW, 2021). Both the care provider and District Nurses raised concerns regarding each other's practice and decision-making. This had the potential to shift attention away from 1 and towards professional disagreement. I therefore had a responsibility to ensure discussions remained focused on evidence, risk and outcomes for 1. Looking back, this reinforced the importance of professional curiosity and critically evaluating information rather than accepting concerns at face value.</w:t>
            </w:r>
          </w:p>
          <w:p w14:paraId="3AA7EC97" w14:textId="77777777" w:rsidR="001C2A8B" w:rsidRPr="001C2A8B" w:rsidRDefault="001C2A8B" w:rsidP="001C2A8B">
            <w:pPr>
              <w:jc w:val="both"/>
              <w:rPr>
                <w:sz w:val="24"/>
                <w:szCs w:val="24"/>
              </w:rPr>
            </w:pPr>
          </w:p>
          <w:p w14:paraId="65E659DB" w14:textId="77777777" w:rsidR="001C2A8B" w:rsidRDefault="001C2A8B" w:rsidP="001C2A8B">
            <w:pPr>
              <w:jc w:val="both"/>
              <w:rPr>
                <w:sz w:val="24"/>
                <w:szCs w:val="24"/>
              </w:rPr>
            </w:pPr>
            <w:r w:rsidRPr="001C2A8B">
              <w:rPr>
                <w:sz w:val="24"/>
                <w:szCs w:val="24"/>
              </w:rPr>
              <w:t>Another significant challenge was balancing professional views with the wishes of 1. Whilst professionals often focused on reducing risk, 1 remained clear about wanting to stay at home, maintain familiar routines and continue receiving support from trusted individuals. This highlighted to me that collaborative working must include the individual as an active participant in decision-making. The most important perspective was often that of 1 themselves, even when professionals disagreed about how best to respond to identified risks.</w:t>
            </w:r>
          </w:p>
          <w:p w14:paraId="57D909B6" w14:textId="77777777" w:rsidR="001C2A8B" w:rsidRPr="001C2A8B" w:rsidRDefault="001C2A8B" w:rsidP="001C2A8B">
            <w:pPr>
              <w:jc w:val="both"/>
              <w:rPr>
                <w:sz w:val="24"/>
                <w:szCs w:val="24"/>
              </w:rPr>
            </w:pPr>
          </w:p>
          <w:p w14:paraId="51120C9C" w14:textId="77777777" w:rsidR="001C2A8B" w:rsidRPr="001C2A8B" w:rsidRDefault="001C2A8B" w:rsidP="001C2A8B">
            <w:pPr>
              <w:jc w:val="both"/>
              <w:rPr>
                <w:sz w:val="24"/>
                <w:szCs w:val="24"/>
              </w:rPr>
            </w:pPr>
            <w:r w:rsidRPr="001C2A8B">
              <w:rPr>
                <w:sz w:val="24"/>
                <w:szCs w:val="24"/>
              </w:rPr>
              <w:t>Supervision also played an important role in managing complexity. Regular discussions with management provided opportunities to reflect on decision-making, challenge assumptions and ensure interventions remained proportionate and person-centred. This support enabled me to remain reflective when navigating decisions where there was no obvious or risk-free solution.</w:t>
            </w:r>
          </w:p>
          <w:p w14:paraId="3C7AA5A6" w14:textId="77777777" w:rsidR="001C2A8B" w:rsidRDefault="001C2A8B" w:rsidP="001C2A8B">
            <w:pPr>
              <w:jc w:val="both"/>
              <w:rPr>
                <w:sz w:val="24"/>
                <w:szCs w:val="24"/>
              </w:rPr>
            </w:pPr>
            <w:r w:rsidRPr="001C2A8B">
              <w:rPr>
                <w:sz w:val="24"/>
                <w:szCs w:val="24"/>
              </w:rPr>
              <w:lastRenderedPageBreak/>
              <w:t>Overall, this case highlighted both the strengths and challenges of collaborative working in safeguarding practice. Whilst multi-agency involvement strengthened risk assessment and decision-making, it also introduced differing perspectives which required negotiation, communication and professional judgement. Most importantly, it reinforced to me that complex safeguarding situations are rarely resolved by one professional alone and require a coordinated approach focused on the individual's wellbeing and desired outcomes.</w:t>
            </w:r>
          </w:p>
          <w:p w14:paraId="5C687A46" w14:textId="77777777" w:rsidR="001C2A8B" w:rsidRPr="001C2A8B" w:rsidRDefault="001C2A8B" w:rsidP="001C2A8B">
            <w:pPr>
              <w:jc w:val="both"/>
              <w:rPr>
                <w:sz w:val="24"/>
                <w:szCs w:val="24"/>
              </w:rPr>
            </w:pPr>
          </w:p>
          <w:p w14:paraId="48319723" w14:textId="77777777" w:rsidR="001C2A8B" w:rsidRDefault="001C2A8B" w:rsidP="001C2A8B">
            <w:pPr>
              <w:jc w:val="both"/>
              <w:rPr>
                <w:b/>
                <w:bCs/>
                <w:sz w:val="24"/>
                <w:szCs w:val="24"/>
                <w:u w:val="single"/>
              </w:rPr>
            </w:pPr>
            <w:r w:rsidRPr="001C2A8B">
              <w:rPr>
                <w:b/>
                <w:bCs/>
                <w:sz w:val="24"/>
                <w:szCs w:val="24"/>
                <w:u w:val="single"/>
              </w:rPr>
              <w:t>Rights, Risk and Ethical Dilemmas</w:t>
            </w:r>
          </w:p>
          <w:p w14:paraId="21F6F253" w14:textId="77777777" w:rsidR="001C2A8B" w:rsidRPr="001C2A8B" w:rsidRDefault="001C2A8B" w:rsidP="001C2A8B">
            <w:pPr>
              <w:jc w:val="both"/>
              <w:rPr>
                <w:b/>
                <w:bCs/>
                <w:sz w:val="24"/>
                <w:szCs w:val="24"/>
                <w:u w:val="single"/>
              </w:rPr>
            </w:pPr>
          </w:p>
          <w:p w14:paraId="317FFEA5" w14:textId="77777777" w:rsidR="001C2A8B" w:rsidRDefault="001C2A8B" w:rsidP="001C2A8B">
            <w:pPr>
              <w:jc w:val="both"/>
              <w:rPr>
                <w:sz w:val="24"/>
                <w:szCs w:val="24"/>
              </w:rPr>
            </w:pPr>
            <w:r w:rsidRPr="001C2A8B">
              <w:rPr>
                <w:sz w:val="24"/>
                <w:szCs w:val="24"/>
              </w:rPr>
              <w:t>One of the most challenging aspects of this case was balancing risk, safeguarding responsibilities and 1's right to make choices about where and how they lived. Whilst safeguarding practice aims to protect adults from harm, social workers must also recognise an individual's right to autonomy, dignity and self-determination.</w:t>
            </w:r>
          </w:p>
          <w:p w14:paraId="3942DCEF" w14:textId="77777777" w:rsidR="001C2A8B" w:rsidRPr="001C2A8B" w:rsidRDefault="001C2A8B" w:rsidP="001C2A8B">
            <w:pPr>
              <w:jc w:val="both"/>
              <w:rPr>
                <w:sz w:val="24"/>
                <w:szCs w:val="24"/>
              </w:rPr>
            </w:pPr>
          </w:p>
          <w:p w14:paraId="1658CD1F" w14:textId="77777777" w:rsidR="001C2A8B" w:rsidRDefault="001C2A8B" w:rsidP="001C2A8B">
            <w:pPr>
              <w:jc w:val="both"/>
              <w:rPr>
                <w:sz w:val="24"/>
                <w:szCs w:val="24"/>
              </w:rPr>
            </w:pPr>
            <w:r w:rsidRPr="001C2A8B">
              <w:rPr>
                <w:sz w:val="24"/>
                <w:szCs w:val="24"/>
              </w:rPr>
              <w:t>A significant ethical dilemma related to 1's wish to remain living at home. Despite increasing support needs and repeated safeguarding concerns, 1 consistently expressed a desire to remain within their own home and community.</w:t>
            </w:r>
          </w:p>
          <w:p w14:paraId="2BF7BE0D" w14:textId="77777777" w:rsidR="001C2A8B" w:rsidRPr="001C2A8B" w:rsidRDefault="001C2A8B" w:rsidP="001C2A8B">
            <w:pPr>
              <w:jc w:val="both"/>
              <w:rPr>
                <w:sz w:val="24"/>
                <w:szCs w:val="24"/>
              </w:rPr>
            </w:pPr>
          </w:p>
          <w:p w14:paraId="67C1D52F" w14:textId="77777777" w:rsidR="001C2A8B" w:rsidRDefault="001C2A8B" w:rsidP="001C2A8B">
            <w:pPr>
              <w:jc w:val="both"/>
              <w:rPr>
                <w:sz w:val="24"/>
                <w:szCs w:val="24"/>
              </w:rPr>
            </w:pPr>
            <w:r w:rsidRPr="001C2A8B">
              <w:rPr>
                <w:sz w:val="24"/>
                <w:szCs w:val="24"/>
              </w:rPr>
              <w:t>The Human Rights Act 1998 was relevant. Article 8 provides the right to respect for private and family life, home and correspondence (Human Rights Act, 1998). Whilst 1 lacked capacity regarding care and residence decisions, their wishes and feelings remained highly relevant when determining best interests. The Mental Capacity Act 2005 requires decision-makers to consider an individual's wishes, feelings, beliefs and values when making decisions on their behalf (Department for Constitutional Affairs, 2007). Consequently, I remained mindful that any decision to remove 1 from their home would represent a significant intrusion into their rights and would require robust justification.</w:t>
            </w:r>
          </w:p>
          <w:p w14:paraId="4DE88EC3" w14:textId="77777777" w:rsidR="001C2A8B" w:rsidRPr="001C2A8B" w:rsidRDefault="001C2A8B" w:rsidP="001C2A8B">
            <w:pPr>
              <w:jc w:val="both"/>
              <w:rPr>
                <w:sz w:val="24"/>
                <w:szCs w:val="24"/>
              </w:rPr>
            </w:pPr>
          </w:p>
          <w:p w14:paraId="121C4B63" w14:textId="77777777" w:rsidR="001C2A8B" w:rsidRDefault="001C2A8B" w:rsidP="001C2A8B">
            <w:pPr>
              <w:jc w:val="both"/>
              <w:rPr>
                <w:sz w:val="24"/>
                <w:szCs w:val="24"/>
              </w:rPr>
            </w:pPr>
            <w:r w:rsidRPr="001C2A8B">
              <w:rPr>
                <w:sz w:val="24"/>
                <w:szCs w:val="24"/>
              </w:rPr>
              <w:t>This created tension between protection and autonomy. Safeguarding concerns highlighted risks relating to skin breakdown, infection, continence management, self-neglect and increasing dependence on formal support. However, safety alone could not determine the most appropriate intervention. Whilst residential care may have reduced some risks, it may also have removed 1 from an environment where they felt secure and respected. Reflecting on this, I recognised that quality of life and personal wellbeing are just as important considerations when assessing risk.</w:t>
            </w:r>
          </w:p>
          <w:p w14:paraId="09B94828" w14:textId="77777777" w:rsidR="001C2A8B" w:rsidRPr="001C2A8B" w:rsidRDefault="001C2A8B" w:rsidP="001C2A8B">
            <w:pPr>
              <w:jc w:val="both"/>
              <w:rPr>
                <w:sz w:val="24"/>
                <w:szCs w:val="24"/>
              </w:rPr>
            </w:pPr>
          </w:p>
          <w:p w14:paraId="6284CA3D" w14:textId="77777777" w:rsidR="001C2A8B" w:rsidRDefault="001C2A8B" w:rsidP="001C2A8B">
            <w:pPr>
              <w:jc w:val="both"/>
              <w:rPr>
                <w:sz w:val="24"/>
                <w:szCs w:val="24"/>
              </w:rPr>
            </w:pPr>
            <w:r w:rsidRPr="001C2A8B">
              <w:rPr>
                <w:sz w:val="24"/>
                <w:szCs w:val="24"/>
              </w:rPr>
              <w:t>The concept of least restrictive practice was therefore central to my decision-making. Rather than immediately considering residential care, repeated attempts were made to identify alternative ways of supporting 1 safely within the community. This included reviewing care arrangements, increasing support, involving Occupational Therapy, engaging Community Psychiatric Nurses and completing reassessments. Although not every intervention achieved the intended outcome, these actions demonstrated efforts to exhaust less restrictive alternatives before considering more restrictive options.</w:t>
            </w:r>
          </w:p>
          <w:p w14:paraId="5EAE3053" w14:textId="77777777" w:rsidR="001C2A8B" w:rsidRPr="001C2A8B" w:rsidRDefault="001C2A8B" w:rsidP="001C2A8B">
            <w:pPr>
              <w:jc w:val="both"/>
              <w:rPr>
                <w:sz w:val="24"/>
                <w:szCs w:val="24"/>
              </w:rPr>
            </w:pPr>
          </w:p>
          <w:p w14:paraId="1B4F659F" w14:textId="77777777" w:rsidR="001C2A8B" w:rsidRDefault="001C2A8B" w:rsidP="001C2A8B">
            <w:pPr>
              <w:jc w:val="both"/>
              <w:rPr>
                <w:sz w:val="24"/>
                <w:szCs w:val="24"/>
              </w:rPr>
            </w:pPr>
            <w:r w:rsidRPr="001C2A8B">
              <w:rPr>
                <w:sz w:val="24"/>
                <w:szCs w:val="24"/>
              </w:rPr>
              <w:t xml:space="preserve">Risk itself became an important area for reflection. </w:t>
            </w:r>
            <w:proofErr w:type="spellStart"/>
            <w:r w:rsidRPr="001C2A8B">
              <w:rPr>
                <w:sz w:val="24"/>
                <w:szCs w:val="24"/>
              </w:rPr>
              <w:t>Kemshall</w:t>
            </w:r>
            <w:proofErr w:type="spellEnd"/>
            <w:r w:rsidRPr="001C2A8B">
              <w:rPr>
                <w:sz w:val="24"/>
                <w:szCs w:val="24"/>
              </w:rPr>
              <w:t xml:space="preserve"> and Pritchard (2007) argue that risk assessment is rarely an exact science and often involves uncertainty, competing priorities and professional judgement. Prior to this case, I may have viewed risk reduction as the </w:t>
            </w:r>
            <w:r w:rsidRPr="001C2A8B">
              <w:rPr>
                <w:sz w:val="24"/>
                <w:szCs w:val="24"/>
              </w:rPr>
              <w:lastRenderedPageBreak/>
              <w:t>primary objective of safeguarding intervention. However, this case highlighted that eliminating one risk can create another. Increasing support improved oversight but also resulted in distress and reduced engagement. Similarly, introducing unfamiliar carers appeared beneficial from a risk-management perspective but negatively affected wellbeing and willingness to accept support. This reinforced to me that risk cannot be considered in isolation from the individual's lived experience and personal outcomes.</w:t>
            </w:r>
          </w:p>
          <w:p w14:paraId="766BBFEC" w14:textId="77777777" w:rsidR="001C2A8B" w:rsidRPr="001C2A8B" w:rsidRDefault="001C2A8B" w:rsidP="001C2A8B">
            <w:pPr>
              <w:jc w:val="both"/>
              <w:rPr>
                <w:sz w:val="24"/>
                <w:szCs w:val="24"/>
              </w:rPr>
            </w:pPr>
          </w:p>
          <w:p w14:paraId="4FFA47F9" w14:textId="77777777" w:rsidR="001C2A8B" w:rsidRDefault="001C2A8B" w:rsidP="001C2A8B">
            <w:pPr>
              <w:jc w:val="both"/>
              <w:rPr>
                <w:sz w:val="24"/>
                <w:szCs w:val="24"/>
              </w:rPr>
            </w:pPr>
            <w:r w:rsidRPr="001C2A8B">
              <w:rPr>
                <w:sz w:val="24"/>
                <w:szCs w:val="24"/>
              </w:rPr>
              <w:t xml:space="preserve">This case also challenged me to consider what wellbeing </w:t>
            </w:r>
            <w:proofErr w:type="gramStart"/>
            <w:r w:rsidRPr="001C2A8B">
              <w:rPr>
                <w:sz w:val="24"/>
                <w:szCs w:val="24"/>
              </w:rPr>
              <w:t>actually means</w:t>
            </w:r>
            <w:proofErr w:type="gramEnd"/>
            <w:r w:rsidRPr="001C2A8B">
              <w:rPr>
                <w:sz w:val="24"/>
                <w:szCs w:val="24"/>
              </w:rPr>
              <w:t xml:space="preserve"> for an individual (Thompson, 2020). For 1, wellbeing was not simply about physical safety. It was closely linked to remaining at home, maintaining familiar relationships, receiving support from trusted individuals and retaining a sense of independence. Recognising this helped me understand that safeguarding intervention should not simply focus on what professionals believe is safest but also on what matters most to the individual.</w:t>
            </w:r>
          </w:p>
          <w:p w14:paraId="306911BB" w14:textId="77777777" w:rsidR="001C2A8B" w:rsidRPr="001C2A8B" w:rsidRDefault="001C2A8B" w:rsidP="001C2A8B">
            <w:pPr>
              <w:jc w:val="both"/>
              <w:rPr>
                <w:sz w:val="24"/>
                <w:szCs w:val="24"/>
              </w:rPr>
            </w:pPr>
          </w:p>
          <w:p w14:paraId="4FA7F2AC" w14:textId="77777777" w:rsidR="001C2A8B" w:rsidRDefault="001C2A8B" w:rsidP="001C2A8B">
            <w:pPr>
              <w:jc w:val="both"/>
              <w:rPr>
                <w:sz w:val="24"/>
                <w:szCs w:val="24"/>
              </w:rPr>
            </w:pPr>
            <w:r w:rsidRPr="001C2A8B">
              <w:rPr>
                <w:sz w:val="24"/>
                <w:szCs w:val="24"/>
              </w:rPr>
              <w:t xml:space="preserve">This reinforced the importance of seeing the situation from 1's perspective rather than focusing solely on professional concerns about risk. The challenge was not determining whether risks </w:t>
            </w:r>
            <w:proofErr w:type="gramStart"/>
            <w:r w:rsidRPr="001C2A8B">
              <w:rPr>
                <w:sz w:val="24"/>
                <w:szCs w:val="24"/>
              </w:rPr>
              <w:t>existed, but</w:t>
            </w:r>
            <w:proofErr w:type="gramEnd"/>
            <w:r w:rsidRPr="001C2A8B">
              <w:rPr>
                <w:sz w:val="24"/>
                <w:szCs w:val="24"/>
              </w:rPr>
              <w:t xml:space="preserve"> deciding how those risks could be managed whilst respecting 1's rights, wishes and individuality. Ultimately, this strengthened my understanding of rights-based practice and reinforced the importance of balancing safety, autonomy and wellbeing when working with adults at risk.</w:t>
            </w:r>
          </w:p>
          <w:p w14:paraId="4A239C64" w14:textId="77777777" w:rsidR="001C2A8B" w:rsidRPr="001C2A8B" w:rsidRDefault="001C2A8B" w:rsidP="001C2A8B">
            <w:pPr>
              <w:jc w:val="both"/>
              <w:rPr>
                <w:sz w:val="24"/>
                <w:szCs w:val="24"/>
              </w:rPr>
            </w:pPr>
          </w:p>
          <w:p w14:paraId="79159ACE" w14:textId="77777777" w:rsidR="001C2A8B" w:rsidRPr="001C2A8B" w:rsidRDefault="001C2A8B" w:rsidP="001C2A8B">
            <w:pPr>
              <w:jc w:val="both"/>
              <w:rPr>
                <w:b/>
                <w:bCs/>
                <w:sz w:val="24"/>
                <w:szCs w:val="24"/>
                <w:u w:val="single"/>
              </w:rPr>
            </w:pPr>
            <w:r w:rsidRPr="001C2A8B">
              <w:rPr>
                <w:b/>
                <w:bCs/>
                <w:sz w:val="24"/>
                <w:szCs w:val="24"/>
                <w:u w:val="single"/>
              </w:rPr>
              <w:t>Social Work Theory and Reflection on Practice</w:t>
            </w:r>
          </w:p>
          <w:p w14:paraId="796BE4EC" w14:textId="77777777" w:rsidR="001C2A8B" w:rsidRPr="001C2A8B" w:rsidRDefault="001C2A8B" w:rsidP="001C2A8B">
            <w:pPr>
              <w:jc w:val="both"/>
              <w:rPr>
                <w:b/>
                <w:bCs/>
                <w:sz w:val="24"/>
                <w:szCs w:val="24"/>
              </w:rPr>
            </w:pPr>
          </w:p>
          <w:p w14:paraId="4CE0C75F" w14:textId="77777777" w:rsidR="001C2A8B" w:rsidRPr="001C2A8B" w:rsidRDefault="001C2A8B" w:rsidP="001C2A8B">
            <w:pPr>
              <w:jc w:val="both"/>
              <w:rPr>
                <w:sz w:val="24"/>
                <w:szCs w:val="24"/>
              </w:rPr>
            </w:pPr>
            <w:r w:rsidRPr="001C2A8B">
              <w:rPr>
                <w:sz w:val="24"/>
                <w:szCs w:val="24"/>
              </w:rPr>
              <w:t>Social work theory played an important role in helping me understand and respond to the complexity of this case. Whilst a range of theories could be applied, I found Relationship-Based Practice, Person-Centred Practice and Systems Theory relevant to my work with 1.</w:t>
            </w:r>
          </w:p>
          <w:p w14:paraId="664D6F23" w14:textId="77777777" w:rsidR="001C2A8B" w:rsidRDefault="001C2A8B" w:rsidP="001C2A8B">
            <w:pPr>
              <w:jc w:val="both"/>
              <w:rPr>
                <w:sz w:val="24"/>
                <w:szCs w:val="24"/>
              </w:rPr>
            </w:pPr>
            <w:r w:rsidRPr="001C2A8B">
              <w:rPr>
                <w:sz w:val="24"/>
                <w:szCs w:val="24"/>
              </w:rPr>
              <w:t>Relationship-Based Practice emphasises the importance of trust and meaningful relationships in supporting engagement and positive outcomes (Ruch et al., 2018; Cooper and Lousada, 2005). This was highly relevant within this case, as 1's willingness to engage was closely linked to the relationship they had with the individual providing support. The long-term Personal Assistant and established care provider achieved positive outcomes because trust, familiarity and consistency had developed over time. In contrast, engagement often reduced when unfamiliar professionals or carers became involved.</w:t>
            </w:r>
          </w:p>
          <w:p w14:paraId="3EBAE2A1" w14:textId="77777777" w:rsidR="001C2A8B" w:rsidRPr="001C2A8B" w:rsidRDefault="001C2A8B" w:rsidP="001C2A8B">
            <w:pPr>
              <w:jc w:val="both"/>
              <w:rPr>
                <w:sz w:val="24"/>
                <w:szCs w:val="24"/>
              </w:rPr>
            </w:pPr>
          </w:p>
          <w:p w14:paraId="43AD7392" w14:textId="77777777" w:rsidR="001C2A8B" w:rsidRDefault="001C2A8B" w:rsidP="001C2A8B">
            <w:pPr>
              <w:jc w:val="both"/>
              <w:rPr>
                <w:sz w:val="24"/>
                <w:szCs w:val="24"/>
              </w:rPr>
            </w:pPr>
            <w:r w:rsidRPr="001C2A8B">
              <w:rPr>
                <w:sz w:val="24"/>
                <w:szCs w:val="24"/>
              </w:rPr>
              <w:t>Reflecting on this, I recognised that I initially underestimated the significance of these established relationships. My focus was primarily on reducing safeguarding risks and ensuring appropriate support was in place. However, as the situation progressed, I realised that the effectiveness of support depended not only on the intervention itself but also on the relationship between 1 and the person delivering it. This reinforced for me that relationships are often the foundation upon which successful interventions are built.</w:t>
            </w:r>
          </w:p>
          <w:p w14:paraId="48D8731D" w14:textId="77777777" w:rsidR="001C2A8B" w:rsidRPr="001C2A8B" w:rsidRDefault="001C2A8B" w:rsidP="001C2A8B">
            <w:pPr>
              <w:jc w:val="both"/>
              <w:rPr>
                <w:sz w:val="24"/>
                <w:szCs w:val="24"/>
              </w:rPr>
            </w:pPr>
          </w:p>
          <w:p w14:paraId="70378A6B" w14:textId="77777777" w:rsidR="001C2A8B" w:rsidRDefault="001C2A8B" w:rsidP="001C2A8B">
            <w:pPr>
              <w:jc w:val="both"/>
              <w:rPr>
                <w:sz w:val="24"/>
                <w:szCs w:val="24"/>
              </w:rPr>
            </w:pPr>
            <w:r w:rsidRPr="001C2A8B">
              <w:rPr>
                <w:sz w:val="24"/>
                <w:szCs w:val="24"/>
              </w:rPr>
              <w:t xml:space="preserve">Person-Centred Practice was also highly relevant. Person-centred approaches encourage practitioners to focus on an individual's experiences, preferences and goals (Rogers, 1961; Thompson, 2020). Throughout the case, 1 consistently expressed a desire to remain living at home. Whilst professionals focused on increasing levels of risk, a person-centred approach encouraged me to continually consider what mattered to 1 and how this could be incorporated </w:t>
            </w:r>
            <w:r w:rsidRPr="001C2A8B">
              <w:rPr>
                <w:sz w:val="24"/>
                <w:szCs w:val="24"/>
              </w:rPr>
              <w:lastRenderedPageBreak/>
              <w:t>into decision-making (Rogers, 1961). For 1, remaining at home was closely linked to identity, independence, routine and wellbeing. This reinforced the importance of understanding the situation from the individual's perspective rather than solely through a professional risk-management lens.</w:t>
            </w:r>
          </w:p>
          <w:p w14:paraId="4B79F435" w14:textId="77777777" w:rsidR="001C2A8B" w:rsidRPr="001C2A8B" w:rsidRDefault="001C2A8B" w:rsidP="001C2A8B">
            <w:pPr>
              <w:jc w:val="both"/>
              <w:rPr>
                <w:sz w:val="24"/>
                <w:szCs w:val="24"/>
              </w:rPr>
            </w:pPr>
          </w:p>
          <w:p w14:paraId="1DC617AB" w14:textId="77777777" w:rsidR="001C2A8B" w:rsidRDefault="001C2A8B" w:rsidP="001C2A8B">
            <w:pPr>
              <w:jc w:val="both"/>
              <w:rPr>
                <w:sz w:val="24"/>
                <w:szCs w:val="24"/>
              </w:rPr>
            </w:pPr>
            <w:r w:rsidRPr="001C2A8B">
              <w:rPr>
                <w:sz w:val="24"/>
                <w:szCs w:val="24"/>
              </w:rPr>
              <w:t>Systems Theory helped me understand that skin integrity concerns, continence issues, relationships with carers, safeguarding concerns and service provision were interconnected rather than existing as separate issues (Payne, 2020; Tew, 2011).</w:t>
            </w:r>
          </w:p>
          <w:p w14:paraId="6128CBEE" w14:textId="77777777" w:rsidR="001C2A8B" w:rsidRPr="001C2A8B" w:rsidRDefault="001C2A8B" w:rsidP="001C2A8B">
            <w:pPr>
              <w:jc w:val="both"/>
              <w:rPr>
                <w:sz w:val="24"/>
                <w:szCs w:val="24"/>
              </w:rPr>
            </w:pPr>
          </w:p>
          <w:p w14:paraId="5386CB12" w14:textId="77777777" w:rsidR="001C2A8B" w:rsidRDefault="001C2A8B" w:rsidP="001C2A8B">
            <w:pPr>
              <w:jc w:val="both"/>
              <w:rPr>
                <w:sz w:val="24"/>
                <w:szCs w:val="24"/>
              </w:rPr>
            </w:pPr>
            <w:r w:rsidRPr="001C2A8B">
              <w:rPr>
                <w:sz w:val="24"/>
                <w:szCs w:val="24"/>
              </w:rPr>
              <w:t>Reflecting on my overall practice, one of my strengths within this case was my willingness to continually reassess and adapt interventions in response to new information. Rather than adhering rigidly to one care plan, I remained open to changing my approach when evidence indicated that interventions were not achieving the intended outcomes. This was evident when increased support arrangements resulted in greater distress and reduced engagement. Although it was difficult to acknowledge that a well-intended intervention had not been successful, adapting my approach ensured that decision-making remained focused on 1's wellbeing. At the time I found this frustrating; however, it reinforced the value of reflection and reviews.</w:t>
            </w:r>
          </w:p>
          <w:p w14:paraId="0E027272" w14:textId="77777777" w:rsidR="001C2A8B" w:rsidRPr="001C2A8B" w:rsidRDefault="001C2A8B" w:rsidP="001C2A8B">
            <w:pPr>
              <w:jc w:val="both"/>
              <w:rPr>
                <w:sz w:val="24"/>
                <w:szCs w:val="24"/>
              </w:rPr>
            </w:pPr>
          </w:p>
          <w:p w14:paraId="7529441B" w14:textId="77777777" w:rsidR="001C2A8B" w:rsidRPr="001C2A8B" w:rsidRDefault="001C2A8B" w:rsidP="001C2A8B">
            <w:pPr>
              <w:jc w:val="both"/>
              <w:rPr>
                <w:sz w:val="24"/>
                <w:szCs w:val="24"/>
              </w:rPr>
            </w:pPr>
            <w:r w:rsidRPr="001C2A8B">
              <w:rPr>
                <w:sz w:val="24"/>
                <w:szCs w:val="24"/>
              </w:rPr>
              <w:t>The case also highlighted areas for future development. Looking back, there may have been value in exploring alternatives to traditional domiciliary care earlier, of which prioritised continuity of relationships. I also recognise that I initially focused heavily on physical risks and safeguarding concerns. Whilst these concerns were justified, greater consideration of the emotional impact of increasing intervention may have supported earlier decision-making.</w:t>
            </w:r>
          </w:p>
          <w:p w14:paraId="4B26C674" w14:textId="77777777" w:rsidR="001C2A8B" w:rsidRDefault="001C2A8B" w:rsidP="001C2A8B">
            <w:pPr>
              <w:jc w:val="both"/>
              <w:rPr>
                <w:sz w:val="24"/>
                <w:szCs w:val="24"/>
              </w:rPr>
            </w:pPr>
            <w:r w:rsidRPr="001C2A8B">
              <w:rPr>
                <w:sz w:val="24"/>
                <w:szCs w:val="24"/>
              </w:rPr>
              <w:t>The most significant learning gained from this case was understanding that safeguarding is not simply about reducing risk. Effective safeguarding requires practitioners to balance protection with autonomy, rights, wellbeing and quality of life. Throughout this case there were rarely straightforward solutions. I often found myself balancing competing professional opinions, significant safeguarding concerns and 1's clearly expressed wish to remain at home. Whilst I cannot say every decision made was perfect, I can confidently state that decisions were continually reviewed, reflected upon and adapted in response to changing information and circumstances.</w:t>
            </w:r>
          </w:p>
          <w:p w14:paraId="3E2A9677" w14:textId="77777777" w:rsidR="001C2A8B" w:rsidRPr="001C2A8B" w:rsidRDefault="001C2A8B" w:rsidP="001C2A8B">
            <w:pPr>
              <w:jc w:val="both"/>
              <w:rPr>
                <w:sz w:val="24"/>
                <w:szCs w:val="24"/>
              </w:rPr>
            </w:pPr>
          </w:p>
          <w:p w14:paraId="299839B7" w14:textId="77777777" w:rsidR="001C2A8B" w:rsidRDefault="001C2A8B" w:rsidP="001C2A8B">
            <w:pPr>
              <w:jc w:val="both"/>
              <w:rPr>
                <w:sz w:val="24"/>
                <w:szCs w:val="24"/>
              </w:rPr>
            </w:pPr>
            <w:r w:rsidRPr="001C2A8B">
              <w:rPr>
                <w:sz w:val="24"/>
                <w:szCs w:val="24"/>
              </w:rPr>
              <w:t>This reinforced the importance of reflective practice and professional development within social work (Thompson, 2020). It reinforced the importance of maintaining curiosity, challenging assumptions and remaining focused on the individual's wishes and desired outcomes. Importantly, it reminded me that social work is about working within uncertainty and complexity rather than finding simple solutions to complex problems.</w:t>
            </w:r>
          </w:p>
          <w:p w14:paraId="2B743333" w14:textId="77777777" w:rsidR="001C2A8B" w:rsidRPr="001C2A8B" w:rsidRDefault="001C2A8B" w:rsidP="001C2A8B">
            <w:pPr>
              <w:jc w:val="both"/>
              <w:rPr>
                <w:sz w:val="24"/>
                <w:szCs w:val="24"/>
              </w:rPr>
            </w:pPr>
          </w:p>
          <w:p w14:paraId="4FEAF8B2" w14:textId="77777777" w:rsidR="001C2A8B" w:rsidRDefault="001C2A8B" w:rsidP="001C2A8B">
            <w:pPr>
              <w:jc w:val="both"/>
              <w:rPr>
                <w:b/>
                <w:bCs/>
                <w:sz w:val="24"/>
                <w:szCs w:val="24"/>
                <w:u w:val="single"/>
              </w:rPr>
            </w:pPr>
            <w:r w:rsidRPr="001C2A8B">
              <w:rPr>
                <w:b/>
                <w:bCs/>
                <w:sz w:val="24"/>
                <w:szCs w:val="24"/>
                <w:u w:val="single"/>
              </w:rPr>
              <w:t>Conclusion</w:t>
            </w:r>
          </w:p>
          <w:p w14:paraId="6CD4017B" w14:textId="77777777" w:rsidR="001C2A8B" w:rsidRPr="001C2A8B" w:rsidRDefault="001C2A8B" w:rsidP="001C2A8B">
            <w:pPr>
              <w:jc w:val="both"/>
              <w:rPr>
                <w:b/>
                <w:bCs/>
                <w:sz w:val="24"/>
                <w:szCs w:val="24"/>
                <w:u w:val="single"/>
              </w:rPr>
            </w:pPr>
          </w:p>
          <w:p w14:paraId="0453AEFE" w14:textId="77777777" w:rsidR="001C2A8B" w:rsidRPr="001C2A8B" w:rsidRDefault="001C2A8B" w:rsidP="001C2A8B">
            <w:pPr>
              <w:jc w:val="both"/>
              <w:rPr>
                <w:sz w:val="24"/>
                <w:szCs w:val="24"/>
              </w:rPr>
            </w:pPr>
            <w:r w:rsidRPr="001C2A8B">
              <w:rPr>
                <w:sz w:val="24"/>
                <w:szCs w:val="24"/>
              </w:rPr>
              <w:t>This critically reflective case study explored my involvement in a complex safeguarding case involving an adult at risk with increasing care and support needs. The case highlighted the challenges of balancing safeguarding responsibilities, professional judgement, human rights and individual outcomes whilst supporting 1's wish to remain living at home.</w:t>
            </w:r>
          </w:p>
          <w:p w14:paraId="196CF016" w14:textId="77777777" w:rsidR="001C2A8B" w:rsidRDefault="001C2A8B" w:rsidP="001C2A8B">
            <w:pPr>
              <w:jc w:val="both"/>
              <w:rPr>
                <w:sz w:val="24"/>
                <w:szCs w:val="24"/>
              </w:rPr>
            </w:pPr>
            <w:r w:rsidRPr="001C2A8B">
              <w:rPr>
                <w:sz w:val="24"/>
                <w:szCs w:val="24"/>
              </w:rPr>
              <w:lastRenderedPageBreak/>
              <w:t>The case demonstrated the importance of legislation, professional judgement and collaborative working. A key learning point was the importance of remaining reflective and adaptable. Interventions that appeared appropriate in theory did not always achieve positive outcomes in practice. This reinforced the need for ongoing reassessment, professional curiosity and flexibility within changing circumstances.</w:t>
            </w:r>
          </w:p>
          <w:p w14:paraId="56227502" w14:textId="77777777" w:rsidR="001C2A8B" w:rsidRPr="001C2A8B" w:rsidRDefault="001C2A8B" w:rsidP="001C2A8B">
            <w:pPr>
              <w:jc w:val="both"/>
              <w:rPr>
                <w:sz w:val="24"/>
                <w:szCs w:val="24"/>
              </w:rPr>
            </w:pPr>
          </w:p>
          <w:p w14:paraId="03433D1C" w14:textId="77777777" w:rsidR="001C2A8B" w:rsidRPr="001C2A8B" w:rsidRDefault="001C2A8B" w:rsidP="001C2A8B">
            <w:pPr>
              <w:jc w:val="both"/>
              <w:rPr>
                <w:sz w:val="24"/>
                <w:szCs w:val="24"/>
              </w:rPr>
            </w:pPr>
            <w:r w:rsidRPr="001C2A8B">
              <w:rPr>
                <w:sz w:val="24"/>
                <w:szCs w:val="24"/>
              </w:rPr>
              <w:t>This experience strengthened my understanding of safeguarding practice, rights-based social work and professional judgement. Importantly, it reinforced that effective safeguarding is not about reducing risk but about supporting individuals to achieve their outcomes whilst promoting safety, dignity and wellbeing.</w:t>
            </w:r>
          </w:p>
          <w:p w14:paraId="00B5E96F" w14:textId="77777777" w:rsidR="001C2A8B" w:rsidRPr="001C2A8B" w:rsidRDefault="001C2A8B" w:rsidP="001C2A8B">
            <w:pPr>
              <w:jc w:val="both"/>
              <w:rPr>
                <w:sz w:val="24"/>
                <w:szCs w:val="24"/>
              </w:rPr>
            </w:pPr>
          </w:p>
          <w:p w14:paraId="458C08BA" w14:textId="77777777" w:rsidR="001C2A8B" w:rsidRPr="001C2A8B" w:rsidRDefault="001C2A8B" w:rsidP="001C2A8B">
            <w:pPr>
              <w:jc w:val="both"/>
              <w:rPr>
                <w:b/>
                <w:bCs/>
                <w:sz w:val="24"/>
                <w:szCs w:val="24"/>
              </w:rPr>
            </w:pPr>
            <w:r w:rsidRPr="001C2A8B">
              <w:rPr>
                <w:b/>
                <w:bCs/>
                <w:sz w:val="24"/>
                <w:szCs w:val="24"/>
              </w:rPr>
              <w:t>Word Count 4398</w:t>
            </w: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64D30" w14:textId="77777777" w:rsidR="00871940" w:rsidRDefault="00871940">
      <w:r>
        <w:separator/>
      </w:r>
    </w:p>
  </w:endnote>
  <w:endnote w:type="continuationSeparator" w:id="0">
    <w:p w14:paraId="27CCE977" w14:textId="77777777" w:rsidR="00871940" w:rsidRDefault="00871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BF5C3" w14:textId="77777777" w:rsidR="00871940" w:rsidRDefault="00871940">
      <w:r>
        <w:separator/>
      </w:r>
    </w:p>
  </w:footnote>
  <w:footnote w:type="continuationSeparator" w:id="0">
    <w:p w14:paraId="09344C67" w14:textId="77777777" w:rsidR="00871940" w:rsidRDefault="008719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0EF5"/>
    <w:rsid w:val="001A59BB"/>
    <w:rsid w:val="001A607E"/>
    <w:rsid w:val="001A6A51"/>
    <w:rsid w:val="001A79C4"/>
    <w:rsid w:val="001B331A"/>
    <w:rsid w:val="001C0237"/>
    <w:rsid w:val="001C0E74"/>
    <w:rsid w:val="001C2A8B"/>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52"/>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40"/>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0E12"/>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55A2"/>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678E3"/>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4600</Words>
  <Characters>28810</Characters>
  <Application>Microsoft Office Word</Application>
  <DocSecurity>0</DocSecurity>
  <Lines>240</Lines>
  <Paragraphs>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Kirsty Evans</cp:lastModifiedBy>
  <cp:revision>9</cp:revision>
  <cp:lastPrinted>2020-02-11T19:20:00Z</cp:lastPrinted>
  <dcterms:created xsi:type="dcterms:W3CDTF">2022-09-29T11:34:00Z</dcterms:created>
  <dcterms:modified xsi:type="dcterms:W3CDTF">2026-10-05T12:58:00Z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